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before="194"/>
        <w:ind w:left="940" w:right="943"/>
        <w:jc w:val="center"/>
      </w:pPr>
      <w:bookmarkStart w:name="Chapter 4 - Consideration" w:id="1"/>
      <w:bookmarkEnd w:id="1"/>
      <w:r>
        <w:rPr>
          <w:b w:val="0"/>
        </w:rPr>
      </w:r>
      <w:r>
        <w:rPr/>
        <w:t>Section 1. - </w:t>
      </w:r>
      <w:r>
        <w:rPr>
          <w:spacing w:val="-2"/>
        </w:rPr>
        <w:t>Introduction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General</w:t>
      </w:r>
    </w:p>
    <w:p>
      <w:pPr>
        <w:pStyle w:val="BodyText"/>
        <w:spacing w:before="41"/>
        <w:rPr>
          <w:rFonts w:ascii="Arial"/>
          <w:b/>
          <w:sz w:val="18"/>
        </w:rPr>
      </w:pPr>
    </w:p>
    <w:p>
      <w:pPr>
        <w:pStyle w:val="Heading2"/>
      </w:pPr>
      <w:r>
        <w:rPr/>
        <w:t>4-</w:t>
      </w:r>
      <w:r>
        <w:rPr>
          <w:spacing w:val="-5"/>
        </w:rPr>
        <w:t>001</w:t>
      </w:r>
    </w:p>
    <w:p>
      <w:pPr>
        <w:pStyle w:val="BodyText"/>
        <w:spacing w:line="235" w:lineRule="auto" w:before="203"/>
        <w:ind w:left="165" w:right="167"/>
        <w:jc w:val="both"/>
      </w:pPr>
      <w:r>
        <w:rPr/>
        <mc:AlternateContent>
          <mc:Choice Requires="wps">
            <w:drawing>
              <wp:anchor distT="0" distB="0" distL="0" distR="0" allowOverlap="1" layoutInCell="1" locked="0" behindDoc="1" simplePos="0" relativeHeight="482154496">
                <wp:simplePos x="0" y="0"/>
                <wp:positionH relativeFrom="page">
                  <wp:posOffset>5094694</wp:posOffset>
                </wp:positionH>
                <wp:positionV relativeFrom="paragraph">
                  <wp:posOffset>1049851</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61984" from="401.157013pt,82.665474pt" to="404.493013pt,82.66547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2155008">
                <wp:simplePos x="0" y="0"/>
                <wp:positionH relativeFrom="page">
                  <wp:posOffset>3042183</wp:posOffset>
                </wp:positionH>
                <wp:positionV relativeFrom="paragraph">
                  <wp:posOffset>1478476</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61472" from="239.542007pt,116.415474pt" to="242.878007pt,116.41547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2155520">
                <wp:simplePos x="0" y="0"/>
                <wp:positionH relativeFrom="page">
                  <wp:posOffset>1551203</wp:posOffset>
                </wp:positionH>
                <wp:positionV relativeFrom="paragraph">
                  <wp:posOffset>1764226</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60960" from="122.141998pt,138.915482pt" to="125.477998pt,138.915482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2156032">
                <wp:simplePos x="0" y="0"/>
                <wp:positionH relativeFrom="page">
                  <wp:posOffset>4849495</wp:posOffset>
                </wp:positionH>
                <wp:positionV relativeFrom="paragraph">
                  <wp:posOffset>1764226</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60448" from="381.850006pt,138.915482pt" to="385.186006pt,138.915482pt" stroked="true" strokeweight=".428pt" strokecolor="#005da1">
                <v:stroke dashstyle="solid"/>
                <w10:wrap type="none"/>
              </v:line>
            </w:pict>
          </mc:Fallback>
        </mc:AlternateContent>
      </w:r>
      <w:r>
        <w:rPr/>
        <w:t>In English law, a promise is not, as a general rule, binding as a contract unless it is either made in a deed or supported by some “consideration.” The purpose of the doctrine of consideration is to put some legal limits on the enforceability of agreements even where they are intended to be legally binding and are not vitiated by some factor such as mistake, misrepresentation, duress or illegality. The</w:t>
      </w:r>
      <w:r>
        <w:rPr>
          <w:spacing w:val="-1"/>
        </w:rPr>
        <w:t> </w:t>
      </w:r>
      <w:r>
        <w:rPr/>
        <w:t>existence</w:t>
      </w:r>
      <w:r>
        <w:rPr>
          <w:spacing w:val="-1"/>
        </w:rPr>
        <w:t> </w:t>
      </w:r>
      <w:r>
        <w:rPr/>
        <w:t>of</w:t>
      </w:r>
      <w:r>
        <w:rPr>
          <w:spacing w:val="-1"/>
        </w:rPr>
        <w:t> </w:t>
      </w:r>
      <w:r>
        <w:rPr/>
        <w:t>such</w:t>
      </w:r>
      <w:r>
        <w:rPr>
          <w:spacing w:val="-1"/>
        </w:rPr>
        <w:t> </w:t>
      </w:r>
      <w:r>
        <w:rPr/>
        <w:t>limits</w:t>
      </w:r>
      <w:r>
        <w:rPr>
          <w:spacing w:val="-1"/>
        </w:rPr>
        <w:t> </w:t>
      </w:r>
      <w:r>
        <w:rPr/>
        <w:t>is</w:t>
      </w:r>
      <w:r>
        <w:rPr>
          <w:spacing w:val="-1"/>
        </w:rPr>
        <w:t> </w:t>
      </w:r>
      <w:r>
        <w:rPr/>
        <w:t>not</w:t>
      </w:r>
      <w:r>
        <w:rPr>
          <w:spacing w:val="-1"/>
        </w:rPr>
        <w:t> </w:t>
      </w:r>
      <w:r>
        <w:rPr/>
        <w:t>a</w:t>
      </w:r>
      <w:r>
        <w:rPr>
          <w:spacing w:val="-1"/>
        </w:rPr>
        <w:t> </w:t>
      </w:r>
      <w:r>
        <w:rPr/>
        <w:t>peculiarity</w:t>
      </w:r>
      <w:r>
        <w:rPr>
          <w:spacing w:val="-1"/>
        </w:rPr>
        <w:t> </w:t>
      </w:r>
      <w:r>
        <w:rPr/>
        <w:t>of</w:t>
      </w:r>
      <w:r>
        <w:rPr>
          <w:spacing w:val="-1"/>
        </w:rPr>
        <w:t> </w:t>
      </w:r>
      <w:r>
        <w:rPr/>
        <w:t>English</w:t>
      </w:r>
      <w:r>
        <w:rPr>
          <w:spacing w:val="-1"/>
        </w:rPr>
        <w:t> </w:t>
      </w:r>
      <w:r>
        <w:rPr/>
        <w:t>law:</w:t>
      </w:r>
      <w:r>
        <w:rPr>
          <w:spacing w:val="-1"/>
        </w:rPr>
        <w:t> </w:t>
      </w:r>
      <w:r>
        <w:rPr/>
        <w:t>for</w:t>
      </w:r>
      <w:r>
        <w:rPr>
          <w:spacing w:val="-1"/>
        </w:rPr>
        <w:t> </w:t>
      </w:r>
      <w:r>
        <w:rPr/>
        <w:t>example,</w:t>
      </w:r>
      <w:r>
        <w:rPr>
          <w:spacing w:val="-1"/>
        </w:rPr>
        <w:t> </w:t>
      </w:r>
      <w:r>
        <w:rPr/>
        <w:t>in</w:t>
      </w:r>
      <w:r>
        <w:rPr>
          <w:spacing w:val="-1"/>
        </w:rPr>
        <w:t> </w:t>
      </w:r>
      <w:r>
        <w:rPr/>
        <w:t>some</w:t>
      </w:r>
      <w:r>
        <w:rPr>
          <w:spacing w:val="-1"/>
        </w:rPr>
        <w:t> </w:t>
      </w:r>
      <w:r>
        <w:rPr/>
        <w:t>civil</w:t>
      </w:r>
      <w:r>
        <w:rPr>
          <w:spacing w:val="-1"/>
        </w:rPr>
        <w:t> </w:t>
      </w:r>
      <w:r>
        <w:rPr/>
        <w:t>law</w:t>
      </w:r>
      <w:r>
        <w:rPr>
          <w:spacing w:val="-1"/>
        </w:rPr>
        <w:t> </w:t>
      </w:r>
      <w:r>
        <w:rPr/>
        <w:t>countries </w:t>
      </w:r>
      <w:bookmarkStart w:name="_bookmark0" w:id="2"/>
      <w:bookmarkEnd w:id="2"/>
      <w:r>
        <w:rPr/>
        <w:t>certain</w:t>
      </w:r>
      <w:r>
        <w:rPr/>
        <w:t> promises which in England are not binding for “want of consideration” cannot be enforced unless they are made in some special form, e.g. by a notarised writing. </w:t>
      </w:r>
      <w:r>
        <w:rPr>
          <w:color w:val="005DA1"/>
          <w:vertAlign w:val="superscript"/>
        </w:rPr>
        <w:t>2</w:t>
      </w:r>
      <w:r>
        <w:rPr>
          <w:color w:val="005DA1"/>
          <w:vertAlign w:val="baseline"/>
        </w:rPr>
        <w:t> </w:t>
      </w:r>
      <w:r>
        <w:rPr>
          <w:vertAlign w:val="baseline"/>
        </w:rPr>
        <w:t>The view was, indeed, at</w:t>
      </w:r>
      <w:r>
        <w:rPr>
          <w:spacing w:val="40"/>
          <w:vertAlign w:val="baseline"/>
        </w:rPr>
        <w:t> </w:t>
      </w:r>
      <w:r>
        <w:rPr>
          <w:vertAlign w:val="baseline"/>
        </w:rPr>
        <w:t>one time put forward in England that consideration was only evidence of the intention of the parties to </w:t>
      </w:r>
      <w:bookmarkStart w:name="_bookmark1" w:id="3"/>
      <w:bookmarkEnd w:id="3"/>
      <w:r>
        <w:rPr>
          <w:vertAlign w:val="baseline"/>
        </w:rPr>
        <w:t>be</w:t>
      </w:r>
      <w:r>
        <w:rPr>
          <w:vertAlign w:val="baseline"/>
        </w:rPr>
        <w:t> bound, and that (at any rate in the case of certain commercial contracts), such evidence could equally well be furnished by writing. </w:t>
      </w:r>
      <w:r>
        <w:rPr>
          <w:color w:val="005DA1"/>
          <w:vertAlign w:val="superscript"/>
        </w:rPr>
        <w:t>3</w:t>
      </w:r>
      <w:r>
        <w:rPr>
          <w:color w:val="005DA1"/>
          <w:vertAlign w:val="baseline"/>
        </w:rPr>
        <w:t> </w:t>
      </w:r>
      <w:r>
        <w:rPr>
          <w:vertAlign w:val="baseline"/>
        </w:rPr>
        <w:t>But the view that agreements (other than those contained in </w:t>
      </w:r>
      <w:bookmarkStart w:name="_bookmark2" w:id="4"/>
      <w:bookmarkEnd w:id="4"/>
      <w:r>
        <w:rPr>
          <w:vertAlign w:val="baseline"/>
        </w:rPr>
        <w:t>deeds)</w:t>
      </w:r>
      <w:r>
        <w:rPr>
          <w:spacing w:val="-1"/>
          <w:vertAlign w:val="baseline"/>
        </w:rPr>
        <w:t> </w:t>
      </w:r>
      <w:r>
        <w:rPr>
          <w:vertAlign w:val="baseline"/>
        </w:rPr>
        <w:t>were</w:t>
      </w:r>
      <w:r>
        <w:rPr>
          <w:spacing w:val="-1"/>
          <w:vertAlign w:val="baseline"/>
        </w:rPr>
        <w:t> </w:t>
      </w:r>
      <w:r>
        <w:rPr>
          <w:vertAlign w:val="baseline"/>
        </w:rPr>
        <w:t>binding</w:t>
      </w:r>
      <w:r>
        <w:rPr>
          <w:spacing w:val="-1"/>
          <w:vertAlign w:val="baseline"/>
        </w:rPr>
        <w:t> </w:t>
      </w:r>
      <w:r>
        <w:rPr>
          <w:vertAlign w:val="baseline"/>
        </w:rPr>
        <w:t>without</w:t>
      </w:r>
      <w:r>
        <w:rPr>
          <w:spacing w:val="-1"/>
          <w:vertAlign w:val="baseline"/>
        </w:rPr>
        <w:t> </w:t>
      </w:r>
      <w:r>
        <w:rPr>
          <w:vertAlign w:val="baseline"/>
        </w:rPr>
        <w:t>consideration</w:t>
      </w:r>
      <w:r>
        <w:rPr>
          <w:spacing w:val="-1"/>
          <w:vertAlign w:val="baseline"/>
        </w:rPr>
        <w:t> </w:t>
      </w:r>
      <w:r>
        <w:rPr>
          <w:vertAlign w:val="baseline"/>
        </w:rPr>
        <w:t>merely</w:t>
      </w:r>
      <w:r>
        <w:rPr>
          <w:spacing w:val="-1"/>
          <w:vertAlign w:val="baseline"/>
        </w:rPr>
        <w:t> </w:t>
      </w:r>
      <w:r>
        <w:rPr>
          <w:vertAlign w:val="baseline"/>
        </w:rPr>
        <w:t>because</w:t>
      </w:r>
      <w:r>
        <w:rPr>
          <w:spacing w:val="-1"/>
          <w:vertAlign w:val="baseline"/>
        </w:rPr>
        <w:t> </w:t>
      </w:r>
      <w:r>
        <w:rPr>
          <w:vertAlign w:val="baseline"/>
        </w:rPr>
        <w:t>they</w:t>
      </w:r>
      <w:r>
        <w:rPr>
          <w:spacing w:val="-1"/>
          <w:vertAlign w:val="baseline"/>
        </w:rPr>
        <w:t> </w:t>
      </w:r>
      <w:r>
        <w:rPr>
          <w:vertAlign w:val="baseline"/>
        </w:rPr>
        <w:t>were</w:t>
      </w:r>
      <w:r>
        <w:rPr>
          <w:spacing w:val="-1"/>
          <w:vertAlign w:val="baseline"/>
        </w:rPr>
        <w:t> </w:t>
      </w:r>
      <w:r>
        <w:rPr>
          <w:vertAlign w:val="baseline"/>
        </w:rPr>
        <w:t>in</w:t>
      </w:r>
      <w:r>
        <w:rPr>
          <w:spacing w:val="-1"/>
          <w:vertAlign w:val="baseline"/>
        </w:rPr>
        <w:t> </w:t>
      </w:r>
      <w:r>
        <w:rPr>
          <w:vertAlign w:val="baseline"/>
        </w:rPr>
        <w:t>writing</w:t>
      </w:r>
      <w:r>
        <w:rPr>
          <w:spacing w:val="-1"/>
          <w:vertAlign w:val="baseline"/>
        </w:rPr>
        <w:t> </w:t>
      </w:r>
      <w:r>
        <w:rPr>
          <w:vertAlign w:val="baseline"/>
        </w:rPr>
        <w:t>was</w:t>
      </w:r>
      <w:r>
        <w:rPr>
          <w:spacing w:val="-1"/>
          <w:vertAlign w:val="baseline"/>
        </w:rPr>
        <w:t> </w:t>
      </w:r>
      <w:r>
        <w:rPr>
          <w:vertAlign w:val="baseline"/>
        </w:rPr>
        <w:t>rejected</w:t>
      </w:r>
      <w:r>
        <w:rPr>
          <w:spacing w:val="-1"/>
          <w:vertAlign w:val="baseline"/>
        </w:rPr>
        <w:t> </w:t>
      </w:r>
      <w:r>
        <w:rPr>
          <w:vertAlign w:val="baseline"/>
        </w:rPr>
        <w:t>over</w:t>
      </w:r>
      <w:r>
        <w:rPr>
          <w:spacing w:val="-1"/>
          <w:vertAlign w:val="baseline"/>
        </w:rPr>
        <w:t> </w:t>
      </w:r>
      <w:r>
        <w:rPr>
          <w:vertAlign w:val="baseline"/>
        </w:rPr>
        <w:t>200 years ago, </w:t>
      </w:r>
      <w:r>
        <w:rPr>
          <w:color w:val="005DA1"/>
          <w:vertAlign w:val="superscript"/>
        </w:rPr>
        <w:t>4</w:t>
      </w:r>
      <w:r>
        <w:rPr>
          <w:color w:val="005DA1"/>
          <w:vertAlign w:val="baseline"/>
        </w:rPr>
        <w:t> </w:t>
      </w:r>
      <w:r>
        <w:rPr>
          <w:vertAlign w:val="baseline"/>
        </w:rPr>
        <w:t>though it has been revived as a proposal for law reform. </w:t>
      </w:r>
      <w:r>
        <w:rPr>
          <w:color w:val="005DA1"/>
          <w:vertAlign w:val="superscript"/>
        </w:rPr>
        <w:t>5</w:t>
      </w:r>
      <w:r>
        <w:rPr>
          <w:color w:val="005DA1"/>
          <w:vertAlign w:val="baseline"/>
        </w:rPr>
        <w:t> </w:t>
      </w:r>
      <w:r>
        <w:rPr>
          <w:vertAlign w:val="baseline"/>
        </w:rPr>
        <w:t>The present position therefore is that English law limits the enforceability of agreements (other than those contained in deeds) by reference to a complex and multifarious body of rules known as “the doctrine of consideration.”</w:t>
      </w:r>
    </w:p>
    <w:p>
      <w:pPr>
        <w:pStyle w:val="BodyText"/>
      </w:pPr>
    </w:p>
    <w:p>
      <w:pPr>
        <w:pStyle w:val="BodyText"/>
        <w:spacing w:before="33"/>
      </w:pPr>
    </w:p>
    <w:p>
      <w:pPr>
        <w:spacing w:before="0"/>
        <w:ind w:left="165" w:right="0" w:firstLine="0"/>
        <w:jc w:val="left"/>
        <w:rPr>
          <w:rFonts w:ascii="Arial"/>
          <w:b/>
          <w:sz w:val="18"/>
        </w:rPr>
      </w:pPr>
      <w:r>
        <w:rPr>
          <w:rFonts w:ascii="Arial"/>
          <w:b/>
          <w:sz w:val="18"/>
        </w:rPr>
        <w:t>Informal gratuitous </w:t>
      </w:r>
      <w:r>
        <w:rPr>
          <w:rFonts w:ascii="Arial"/>
          <w:b/>
          <w:spacing w:val="-2"/>
          <w:sz w:val="18"/>
        </w:rPr>
        <w:t>promises</w:t>
      </w:r>
    </w:p>
    <w:p>
      <w:pPr>
        <w:pStyle w:val="BodyText"/>
        <w:spacing w:before="41"/>
        <w:rPr>
          <w:rFonts w:ascii="Arial"/>
          <w:b/>
          <w:sz w:val="18"/>
        </w:rPr>
      </w:pPr>
    </w:p>
    <w:p>
      <w:pPr>
        <w:pStyle w:val="Heading2"/>
        <w:spacing w:before="1"/>
      </w:pPr>
      <w:r>
        <w:rPr/>
        <w:t>4-</w:t>
      </w:r>
      <w:r>
        <w:rPr>
          <w:spacing w:val="-5"/>
        </w:rPr>
        <w:t>002</w:t>
      </w:r>
    </w:p>
    <w:p>
      <w:pPr>
        <w:pStyle w:val="BodyText"/>
        <w:spacing w:before="92"/>
        <w:rPr>
          <w:rFonts w:ascii="Arial"/>
          <w:b/>
        </w:rPr>
      </w:pPr>
    </w:p>
    <w:p>
      <w:pPr>
        <w:pStyle w:val="BodyText"/>
        <w:spacing w:line="235" w:lineRule="auto"/>
        <w:ind w:left="165" w:right="167"/>
        <w:jc w:val="both"/>
      </w:pPr>
      <w:r>
        <w:rPr/>
        <mc:AlternateContent>
          <mc:Choice Requires="wps">
            <w:drawing>
              <wp:anchor distT="0" distB="0" distL="0" distR="0" allowOverlap="1" layoutInCell="1" locked="0" behindDoc="1" simplePos="0" relativeHeight="482156544">
                <wp:simplePos x="0" y="0"/>
                <wp:positionH relativeFrom="page">
                  <wp:posOffset>1543177</wp:posOffset>
                </wp:positionH>
                <wp:positionV relativeFrom="paragraph">
                  <wp:posOffset>206752</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9936" from="121.510002pt,16.279734pt" to="124.846002pt,16.27973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2157056">
                <wp:simplePos x="0" y="0"/>
                <wp:positionH relativeFrom="page">
                  <wp:posOffset>5811977</wp:posOffset>
                </wp:positionH>
                <wp:positionV relativeFrom="paragraph">
                  <wp:posOffset>206752</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9424" from="457.635986pt,16.279734pt" to="460.971986pt,16.27973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2157568">
                <wp:simplePos x="0" y="0"/>
                <wp:positionH relativeFrom="page">
                  <wp:posOffset>4451350</wp:posOffset>
                </wp:positionH>
                <wp:positionV relativeFrom="paragraph">
                  <wp:posOffset>349627</wp:posOffset>
                </wp:positionV>
                <wp:extent cx="425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8912" from="350.5pt,27.529734pt" to="353.836pt,27.52973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2158080">
                <wp:simplePos x="0" y="0"/>
                <wp:positionH relativeFrom="page">
                  <wp:posOffset>3366084</wp:posOffset>
                </wp:positionH>
                <wp:positionV relativeFrom="paragraph">
                  <wp:posOffset>778252</wp:posOffset>
                </wp:positionV>
                <wp:extent cx="425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8400" from="265.04599pt,61.279736pt" to="268.381990pt,61.279736pt" stroked="true" strokeweight=".428pt" strokecolor="#005da1">
                <v:stroke dashstyle="solid"/>
                <w10:wrap type="none"/>
              </v:line>
            </w:pict>
          </mc:Fallback>
        </mc:AlternateContent>
      </w:r>
      <w:r>
        <w:rPr>
          <w:position w:val="-2"/>
        </w:rPr>
        <w:drawing>
          <wp:inline distT="0" distB="0" distL="0" distR="0">
            <wp:extent cx="107988" cy="10798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3" w:id="5"/>
      <w:bookmarkEnd w:id="5"/>
      <w:r>
        <w:rPr>
          <w:rFonts w:ascii="Times New Roman" w:hAnsi="Times New Roman"/>
          <w:spacing w:val="5"/>
        </w:rPr>
      </w:r>
      <w:r>
        <w:rPr/>
        <w:t>The</w:t>
      </w:r>
      <w:r>
        <w:rPr>
          <w:spacing w:val="-2"/>
        </w:rPr>
        <w:t> </w:t>
      </w:r>
      <w:r>
        <w:rPr/>
        <w:t>doctrine</w:t>
      </w:r>
      <w:r>
        <w:rPr>
          <w:spacing w:val="-2"/>
        </w:rPr>
        <w:t> </w:t>
      </w:r>
      <w:r>
        <w:rPr/>
        <w:t>of</w:t>
      </w:r>
      <w:r>
        <w:rPr>
          <w:spacing w:val="-2"/>
        </w:rPr>
        <w:t> </w:t>
      </w:r>
      <w:r>
        <w:rPr/>
        <w:t>consideration</w:t>
      </w:r>
      <w:r>
        <w:rPr>
          <w:spacing w:val="-2"/>
        </w:rPr>
        <w:t> </w:t>
      </w:r>
      <w:r>
        <w:rPr/>
        <w:t>is</w:t>
      </w:r>
      <w:r>
        <w:rPr>
          <w:spacing w:val="-2"/>
        </w:rPr>
        <w:t> </w:t>
      </w:r>
      <w:r>
        <w:rPr/>
        <w:t>based</w:t>
      </w:r>
      <w:r>
        <w:rPr>
          <w:spacing w:val="-2"/>
        </w:rPr>
        <w:t> </w:t>
      </w:r>
      <w:r>
        <w:rPr/>
        <w:t>on</w:t>
      </w:r>
      <w:r>
        <w:rPr>
          <w:spacing w:val="-2"/>
        </w:rPr>
        <w:t> </w:t>
      </w:r>
      <w:r>
        <w:rPr/>
        <w:t>the</w:t>
      </w:r>
      <w:r>
        <w:rPr>
          <w:spacing w:val="-2"/>
        </w:rPr>
        <w:t> </w:t>
      </w:r>
      <w:r>
        <w:rPr/>
        <w:t>idea</w:t>
      </w:r>
      <w:r>
        <w:rPr>
          <w:spacing w:val="-2"/>
        </w:rPr>
        <w:t> </w:t>
      </w:r>
      <w:r>
        <w:rPr/>
        <w:t>of</w:t>
      </w:r>
      <w:r>
        <w:rPr>
          <w:spacing w:val="-2"/>
        </w:rPr>
        <w:t> </w:t>
      </w:r>
      <w:r>
        <w:rPr/>
        <w:t>reciprocity:</w:t>
      </w:r>
      <w:r>
        <w:rPr>
          <w:spacing w:val="-2"/>
        </w:rPr>
        <w:t> </w:t>
      </w:r>
      <w:r>
        <w:rPr/>
        <w:t>that</w:t>
      </w:r>
      <w:r>
        <w:rPr>
          <w:spacing w:val="-2"/>
        </w:rPr>
        <w:t> </w:t>
      </w:r>
      <w:r>
        <w:rPr/>
        <w:t>“something</w:t>
      </w:r>
      <w:r>
        <w:rPr>
          <w:spacing w:val="-2"/>
        </w:rPr>
        <w:t> </w:t>
      </w:r>
      <w:r>
        <w:rPr/>
        <w:t>of</w:t>
      </w:r>
      <w:r>
        <w:rPr>
          <w:spacing w:val="-2"/>
        </w:rPr>
        <w:t> </w:t>
      </w:r>
      <w:r>
        <w:rPr/>
        <w:t>value</w:t>
      </w:r>
      <w:r>
        <w:rPr>
          <w:spacing w:val="-2"/>
        </w:rPr>
        <w:t> </w:t>
      </w:r>
      <w:r>
        <w:rPr/>
        <w:t>in</w:t>
      </w:r>
      <w:r>
        <w:rPr>
          <w:spacing w:val="-2"/>
        </w:rPr>
        <w:t> </w:t>
      </w:r>
      <w:r>
        <w:rPr/>
        <w:t>the</w:t>
      </w:r>
      <w:r>
        <w:rPr>
          <w:spacing w:val="-2"/>
        </w:rPr>
        <w:t> </w:t>
      </w:r>
      <w:r>
        <w:rPr/>
        <w:t>eye </w:t>
      </w:r>
      <w:bookmarkStart w:name="_bookmark4" w:id="6"/>
      <w:bookmarkEnd w:id="6"/>
      <w:r>
        <w:rPr/>
        <w:t>of</w:t>
      </w:r>
      <w:r>
        <w:rPr/>
        <w:t> the law” </w:t>
      </w:r>
      <w:r>
        <w:rPr>
          <w:color w:val="005DA1"/>
          <w:vertAlign w:val="superscript"/>
        </w:rPr>
        <w:t>6</w:t>
      </w:r>
      <w:r>
        <w:rPr>
          <w:color w:val="005DA1"/>
          <w:vertAlign w:val="baseline"/>
        </w:rPr>
        <w:t> </w:t>
      </w:r>
      <w:r>
        <w:rPr>
          <w:vertAlign w:val="baseline"/>
        </w:rPr>
        <w:t>must be given for a promise in order to make it enforceable as a contract. </w:t>
      </w:r>
      <w:r>
        <w:rPr>
          <w:color w:val="005DA1"/>
          <w:vertAlign w:val="superscript"/>
        </w:rPr>
        <w:t>7</w:t>
      </w:r>
      <w:r>
        <w:rPr>
          <w:color w:val="005DA1"/>
          <w:vertAlign w:val="baseline"/>
        </w:rPr>
        <w:t> </w:t>
      </w:r>
      <w:r>
        <w:rPr>
          <w:vertAlign w:val="baseline"/>
        </w:rPr>
        <w:t>It follows </w:t>
      </w:r>
      <w:r>
        <w:rPr>
          <w:vertAlign w:val="baseline"/>
        </w:rPr>
        <w:t>that an informal gratuitous promise does not amount to a contract. </w:t>
      </w:r>
      <w:r>
        <w:rPr>
          <w:color w:val="005DA1"/>
          <w:vertAlign w:val="superscript"/>
        </w:rPr>
        <w:t>8</w:t>
      </w:r>
      <w:r>
        <w:rPr>
          <w:color w:val="005DA1"/>
          <w:vertAlign w:val="baseline"/>
        </w:rPr>
        <w:t> </w:t>
      </w:r>
      <w:r>
        <w:rPr>
          <w:vertAlign w:val="baseline"/>
        </w:rPr>
        <w:t>A person or body to whom a promise of a gift is made from purely charitable or sentimental motives gives nothing for the promise; and the </w:t>
      </w:r>
      <w:bookmarkStart w:name="_bookmark5" w:id="7"/>
      <w:bookmarkEnd w:id="7"/>
      <w:r>
        <w:rPr>
          <w:vertAlign w:val="baseline"/>
        </w:rPr>
        <w:t>claims</w:t>
      </w:r>
      <w:r>
        <w:rPr>
          <w:vertAlign w:val="baseline"/>
        </w:rPr>
        <w:t> of such a promisee are regarded as less compelling than those of a person who has provided (or promised) some return for the promise. </w:t>
      </w:r>
      <w:r>
        <w:rPr>
          <w:color w:val="005DA1"/>
          <w:vertAlign w:val="superscript"/>
        </w:rPr>
        <w:t>9</w:t>
      </w:r>
      <w:r>
        <w:rPr>
          <w:color w:val="005DA1"/>
          <w:vertAlign w:val="baseline"/>
        </w:rPr>
        <w:t> </w:t>
      </w:r>
      <w:r>
        <w:rPr>
          <w:vertAlign w:val="baseline"/>
        </w:rPr>
        <w:t>The invalidity of informal gratuitous promises of this kind </w:t>
      </w:r>
      <w:bookmarkStart w:name="_bookmark6" w:id="8"/>
      <w:bookmarkEnd w:id="8"/>
      <w:r>
        <w:rPr>
          <w:vertAlign w:val="baseline"/>
        </w:rPr>
        <w:t>can</w:t>
      </w:r>
      <w:r>
        <w:rPr>
          <w:spacing w:val="33"/>
          <w:vertAlign w:val="baseline"/>
        </w:rPr>
        <w:t> </w:t>
      </w:r>
      <w:r>
        <w:rPr>
          <w:vertAlign w:val="baseline"/>
        </w:rPr>
        <w:t>also</w:t>
      </w:r>
      <w:r>
        <w:rPr>
          <w:spacing w:val="33"/>
          <w:vertAlign w:val="baseline"/>
        </w:rPr>
        <w:t> </w:t>
      </w:r>
      <w:r>
        <w:rPr>
          <w:vertAlign w:val="baseline"/>
        </w:rPr>
        <w:t>be</w:t>
      </w:r>
      <w:r>
        <w:rPr>
          <w:spacing w:val="33"/>
          <w:vertAlign w:val="baseline"/>
        </w:rPr>
        <w:t> </w:t>
      </w:r>
      <w:r>
        <w:rPr>
          <w:vertAlign w:val="baseline"/>
        </w:rPr>
        <w:t>supported</w:t>
      </w:r>
      <w:r>
        <w:rPr>
          <w:spacing w:val="33"/>
          <w:vertAlign w:val="baseline"/>
        </w:rPr>
        <w:t> </w:t>
      </w:r>
      <w:r>
        <w:rPr>
          <w:vertAlign w:val="baseline"/>
        </w:rPr>
        <w:t>on</w:t>
      </w:r>
      <w:r>
        <w:rPr>
          <w:spacing w:val="33"/>
          <w:vertAlign w:val="baseline"/>
        </w:rPr>
        <w:t> </w:t>
      </w:r>
      <w:r>
        <w:rPr>
          <w:vertAlign w:val="baseline"/>
        </w:rPr>
        <w:t>the</w:t>
      </w:r>
      <w:r>
        <w:rPr>
          <w:spacing w:val="33"/>
          <w:vertAlign w:val="baseline"/>
        </w:rPr>
        <w:t> </w:t>
      </w:r>
      <w:r>
        <w:rPr>
          <w:vertAlign w:val="baseline"/>
        </w:rPr>
        <w:t>ground</w:t>
      </w:r>
      <w:r>
        <w:rPr>
          <w:spacing w:val="33"/>
          <w:vertAlign w:val="baseline"/>
        </w:rPr>
        <w:t> </w:t>
      </w:r>
      <w:r>
        <w:rPr>
          <w:vertAlign w:val="baseline"/>
        </w:rPr>
        <w:t>that</w:t>
      </w:r>
      <w:r>
        <w:rPr>
          <w:spacing w:val="33"/>
          <w:vertAlign w:val="baseline"/>
        </w:rPr>
        <w:t> </w:t>
      </w:r>
      <w:r>
        <w:rPr>
          <w:vertAlign w:val="baseline"/>
        </w:rPr>
        <w:t>their</w:t>
      </w:r>
      <w:r>
        <w:rPr>
          <w:spacing w:val="33"/>
          <w:vertAlign w:val="baseline"/>
        </w:rPr>
        <w:t> </w:t>
      </w:r>
      <w:r>
        <w:rPr>
          <w:vertAlign w:val="baseline"/>
        </w:rPr>
        <w:t>enforcement</w:t>
      </w:r>
      <w:r>
        <w:rPr>
          <w:spacing w:val="33"/>
          <w:vertAlign w:val="baseline"/>
        </w:rPr>
        <w:t> </w:t>
      </w:r>
      <w:r>
        <w:rPr>
          <w:vertAlign w:val="baseline"/>
        </w:rPr>
        <w:t>could</w:t>
      </w:r>
      <w:r>
        <w:rPr>
          <w:spacing w:val="33"/>
          <w:vertAlign w:val="baseline"/>
        </w:rPr>
        <w:t> </w:t>
      </w:r>
      <w:r>
        <w:rPr>
          <w:vertAlign w:val="baseline"/>
        </w:rPr>
        <w:t>prejudice</w:t>
      </w:r>
      <w:r>
        <w:rPr>
          <w:spacing w:val="33"/>
          <w:vertAlign w:val="baseline"/>
        </w:rPr>
        <w:t> </w:t>
      </w:r>
      <w:r>
        <w:rPr>
          <w:vertAlign w:val="baseline"/>
        </w:rPr>
        <w:t>third</w:t>
      </w:r>
      <w:r>
        <w:rPr>
          <w:spacing w:val="33"/>
          <w:vertAlign w:val="baseline"/>
        </w:rPr>
        <w:t> </w:t>
      </w:r>
      <w:r>
        <w:rPr>
          <w:vertAlign w:val="baseline"/>
        </w:rPr>
        <w:t>parties</w:t>
      </w:r>
      <w:r>
        <w:rPr>
          <w:spacing w:val="33"/>
          <w:vertAlign w:val="baseline"/>
        </w:rPr>
        <w:t> </w:t>
      </w:r>
      <w:r>
        <w:rPr>
          <w:vertAlign w:val="baseline"/>
        </w:rPr>
        <w:t>such</w:t>
      </w:r>
      <w:r>
        <w:rPr>
          <w:spacing w:val="33"/>
          <w:vertAlign w:val="baseline"/>
        </w:rPr>
        <w:t> </w:t>
      </w:r>
      <w:r>
        <w:rPr>
          <w:spacing w:val="-5"/>
          <w:vertAlign w:val="baseline"/>
        </w:rPr>
        <w:t>as</w:t>
      </w:r>
    </w:p>
    <w:p>
      <w:pPr>
        <w:pStyle w:val="BodyText"/>
        <w:spacing w:line="235" w:lineRule="auto" w:before="118"/>
        <w:ind w:left="165" w:right="168"/>
        <w:jc w:val="both"/>
      </w:pPr>
      <w:bookmarkStart w:name="_bookmark7" w:id="9"/>
      <w:bookmarkEnd w:id="9"/>
      <w:r>
        <w:rPr/>
      </w:r>
      <w:r>
        <w:rPr/>
        <w:t>creditors of the promisor. </w:t>
      </w:r>
      <w:r>
        <w:rPr>
          <w:color w:val="005DA1"/>
          <w:u w:val="single" w:color="005DA1"/>
          <w:vertAlign w:val="superscript"/>
        </w:rPr>
        <w:t>10</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color w:val="005DA1"/>
          <w:spacing w:val="36"/>
          <w:vertAlign w:val="baseline"/>
        </w:rPr>
        <w:t> </w:t>
      </w:r>
      <w:r>
        <w:rPr>
          <w:vertAlign w:val="baseline"/>
        </w:rPr>
        <w:t>Such promises, too, may be rashly made </w:t>
      </w:r>
      <w:r>
        <w:rPr>
          <w:color w:val="005DA1"/>
          <w:u w:val="single" w:color="005DA1"/>
          <w:vertAlign w:val="superscript"/>
        </w:rPr>
        <w:t>11</w:t>
      </w:r>
      <w:r>
        <w:rPr>
          <w:vertAlign w:val="baseline"/>
        </w:rPr>
        <w:t>; and the requirements </w:t>
      </w:r>
      <w:r>
        <w:rPr>
          <w:vertAlign w:val="baseline"/>
        </w:rPr>
        <w:t>of executing a deed or giving value provide at least some protection against this danger.</w:t>
      </w:r>
    </w:p>
    <w:p>
      <w:pPr>
        <w:pStyle w:val="BodyText"/>
      </w:pPr>
    </w:p>
    <w:p>
      <w:pPr>
        <w:pStyle w:val="BodyText"/>
        <w:spacing w:before="37"/>
      </w:pPr>
    </w:p>
    <w:p>
      <w:pPr>
        <w:spacing w:before="0"/>
        <w:ind w:left="165" w:right="0" w:firstLine="0"/>
        <w:jc w:val="both"/>
        <w:rPr>
          <w:rFonts w:ascii="Arial"/>
          <w:b/>
          <w:sz w:val="18"/>
        </w:rPr>
      </w:pPr>
      <w:r>
        <w:rPr>
          <w:rFonts w:ascii="Arial"/>
          <w:b/>
          <w:sz w:val="18"/>
        </w:rPr>
        <w:t>Other promises without </w:t>
      </w:r>
      <w:r>
        <w:rPr>
          <w:rFonts w:ascii="Arial"/>
          <w:b/>
          <w:spacing w:val="-2"/>
          <w:sz w:val="18"/>
        </w:rPr>
        <w:t>consideration</w:t>
      </w:r>
    </w:p>
    <w:p>
      <w:pPr>
        <w:pStyle w:val="BodyText"/>
        <w:spacing w:before="42"/>
        <w:rPr>
          <w:rFonts w:ascii="Arial"/>
          <w:b/>
          <w:sz w:val="18"/>
        </w:rPr>
      </w:pPr>
    </w:p>
    <w:p>
      <w:pPr>
        <w:pStyle w:val="Heading2"/>
      </w:pPr>
      <w:r>
        <w:rPr/>
        <w:t>4-</w:t>
      </w:r>
      <w:r>
        <w:rPr>
          <w:spacing w:val="-5"/>
        </w:rPr>
        <w:t>003</w:t>
      </w:r>
    </w:p>
    <w:p>
      <w:pPr>
        <w:pStyle w:val="BodyText"/>
        <w:spacing w:line="235" w:lineRule="auto" w:before="202"/>
        <w:ind w:left="165" w:right="167"/>
        <w:jc w:val="both"/>
      </w:pPr>
      <w:r>
        <w:rPr/>
        <w:t>The doctrine of consideration, however, also struck at many promises which were not “gratuitous” </w:t>
      </w:r>
      <w:r>
        <w:rPr/>
        <w:t>in any</w:t>
      </w:r>
      <w:r>
        <w:rPr>
          <w:spacing w:val="-2"/>
        </w:rPr>
        <w:t> </w:t>
      </w:r>
      <w:r>
        <w:rPr/>
        <w:t>ordinary</w:t>
      </w:r>
      <w:r>
        <w:rPr>
          <w:spacing w:val="-2"/>
        </w:rPr>
        <w:t> </w:t>
      </w:r>
      <w:r>
        <w:rPr/>
        <w:t>or</w:t>
      </w:r>
      <w:r>
        <w:rPr>
          <w:spacing w:val="-2"/>
        </w:rPr>
        <w:t> </w:t>
      </w:r>
      <w:r>
        <w:rPr/>
        <w:t>commercial</w:t>
      </w:r>
      <w:r>
        <w:rPr>
          <w:spacing w:val="-2"/>
        </w:rPr>
        <w:t> </w:t>
      </w:r>
      <w:r>
        <w:rPr/>
        <w:t>sense.</w:t>
      </w:r>
      <w:r>
        <w:rPr>
          <w:spacing w:val="-2"/>
        </w:rPr>
        <w:t> </w:t>
      </w:r>
      <w:r>
        <w:rPr/>
        <w:t>These</w:t>
      </w:r>
      <w:r>
        <w:rPr>
          <w:spacing w:val="-2"/>
        </w:rPr>
        <w:t> </w:t>
      </w:r>
      <w:r>
        <w:rPr/>
        <w:t>applications</w:t>
      </w:r>
      <w:r>
        <w:rPr>
          <w:spacing w:val="-2"/>
        </w:rPr>
        <w:t> </w:t>
      </w:r>
      <w:r>
        <w:rPr/>
        <w:t>of</w:t>
      </w:r>
      <w:r>
        <w:rPr>
          <w:spacing w:val="-2"/>
        </w:rPr>
        <w:t> </w:t>
      </w:r>
      <w:r>
        <w:rPr/>
        <w:t>the</w:t>
      </w:r>
      <w:r>
        <w:rPr>
          <w:spacing w:val="-2"/>
        </w:rPr>
        <w:t> </w:t>
      </w:r>
      <w:r>
        <w:rPr/>
        <w:t>doctrine</w:t>
      </w:r>
      <w:r>
        <w:rPr>
          <w:spacing w:val="-2"/>
        </w:rPr>
        <w:t> </w:t>
      </w:r>
      <w:r>
        <w:rPr/>
        <w:t>were</w:t>
      </w:r>
      <w:r>
        <w:rPr>
          <w:spacing w:val="-2"/>
        </w:rPr>
        <w:t> </w:t>
      </w:r>
      <w:r>
        <w:rPr/>
        <w:t>brought</w:t>
      </w:r>
      <w:r>
        <w:rPr>
          <w:spacing w:val="-2"/>
        </w:rPr>
        <w:t> </w:t>
      </w:r>
      <w:r>
        <w:rPr/>
        <w:t>within</w:t>
      </w:r>
      <w:r>
        <w:rPr>
          <w:spacing w:val="-2"/>
        </w:rPr>
        <w:t> </w:t>
      </w:r>
      <w:r>
        <w:rPr/>
        <w:t>its</w:t>
      </w:r>
      <w:r>
        <w:rPr>
          <w:spacing w:val="-2"/>
        </w:rPr>
        <w:t> </w:t>
      </w:r>
      <w:r>
        <w:rPr/>
        <w:t>scope</w:t>
      </w:r>
      <w:r>
        <w:rPr>
          <w:spacing w:val="-2"/>
        </w:rPr>
        <w:t> </w:t>
      </w:r>
      <w:r>
        <w:rPr/>
        <w:t>by </w:t>
      </w:r>
      <w:bookmarkStart w:name="_bookmark8" w:id="10"/>
      <w:bookmarkEnd w:id="10"/>
      <w:r>
        <w:rPr/>
        <w:t>stressing</w:t>
      </w:r>
      <w:r>
        <w:rPr/>
        <w:t> that consideration must be not merely “something of value,” but “something of value </w:t>
      </w:r>
      <w:r>
        <w:rPr>
          <w:rFonts w:ascii="Arial" w:hAnsi="Arial"/>
          <w:i/>
        </w:rPr>
        <w:t>in the eye of the law</w:t>
      </w:r>
      <w:r>
        <w:rPr/>
        <w:t>.” </w:t>
      </w:r>
      <w:r>
        <w:rPr>
          <w:color w:val="005DA1"/>
          <w:u w:val="single" w:color="005DA1"/>
          <w:vertAlign w:val="superscript"/>
        </w:rPr>
        <w:t>12</w:t>
      </w:r>
      <w:r>
        <w:rPr>
          <w:color w:val="005DA1"/>
          <w:vertAlign w:val="baseline"/>
        </w:rPr>
        <w:t> </w:t>
      </w:r>
      <w:r>
        <w:rPr>
          <w:vertAlign w:val="baseline"/>
        </w:rPr>
        <w:t>The law in certain cases refused to recognise the “value” of acts or promises even though</w:t>
      </w:r>
      <w:r>
        <w:rPr>
          <w:spacing w:val="26"/>
          <w:vertAlign w:val="baseline"/>
        </w:rPr>
        <w:t> </w:t>
      </w:r>
      <w:r>
        <w:rPr>
          <w:vertAlign w:val="baseline"/>
        </w:rPr>
        <w:t>they</w:t>
      </w:r>
      <w:r>
        <w:rPr>
          <w:spacing w:val="26"/>
          <w:vertAlign w:val="baseline"/>
        </w:rPr>
        <w:t> </w:t>
      </w:r>
      <w:r>
        <w:rPr>
          <w:vertAlign w:val="baseline"/>
        </w:rPr>
        <w:t>would,</w:t>
      </w:r>
      <w:r>
        <w:rPr>
          <w:spacing w:val="26"/>
          <w:vertAlign w:val="baseline"/>
        </w:rPr>
        <w:t> </w:t>
      </w:r>
      <w:r>
        <w:rPr>
          <w:vertAlign w:val="baseline"/>
        </w:rPr>
        <w:t>or</w:t>
      </w:r>
      <w:r>
        <w:rPr>
          <w:spacing w:val="26"/>
          <w:vertAlign w:val="baseline"/>
        </w:rPr>
        <w:t> </w:t>
      </w:r>
      <w:r>
        <w:rPr>
          <w:vertAlign w:val="baseline"/>
        </w:rPr>
        <w:t>might,</w:t>
      </w:r>
      <w:r>
        <w:rPr>
          <w:spacing w:val="26"/>
          <w:vertAlign w:val="baseline"/>
        </w:rPr>
        <w:t> </w:t>
      </w:r>
      <w:r>
        <w:rPr>
          <w:vertAlign w:val="baseline"/>
        </w:rPr>
        <w:t>be</w:t>
      </w:r>
      <w:r>
        <w:rPr>
          <w:spacing w:val="26"/>
          <w:vertAlign w:val="baseline"/>
        </w:rPr>
        <w:t> </w:t>
      </w:r>
      <w:r>
        <w:rPr>
          <w:vertAlign w:val="baseline"/>
        </w:rPr>
        <w:t>regarded</w:t>
      </w:r>
      <w:r>
        <w:rPr>
          <w:spacing w:val="26"/>
          <w:vertAlign w:val="baseline"/>
        </w:rPr>
        <w:t> </w:t>
      </w:r>
      <w:r>
        <w:rPr>
          <w:vertAlign w:val="baseline"/>
        </w:rPr>
        <w:t>as</w:t>
      </w:r>
      <w:r>
        <w:rPr>
          <w:spacing w:val="26"/>
          <w:vertAlign w:val="baseline"/>
        </w:rPr>
        <w:t> </w:t>
      </w:r>
      <w:r>
        <w:rPr>
          <w:vertAlign w:val="baseline"/>
        </w:rPr>
        <w:t>valuable</w:t>
      </w:r>
      <w:r>
        <w:rPr>
          <w:spacing w:val="26"/>
          <w:vertAlign w:val="baseline"/>
        </w:rPr>
        <w:t> </w:t>
      </w:r>
      <w:r>
        <w:rPr>
          <w:vertAlign w:val="baseline"/>
        </w:rPr>
        <w:t>by</w:t>
      </w:r>
      <w:r>
        <w:rPr>
          <w:spacing w:val="26"/>
          <w:vertAlign w:val="baseline"/>
        </w:rPr>
        <w:t> </w:t>
      </w:r>
      <w:r>
        <w:rPr>
          <w:vertAlign w:val="baseline"/>
        </w:rPr>
        <w:t>a</w:t>
      </w:r>
      <w:r>
        <w:rPr>
          <w:spacing w:val="26"/>
          <w:vertAlign w:val="baseline"/>
        </w:rPr>
        <w:t> </w:t>
      </w:r>
      <w:r>
        <w:rPr>
          <w:vertAlign w:val="baseline"/>
        </w:rPr>
        <w:t>lay</w:t>
      </w:r>
      <w:r>
        <w:rPr>
          <w:spacing w:val="26"/>
          <w:vertAlign w:val="baseline"/>
        </w:rPr>
        <w:t> </w:t>
      </w:r>
      <w:r>
        <w:rPr>
          <w:vertAlign w:val="baseline"/>
        </w:rPr>
        <w:t>person.</w:t>
      </w:r>
      <w:r>
        <w:rPr>
          <w:spacing w:val="26"/>
          <w:vertAlign w:val="baseline"/>
        </w:rPr>
        <w:t> </w:t>
      </w:r>
      <w:r>
        <w:rPr>
          <w:vertAlign w:val="baseline"/>
        </w:rPr>
        <w:t>This</w:t>
      </w:r>
      <w:r>
        <w:rPr>
          <w:spacing w:val="26"/>
          <w:vertAlign w:val="baseline"/>
        </w:rPr>
        <w:t> </w:t>
      </w:r>
      <w:r>
        <w:rPr>
          <w:vertAlign w:val="baseline"/>
        </w:rPr>
        <w:t>refusal</w:t>
      </w:r>
      <w:r>
        <w:rPr>
          <w:spacing w:val="26"/>
          <w:vertAlign w:val="baseline"/>
        </w:rPr>
        <w:t> </w:t>
      </w:r>
      <w:r>
        <w:rPr>
          <w:vertAlign w:val="baseline"/>
        </w:rPr>
        <w:t>was</w:t>
      </w:r>
      <w:r>
        <w:rPr>
          <w:spacing w:val="26"/>
          <w:vertAlign w:val="baseline"/>
        </w:rPr>
        <w:t> </w:t>
      </w:r>
      <w:r>
        <w:rPr>
          <w:vertAlign w:val="baseline"/>
        </w:rPr>
        <w:t>based</w:t>
      </w:r>
      <w:r>
        <w:rPr>
          <w:spacing w:val="26"/>
          <w:vertAlign w:val="baseline"/>
        </w:rPr>
        <w:t> </w:t>
      </w:r>
      <w:r>
        <w:rPr>
          <w:spacing w:val="-5"/>
          <w:vertAlign w:val="baseline"/>
        </w:rPr>
        <w:t>on</w:t>
      </w:r>
    </w:p>
    <w:p>
      <w:pPr>
        <w:pStyle w:val="BodyText"/>
        <w:spacing w:after="0" w:line="235" w:lineRule="auto"/>
        <w:jc w:val="both"/>
        <w:sectPr>
          <w:headerReference w:type="default" r:id="rId5"/>
          <w:headerReference w:type="even" r:id="rId6"/>
          <w:type w:val="continuous"/>
          <w:pgSz w:w="11900" w:h="16840"/>
          <w:pgMar w:header="992" w:footer="0" w:top="3760" w:bottom="280" w:left="1275" w:right="1275"/>
          <w:pgNumType w:start="1"/>
        </w:sectPr>
      </w:pPr>
    </w:p>
    <w:p>
      <w:pPr>
        <w:pStyle w:val="BodyText"/>
        <w:spacing w:before="24"/>
      </w:pPr>
    </w:p>
    <w:p>
      <w:pPr>
        <w:pStyle w:val="BodyText"/>
        <w:spacing w:line="235" w:lineRule="auto" w:before="1"/>
        <w:ind w:left="165" w:right="167"/>
        <w:jc w:val="both"/>
      </w:pPr>
      <w:bookmarkStart w:name="_bookmark9" w:id="11"/>
      <w:bookmarkEnd w:id="11"/>
      <w:r>
        <w:rPr/>
      </w:r>
      <w:r>
        <w:rPr/>
        <w:t>many disparate policies; so that “promises without consideration” included many different kinds of transactions which, at first sight, had little in common. </w:t>
      </w:r>
      <w:r>
        <w:rPr>
          <w:color w:val="005DA1"/>
          <w:u w:val="single" w:color="005DA1"/>
          <w:vertAlign w:val="superscript"/>
        </w:rPr>
        <w:t>13</w:t>
      </w:r>
      <w:r>
        <w:rPr>
          <w:color w:val="005DA1"/>
          <w:vertAlign w:val="baseline"/>
        </w:rPr>
        <w:t> </w:t>
      </w:r>
      <w:r>
        <w:rPr>
          <w:vertAlign w:val="baseline"/>
        </w:rPr>
        <w:t>It is this fact which is the cause of the great </w:t>
      </w:r>
      <w:bookmarkStart w:name="_bookmark10" w:id="12"/>
      <w:bookmarkEnd w:id="12"/>
      <w:r>
        <w:rPr>
          <w:vertAlign w:val="baseline"/>
        </w:rPr>
        <w:t>complexity</w:t>
      </w:r>
      <w:r>
        <w:rPr>
          <w:vertAlign w:val="baseline"/>
        </w:rPr>
        <w:t> of the doctrine; and which has also led to its occasional unwarranted extensions and</w:t>
      </w:r>
      <w:r>
        <w:rPr>
          <w:spacing w:val="40"/>
          <w:vertAlign w:val="baseline"/>
        </w:rPr>
        <w:t> </w:t>
      </w:r>
      <w:r>
        <w:rPr>
          <w:vertAlign w:val="baseline"/>
        </w:rPr>
        <w:t>hence to demands for reform of the law. </w:t>
      </w:r>
      <w:r>
        <w:rPr>
          <w:color w:val="005DA1"/>
          <w:u w:val="single" w:color="005DA1"/>
          <w:vertAlign w:val="superscript"/>
        </w:rPr>
        <w:t>14</w:t>
      </w:r>
    </w:p>
    <w:p>
      <w:pPr>
        <w:pStyle w:val="BodyText"/>
      </w:pPr>
    </w:p>
    <w:p>
      <w:pPr>
        <w:pStyle w:val="BodyText"/>
        <w:spacing w:before="38"/>
      </w:pPr>
      <w:r>
        <w:rPr/>
        <mc:AlternateContent>
          <mc:Choice Requires="wps">
            <w:drawing>
              <wp:anchor distT="0" distB="0" distL="0" distR="0" allowOverlap="1" layoutInCell="1" locked="0" behindDoc="1" simplePos="0" relativeHeight="487591936">
                <wp:simplePos x="0" y="0"/>
                <wp:positionH relativeFrom="page">
                  <wp:posOffset>914400</wp:posOffset>
                </wp:positionH>
                <wp:positionV relativeFrom="paragraph">
                  <wp:posOffset>185629</wp:posOffset>
                </wp:positionV>
                <wp:extent cx="572452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16468pt;width:450.75pt;height:.1pt;mso-position-horizontal-relative:page;mso-position-vertical-relative:paragraph;z-index:-15724544;mso-wrap-distance-left:0;mso-wrap-distance-right:0" id="docshape4"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159104">
                <wp:simplePos x="0" y="0"/>
                <wp:positionH relativeFrom="page">
                  <wp:posOffset>914400</wp:posOffset>
                </wp:positionH>
                <wp:positionV relativeFrom="paragraph">
                  <wp:posOffset>97116</wp:posOffset>
                </wp:positionV>
                <wp:extent cx="495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7376"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2159616">
                <wp:simplePos x="0" y="0"/>
                <wp:positionH relativeFrom="page">
                  <wp:posOffset>914400</wp:posOffset>
                </wp:positionH>
                <wp:positionV relativeFrom="paragraph">
                  <wp:posOffset>97141</wp:posOffset>
                </wp:positionV>
                <wp:extent cx="495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6864" from="72pt,7.64893pt" to="75.892pt,7.64893pt" stroked="true" strokeweight=".5pt" strokecolor="#005da1">
                <v:stroke dashstyle="solid"/>
                <w10:wrap type="none"/>
              </v:line>
            </w:pict>
          </mc:Fallback>
        </mc:AlternateContent>
      </w:r>
      <w:bookmarkStart w:name="_bookmark11" w:id="13"/>
      <w:bookmarkEnd w:id="13"/>
      <w:r>
        <w:rPr/>
      </w:r>
      <w:hyperlink w:history="true" w:anchor="_bookmark0">
        <w:r>
          <w:rPr>
            <w:color w:val="005DA1"/>
            <w:spacing w:val="-5"/>
            <w:position w:val="5"/>
            <w:sz w:val="14"/>
          </w:rPr>
          <w:t>2</w:t>
        </w:r>
      </w:hyperlink>
      <w:r>
        <w:rPr>
          <w:spacing w:val="-5"/>
          <w:position w:val="5"/>
          <w:sz w:val="14"/>
        </w:rPr>
        <w:t>.</w:t>
      </w:r>
      <w:r>
        <w:rPr>
          <w:position w:val="5"/>
          <w:sz w:val="14"/>
        </w:rPr>
        <w:tab/>
      </w:r>
      <w:r>
        <w:rPr/>
        <w:t>See generally, von Mehren (1959) 72 Harv.L.Rev. </w:t>
      </w:r>
      <w:r>
        <w:rPr>
          <w:spacing w:val="-2"/>
        </w:rPr>
        <w:t>1009.</w:t>
      </w:r>
    </w:p>
    <w:p>
      <w:pPr>
        <w:pStyle w:val="BodyText"/>
        <w:spacing w:before="5"/>
      </w:pPr>
    </w:p>
    <w:p>
      <w:pPr>
        <w:tabs>
          <w:tab w:pos="705" w:val="left" w:leader="none"/>
        </w:tabs>
        <w:spacing w:before="0"/>
        <w:ind w:left="165" w:right="0" w:firstLine="0"/>
        <w:jc w:val="left"/>
        <w:rPr>
          <w:sz w:val="20"/>
        </w:rPr>
      </w:pPr>
      <w:r>
        <w:rPr>
          <w:sz w:val="20"/>
        </w:rPr>
        <mc:AlternateContent>
          <mc:Choice Requires="wps">
            <w:drawing>
              <wp:anchor distT="0" distB="0" distL="0" distR="0" allowOverlap="1" layoutInCell="1" locked="0" behindDoc="1" simplePos="0" relativeHeight="482160128">
                <wp:simplePos x="0" y="0"/>
                <wp:positionH relativeFrom="page">
                  <wp:posOffset>914400</wp:posOffset>
                </wp:positionH>
                <wp:positionV relativeFrom="paragraph">
                  <wp:posOffset>97166</wp:posOffset>
                </wp:positionV>
                <wp:extent cx="495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6352" from="72pt,7.650883pt" to="75.892pt,7.650883pt" stroked="true" strokeweight=".5pt" strokecolor="#005da1">
                <v:stroke dashstyle="solid"/>
                <w10:wrap type="none"/>
              </v:line>
            </w:pict>
          </mc:Fallback>
        </mc:AlternateContent>
      </w:r>
      <w:bookmarkStart w:name="_bookmark12" w:id="14"/>
      <w:bookmarkEnd w:id="14"/>
      <w:r>
        <w:rPr/>
      </w:r>
      <w:hyperlink w:history="true" w:anchor="_bookmark1">
        <w:r>
          <w:rPr>
            <w:color w:val="005DA1"/>
            <w:spacing w:val="-5"/>
            <w:position w:val="5"/>
            <w:sz w:val="14"/>
          </w:rPr>
          <w:t>3</w:t>
        </w:r>
      </w:hyperlink>
      <w:r>
        <w:rPr>
          <w:spacing w:val="-5"/>
          <w:position w:val="5"/>
          <w:sz w:val="14"/>
        </w:rPr>
        <w:t>.</w:t>
      </w:r>
      <w:r>
        <w:rPr>
          <w:position w:val="5"/>
          <w:sz w:val="14"/>
        </w:rPr>
        <w:tab/>
      </w:r>
      <w:r>
        <w:rPr>
          <w:rFonts w:ascii="Arial"/>
          <w:i/>
          <w:sz w:val="20"/>
        </w:rPr>
        <w:t>Pillans v Van Mierop (1765) 3 Burr. </w:t>
      </w:r>
      <w:r>
        <w:rPr>
          <w:rFonts w:ascii="Arial"/>
          <w:i/>
          <w:spacing w:val="-2"/>
          <w:sz w:val="20"/>
        </w:rPr>
        <w:t>1663</w:t>
      </w:r>
      <w:r>
        <w:rPr>
          <w:spacing w:val="-2"/>
          <w:sz w:val="20"/>
        </w:rPr>
        <w:t>.</w:t>
      </w:r>
    </w:p>
    <w:p>
      <w:pPr>
        <w:pStyle w:val="BodyText"/>
        <w:spacing w:before="5"/>
      </w:pPr>
    </w:p>
    <w:p>
      <w:pPr>
        <w:tabs>
          <w:tab w:pos="705" w:val="left" w:leader="none"/>
        </w:tabs>
        <w:spacing w:before="0"/>
        <w:ind w:left="165" w:right="0" w:firstLine="0"/>
        <w:jc w:val="left"/>
        <w:rPr>
          <w:sz w:val="20"/>
        </w:rPr>
      </w:pPr>
      <w:r>
        <w:rPr>
          <w:sz w:val="20"/>
        </w:rPr>
        <mc:AlternateContent>
          <mc:Choice Requires="wps">
            <w:drawing>
              <wp:anchor distT="0" distB="0" distL="0" distR="0" allowOverlap="1" layoutInCell="1" locked="0" behindDoc="1" simplePos="0" relativeHeight="482160640">
                <wp:simplePos x="0" y="0"/>
                <wp:positionH relativeFrom="page">
                  <wp:posOffset>914400</wp:posOffset>
                </wp:positionH>
                <wp:positionV relativeFrom="paragraph">
                  <wp:posOffset>97191</wp:posOffset>
                </wp:positionV>
                <wp:extent cx="495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5840" from="72pt,7.652836pt" to="75.892pt,7.652836pt" stroked="true" strokeweight=".5pt" strokecolor="#005da1">
                <v:stroke dashstyle="solid"/>
                <w10:wrap type="none"/>
              </v:line>
            </w:pict>
          </mc:Fallback>
        </mc:AlternateContent>
      </w:r>
      <w:bookmarkStart w:name="_bookmark13" w:id="15"/>
      <w:bookmarkEnd w:id="15"/>
      <w:r>
        <w:rPr/>
      </w:r>
      <w:hyperlink w:history="true" w:anchor="_bookmark2">
        <w:r>
          <w:rPr>
            <w:color w:val="005DA1"/>
            <w:spacing w:val="-5"/>
            <w:position w:val="5"/>
            <w:sz w:val="14"/>
          </w:rPr>
          <w:t>4</w:t>
        </w:r>
      </w:hyperlink>
      <w:r>
        <w:rPr>
          <w:spacing w:val="-5"/>
          <w:position w:val="5"/>
          <w:sz w:val="14"/>
        </w:rPr>
        <w:t>.</w:t>
      </w:r>
      <w:r>
        <w:rPr>
          <w:position w:val="5"/>
          <w:sz w:val="14"/>
        </w:rPr>
        <w:tab/>
      </w:r>
      <w:r>
        <w:rPr>
          <w:rFonts w:ascii="Arial"/>
          <w:i/>
          <w:sz w:val="20"/>
        </w:rPr>
        <w:t>Rann v Hughes (1778) 7 T.R. 350n; 4 Bro.P.C. </w:t>
      </w:r>
      <w:r>
        <w:rPr>
          <w:rFonts w:ascii="Arial"/>
          <w:i/>
          <w:spacing w:val="-5"/>
          <w:sz w:val="20"/>
        </w:rPr>
        <w:t>27</w:t>
      </w:r>
      <w:r>
        <w:rPr>
          <w:spacing w:val="-5"/>
          <w:sz w:val="20"/>
        </w:rPr>
        <w:t>.</w:t>
      </w:r>
    </w:p>
    <w:p>
      <w:pPr>
        <w:pStyle w:val="BodyText"/>
        <w:spacing w:before="9"/>
      </w:pPr>
    </w:p>
    <w:p>
      <w:pPr>
        <w:pStyle w:val="BodyText"/>
        <w:tabs>
          <w:tab w:pos="705" w:val="left" w:leader="none"/>
        </w:tabs>
        <w:spacing w:line="235" w:lineRule="auto"/>
        <w:ind w:left="705" w:right="167" w:hanging="541"/>
        <w:jc w:val="both"/>
      </w:pPr>
      <w:r>
        <w:rPr/>
        <mc:AlternateContent>
          <mc:Choice Requires="wps">
            <w:drawing>
              <wp:anchor distT="0" distB="0" distL="0" distR="0" allowOverlap="1" layoutInCell="1" locked="0" behindDoc="1" simplePos="0" relativeHeight="482161152">
                <wp:simplePos x="0" y="0"/>
                <wp:positionH relativeFrom="page">
                  <wp:posOffset>914400</wp:posOffset>
                </wp:positionH>
                <wp:positionV relativeFrom="paragraph">
                  <wp:posOffset>94675</wp:posOffset>
                </wp:positionV>
                <wp:extent cx="495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5328" from="72pt,7.454789pt" to="75.892pt,7.454789pt" stroked="true" strokeweight=".5pt" strokecolor="#005da1">
                <v:stroke dashstyle="solid"/>
                <w10:wrap type="none"/>
              </v:line>
            </w:pict>
          </mc:Fallback>
        </mc:AlternateContent>
      </w:r>
      <w:bookmarkStart w:name="_bookmark14" w:id="16"/>
      <w:bookmarkEnd w:id="16"/>
      <w:r>
        <w:rPr/>
      </w:r>
      <w:hyperlink w:history="true" w:anchor="_bookmark2">
        <w:r>
          <w:rPr>
            <w:color w:val="005DA1"/>
            <w:spacing w:val="-6"/>
            <w:position w:val="5"/>
            <w:sz w:val="14"/>
          </w:rPr>
          <w:t>5</w:t>
        </w:r>
      </w:hyperlink>
      <w:r>
        <w:rPr>
          <w:spacing w:val="-6"/>
          <w:position w:val="5"/>
          <w:sz w:val="14"/>
        </w:rPr>
        <w:t>.</w:t>
      </w:r>
      <w:r>
        <w:rPr>
          <w:position w:val="5"/>
          <w:sz w:val="14"/>
        </w:rPr>
        <w:tab/>
      </w:r>
      <w:r>
        <w:rPr/>
        <w:t>Law Revision Committee, 6th Interim Report, Cmnd. 5449 (1937), para.29; for comments </w:t>
      </w:r>
      <w:r>
        <w:rPr/>
        <w:t>on</w:t>
      </w:r>
      <w:r>
        <w:rPr>
          <w:spacing w:val="40"/>
        </w:rPr>
        <w:t> </w:t>
      </w:r>
      <w:r>
        <w:rPr/>
        <w:t>this and other proposals in the Report, see Lord Wright, </w:t>
      </w:r>
      <w:r>
        <w:rPr>
          <w:rFonts w:ascii="Arial"/>
          <w:i/>
        </w:rPr>
        <w:t>Legal Essays and Addresses</w:t>
      </w:r>
      <w:r>
        <w:rPr/>
        <w:t>, p.287; Hamson (1938)</w:t>
      </w:r>
      <w:r>
        <w:rPr>
          <w:spacing w:val="2"/>
        </w:rPr>
        <w:t> </w:t>
      </w:r>
      <w:r>
        <w:rPr/>
        <w:t>54</w:t>
      </w:r>
      <w:r>
        <w:rPr>
          <w:spacing w:val="2"/>
        </w:rPr>
        <w:t> </w:t>
      </w:r>
      <w:r>
        <w:rPr/>
        <w:t>L.Q.R.</w:t>
      </w:r>
      <w:r>
        <w:rPr>
          <w:spacing w:val="2"/>
        </w:rPr>
        <w:t> </w:t>
      </w:r>
      <w:r>
        <w:rPr/>
        <w:t>233;</w:t>
      </w:r>
      <w:r>
        <w:rPr>
          <w:spacing w:val="2"/>
        </w:rPr>
        <w:t> </w:t>
      </w:r>
      <w:r>
        <w:rPr/>
        <w:t>Hays</w:t>
      </w:r>
      <w:r>
        <w:rPr>
          <w:spacing w:val="2"/>
        </w:rPr>
        <w:t> </w:t>
      </w:r>
      <w:r>
        <w:rPr/>
        <w:t>(1941)</w:t>
      </w:r>
      <w:r>
        <w:rPr>
          <w:spacing w:val="2"/>
        </w:rPr>
        <w:t> </w:t>
      </w:r>
      <w:r>
        <w:rPr/>
        <w:t>41</w:t>
      </w:r>
      <w:r>
        <w:rPr>
          <w:spacing w:val="2"/>
        </w:rPr>
        <w:t> </w:t>
      </w:r>
      <w:r>
        <w:rPr/>
        <w:t>Col.L.Rev.</w:t>
      </w:r>
      <w:r>
        <w:rPr>
          <w:spacing w:val="2"/>
        </w:rPr>
        <w:t> </w:t>
      </w:r>
      <w:r>
        <w:rPr/>
        <w:t>849;</w:t>
      </w:r>
      <w:r>
        <w:rPr>
          <w:spacing w:val="2"/>
        </w:rPr>
        <w:t> </w:t>
      </w:r>
      <w:r>
        <w:rPr/>
        <w:t>Chloros</w:t>
      </w:r>
      <w:r>
        <w:rPr>
          <w:spacing w:val="2"/>
        </w:rPr>
        <w:t> </w:t>
      </w:r>
      <w:r>
        <w:rPr/>
        <w:t>(1968)</w:t>
      </w:r>
      <w:r>
        <w:rPr>
          <w:spacing w:val="2"/>
        </w:rPr>
        <w:t> </w:t>
      </w:r>
      <w:r>
        <w:rPr/>
        <w:t>17</w:t>
      </w:r>
      <w:r>
        <w:rPr>
          <w:spacing w:val="2"/>
        </w:rPr>
        <w:t> </w:t>
      </w:r>
      <w:r>
        <w:rPr/>
        <w:t>I.C.L.Q.</w:t>
      </w:r>
      <w:r>
        <w:rPr>
          <w:spacing w:val="2"/>
        </w:rPr>
        <w:t> </w:t>
      </w:r>
      <w:r>
        <w:rPr>
          <w:spacing w:val="-4"/>
        </w:rPr>
        <w:t>137;</w:t>
      </w:r>
    </w:p>
    <w:p>
      <w:pPr>
        <w:pStyle w:val="BodyText"/>
        <w:spacing w:line="235" w:lineRule="auto"/>
        <w:ind w:left="705" w:right="167"/>
        <w:jc w:val="both"/>
      </w:pPr>
      <w:r>
        <w:rPr/>
        <w:t>Beatson [1992] C.L.P. 1. In many of the United States, writing is (at least for some purposes) regarded as a substitute for consideration: Farnsworth on Contracts, (4th ed.) para.2.18. For </w:t>
      </w:r>
      <w:r>
        <w:rPr/>
        <w:t>a judicial evaluation of the doctrine of consideration, and a discussion of possible alternatives,</w:t>
      </w:r>
      <w:r>
        <w:rPr>
          <w:spacing w:val="40"/>
        </w:rPr>
        <w:t> </w:t>
      </w:r>
      <w:r>
        <w:rPr/>
        <w:t>see </w:t>
      </w:r>
      <w:r>
        <w:rPr>
          <w:rFonts w:ascii="Arial" w:hAnsi="Arial"/>
          <w:i/>
        </w:rPr>
        <w:t>Gay Choon Ing v Loh Sze Ti Terence Peter [2009] SGCA 3 (Singapore Court of Appeal) </w:t>
      </w:r>
      <w:r>
        <w:rPr/>
        <w:t>at [92]–[118]. In that case, the requirement of consideration was satisfied (see at [80]–[86]).</w:t>
      </w:r>
    </w:p>
    <w:p>
      <w:pPr>
        <w:pStyle w:val="BodyText"/>
        <w:spacing w:before="7"/>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2161664">
                <wp:simplePos x="0" y="0"/>
                <wp:positionH relativeFrom="page">
                  <wp:posOffset>914400</wp:posOffset>
                </wp:positionH>
                <wp:positionV relativeFrom="paragraph">
                  <wp:posOffset>94658</wp:posOffset>
                </wp:positionV>
                <wp:extent cx="4953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4816" from="72pt,7.453422pt" to="75.892pt,7.453422pt" stroked="true" strokeweight=".5pt" strokecolor="#005da1">
                <v:stroke dashstyle="solid"/>
                <w10:wrap type="none"/>
              </v:line>
            </w:pict>
          </mc:Fallback>
        </mc:AlternateContent>
      </w:r>
      <w:bookmarkStart w:name="_bookmark15" w:id="17"/>
      <w:bookmarkEnd w:id="17"/>
      <w:r>
        <w:rPr/>
      </w:r>
      <w:hyperlink w:history="true" w:anchor="_bookmark3">
        <w:r>
          <w:rPr>
            <w:color w:val="005DA1"/>
            <w:spacing w:val="-6"/>
            <w:position w:val="5"/>
            <w:sz w:val="14"/>
          </w:rPr>
          <w:t>6</w:t>
        </w:r>
      </w:hyperlink>
      <w:r>
        <w:rPr>
          <w:spacing w:val="-6"/>
          <w:position w:val="5"/>
          <w:sz w:val="14"/>
        </w:rPr>
        <w:t>.</w:t>
      </w:r>
      <w:r>
        <w:rPr>
          <w:position w:val="5"/>
          <w:sz w:val="14"/>
        </w:rPr>
        <w:tab/>
      </w:r>
      <w:r>
        <w:rPr>
          <w:rFonts w:ascii="Arial"/>
          <w:i/>
          <w:sz w:val="20"/>
        </w:rPr>
        <w:t>Thomas v Thomas (1842) 2 Q.B. 851, 859</w:t>
      </w:r>
      <w:r>
        <w:rPr>
          <w:sz w:val="20"/>
        </w:rPr>
        <w:t>; </w:t>
      </w:r>
      <w:r>
        <w:rPr>
          <w:rFonts w:ascii="Arial"/>
          <w:i/>
          <w:sz w:val="20"/>
        </w:rPr>
        <w:t>Haines v Hill [2007] EWCA Civ 1284, [2008] Ch.</w:t>
      </w:r>
      <w:r>
        <w:rPr>
          <w:rFonts w:ascii="Arial"/>
          <w:i/>
          <w:spacing w:val="40"/>
          <w:sz w:val="20"/>
        </w:rPr>
        <w:t> </w:t>
      </w:r>
      <w:r>
        <w:rPr>
          <w:rFonts w:ascii="Arial"/>
          <w:i/>
          <w:sz w:val="20"/>
        </w:rPr>
        <w:t>412 </w:t>
      </w:r>
      <w:r>
        <w:rPr>
          <w:sz w:val="20"/>
        </w:rPr>
        <w:t>at [79], citing para.3-002 of this book in its 29th edition (para.4-002 in the present </w:t>
      </w:r>
      <w:r>
        <w:rPr>
          <w:sz w:val="20"/>
        </w:rPr>
        <w:t>edition) with apparent approval.</w:t>
      </w:r>
    </w:p>
    <w:p>
      <w:pPr>
        <w:pStyle w:val="BodyText"/>
        <w:spacing w:before="5"/>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162176">
                <wp:simplePos x="0" y="0"/>
                <wp:positionH relativeFrom="page">
                  <wp:posOffset>914400</wp:posOffset>
                </wp:positionH>
                <wp:positionV relativeFrom="paragraph">
                  <wp:posOffset>97120</wp:posOffset>
                </wp:positionV>
                <wp:extent cx="4953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4304" from="72pt,7.64727pt" to="75.892pt,7.64727pt" stroked="true" strokeweight=".5pt" strokecolor="#005da1">
                <v:stroke dashstyle="solid"/>
                <w10:wrap type="none"/>
              </v:line>
            </w:pict>
          </mc:Fallback>
        </mc:AlternateContent>
      </w:r>
      <w:bookmarkStart w:name="_bookmark16" w:id="18"/>
      <w:bookmarkEnd w:id="18"/>
      <w:r>
        <w:rPr/>
      </w:r>
      <w:hyperlink w:history="true" w:anchor="_bookmark3">
        <w:r>
          <w:rPr>
            <w:color w:val="005DA1"/>
            <w:spacing w:val="-5"/>
            <w:position w:val="5"/>
            <w:sz w:val="14"/>
          </w:rPr>
          <w:t>7</w:t>
        </w:r>
      </w:hyperlink>
      <w:r>
        <w:rPr>
          <w:spacing w:val="-5"/>
          <w:position w:val="5"/>
          <w:sz w:val="14"/>
        </w:rPr>
        <w:t>.</w:t>
      </w:r>
      <w:r>
        <w:rPr>
          <w:position w:val="5"/>
          <w:sz w:val="14"/>
        </w:rPr>
        <w:tab/>
      </w:r>
      <w:r>
        <w:rPr>
          <w:sz w:val="20"/>
        </w:rPr>
        <w:t>See,</w:t>
      </w:r>
      <w:r>
        <w:rPr>
          <w:spacing w:val="5"/>
          <w:sz w:val="20"/>
        </w:rPr>
        <w:t> </w:t>
      </w:r>
      <w:r>
        <w:rPr>
          <w:sz w:val="20"/>
        </w:rPr>
        <w:t>for</w:t>
      </w:r>
      <w:r>
        <w:rPr>
          <w:spacing w:val="5"/>
          <w:sz w:val="20"/>
        </w:rPr>
        <w:t> </w:t>
      </w:r>
      <w:r>
        <w:rPr>
          <w:sz w:val="20"/>
        </w:rPr>
        <w:t>example,</w:t>
      </w:r>
      <w:r>
        <w:rPr>
          <w:spacing w:val="5"/>
          <w:sz w:val="20"/>
        </w:rPr>
        <w:t> </w:t>
      </w:r>
      <w:r>
        <w:rPr>
          <w:rFonts w:ascii="Arial"/>
          <w:i/>
          <w:sz w:val="20"/>
        </w:rPr>
        <w:t>Ashia</w:t>
      </w:r>
      <w:r>
        <w:rPr>
          <w:rFonts w:ascii="Arial"/>
          <w:i/>
          <w:spacing w:val="5"/>
          <w:sz w:val="20"/>
        </w:rPr>
        <w:t> </w:t>
      </w:r>
      <w:r>
        <w:rPr>
          <w:rFonts w:ascii="Arial"/>
          <w:i/>
          <w:sz w:val="20"/>
        </w:rPr>
        <w:t>Centur</w:t>
      </w:r>
      <w:r>
        <w:rPr>
          <w:rFonts w:ascii="Arial"/>
          <w:i/>
          <w:spacing w:val="5"/>
          <w:sz w:val="20"/>
        </w:rPr>
        <w:t> </w:t>
      </w:r>
      <w:r>
        <w:rPr>
          <w:rFonts w:ascii="Arial"/>
          <w:i/>
          <w:sz w:val="20"/>
        </w:rPr>
        <w:t>Ltd</w:t>
      </w:r>
      <w:r>
        <w:rPr>
          <w:rFonts w:ascii="Arial"/>
          <w:i/>
          <w:spacing w:val="5"/>
          <w:sz w:val="20"/>
        </w:rPr>
        <w:t> </w:t>
      </w:r>
      <w:r>
        <w:rPr>
          <w:rFonts w:ascii="Arial"/>
          <w:i/>
          <w:sz w:val="20"/>
        </w:rPr>
        <w:t>v</w:t>
      </w:r>
      <w:r>
        <w:rPr>
          <w:rFonts w:ascii="Arial"/>
          <w:i/>
          <w:spacing w:val="5"/>
          <w:sz w:val="20"/>
        </w:rPr>
        <w:t> </w:t>
      </w:r>
      <w:r>
        <w:rPr>
          <w:rFonts w:ascii="Arial"/>
          <w:i/>
          <w:sz w:val="20"/>
        </w:rPr>
        <w:t>Barber</w:t>
      </w:r>
      <w:r>
        <w:rPr>
          <w:rFonts w:ascii="Arial"/>
          <w:i/>
          <w:spacing w:val="5"/>
          <w:sz w:val="20"/>
        </w:rPr>
        <w:t> </w:t>
      </w:r>
      <w:r>
        <w:rPr>
          <w:rFonts w:ascii="Arial"/>
          <w:i/>
          <w:sz w:val="20"/>
        </w:rPr>
        <w:t>Gillette</w:t>
      </w:r>
      <w:r>
        <w:rPr>
          <w:rFonts w:ascii="Arial"/>
          <w:i/>
          <w:spacing w:val="5"/>
          <w:sz w:val="20"/>
        </w:rPr>
        <w:t> </w:t>
      </w:r>
      <w:r>
        <w:rPr>
          <w:rFonts w:ascii="Arial"/>
          <w:i/>
          <w:sz w:val="20"/>
        </w:rPr>
        <w:t>LLP</w:t>
      </w:r>
      <w:r>
        <w:rPr>
          <w:rFonts w:ascii="Arial"/>
          <w:i/>
          <w:spacing w:val="5"/>
          <w:sz w:val="20"/>
        </w:rPr>
        <w:t> </w:t>
      </w:r>
      <w:r>
        <w:rPr>
          <w:rFonts w:ascii="Arial"/>
          <w:i/>
          <w:sz w:val="20"/>
        </w:rPr>
        <w:t>[2011]</w:t>
      </w:r>
      <w:r>
        <w:rPr>
          <w:rFonts w:ascii="Arial"/>
          <w:i/>
          <w:spacing w:val="5"/>
          <w:sz w:val="20"/>
        </w:rPr>
        <w:t> </w:t>
      </w:r>
      <w:r>
        <w:rPr>
          <w:rFonts w:ascii="Arial"/>
          <w:i/>
          <w:sz w:val="20"/>
        </w:rPr>
        <w:t>EWHC</w:t>
      </w:r>
      <w:r>
        <w:rPr>
          <w:rFonts w:ascii="Arial"/>
          <w:i/>
          <w:spacing w:val="5"/>
          <w:sz w:val="20"/>
        </w:rPr>
        <w:t> </w:t>
      </w:r>
      <w:r>
        <w:rPr>
          <w:rFonts w:ascii="Arial"/>
          <w:i/>
          <w:sz w:val="20"/>
        </w:rPr>
        <w:t>148</w:t>
      </w:r>
      <w:r>
        <w:rPr>
          <w:rFonts w:ascii="Arial"/>
          <w:i/>
          <w:spacing w:val="5"/>
          <w:sz w:val="20"/>
        </w:rPr>
        <w:t> </w:t>
      </w:r>
      <w:r>
        <w:rPr>
          <w:rFonts w:ascii="Arial"/>
          <w:i/>
          <w:sz w:val="20"/>
        </w:rPr>
        <w:t>(QB),</w:t>
      </w:r>
      <w:r>
        <w:rPr>
          <w:rFonts w:ascii="Arial"/>
          <w:i/>
          <w:spacing w:val="5"/>
          <w:sz w:val="20"/>
        </w:rPr>
        <w:t> </w:t>
      </w:r>
      <w:r>
        <w:rPr>
          <w:rFonts w:ascii="Arial"/>
          <w:i/>
          <w:sz w:val="20"/>
        </w:rPr>
        <w:t>[2011]</w:t>
      </w:r>
      <w:r>
        <w:rPr>
          <w:rFonts w:ascii="Arial"/>
          <w:i/>
          <w:spacing w:val="5"/>
          <w:sz w:val="20"/>
        </w:rPr>
        <w:t> </w:t>
      </w:r>
      <w:r>
        <w:rPr>
          <w:rFonts w:ascii="Arial"/>
          <w:i/>
          <w:spacing w:val="-2"/>
          <w:sz w:val="20"/>
        </w:rPr>
        <w:t>Costs</w:t>
      </w:r>
    </w:p>
    <w:p>
      <w:pPr>
        <w:pStyle w:val="BodyText"/>
        <w:spacing w:line="235" w:lineRule="auto" w:before="1"/>
        <w:ind w:left="705" w:right="168"/>
      </w:pPr>
      <w:r>
        <w:rPr>
          <w:rFonts w:ascii="Arial"/>
          <w:i/>
        </w:rPr>
        <w:t>L.R. 576 </w:t>
      </w:r>
      <w:r>
        <w:rPr/>
        <w:t>at [20] (solicitors held not to be bound by promise not to charge client for work done</w:t>
      </w:r>
      <w:r>
        <w:rPr>
          <w:spacing w:val="80"/>
        </w:rPr>
        <w:t> </w:t>
      </w:r>
      <w:r>
        <w:rPr/>
        <w:t>after a specified date).</w:t>
      </w:r>
    </w:p>
    <w:p>
      <w:pPr>
        <w:pStyle w:val="BodyText"/>
        <w:spacing w:before="6"/>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162688">
                <wp:simplePos x="0" y="0"/>
                <wp:positionH relativeFrom="page">
                  <wp:posOffset>914400</wp:posOffset>
                </wp:positionH>
                <wp:positionV relativeFrom="paragraph">
                  <wp:posOffset>96972</wp:posOffset>
                </wp:positionV>
                <wp:extent cx="4953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3792" from="72pt,7.635648pt" to="75.892pt,7.635648pt" stroked="true" strokeweight=".5pt" strokecolor="#005da1">
                <v:stroke dashstyle="solid"/>
                <w10:wrap type="none"/>
              </v:line>
            </w:pict>
          </mc:Fallback>
        </mc:AlternateContent>
      </w:r>
      <w:bookmarkStart w:name="_bookmark17" w:id="19"/>
      <w:bookmarkEnd w:id="19"/>
      <w:r>
        <w:rPr/>
      </w:r>
      <w:hyperlink w:history="true" w:anchor="_bookmark4">
        <w:r>
          <w:rPr>
            <w:color w:val="005DA1"/>
            <w:spacing w:val="-5"/>
            <w:position w:val="5"/>
            <w:sz w:val="14"/>
          </w:rPr>
          <w:t>8</w:t>
        </w:r>
      </w:hyperlink>
      <w:r>
        <w:rPr>
          <w:spacing w:val="-5"/>
          <w:position w:val="5"/>
          <w:sz w:val="14"/>
        </w:rPr>
        <w:t>.</w:t>
      </w:r>
      <w:r>
        <w:rPr>
          <w:position w:val="5"/>
          <w:sz w:val="14"/>
        </w:rPr>
        <w:tab/>
      </w:r>
      <w:r>
        <w:rPr>
          <w:rFonts w:ascii="Arial"/>
          <w:i/>
          <w:sz w:val="20"/>
        </w:rPr>
        <w:t>Re</w:t>
      </w:r>
      <w:r>
        <w:rPr>
          <w:rFonts w:ascii="Arial"/>
          <w:i/>
          <w:spacing w:val="27"/>
          <w:sz w:val="20"/>
        </w:rPr>
        <w:t> </w:t>
      </w:r>
      <w:r>
        <w:rPr>
          <w:rFonts w:ascii="Arial"/>
          <w:i/>
          <w:sz w:val="20"/>
        </w:rPr>
        <w:t>Hudson</w:t>
      </w:r>
      <w:r>
        <w:rPr>
          <w:rFonts w:ascii="Arial"/>
          <w:i/>
          <w:spacing w:val="28"/>
          <w:sz w:val="20"/>
        </w:rPr>
        <w:t> </w:t>
      </w:r>
      <w:r>
        <w:rPr>
          <w:rFonts w:ascii="Arial"/>
          <w:i/>
          <w:sz w:val="20"/>
        </w:rPr>
        <w:t>(1885)</w:t>
      </w:r>
      <w:r>
        <w:rPr>
          <w:rFonts w:ascii="Arial"/>
          <w:i/>
          <w:spacing w:val="28"/>
          <w:sz w:val="20"/>
        </w:rPr>
        <w:t> </w:t>
      </w:r>
      <w:r>
        <w:rPr>
          <w:rFonts w:ascii="Arial"/>
          <w:i/>
          <w:sz w:val="20"/>
        </w:rPr>
        <w:t>54</w:t>
      </w:r>
      <w:r>
        <w:rPr>
          <w:rFonts w:ascii="Arial"/>
          <w:i/>
          <w:spacing w:val="28"/>
          <w:sz w:val="20"/>
        </w:rPr>
        <w:t> </w:t>
      </w:r>
      <w:r>
        <w:rPr>
          <w:rFonts w:ascii="Arial"/>
          <w:i/>
          <w:sz w:val="20"/>
        </w:rPr>
        <w:t>L.J.</w:t>
      </w:r>
      <w:r>
        <w:rPr>
          <w:rFonts w:ascii="Arial"/>
          <w:i/>
          <w:spacing w:val="28"/>
          <w:sz w:val="20"/>
        </w:rPr>
        <w:t> </w:t>
      </w:r>
      <w:r>
        <w:rPr>
          <w:rFonts w:ascii="Arial"/>
          <w:i/>
          <w:sz w:val="20"/>
        </w:rPr>
        <w:t>Ch.</w:t>
      </w:r>
      <w:r>
        <w:rPr>
          <w:rFonts w:ascii="Arial"/>
          <w:i/>
          <w:spacing w:val="28"/>
          <w:sz w:val="20"/>
        </w:rPr>
        <w:t> </w:t>
      </w:r>
      <w:r>
        <w:rPr>
          <w:rFonts w:ascii="Arial"/>
          <w:i/>
          <w:sz w:val="20"/>
        </w:rPr>
        <w:t>811</w:t>
      </w:r>
      <w:r>
        <w:rPr>
          <w:sz w:val="20"/>
        </w:rPr>
        <w:t>;</w:t>
      </w:r>
      <w:r>
        <w:rPr>
          <w:spacing w:val="28"/>
          <w:sz w:val="20"/>
        </w:rPr>
        <w:t> </w:t>
      </w:r>
      <w:r>
        <w:rPr>
          <w:rFonts w:ascii="Arial"/>
          <w:i/>
          <w:sz w:val="20"/>
        </w:rPr>
        <w:t>Re</w:t>
      </w:r>
      <w:r>
        <w:rPr>
          <w:rFonts w:ascii="Arial"/>
          <w:i/>
          <w:spacing w:val="28"/>
          <w:sz w:val="20"/>
        </w:rPr>
        <w:t> </w:t>
      </w:r>
      <w:r>
        <w:rPr>
          <w:rFonts w:ascii="Arial"/>
          <w:i/>
          <w:sz w:val="20"/>
        </w:rPr>
        <w:t>Cory</w:t>
      </w:r>
      <w:r>
        <w:rPr>
          <w:rFonts w:ascii="Arial"/>
          <w:i/>
          <w:spacing w:val="27"/>
          <w:sz w:val="20"/>
        </w:rPr>
        <w:t> </w:t>
      </w:r>
      <w:r>
        <w:rPr>
          <w:rFonts w:ascii="Arial"/>
          <w:i/>
          <w:sz w:val="20"/>
        </w:rPr>
        <w:t>(1912)</w:t>
      </w:r>
      <w:r>
        <w:rPr>
          <w:rFonts w:ascii="Arial"/>
          <w:i/>
          <w:spacing w:val="28"/>
          <w:sz w:val="20"/>
        </w:rPr>
        <w:t> </w:t>
      </w:r>
      <w:r>
        <w:rPr>
          <w:rFonts w:ascii="Arial"/>
          <w:i/>
          <w:sz w:val="20"/>
        </w:rPr>
        <w:t>29</w:t>
      </w:r>
      <w:r>
        <w:rPr>
          <w:rFonts w:ascii="Arial"/>
          <w:i/>
          <w:spacing w:val="28"/>
          <w:sz w:val="20"/>
        </w:rPr>
        <w:t> </w:t>
      </w:r>
      <w:r>
        <w:rPr>
          <w:rFonts w:ascii="Arial"/>
          <w:i/>
          <w:sz w:val="20"/>
        </w:rPr>
        <w:t>T.L.R.</w:t>
      </w:r>
      <w:r>
        <w:rPr>
          <w:rFonts w:ascii="Arial"/>
          <w:i/>
          <w:spacing w:val="28"/>
          <w:sz w:val="20"/>
        </w:rPr>
        <w:t> </w:t>
      </w:r>
      <w:r>
        <w:rPr>
          <w:rFonts w:ascii="Arial"/>
          <w:i/>
          <w:sz w:val="20"/>
        </w:rPr>
        <w:t>18</w:t>
      </w:r>
      <w:r>
        <w:rPr>
          <w:sz w:val="20"/>
        </w:rPr>
        <w:t>;</w:t>
      </w:r>
      <w:r>
        <w:rPr>
          <w:spacing w:val="28"/>
          <w:sz w:val="20"/>
        </w:rPr>
        <w:t> </w:t>
      </w:r>
      <w:r>
        <w:rPr>
          <w:rFonts w:ascii="Arial"/>
          <w:i/>
          <w:sz w:val="20"/>
        </w:rPr>
        <w:t>Williams</w:t>
      </w:r>
      <w:r>
        <w:rPr>
          <w:rFonts w:ascii="Arial"/>
          <w:i/>
          <w:spacing w:val="28"/>
          <w:sz w:val="20"/>
        </w:rPr>
        <w:t> </w:t>
      </w:r>
      <w:r>
        <w:rPr>
          <w:rFonts w:ascii="Arial"/>
          <w:i/>
          <w:sz w:val="20"/>
        </w:rPr>
        <w:t>v</w:t>
      </w:r>
      <w:r>
        <w:rPr>
          <w:rFonts w:ascii="Arial"/>
          <w:i/>
          <w:spacing w:val="28"/>
          <w:sz w:val="20"/>
        </w:rPr>
        <w:t> </w:t>
      </w:r>
      <w:r>
        <w:rPr>
          <w:rFonts w:ascii="Arial"/>
          <w:i/>
          <w:sz w:val="20"/>
        </w:rPr>
        <w:t>Roffey</w:t>
      </w:r>
      <w:r>
        <w:rPr>
          <w:rFonts w:ascii="Arial"/>
          <w:i/>
          <w:spacing w:val="28"/>
          <w:sz w:val="20"/>
        </w:rPr>
        <w:t> </w:t>
      </w:r>
      <w:r>
        <w:rPr>
          <w:rFonts w:ascii="Arial"/>
          <w:i/>
          <w:sz w:val="20"/>
        </w:rPr>
        <w:t>Bros</w:t>
      </w:r>
      <w:r>
        <w:rPr>
          <w:rFonts w:ascii="Arial"/>
          <w:i/>
          <w:spacing w:val="28"/>
          <w:sz w:val="20"/>
        </w:rPr>
        <w:t> </w:t>
      </w:r>
      <w:r>
        <w:rPr>
          <w:rFonts w:ascii="Arial"/>
          <w:i/>
          <w:spacing w:val="-10"/>
          <w:sz w:val="20"/>
        </w:rPr>
        <w:t>&amp;</w:t>
      </w:r>
    </w:p>
    <w:p>
      <w:pPr>
        <w:spacing w:line="227" w:lineRule="exact" w:before="0"/>
        <w:ind w:left="705" w:right="0" w:firstLine="0"/>
        <w:jc w:val="left"/>
        <w:rPr>
          <w:sz w:val="20"/>
        </w:rPr>
      </w:pPr>
      <w:r>
        <w:rPr>
          <w:rFonts w:ascii="Arial"/>
          <w:i/>
          <w:sz w:val="20"/>
        </w:rPr>
        <w:t>Nicholls (Contractors) Ltd [1991] 1 Q.B. 1, </w:t>
      </w:r>
      <w:r>
        <w:rPr>
          <w:rFonts w:ascii="Arial"/>
          <w:i/>
          <w:spacing w:val="-5"/>
          <w:sz w:val="20"/>
        </w:rPr>
        <w:t>19</w:t>
      </w:r>
      <w:r>
        <w:rPr>
          <w:spacing w:val="-5"/>
          <w:sz w:val="20"/>
        </w:rPr>
        <w:t>.</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2163200">
                <wp:simplePos x="0" y="0"/>
                <wp:positionH relativeFrom="page">
                  <wp:posOffset>914400</wp:posOffset>
                </wp:positionH>
                <wp:positionV relativeFrom="paragraph">
                  <wp:posOffset>96997</wp:posOffset>
                </wp:positionV>
                <wp:extent cx="4953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3280" from="72pt,7.637601pt" to="75.892pt,7.637601pt" stroked="true" strokeweight=".5pt" strokecolor="#005da1">
                <v:stroke dashstyle="solid"/>
                <w10:wrap type="none"/>
              </v:line>
            </w:pict>
          </mc:Fallback>
        </mc:AlternateContent>
      </w:r>
      <w:bookmarkStart w:name="_bookmark18" w:id="20"/>
      <w:bookmarkEnd w:id="20"/>
      <w:r>
        <w:rPr/>
      </w:r>
      <w:hyperlink w:history="true" w:anchor="_bookmark5">
        <w:r>
          <w:rPr>
            <w:color w:val="005DA1"/>
            <w:spacing w:val="-5"/>
            <w:position w:val="5"/>
            <w:sz w:val="14"/>
          </w:rPr>
          <w:t>9</w:t>
        </w:r>
      </w:hyperlink>
      <w:r>
        <w:rPr>
          <w:spacing w:val="-5"/>
          <w:position w:val="5"/>
          <w:sz w:val="14"/>
        </w:rPr>
        <w:t>.</w:t>
      </w:r>
      <w:r>
        <w:rPr>
          <w:position w:val="5"/>
          <w:sz w:val="14"/>
        </w:rPr>
        <w:tab/>
      </w:r>
      <w:r>
        <w:rPr/>
        <w:t>cf. Eisenberg, 85 Cal.L.Rev. 821 </w:t>
      </w:r>
      <w:r>
        <w:rPr>
          <w:spacing w:val="-2"/>
        </w:rPr>
        <w:t>(1997).</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37856">
            <wp:simplePos x="0" y="0"/>
            <wp:positionH relativeFrom="page">
              <wp:posOffset>1257846</wp:posOffset>
            </wp:positionH>
            <wp:positionV relativeFrom="paragraph">
              <wp:posOffset>160187</wp:posOffset>
            </wp:positionV>
            <wp:extent cx="107988" cy="107988"/>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9" w:id="21"/>
      <w:bookmarkEnd w:id="21"/>
      <w:r>
        <w:rPr/>
      </w:r>
      <w:hyperlink w:history="true" w:anchor="_bookmark6">
        <w:r>
          <w:rPr>
            <w:color w:val="005DA1"/>
            <w:spacing w:val="-5"/>
            <w:sz w:val="14"/>
            <w:u w:val="single" w:color="005DA1"/>
          </w:rPr>
          <w:t>10</w:t>
        </w:r>
      </w:hyperlink>
      <w:r>
        <w:rPr>
          <w:spacing w:val="-5"/>
          <w:sz w:val="14"/>
        </w:rPr>
        <w:t>.</w:t>
      </w:r>
    </w:p>
    <w:p>
      <w:pPr>
        <w:spacing w:line="235" w:lineRule="auto" w:before="212"/>
        <w:ind w:left="165" w:right="167" w:firstLine="170"/>
        <w:jc w:val="both"/>
        <w:rPr>
          <w:sz w:val="20"/>
        </w:rPr>
      </w:pPr>
      <w:r>
        <w:rPr/>
        <w:br w:type="column"/>
      </w:r>
      <w:r>
        <w:rPr>
          <w:rFonts w:ascii="Arial" w:hAnsi="Arial"/>
          <w:i/>
          <w:sz w:val="20"/>
        </w:rPr>
        <w:t>Eastwood v Kenyon (1840) 11 Ad. &amp; E. 438, 451</w:t>
      </w:r>
      <w:r>
        <w:rPr>
          <w:sz w:val="20"/>
        </w:rPr>
        <w:t>. For legislation giving effect to the similar policy of protecting creditors of a gratuitous transferee of property, see Insolvency Act </w:t>
      </w:r>
      <w:r>
        <w:rPr>
          <w:sz w:val="20"/>
        </w:rPr>
        <w:t>1986 s.242, applied in </w:t>
      </w:r>
      <w:r>
        <w:rPr>
          <w:rFonts w:ascii="Arial" w:hAnsi="Arial"/>
          <w:i/>
          <w:sz w:val="20"/>
        </w:rPr>
        <w:t>Joint Administrators of Oceancrown Ltd v Stonegale Ltd [2016] UKSC 30,</w:t>
      </w:r>
      <w:r>
        <w:rPr>
          <w:rFonts w:ascii="Arial" w:hAnsi="Arial"/>
          <w:i/>
          <w:spacing w:val="40"/>
          <w:sz w:val="20"/>
        </w:rPr>
        <w:t> </w:t>
      </w:r>
      <w:r>
        <w:rPr>
          <w:rFonts w:ascii="Arial" w:hAnsi="Arial"/>
          <w:i/>
          <w:sz w:val="20"/>
        </w:rPr>
        <w:t>2016 SC (UKSC) 91 </w:t>
      </w:r>
      <w:r>
        <w:rPr>
          <w:sz w:val="20"/>
        </w:rPr>
        <w:t>at [17] (“received nothing whatsoever”), approving the judgment in the Court below, quoted in </w:t>
      </w:r>
      <w:r>
        <w:rPr>
          <w:rFonts w:ascii="Arial" w:hAnsi="Arial"/>
          <w:i/>
          <w:sz w:val="20"/>
        </w:rPr>
        <w:t>[2016] UKSC 30 </w:t>
      </w:r>
      <w:r>
        <w:rPr>
          <w:sz w:val="20"/>
        </w:rPr>
        <w:t>at [13] (“no party paid anything” for the transfer).</w:t>
      </w:r>
    </w:p>
    <w:p>
      <w:pPr>
        <w:spacing w:after="0" w:line="235" w:lineRule="auto"/>
        <w:jc w:val="both"/>
        <w:rPr>
          <w:sz w:val="20"/>
        </w:rPr>
        <w:sectPr>
          <w:type w:val="continuous"/>
          <w:pgSz w:w="11900" w:h="16840"/>
          <w:pgMar w:header="971" w:footer="0" w:top="3760" w:bottom="280" w:left="1275" w:right="1275"/>
          <w:cols w:num="2" w:equalWidth="0">
            <w:col w:w="400" w:space="141"/>
            <w:col w:w="8809"/>
          </w:cols>
        </w:sectPr>
      </w:pPr>
    </w:p>
    <w:p>
      <w:pPr>
        <w:pStyle w:val="BodyText"/>
        <w:spacing w:before="8"/>
      </w:pPr>
    </w:p>
    <w:p>
      <w:pPr>
        <w:tabs>
          <w:tab w:pos="705" w:val="left" w:leader="none"/>
        </w:tabs>
        <w:spacing w:line="235" w:lineRule="auto" w:before="0"/>
        <w:ind w:left="705" w:right="168" w:hanging="541"/>
        <w:jc w:val="left"/>
        <w:rPr>
          <w:sz w:val="20"/>
        </w:rPr>
      </w:pPr>
      <w:bookmarkStart w:name="_bookmark20" w:id="22"/>
      <w:bookmarkEnd w:id="22"/>
      <w:r>
        <w:rPr/>
      </w:r>
      <w:hyperlink w:history="true" w:anchor="_bookmark7">
        <w:r>
          <w:rPr>
            <w:color w:val="005DA1"/>
            <w:spacing w:val="-4"/>
            <w:position w:val="5"/>
            <w:sz w:val="14"/>
            <w:u w:val="single" w:color="005DA1"/>
          </w:rPr>
          <w:t>11</w:t>
        </w:r>
      </w:hyperlink>
      <w:r>
        <w:rPr>
          <w:spacing w:val="-4"/>
          <w:position w:val="5"/>
          <w:sz w:val="14"/>
        </w:rPr>
        <w:t>.</w:t>
      </w:r>
      <w:r>
        <w:rPr>
          <w:position w:val="5"/>
          <w:sz w:val="14"/>
        </w:rPr>
        <w:tab/>
      </w:r>
      <w:r>
        <w:rPr>
          <w:rFonts w:ascii="Arial"/>
          <w:i/>
          <w:sz w:val="20"/>
        </w:rPr>
        <w:t>Beaton v McDivitt (1988) 13 N.S.W.L.R. 162 </w:t>
      </w:r>
      <w:r>
        <w:rPr>
          <w:sz w:val="20"/>
        </w:rPr>
        <w:t>at 170. It is often easier to promise to make a </w:t>
      </w:r>
      <w:r>
        <w:rPr>
          <w:sz w:val="20"/>
        </w:rPr>
        <w:t>gift than actually to make one.</w:t>
      </w:r>
    </w:p>
    <w:p>
      <w:pPr>
        <w:pStyle w:val="BodyText"/>
        <w:spacing w:before="5"/>
      </w:pPr>
    </w:p>
    <w:p>
      <w:pPr>
        <w:pStyle w:val="BodyText"/>
        <w:tabs>
          <w:tab w:pos="705" w:val="left" w:leader="none"/>
        </w:tabs>
        <w:ind w:left="165"/>
      </w:pPr>
      <w:bookmarkStart w:name="_bookmark21" w:id="23"/>
      <w:bookmarkEnd w:id="23"/>
      <w:r>
        <w:rPr/>
      </w:r>
      <w:hyperlink w:history="true" w:anchor="_bookmark8">
        <w:r>
          <w:rPr>
            <w:color w:val="005DA1"/>
            <w:spacing w:val="-5"/>
            <w:position w:val="5"/>
            <w:sz w:val="14"/>
            <w:u w:val="single" w:color="005DA1"/>
          </w:rPr>
          <w:t>12</w:t>
        </w:r>
      </w:hyperlink>
      <w:r>
        <w:rPr>
          <w:spacing w:val="-5"/>
          <w:position w:val="5"/>
          <w:sz w:val="14"/>
        </w:rPr>
        <w:t>.</w:t>
      </w:r>
      <w:r>
        <w:rPr>
          <w:position w:val="5"/>
          <w:sz w:val="14"/>
        </w:rPr>
        <w:tab/>
      </w:r>
      <w:r>
        <w:rPr/>
        <w:t>See above, at </w:t>
      </w:r>
      <w:r>
        <w:rPr>
          <w:spacing w:val="-4"/>
        </w:rPr>
        <w:t>n.6.</w:t>
      </w:r>
    </w:p>
    <w:p>
      <w:pPr>
        <w:pStyle w:val="BodyText"/>
        <w:spacing w:before="5"/>
      </w:pPr>
    </w:p>
    <w:p>
      <w:pPr>
        <w:pStyle w:val="BodyText"/>
        <w:tabs>
          <w:tab w:pos="705" w:val="left" w:leader="none"/>
        </w:tabs>
        <w:ind w:left="165"/>
      </w:pPr>
      <w:bookmarkStart w:name="_bookmark22" w:id="24"/>
      <w:bookmarkEnd w:id="24"/>
      <w:r>
        <w:rPr/>
      </w:r>
      <w:hyperlink w:history="true" w:anchor="_bookmark9">
        <w:r>
          <w:rPr>
            <w:color w:val="005DA1"/>
            <w:spacing w:val="-5"/>
            <w:position w:val="5"/>
            <w:sz w:val="14"/>
            <w:u w:val="single" w:color="005DA1"/>
          </w:rPr>
          <w:t>13</w:t>
        </w:r>
      </w:hyperlink>
      <w:r>
        <w:rPr>
          <w:spacing w:val="-5"/>
          <w:position w:val="5"/>
          <w:sz w:val="14"/>
        </w:rPr>
        <w:t>.</w:t>
      </w:r>
      <w:r>
        <w:rPr>
          <w:position w:val="5"/>
          <w:sz w:val="14"/>
        </w:rPr>
        <w:tab/>
      </w:r>
      <w:r>
        <w:rPr/>
        <w:t>cf.</w:t>
      </w:r>
      <w:r>
        <w:rPr>
          <w:spacing w:val="-1"/>
        </w:rPr>
        <w:t> </w:t>
      </w:r>
      <w:r>
        <w:rPr/>
        <w:t>Corbin,</w:t>
      </w:r>
      <w:r>
        <w:rPr>
          <w:spacing w:val="-1"/>
        </w:rPr>
        <w:t> </w:t>
      </w:r>
      <w:r>
        <w:rPr>
          <w:rFonts w:ascii="Arial" w:hAnsi="Arial"/>
          <w:i/>
        </w:rPr>
        <w:t>Contracts</w:t>
      </w:r>
      <w:r>
        <w:rPr/>
        <w:t>, Vol.I, p.489: “The doctrine of consideration is many </w:t>
      </w:r>
      <w:r>
        <w:rPr>
          <w:spacing w:val="-2"/>
        </w:rPr>
        <w:t>doctrines.”</w:t>
      </w:r>
    </w:p>
    <w:p>
      <w:pPr>
        <w:pStyle w:val="BodyText"/>
        <w:spacing w:before="5"/>
      </w:pPr>
    </w:p>
    <w:p>
      <w:pPr>
        <w:tabs>
          <w:tab w:pos="705" w:val="left" w:leader="none"/>
        </w:tabs>
        <w:spacing w:before="0"/>
        <w:ind w:left="165" w:right="0" w:firstLine="0"/>
        <w:jc w:val="left"/>
        <w:rPr>
          <w:sz w:val="20"/>
        </w:rPr>
      </w:pPr>
      <w:bookmarkStart w:name="_bookmark23" w:id="25"/>
      <w:bookmarkEnd w:id="25"/>
      <w:r>
        <w:rPr/>
      </w:r>
      <w:hyperlink w:history="true" w:anchor="_bookmark10">
        <w:r>
          <w:rPr>
            <w:color w:val="005DA1"/>
            <w:spacing w:val="-5"/>
            <w:position w:val="5"/>
            <w:sz w:val="14"/>
            <w:u w:val="single" w:color="005DA1"/>
          </w:rPr>
          <w:t>14</w:t>
        </w:r>
      </w:hyperlink>
      <w:r>
        <w:rPr>
          <w:spacing w:val="-5"/>
          <w:position w:val="5"/>
          <w:sz w:val="14"/>
        </w:rPr>
        <w:t>.</w:t>
      </w:r>
      <w:r>
        <w:rPr>
          <w:position w:val="5"/>
          <w:sz w:val="14"/>
        </w:rPr>
        <w:tab/>
      </w:r>
      <w:r>
        <w:rPr>
          <w:sz w:val="20"/>
        </w:rPr>
        <w:t>See above, </w:t>
      </w:r>
      <w:r>
        <w:rPr>
          <w:spacing w:val="-4"/>
          <w:sz w:val="20"/>
        </w:rPr>
        <w:t>n.5.</w:t>
      </w:r>
    </w:p>
    <w:p>
      <w:pPr>
        <w:pStyle w:val="BodyText"/>
        <w:rPr>
          <w:sz w:val="14"/>
        </w:rPr>
      </w:pPr>
    </w:p>
    <w:p>
      <w:pPr>
        <w:pStyle w:val="BodyText"/>
        <w:spacing w:before="100"/>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3760" w:bottom="280" w:left="1275" w:right="1275"/>
        </w:sectPr>
      </w:pPr>
    </w:p>
    <w:p>
      <w:pPr>
        <w:pStyle w:val="Heading2"/>
        <w:spacing w:before="194"/>
        <w:ind w:left="940" w:right="943"/>
        <w:jc w:val="center"/>
      </w:pPr>
      <w:r>
        <w:rPr/>
        <w:t>Section 2. - </w:t>
      </w:r>
      <w:r>
        <w:rPr>
          <w:spacing w:val="-2"/>
        </w:rPr>
        <w:t>Definitions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Benefit and </w:t>
      </w:r>
      <w:r>
        <w:rPr>
          <w:rFonts w:ascii="Arial"/>
          <w:b/>
          <w:spacing w:val="-2"/>
          <w:sz w:val="18"/>
        </w:rPr>
        <w:t>detriment</w:t>
      </w:r>
    </w:p>
    <w:p>
      <w:pPr>
        <w:pStyle w:val="BodyText"/>
        <w:spacing w:before="41"/>
        <w:rPr>
          <w:rFonts w:ascii="Arial"/>
          <w:b/>
          <w:sz w:val="18"/>
        </w:rPr>
      </w:pPr>
    </w:p>
    <w:p>
      <w:pPr>
        <w:pStyle w:val="Heading2"/>
      </w:pPr>
      <w:r>
        <w:rPr/>
        <w:t>4-</w:t>
      </w:r>
      <w:r>
        <w:rPr>
          <w:spacing w:val="-5"/>
        </w:rPr>
        <w:t>004</w:t>
      </w:r>
    </w:p>
    <w:p>
      <w:pPr>
        <w:pStyle w:val="BodyText"/>
        <w:spacing w:line="235" w:lineRule="auto" w:before="203"/>
        <w:ind w:left="164" w:right="167"/>
        <w:jc w:val="both"/>
      </w:pPr>
      <w:r>
        <w:rPr/>
        <w:t>The traditional definition of consideration concentrates on the requirement that “something of </w:t>
      </w:r>
      <w:r>
        <w:rPr/>
        <w:t>value” </w:t>
      </w:r>
      <w:bookmarkStart w:name="_bookmark24" w:id="26"/>
      <w:bookmarkEnd w:id="26"/>
      <w:r>
        <w:rPr/>
        <w:t>must</w:t>
      </w:r>
      <w:r>
        <w:rPr/>
        <w:t> be given and accordingly states that consideration is either some detriment to the promisee (in that he may give value) or some benefit to the promisor (in that he may receive value). </w:t>
      </w:r>
      <w:r>
        <w:rPr>
          <w:color w:val="005DA1"/>
          <w:u w:val="single" w:color="005DA1"/>
          <w:vertAlign w:val="superscript"/>
        </w:rPr>
        <w:t>15</w:t>
      </w:r>
      <w:r>
        <w:rPr>
          <w:color w:val="005DA1"/>
          <w:vertAlign w:val="baseline"/>
        </w:rPr>
        <w:t> </w:t>
      </w:r>
      <w:r>
        <w:rPr>
          <w:vertAlign w:val="baseline"/>
        </w:rPr>
        <w:t>Usually, this detriment</w:t>
      </w:r>
      <w:r>
        <w:rPr>
          <w:spacing w:val="-1"/>
          <w:vertAlign w:val="baseline"/>
        </w:rPr>
        <w:t> </w:t>
      </w:r>
      <w:r>
        <w:rPr>
          <w:vertAlign w:val="baseline"/>
        </w:rPr>
        <w:t>and</w:t>
      </w:r>
      <w:r>
        <w:rPr>
          <w:spacing w:val="-1"/>
          <w:vertAlign w:val="baseline"/>
        </w:rPr>
        <w:t> </w:t>
      </w:r>
      <w:r>
        <w:rPr>
          <w:vertAlign w:val="baseline"/>
        </w:rPr>
        <w:t>benefit</w:t>
      </w:r>
      <w:r>
        <w:rPr>
          <w:spacing w:val="-1"/>
          <w:vertAlign w:val="baseline"/>
        </w:rPr>
        <w:t> </w:t>
      </w:r>
      <w:r>
        <w:rPr>
          <w:vertAlign w:val="baseline"/>
        </w:rPr>
        <w:t>are</w:t>
      </w:r>
      <w:r>
        <w:rPr>
          <w:spacing w:val="-1"/>
          <w:vertAlign w:val="baseline"/>
        </w:rPr>
        <w:t> </w:t>
      </w:r>
      <w:r>
        <w:rPr>
          <w:vertAlign w:val="baseline"/>
        </w:rPr>
        <w:t>merely</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thing</w:t>
      </w:r>
      <w:r>
        <w:rPr>
          <w:spacing w:val="-1"/>
          <w:vertAlign w:val="baseline"/>
        </w:rPr>
        <w:t> </w:t>
      </w:r>
      <w:r>
        <w:rPr>
          <w:vertAlign w:val="baseline"/>
        </w:rPr>
        <w:t>looked</w:t>
      </w:r>
      <w:r>
        <w:rPr>
          <w:spacing w:val="-1"/>
          <w:vertAlign w:val="baseline"/>
        </w:rPr>
        <w:t> </w:t>
      </w:r>
      <w:r>
        <w:rPr>
          <w:vertAlign w:val="baseline"/>
        </w:rPr>
        <w:t>at</w:t>
      </w:r>
      <w:r>
        <w:rPr>
          <w:spacing w:val="-1"/>
          <w:vertAlign w:val="baseline"/>
        </w:rPr>
        <w:t> </w:t>
      </w:r>
      <w:r>
        <w:rPr>
          <w:vertAlign w:val="baseline"/>
        </w:rPr>
        <w:t>from</w:t>
      </w:r>
      <w:r>
        <w:rPr>
          <w:spacing w:val="-1"/>
          <w:vertAlign w:val="baseline"/>
        </w:rPr>
        <w:t> </w:t>
      </w:r>
      <w:r>
        <w:rPr>
          <w:vertAlign w:val="baseline"/>
        </w:rPr>
        <w:t>different</w:t>
      </w:r>
      <w:r>
        <w:rPr>
          <w:spacing w:val="-1"/>
          <w:vertAlign w:val="baseline"/>
        </w:rPr>
        <w:t> </w:t>
      </w:r>
      <w:r>
        <w:rPr>
          <w:vertAlign w:val="baseline"/>
        </w:rPr>
        <w:t>points</w:t>
      </w:r>
      <w:r>
        <w:rPr>
          <w:spacing w:val="-1"/>
          <w:vertAlign w:val="baseline"/>
        </w:rPr>
        <w:t> </w:t>
      </w:r>
      <w:r>
        <w:rPr>
          <w:vertAlign w:val="baseline"/>
        </w:rPr>
        <w:t>of</w:t>
      </w:r>
      <w:r>
        <w:rPr>
          <w:spacing w:val="-1"/>
          <w:vertAlign w:val="baseline"/>
        </w:rPr>
        <w:t> </w:t>
      </w:r>
      <w:r>
        <w:rPr>
          <w:vertAlign w:val="baseline"/>
        </w:rPr>
        <w:t>view.</w:t>
      </w:r>
      <w:r>
        <w:rPr>
          <w:spacing w:val="-1"/>
          <w:vertAlign w:val="baseline"/>
        </w:rPr>
        <w:t> </w:t>
      </w:r>
      <w:r>
        <w:rPr>
          <w:vertAlign w:val="baseline"/>
        </w:rPr>
        <w:t>Thus</w:t>
      </w:r>
      <w:r>
        <w:rPr>
          <w:spacing w:val="-1"/>
          <w:vertAlign w:val="baseline"/>
        </w:rPr>
        <w:t> </w:t>
      </w:r>
      <w:r>
        <w:rPr>
          <w:vertAlign w:val="baseline"/>
        </w:rPr>
        <w:t>payment by a buyer is consideration for the seller’s promise to deliver and can be described either as a detriment to the buyer or as a benefit to the seller; and conversely delivery by a seller is consideration for the buyer’s promise to pay and can be described either as a detriment to the seller or as a benefit to the buyer. It should be emphasised that these statements relate to the consideration </w:t>
      </w:r>
      <w:r>
        <w:rPr>
          <w:rFonts w:ascii="Arial" w:hAnsi="Arial"/>
          <w:i/>
          <w:vertAlign w:val="baseline"/>
        </w:rPr>
        <w:t>for each promise </w:t>
      </w:r>
      <w:r>
        <w:rPr>
          <w:vertAlign w:val="baseline"/>
        </w:rPr>
        <w:t>looked at separately. For example, the seller suffers a “detriment” when he delivers the</w:t>
      </w:r>
      <w:r>
        <w:rPr>
          <w:spacing w:val="40"/>
          <w:vertAlign w:val="baseline"/>
        </w:rPr>
        <w:t> </w:t>
      </w:r>
      <w:r>
        <w:rPr>
          <w:vertAlign w:val="baseline"/>
        </w:rPr>
        <w:t>goods and this enables him to enforce the buyer’s promise to pay the price. It is quite irrelevant that the seller has made a good bargain and so gets a benefit from the performance of the contract. What the law is concerned with is the consideration </w:t>
      </w:r>
      <w:r>
        <w:rPr>
          <w:rFonts w:ascii="Arial" w:hAnsi="Arial"/>
          <w:i/>
          <w:vertAlign w:val="baseline"/>
        </w:rPr>
        <w:t>for a promise</w:t>
      </w:r>
      <w:r>
        <w:rPr>
          <w:vertAlign w:val="baseline"/>
        </w:rPr>
        <w:t>—not the consideration </w:t>
      </w:r>
      <w:r>
        <w:rPr>
          <w:rFonts w:ascii="Arial" w:hAnsi="Arial"/>
          <w:i/>
          <w:vertAlign w:val="baseline"/>
        </w:rPr>
        <w:t>for a contract</w:t>
      </w:r>
      <w:r>
        <w:rPr>
          <w:vertAlign w:val="baseline"/>
        </w:rPr>
        <w:t>.</w:t>
      </w:r>
    </w:p>
    <w:p>
      <w:pPr>
        <w:pStyle w:val="BodyText"/>
      </w:pPr>
    </w:p>
    <w:p>
      <w:pPr>
        <w:pStyle w:val="BodyText"/>
        <w:spacing w:before="34"/>
      </w:pPr>
    </w:p>
    <w:p>
      <w:pPr>
        <w:spacing w:before="0"/>
        <w:ind w:left="165" w:right="0" w:firstLine="0"/>
        <w:jc w:val="left"/>
        <w:rPr>
          <w:rFonts w:ascii="Arial"/>
          <w:b/>
          <w:sz w:val="18"/>
        </w:rPr>
      </w:pPr>
      <w:r>
        <w:rPr>
          <w:rFonts w:ascii="Arial"/>
          <w:b/>
          <w:sz w:val="18"/>
        </w:rPr>
        <w:t>Either </w:t>
      </w:r>
      <w:r>
        <w:rPr>
          <w:rFonts w:ascii="Arial"/>
          <w:b/>
          <w:spacing w:val="-2"/>
          <w:sz w:val="18"/>
        </w:rPr>
        <w:t>sufficient</w:t>
      </w:r>
    </w:p>
    <w:p>
      <w:pPr>
        <w:pStyle w:val="BodyText"/>
        <w:spacing w:before="41"/>
        <w:rPr>
          <w:rFonts w:ascii="Arial"/>
          <w:b/>
          <w:sz w:val="18"/>
        </w:rPr>
      </w:pPr>
    </w:p>
    <w:p>
      <w:pPr>
        <w:pStyle w:val="Heading2"/>
      </w:pPr>
      <w:r>
        <w:rPr/>
        <w:t>4-</w:t>
      </w:r>
      <w:r>
        <w:rPr>
          <w:spacing w:val="-5"/>
        </w:rPr>
        <w:t>005</w:t>
      </w:r>
    </w:p>
    <w:p>
      <w:pPr>
        <w:pStyle w:val="BodyText"/>
        <w:spacing w:line="235" w:lineRule="auto" w:before="203"/>
        <w:ind w:left="165" w:right="167"/>
        <w:jc w:val="both"/>
      </w:pPr>
      <w:bookmarkStart w:name="_bookmark25" w:id="27"/>
      <w:bookmarkEnd w:id="27"/>
      <w:r>
        <w:rPr/>
      </w:r>
      <w:r>
        <w:rPr/>
        <w:t>Under the traditional definition, it is sufficient if there is either a detriment to the promisee or a </w:t>
      </w:r>
      <w:r>
        <w:rPr/>
        <w:t>benefit to</w:t>
      </w:r>
      <w:r>
        <w:rPr>
          <w:spacing w:val="-2"/>
        </w:rPr>
        <w:t> </w:t>
      </w:r>
      <w:r>
        <w:rPr/>
        <w:t>the</w:t>
      </w:r>
      <w:r>
        <w:rPr>
          <w:spacing w:val="-2"/>
        </w:rPr>
        <w:t> </w:t>
      </w:r>
      <w:r>
        <w:rPr/>
        <w:t>promisor.</w:t>
      </w:r>
      <w:r>
        <w:rPr>
          <w:spacing w:val="-2"/>
        </w:rPr>
        <w:t> </w:t>
      </w:r>
      <w:r>
        <w:rPr/>
        <w:t>Thus</w:t>
      </w:r>
      <w:r>
        <w:rPr>
          <w:spacing w:val="-2"/>
        </w:rPr>
        <w:t> </w:t>
      </w:r>
      <w:r>
        <w:rPr/>
        <w:t>detriment</w:t>
      </w:r>
      <w:r>
        <w:rPr>
          <w:spacing w:val="-2"/>
        </w:rPr>
        <w:t> </w:t>
      </w:r>
      <w:r>
        <w:rPr/>
        <w:t>to</w:t>
      </w:r>
      <w:r>
        <w:rPr>
          <w:spacing w:val="-2"/>
        </w:rPr>
        <w:t> </w:t>
      </w:r>
      <w:r>
        <w:rPr/>
        <w:t>the</w:t>
      </w:r>
      <w:r>
        <w:rPr>
          <w:spacing w:val="-2"/>
        </w:rPr>
        <w:t> </w:t>
      </w:r>
      <w:r>
        <w:rPr/>
        <w:t>promisee</w:t>
      </w:r>
      <w:r>
        <w:rPr>
          <w:spacing w:val="-2"/>
        </w:rPr>
        <w:t> </w:t>
      </w:r>
      <w:r>
        <w:rPr/>
        <w:t>suffices</w:t>
      </w:r>
      <w:r>
        <w:rPr>
          <w:spacing w:val="-2"/>
        </w:rPr>
        <w:t> </w:t>
      </w:r>
      <w:r>
        <w:rPr/>
        <w:t>even</w:t>
      </w:r>
      <w:r>
        <w:rPr>
          <w:spacing w:val="-2"/>
        </w:rPr>
        <w:t> </w:t>
      </w:r>
      <w:r>
        <w:rPr/>
        <w:t>though</w:t>
      </w:r>
      <w:r>
        <w:rPr>
          <w:spacing w:val="-2"/>
        </w:rPr>
        <w:t> </w:t>
      </w:r>
      <w:r>
        <w:rPr/>
        <w:t>the</w:t>
      </w:r>
      <w:r>
        <w:rPr>
          <w:spacing w:val="-2"/>
        </w:rPr>
        <w:t> </w:t>
      </w:r>
      <w:r>
        <w:rPr/>
        <w:t>promisor</w:t>
      </w:r>
      <w:r>
        <w:rPr>
          <w:spacing w:val="-2"/>
        </w:rPr>
        <w:t> </w:t>
      </w:r>
      <w:r>
        <w:rPr/>
        <w:t>does</w:t>
      </w:r>
      <w:r>
        <w:rPr>
          <w:spacing w:val="-2"/>
        </w:rPr>
        <w:t> </w:t>
      </w:r>
      <w:r>
        <w:rPr/>
        <w:t>not</w:t>
      </w:r>
      <w:r>
        <w:rPr>
          <w:spacing w:val="-2"/>
        </w:rPr>
        <w:t> </w:t>
      </w:r>
      <w:r>
        <w:rPr/>
        <w:t>benefit</w:t>
      </w:r>
      <w:r>
        <w:rPr>
          <w:spacing w:val="-3"/>
        </w:rPr>
        <w:t> </w:t>
      </w:r>
      <w:r>
        <w:rPr>
          <w:color w:val="005DA1"/>
          <w:u w:val="single" w:color="005DA1"/>
          <w:vertAlign w:val="superscript"/>
        </w:rPr>
        <w:t>16</w:t>
      </w:r>
      <w:r>
        <w:rPr>
          <w:vertAlign w:val="baseline"/>
        </w:rPr>
        <w:t>: </w:t>
      </w:r>
      <w:bookmarkStart w:name="_bookmark26" w:id="28"/>
      <w:bookmarkEnd w:id="28"/>
      <w:r>
        <w:rPr>
          <w:vertAlign w:val="baseline"/>
        </w:rPr>
        <w:t>for</w:t>
      </w:r>
      <w:r>
        <w:rPr>
          <w:spacing w:val="-1"/>
          <w:vertAlign w:val="baseline"/>
        </w:rPr>
        <w:t> </w:t>
      </w:r>
      <w:r>
        <w:rPr>
          <w:vertAlign w:val="baseline"/>
        </w:rPr>
        <w:t>example</w:t>
      </w:r>
      <w:r>
        <w:rPr>
          <w:spacing w:val="-1"/>
          <w:vertAlign w:val="baseline"/>
        </w:rPr>
        <w:t> </w:t>
      </w:r>
      <w:r>
        <w:rPr>
          <w:vertAlign w:val="baseline"/>
        </w:rPr>
        <w:t>if</w:t>
      </w:r>
      <w:r>
        <w:rPr>
          <w:spacing w:val="-1"/>
          <w:vertAlign w:val="baseline"/>
        </w:rPr>
        <w:t> </w:t>
      </w:r>
      <w:r>
        <w:rPr>
          <w:vertAlign w:val="baseline"/>
        </w:rPr>
        <w:t>A</w:t>
      </w:r>
      <w:r>
        <w:rPr>
          <w:spacing w:val="-1"/>
          <w:vertAlign w:val="baseline"/>
        </w:rPr>
        <w:t> </w:t>
      </w:r>
      <w:r>
        <w:rPr>
          <w:vertAlign w:val="baseline"/>
        </w:rPr>
        <w:t>guarantees</w:t>
      </w:r>
      <w:r>
        <w:rPr>
          <w:spacing w:val="-1"/>
          <w:vertAlign w:val="baseline"/>
        </w:rPr>
        <w:t> </w:t>
      </w:r>
      <w:r>
        <w:rPr>
          <w:vertAlign w:val="baseline"/>
        </w:rPr>
        <w:t>B’s</w:t>
      </w:r>
      <w:r>
        <w:rPr>
          <w:spacing w:val="-1"/>
          <w:vertAlign w:val="baseline"/>
        </w:rPr>
        <w:t> </w:t>
      </w:r>
      <w:r>
        <w:rPr>
          <w:vertAlign w:val="baseline"/>
        </w:rPr>
        <w:t>bank</w:t>
      </w:r>
      <w:r>
        <w:rPr>
          <w:spacing w:val="-1"/>
          <w:vertAlign w:val="baseline"/>
        </w:rPr>
        <w:t> </w:t>
      </w:r>
      <w:r>
        <w:rPr>
          <w:vertAlign w:val="baseline"/>
        </w:rPr>
        <w:t>overdraft</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promisee</w:t>
      </w:r>
      <w:r>
        <w:rPr>
          <w:spacing w:val="-1"/>
          <w:vertAlign w:val="baseline"/>
        </w:rPr>
        <w:t> </w:t>
      </w:r>
      <w:r>
        <w:rPr>
          <w:vertAlign w:val="baseline"/>
        </w:rPr>
        <w:t>bank</w:t>
      </w:r>
      <w:r>
        <w:rPr>
          <w:spacing w:val="-1"/>
          <w:vertAlign w:val="baseline"/>
        </w:rPr>
        <w:t> </w:t>
      </w:r>
      <w:r>
        <w:rPr>
          <w:vertAlign w:val="baseline"/>
        </w:rPr>
        <w:t>suffers</w:t>
      </w:r>
      <w:r>
        <w:rPr>
          <w:spacing w:val="-1"/>
          <w:vertAlign w:val="baseline"/>
        </w:rPr>
        <w:t> </w:t>
      </w:r>
      <w:r>
        <w:rPr>
          <w:vertAlign w:val="baseline"/>
        </w:rPr>
        <w:t>detriment</w:t>
      </w:r>
      <w:r>
        <w:rPr>
          <w:spacing w:val="-1"/>
          <w:vertAlign w:val="baseline"/>
        </w:rPr>
        <w:t> </w:t>
      </w:r>
      <w:r>
        <w:rPr>
          <w:vertAlign w:val="baseline"/>
        </w:rPr>
        <w:t>by</w:t>
      </w:r>
      <w:r>
        <w:rPr>
          <w:spacing w:val="-1"/>
          <w:vertAlign w:val="baseline"/>
        </w:rPr>
        <w:t> </w:t>
      </w:r>
      <w:r>
        <w:rPr>
          <w:vertAlign w:val="baseline"/>
        </w:rPr>
        <w:t>advancing money</w:t>
      </w:r>
      <w:r>
        <w:rPr>
          <w:spacing w:val="-1"/>
          <w:vertAlign w:val="baseline"/>
        </w:rPr>
        <w:t> </w:t>
      </w:r>
      <w:r>
        <w:rPr>
          <w:vertAlign w:val="baseline"/>
        </w:rPr>
        <w:t>to</w:t>
      </w:r>
      <w:r>
        <w:rPr>
          <w:spacing w:val="-1"/>
          <w:vertAlign w:val="baseline"/>
        </w:rPr>
        <w:t> </w:t>
      </w:r>
      <w:r>
        <w:rPr>
          <w:vertAlign w:val="baseline"/>
        </w:rPr>
        <w:t>B,</w:t>
      </w:r>
      <w:r>
        <w:rPr>
          <w:spacing w:val="-1"/>
          <w:vertAlign w:val="baseline"/>
        </w:rPr>
        <w:t> </w:t>
      </w:r>
      <w:r>
        <w:rPr>
          <w:vertAlign w:val="baseline"/>
        </w:rPr>
        <w:t>then</w:t>
      </w:r>
      <w:r>
        <w:rPr>
          <w:spacing w:val="-1"/>
          <w:vertAlign w:val="baseline"/>
        </w:rPr>
        <w:t> </w:t>
      </w:r>
      <w:r>
        <w:rPr>
          <w:vertAlign w:val="baseline"/>
        </w:rPr>
        <w:t>A</w:t>
      </w:r>
      <w:r>
        <w:rPr>
          <w:spacing w:val="-1"/>
          <w:vertAlign w:val="baseline"/>
        </w:rPr>
        <w:t> </w:t>
      </w:r>
      <w:r>
        <w:rPr>
          <w:vertAlign w:val="baseline"/>
        </w:rPr>
        <w:t>is</w:t>
      </w:r>
      <w:r>
        <w:rPr>
          <w:spacing w:val="-1"/>
          <w:vertAlign w:val="baseline"/>
        </w:rPr>
        <w:t> </w:t>
      </w:r>
      <w:r>
        <w:rPr>
          <w:vertAlign w:val="baseline"/>
        </w:rPr>
        <w:t>bound</w:t>
      </w:r>
      <w:r>
        <w:rPr>
          <w:spacing w:val="-1"/>
          <w:vertAlign w:val="baseline"/>
        </w:rPr>
        <w:t> </w:t>
      </w:r>
      <w:r>
        <w:rPr>
          <w:vertAlign w:val="baseline"/>
        </w:rPr>
        <w:t>by</w:t>
      </w:r>
      <w:r>
        <w:rPr>
          <w:spacing w:val="-1"/>
          <w:vertAlign w:val="baseline"/>
        </w:rPr>
        <w:t> </w:t>
      </w:r>
      <w:r>
        <w:rPr>
          <w:vertAlign w:val="baseline"/>
        </w:rPr>
        <w:t>his</w:t>
      </w:r>
      <w:r>
        <w:rPr>
          <w:spacing w:val="-1"/>
          <w:vertAlign w:val="baseline"/>
        </w:rPr>
        <w:t> </w:t>
      </w:r>
      <w:r>
        <w:rPr>
          <w:vertAlign w:val="baseline"/>
        </w:rPr>
        <w:t>promise,</w:t>
      </w:r>
      <w:r>
        <w:rPr>
          <w:spacing w:val="-1"/>
          <w:vertAlign w:val="baseline"/>
        </w:rPr>
        <w:t> </w:t>
      </w:r>
      <w:r>
        <w:rPr>
          <w:vertAlign w:val="baseline"/>
        </w:rPr>
        <w:t>even</w:t>
      </w:r>
      <w:r>
        <w:rPr>
          <w:spacing w:val="-1"/>
          <w:vertAlign w:val="baseline"/>
        </w:rPr>
        <w:t> </w:t>
      </w:r>
      <w:r>
        <w:rPr>
          <w:vertAlign w:val="baseline"/>
        </w:rPr>
        <w:t>though</w:t>
      </w:r>
      <w:r>
        <w:rPr>
          <w:spacing w:val="-1"/>
          <w:vertAlign w:val="baseline"/>
        </w:rPr>
        <w:t> </w:t>
      </w:r>
      <w:r>
        <w:rPr>
          <w:vertAlign w:val="baseline"/>
        </w:rPr>
        <w:t>he</w:t>
      </w:r>
      <w:r>
        <w:rPr>
          <w:spacing w:val="-1"/>
          <w:vertAlign w:val="baseline"/>
        </w:rPr>
        <w:t> </w:t>
      </w:r>
      <w:r>
        <w:rPr>
          <w:vertAlign w:val="baseline"/>
        </w:rPr>
        <w:t>gets</w:t>
      </w:r>
      <w:r>
        <w:rPr>
          <w:spacing w:val="-1"/>
          <w:vertAlign w:val="baseline"/>
        </w:rPr>
        <w:t> </w:t>
      </w:r>
      <w:r>
        <w:rPr>
          <w:vertAlign w:val="baseline"/>
        </w:rPr>
        <w:t>no</w:t>
      </w:r>
      <w:r>
        <w:rPr>
          <w:spacing w:val="-1"/>
          <w:vertAlign w:val="baseline"/>
        </w:rPr>
        <w:t> </w:t>
      </w:r>
      <w:r>
        <w:rPr>
          <w:vertAlign w:val="baseline"/>
        </w:rPr>
        <w:t>benefit</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advance</w:t>
      </w:r>
      <w:r>
        <w:rPr>
          <w:spacing w:val="-1"/>
          <w:vertAlign w:val="baseline"/>
        </w:rPr>
        <w:t> </w:t>
      </w:r>
      <w:r>
        <w:rPr>
          <w:vertAlign w:val="baseline"/>
        </w:rPr>
        <w:t>to</w:t>
      </w:r>
      <w:r>
        <w:rPr>
          <w:spacing w:val="-1"/>
          <w:vertAlign w:val="baseline"/>
        </w:rPr>
        <w:t> </w:t>
      </w:r>
      <w:r>
        <w:rPr>
          <w:vertAlign w:val="baseline"/>
        </w:rPr>
        <w:t>B.</w:t>
      </w:r>
      <w:r>
        <w:rPr>
          <w:spacing w:val="-3"/>
          <w:vertAlign w:val="baseline"/>
        </w:rPr>
        <w:t> </w:t>
      </w:r>
      <w:r>
        <w:rPr>
          <w:color w:val="005DA1"/>
          <w:u w:val="single" w:color="005DA1"/>
          <w:vertAlign w:val="superscript"/>
        </w:rPr>
        <w:t>17</w:t>
      </w:r>
      <w:r>
        <w:rPr>
          <w:color w:val="005DA1"/>
          <w:vertAlign w:val="baseline"/>
        </w:rPr>
        <w:t> </w:t>
      </w:r>
      <w:bookmarkStart w:name="_bookmark27" w:id="29"/>
      <w:bookmarkEnd w:id="29"/>
      <w:r>
        <w:rPr>
          <w:color w:val="005DA1"/>
          <w:w w:val="92"/>
          <w:vertAlign w:val="baseline"/>
        </w:rPr>
      </w:r>
      <w:r>
        <w:rPr>
          <w:vertAlign w:val="baseline"/>
        </w:rPr>
        <w:t>One view, indeed, was that “Detriment to the promisee is of the essence of the doctrine, and benefit</w:t>
      </w:r>
      <w:r>
        <w:rPr>
          <w:spacing w:val="40"/>
          <w:vertAlign w:val="baseline"/>
        </w:rPr>
        <w:t> </w:t>
      </w:r>
      <w:bookmarkStart w:name="_bookmark28" w:id="30"/>
      <w:bookmarkEnd w:id="30"/>
      <w:r>
        <w:rPr>
          <w:vertAlign w:val="baseline"/>
        </w:rPr>
        <w:t>to</w:t>
      </w:r>
      <w:r>
        <w:rPr>
          <w:vertAlign w:val="baseline"/>
        </w:rPr>
        <w:t> the promisor is, when it exists, merely an accident.” </w:t>
      </w:r>
      <w:r>
        <w:rPr>
          <w:color w:val="005DA1"/>
          <w:u w:val="single" w:color="005DA1"/>
          <w:vertAlign w:val="superscript"/>
        </w:rPr>
        <w:t>18</w:t>
      </w:r>
      <w:r>
        <w:rPr>
          <w:color w:val="005DA1"/>
          <w:vertAlign w:val="baseline"/>
        </w:rPr>
        <w:t> </w:t>
      </w:r>
      <w:r>
        <w:rPr>
          <w:vertAlign w:val="baseline"/>
        </w:rPr>
        <w:t>But in a number of cases promises have been enforced in spite of the fact that there was no apparent detriment to the promisee </w:t>
      </w:r>
      <w:r>
        <w:rPr>
          <w:color w:val="005DA1"/>
          <w:u w:val="single" w:color="005DA1"/>
          <w:vertAlign w:val="superscript"/>
        </w:rPr>
        <w:t>19</w:t>
      </w:r>
      <w:r>
        <w:rPr>
          <w:vertAlign w:val="baseline"/>
        </w:rPr>
        <w:t>; and these </w:t>
      </w:r>
      <w:bookmarkStart w:name="_bookmark29" w:id="31"/>
      <w:bookmarkEnd w:id="31"/>
      <w:r>
        <w:rPr>
          <w:vertAlign w:val="baseline"/>
        </w:rPr>
        <w:t>cases</w:t>
      </w:r>
      <w:r>
        <w:rPr>
          <w:vertAlign w:val="baseline"/>
        </w:rPr>
        <w:t> support the view that benefit to the promisor is (even without detriment to the promisee) sufficient to satisfy the requirement of consideration. </w:t>
      </w:r>
      <w:r>
        <w:rPr>
          <w:color w:val="005DA1"/>
          <w:u w:val="single" w:color="005DA1"/>
          <w:vertAlign w:val="superscript"/>
        </w:rPr>
        <w:t>20</w:t>
      </w:r>
    </w:p>
    <w:p>
      <w:pPr>
        <w:pStyle w:val="BodyText"/>
      </w:pPr>
    </w:p>
    <w:p>
      <w:pPr>
        <w:pStyle w:val="BodyText"/>
        <w:spacing w:before="35"/>
      </w:pPr>
    </w:p>
    <w:p>
      <w:pPr>
        <w:spacing w:before="0"/>
        <w:ind w:left="165" w:right="0" w:firstLine="0"/>
        <w:jc w:val="left"/>
        <w:rPr>
          <w:rFonts w:ascii="Arial"/>
          <w:b/>
          <w:sz w:val="18"/>
        </w:rPr>
      </w:pPr>
      <w:r>
        <w:rPr>
          <w:rFonts w:ascii="Arial"/>
          <w:b/>
          <w:sz w:val="18"/>
        </w:rPr>
        <w:t>Benefit and detriment may be factual or </w:t>
      </w:r>
      <w:r>
        <w:rPr>
          <w:rFonts w:ascii="Arial"/>
          <w:b/>
          <w:spacing w:val="-2"/>
          <w:sz w:val="18"/>
        </w:rPr>
        <w:t>legal</w:t>
      </w:r>
    </w:p>
    <w:p>
      <w:pPr>
        <w:pStyle w:val="BodyText"/>
        <w:spacing w:before="41"/>
        <w:rPr>
          <w:rFonts w:ascii="Arial"/>
          <w:b/>
          <w:sz w:val="18"/>
        </w:rPr>
      </w:pPr>
    </w:p>
    <w:p>
      <w:pPr>
        <w:pStyle w:val="Heading2"/>
        <w:spacing w:before="1"/>
      </w:pPr>
      <w:r>
        <w:rPr/>
        <w:t>4-</w:t>
      </w:r>
      <w:r>
        <w:rPr>
          <w:spacing w:val="-5"/>
        </w:rPr>
        <w:t>006</w:t>
      </w:r>
    </w:p>
    <w:p>
      <w:pPr>
        <w:pStyle w:val="BodyText"/>
        <w:spacing w:line="235" w:lineRule="auto" w:before="202"/>
        <w:ind w:left="164" w:right="167"/>
        <w:jc w:val="both"/>
      </w:pPr>
      <w:bookmarkStart w:name="_bookmark30" w:id="32"/>
      <w:bookmarkEnd w:id="32"/>
      <w:r>
        <w:rPr/>
      </w:r>
      <w:r>
        <w:rPr/>
        <w:t>The traditional definition of consideration lacks precision because the key notions of “benefit” and “detriment” are used in at least two senses. They may mean, first any act, </w:t>
      </w:r>
      <w:r>
        <w:rPr>
          <w:color w:val="005DA1"/>
          <w:u w:val="single" w:color="005DA1"/>
          <w:vertAlign w:val="superscript"/>
        </w:rPr>
        <w:t>21</w:t>
      </w:r>
      <w:r>
        <w:rPr>
          <w:color w:val="005DA1"/>
          <w:vertAlign w:val="baseline"/>
        </w:rPr>
        <w:t> </w:t>
      </w:r>
      <w:r>
        <w:rPr>
          <w:vertAlign w:val="baseline"/>
        </w:rPr>
        <w:t>which is of some value, or secondly, only such acts, the performance of which is not already legally due from the promisee. </w:t>
      </w:r>
      <w:r>
        <w:rPr>
          <w:vertAlign w:val="baseline"/>
        </w:rPr>
        <w:t>In the first sense, there is consideration if a benefit or detriment is </w:t>
      </w:r>
      <w:r>
        <w:rPr>
          <w:rFonts w:ascii="Arial" w:hAnsi="Arial"/>
          <w:i/>
          <w:vertAlign w:val="baseline"/>
        </w:rPr>
        <w:t>in fact </w:t>
      </w:r>
      <w:r>
        <w:rPr>
          <w:vertAlign w:val="baseline"/>
        </w:rPr>
        <w:t>obtained or suffered. When the words are used in the second sense this factual benefit or detriment is disregarded, and a notion of what may be called legal benefit or detriment is substituted. Under this notion, the promisee may provide consideration by doing anything that he was not legally bound to do, whether or not it actually occasions</w:t>
      </w:r>
      <w:r>
        <w:rPr>
          <w:spacing w:val="14"/>
          <w:vertAlign w:val="baseline"/>
        </w:rPr>
        <w:t> </w:t>
      </w:r>
      <w:r>
        <w:rPr>
          <w:vertAlign w:val="baseline"/>
        </w:rPr>
        <w:t>a</w:t>
      </w:r>
      <w:r>
        <w:rPr>
          <w:spacing w:val="16"/>
          <w:vertAlign w:val="baseline"/>
        </w:rPr>
        <w:t> </w:t>
      </w:r>
      <w:r>
        <w:rPr>
          <w:vertAlign w:val="baseline"/>
        </w:rPr>
        <w:t>detriment</w:t>
      </w:r>
      <w:r>
        <w:rPr>
          <w:spacing w:val="16"/>
          <w:vertAlign w:val="baseline"/>
        </w:rPr>
        <w:t> </w:t>
      </w:r>
      <w:r>
        <w:rPr>
          <w:vertAlign w:val="baseline"/>
        </w:rPr>
        <w:t>to</w:t>
      </w:r>
      <w:r>
        <w:rPr>
          <w:spacing w:val="16"/>
          <w:vertAlign w:val="baseline"/>
        </w:rPr>
        <w:t> </w:t>
      </w:r>
      <w:r>
        <w:rPr>
          <w:vertAlign w:val="baseline"/>
        </w:rPr>
        <w:t>him</w:t>
      </w:r>
      <w:r>
        <w:rPr>
          <w:spacing w:val="16"/>
          <w:vertAlign w:val="baseline"/>
        </w:rPr>
        <w:t> </w:t>
      </w:r>
      <w:r>
        <w:rPr>
          <w:vertAlign w:val="baseline"/>
        </w:rPr>
        <w:t>or</w:t>
      </w:r>
      <w:r>
        <w:rPr>
          <w:spacing w:val="16"/>
          <w:vertAlign w:val="baseline"/>
        </w:rPr>
        <w:t> </w:t>
      </w:r>
      <w:r>
        <w:rPr>
          <w:vertAlign w:val="baseline"/>
        </w:rPr>
        <w:t>confers</w:t>
      </w:r>
      <w:r>
        <w:rPr>
          <w:spacing w:val="16"/>
          <w:vertAlign w:val="baseline"/>
        </w:rPr>
        <w:t> </w:t>
      </w:r>
      <w:r>
        <w:rPr>
          <w:vertAlign w:val="baseline"/>
        </w:rPr>
        <w:t>a</w:t>
      </w:r>
      <w:r>
        <w:rPr>
          <w:spacing w:val="16"/>
          <w:vertAlign w:val="baseline"/>
        </w:rPr>
        <w:t> </w:t>
      </w:r>
      <w:r>
        <w:rPr>
          <w:vertAlign w:val="baseline"/>
        </w:rPr>
        <w:t>benefit</w:t>
      </w:r>
      <w:r>
        <w:rPr>
          <w:spacing w:val="16"/>
          <w:vertAlign w:val="baseline"/>
        </w:rPr>
        <w:t> </w:t>
      </w:r>
      <w:r>
        <w:rPr>
          <w:vertAlign w:val="baseline"/>
        </w:rPr>
        <w:t>on</w:t>
      </w:r>
      <w:r>
        <w:rPr>
          <w:spacing w:val="16"/>
          <w:vertAlign w:val="baseline"/>
        </w:rPr>
        <w:t> </w:t>
      </w:r>
      <w:r>
        <w:rPr>
          <w:vertAlign w:val="baseline"/>
        </w:rPr>
        <w:t>the</w:t>
      </w:r>
      <w:r>
        <w:rPr>
          <w:spacing w:val="16"/>
          <w:vertAlign w:val="baseline"/>
        </w:rPr>
        <w:t> </w:t>
      </w:r>
      <w:r>
        <w:rPr>
          <w:vertAlign w:val="baseline"/>
        </w:rPr>
        <w:t>promisor;</w:t>
      </w:r>
      <w:r>
        <w:rPr>
          <w:spacing w:val="16"/>
          <w:vertAlign w:val="baseline"/>
        </w:rPr>
        <w:t> </w:t>
      </w:r>
      <w:r>
        <w:rPr>
          <w:vertAlign w:val="baseline"/>
        </w:rPr>
        <w:t>while</w:t>
      </w:r>
      <w:r>
        <w:rPr>
          <w:spacing w:val="16"/>
          <w:vertAlign w:val="baseline"/>
        </w:rPr>
        <w:t> </w:t>
      </w:r>
      <w:r>
        <w:rPr>
          <w:vertAlign w:val="baseline"/>
        </w:rPr>
        <w:t>conversely</w:t>
      </w:r>
      <w:r>
        <w:rPr>
          <w:spacing w:val="16"/>
          <w:vertAlign w:val="baseline"/>
        </w:rPr>
        <w:t> </w:t>
      </w:r>
      <w:r>
        <w:rPr>
          <w:vertAlign w:val="baseline"/>
        </w:rPr>
        <w:t>he</w:t>
      </w:r>
      <w:r>
        <w:rPr>
          <w:spacing w:val="16"/>
          <w:vertAlign w:val="baseline"/>
        </w:rPr>
        <w:t> </w:t>
      </w:r>
      <w:r>
        <w:rPr>
          <w:vertAlign w:val="baseline"/>
        </w:rPr>
        <w:t>may</w:t>
      </w:r>
      <w:r>
        <w:rPr>
          <w:spacing w:val="16"/>
          <w:vertAlign w:val="baseline"/>
        </w:rPr>
        <w:t> </w:t>
      </w:r>
      <w:r>
        <w:rPr>
          <w:spacing w:val="-2"/>
          <w:vertAlign w:val="baseline"/>
        </w:rPr>
        <w:t>provide</w:t>
      </w:r>
    </w:p>
    <w:p>
      <w:pPr>
        <w:pStyle w:val="BodyText"/>
        <w:spacing w:after="0" w:line="235" w:lineRule="auto"/>
        <w:jc w:val="both"/>
        <w:sectPr>
          <w:pgSz w:w="11900" w:h="16840"/>
          <w:pgMar w:header="992" w:footer="0" w:top="3760" w:bottom="280" w:left="1275" w:right="1275"/>
        </w:sectPr>
      </w:pPr>
    </w:p>
    <w:p>
      <w:pPr>
        <w:pStyle w:val="BodyText"/>
        <w:spacing w:before="24"/>
      </w:pPr>
    </w:p>
    <w:p>
      <w:pPr>
        <w:pStyle w:val="BodyText"/>
        <w:spacing w:line="235" w:lineRule="auto" w:before="1"/>
        <w:ind w:left="164" w:right="167"/>
        <w:jc w:val="both"/>
      </w:pPr>
      <w:r>
        <w:rPr/>
        <w:t>no consideration by doing only what he was legally bound to do, however much this may in </w:t>
      </w:r>
      <w:r>
        <w:rPr/>
        <w:t>fact occasion a detriment to him or confer a benefit on the promisor. The English courts have not </w:t>
      </w:r>
      <w:bookmarkStart w:name="_bookmark31" w:id="33"/>
      <w:bookmarkEnd w:id="33"/>
      <w:r>
        <w:rPr/>
        <w:t>consistently</w:t>
      </w:r>
      <w:r>
        <w:rPr/>
        <w:t> adopted either of these senses of the words “benefit” and “detriment.” In some of the cases to be discussed in this chapter, factual benefit is stressed </w:t>
      </w:r>
      <w:r>
        <w:rPr>
          <w:color w:val="005DA1"/>
          <w:u w:val="single" w:color="005DA1"/>
          <w:vertAlign w:val="superscript"/>
        </w:rPr>
        <w:t>22</w:t>
      </w:r>
      <w:r>
        <w:rPr>
          <w:color w:val="005DA1"/>
          <w:vertAlign w:val="baseline"/>
        </w:rPr>
        <w:t> </w:t>
      </w:r>
      <w:r>
        <w:rPr>
          <w:vertAlign w:val="baseline"/>
        </w:rPr>
        <w:t>even though legal detriment may </w:t>
      </w:r>
      <w:bookmarkStart w:name="_bookmark32" w:id="34"/>
      <w:bookmarkEnd w:id="34"/>
      <w:r>
        <w:rPr>
          <w:vertAlign w:val="baseline"/>
        </w:rPr>
        <w:t>also</w:t>
      </w:r>
      <w:r>
        <w:rPr>
          <w:vertAlign w:val="baseline"/>
        </w:rPr>
        <w:t> have been present; while in others the absence of legal detriment or benefit has in the past been regarded as decisive. </w:t>
      </w:r>
      <w:r>
        <w:rPr>
          <w:color w:val="005DA1"/>
          <w:u w:val="single" w:color="005DA1"/>
          <w:vertAlign w:val="superscript"/>
        </w:rPr>
        <w:t>23</w:t>
      </w:r>
      <w:r>
        <w:rPr>
          <w:color w:val="005DA1"/>
          <w:vertAlign w:val="baseline"/>
        </w:rPr>
        <w:t> </w:t>
      </w:r>
      <w:r>
        <w:rPr>
          <w:vertAlign w:val="baseline"/>
        </w:rPr>
        <w:t>One modern authority </w:t>
      </w:r>
      <w:r>
        <w:rPr>
          <w:color w:val="005DA1"/>
          <w:u w:val="single" w:color="005DA1"/>
          <w:vertAlign w:val="superscript"/>
        </w:rPr>
        <w:t>24</w:t>
      </w:r>
      <w:r>
        <w:rPr>
          <w:color w:val="005DA1"/>
          <w:vertAlign w:val="baseline"/>
        </w:rPr>
        <w:t> </w:t>
      </w:r>
      <w:r>
        <w:rPr>
          <w:vertAlign w:val="baseline"/>
        </w:rPr>
        <w:t>regards factual benefit to the promisor as sufficient, </w:t>
      </w:r>
      <w:bookmarkStart w:name="_bookmark33" w:id="35"/>
      <w:bookmarkEnd w:id="35"/>
      <w:r>
        <w:rPr>
          <w:vertAlign w:val="baseline"/>
        </w:rPr>
        <w:t>even</w:t>
      </w:r>
      <w:r>
        <w:rPr>
          <w:vertAlign w:val="baseline"/>
        </w:rPr>
        <w:t> in the absence of a legal benefit to him or of a legal detriment to the promisee; and it is possible (though far from certain) that this approach may spread to at least some </w:t>
      </w:r>
      <w:r>
        <w:rPr>
          <w:color w:val="005DA1"/>
          <w:u w:val="single" w:color="005DA1"/>
          <w:vertAlign w:val="superscript"/>
        </w:rPr>
        <w:t>25</w:t>
      </w:r>
      <w:r>
        <w:rPr>
          <w:color w:val="005DA1"/>
          <w:vertAlign w:val="baseline"/>
        </w:rPr>
        <w:t> </w:t>
      </w:r>
      <w:r>
        <w:rPr>
          <w:vertAlign w:val="baseline"/>
        </w:rPr>
        <w:t>of the situations in which the courts have in the past insisted on legal benefit or detriment.</w:t>
      </w:r>
    </w:p>
    <w:p>
      <w:pPr>
        <w:pStyle w:val="BodyText"/>
      </w:pPr>
    </w:p>
    <w:p>
      <w:pPr>
        <w:pStyle w:val="BodyText"/>
        <w:spacing w:before="35"/>
      </w:pPr>
    </w:p>
    <w:p>
      <w:pPr>
        <w:spacing w:before="0"/>
        <w:ind w:left="165" w:right="0" w:firstLine="0"/>
        <w:jc w:val="both"/>
        <w:rPr>
          <w:rFonts w:ascii="Arial"/>
          <w:b/>
          <w:sz w:val="18"/>
        </w:rPr>
      </w:pPr>
      <w:r>
        <w:rPr>
          <w:rFonts w:ascii="Arial"/>
          <w:b/>
          <w:sz w:val="18"/>
        </w:rPr>
        <w:t>Other </w:t>
      </w:r>
      <w:r>
        <w:rPr>
          <w:rFonts w:ascii="Arial"/>
          <w:b/>
          <w:spacing w:val="-2"/>
          <w:sz w:val="18"/>
        </w:rPr>
        <w:t>definitions</w:t>
      </w:r>
    </w:p>
    <w:p>
      <w:pPr>
        <w:pStyle w:val="BodyText"/>
        <w:spacing w:before="41"/>
        <w:rPr>
          <w:rFonts w:ascii="Arial"/>
          <w:b/>
          <w:sz w:val="18"/>
        </w:rPr>
      </w:pPr>
    </w:p>
    <w:p>
      <w:pPr>
        <w:pStyle w:val="Heading2"/>
      </w:pPr>
      <w:r>
        <w:rPr/>
        <w:t>4-</w:t>
      </w:r>
      <w:r>
        <w:rPr>
          <w:spacing w:val="-5"/>
        </w:rPr>
        <w:t>007</w:t>
      </w:r>
    </w:p>
    <w:p>
      <w:pPr>
        <w:pStyle w:val="BodyText"/>
        <w:spacing w:line="235" w:lineRule="auto" w:before="203"/>
        <w:ind w:left="165" w:right="167"/>
        <w:jc w:val="both"/>
      </w:pPr>
      <w:r>
        <w:rPr/>
        <w:t>The traditional definition of consideration in terms of benefit and detriment is sometimes felt to be unsatisfactory. One cause of dissatisfaction is that it is thought to be wrong to talk of benefit </w:t>
      </w:r>
      <w:r>
        <w:rPr/>
        <w:t>and detriment when both parties expect to, and actually may, benefit from the contract. But this reasoning </w:t>
      </w:r>
      <w:bookmarkStart w:name="_bookmark34" w:id="36"/>
      <w:bookmarkEnd w:id="36"/>
      <w:r>
        <w:rPr/>
        <w:t>falls,</w:t>
      </w:r>
      <w:r>
        <w:rPr/>
        <w:t> with respect, into the error of looking at the subject-matter of the definition as the consideration </w:t>
      </w:r>
      <w:r>
        <w:rPr>
          <w:rFonts w:ascii="Arial" w:hAnsi="Arial"/>
          <w:i/>
        </w:rPr>
        <w:t>for a contract</w:t>
      </w:r>
      <w:r>
        <w:rPr/>
        <w:t>, </w:t>
      </w:r>
      <w:r>
        <w:rPr>
          <w:color w:val="005DA1"/>
          <w:u w:val="single" w:color="005DA1"/>
          <w:vertAlign w:val="superscript"/>
        </w:rPr>
        <w:t>26</w:t>
      </w:r>
      <w:r>
        <w:rPr>
          <w:color w:val="005DA1"/>
          <w:vertAlign w:val="baseline"/>
        </w:rPr>
        <w:t> </w:t>
      </w:r>
      <w:r>
        <w:rPr>
          <w:vertAlign w:val="baseline"/>
        </w:rPr>
        <w:t>when the definition is actually concerned with the consideration </w:t>
      </w:r>
      <w:r>
        <w:rPr>
          <w:rFonts w:ascii="Arial" w:hAnsi="Arial"/>
          <w:i/>
          <w:vertAlign w:val="baseline"/>
        </w:rPr>
        <w:t>for a promise</w:t>
      </w:r>
      <w:r>
        <w:rPr>
          <w:vertAlign w:val="baseline"/>
        </w:rPr>
        <w:t>. </w:t>
      </w:r>
      <w:r>
        <w:rPr>
          <w:color w:val="005DA1"/>
          <w:u w:val="single" w:color="005DA1"/>
          <w:vertAlign w:val="superscript"/>
        </w:rPr>
        <w:t>27</w:t>
      </w:r>
      <w:r>
        <w:rPr>
          <w:color w:val="005DA1"/>
          <w:vertAlign w:val="baseline"/>
        </w:rPr>
        <w:t> </w:t>
      </w:r>
      <w:r>
        <w:rPr>
          <w:vertAlign w:val="baseline"/>
        </w:rPr>
        <w:t>Another cause of dissatisfaction is the artificial reasoning that is sometimes necessary to </w:t>
      </w:r>
      <w:bookmarkStart w:name="_bookmark35" w:id="37"/>
      <w:bookmarkEnd w:id="37"/>
      <w:r>
        <w:rPr>
          <w:vertAlign w:val="baseline"/>
        </w:rPr>
        <w:t>accommodate</w:t>
      </w:r>
      <w:r>
        <w:rPr>
          <w:vertAlign w:val="baseline"/>
        </w:rPr>
        <w:t> the cases within the traditional definition. Sir Frederick Pollock has, accordingly, </w:t>
      </w:r>
      <w:bookmarkStart w:name="_bookmark36" w:id="38"/>
      <w:bookmarkEnd w:id="38"/>
      <w:r>
        <w:rPr>
          <w:vertAlign w:val="baseline"/>
        </w:rPr>
        <w:t>described</w:t>
      </w:r>
      <w:r>
        <w:rPr>
          <w:vertAlign w:val="baseline"/>
        </w:rPr>
        <w:t> consideration simply as “the price for which the promise is bought.” </w:t>
      </w:r>
      <w:r>
        <w:rPr>
          <w:color w:val="005DA1"/>
          <w:u w:val="single" w:color="005DA1"/>
          <w:vertAlign w:val="superscript"/>
        </w:rPr>
        <w:t>28</w:t>
      </w:r>
      <w:r>
        <w:rPr>
          <w:color w:val="005DA1"/>
          <w:vertAlign w:val="baseline"/>
        </w:rPr>
        <w:t> </w:t>
      </w:r>
      <w:r>
        <w:rPr>
          <w:vertAlign w:val="baseline"/>
        </w:rPr>
        <w:t>This statement has been approved in the House of Lords </w:t>
      </w:r>
      <w:r>
        <w:rPr>
          <w:color w:val="005DA1"/>
          <w:u w:val="single" w:color="005DA1"/>
          <w:vertAlign w:val="superscript"/>
        </w:rPr>
        <w:t>29</w:t>
      </w:r>
      <w:r>
        <w:rPr>
          <w:vertAlign w:val="baseline"/>
        </w:rPr>
        <w:t>; but if it is to be regarded as a definition of consideration it is defective in being so vague as to give no help in determining whether consideration exists on any </w:t>
      </w:r>
      <w:bookmarkStart w:name="_bookmark37" w:id="39"/>
      <w:bookmarkEnd w:id="39"/>
      <w:r>
        <w:rPr>
          <w:vertAlign w:val="baseline"/>
        </w:rPr>
        <w:t>given</w:t>
      </w:r>
      <w:r>
        <w:rPr>
          <w:vertAlign w:val="baseline"/>
        </w:rPr>
        <w:t> set of facts. A view which leads to even more uncertainty is that consideration “</w:t>
      </w:r>
      <w:r>
        <w:rPr>
          <w:rFonts w:ascii="Arial" w:hAnsi="Arial"/>
          <w:i/>
          <w:vertAlign w:val="baseline"/>
        </w:rPr>
        <w:t>means </w:t>
      </w:r>
      <w:r>
        <w:rPr>
          <w:vertAlign w:val="baseline"/>
        </w:rPr>
        <w:t>a reason for the enforcement of promises” </w:t>
      </w:r>
      <w:r>
        <w:rPr>
          <w:color w:val="005DA1"/>
          <w:u w:val="single" w:color="005DA1"/>
          <w:vertAlign w:val="superscript"/>
        </w:rPr>
        <w:t>30</w:t>
      </w:r>
      <w:r>
        <w:rPr>
          <w:color w:val="005DA1"/>
          <w:spacing w:val="-14"/>
          <w:vertAlign w:val="baseline"/>
        </w:rPr>
        <w:t> </w:t>
      </w:r>
      <w:r>
        <w:rPr>
          <w:vertAlign w:val="baseline"/>
        </w:rPr>
        <w:t>—that reason being simply “the justice of the case.” </w:t>
      </w:r>
      <w:r>
        <w:rPr>
          <w:color w:val="005DA1"/>
          <w:u w:val="single" w:color="005DA1"/>
          <w:vertAlign w:val="superscript"/>
        </w:rPr>
        <w:t>31</w:t>
      </w:r>
      <w:r>
        <w:rPr>
          <w:color w:val="005DA1"/>
          <w:vertAlign w:val="baseline"/>
        </w:rPr>
        <w:t> </w:t>
      </w:r>
      <w:r>
        <w:rPr>
          <w:vertAlign w:val="baseline"/>
        </w:rPr>
        <w:t>But “the </w:t>
      </w:r>
      <w:bookmarkStart w:name="_bookmark38" w:id="40"/>
      <w:bookmarkEnd w:id="40"/>
      <w:r>
        <w:rPr>
          <w:vertAlign w:val="baseline"/>
        </w:rPr>
        <w:t>justice</w:t>
      </w:r>
      <w:r>
        <w:rPr>
          <w:vertAlign w:val="baseline"/>
        </w:rPr>
        <w:t> of the case” is in almost all the decided cases highly debatable, so that the suggested</w:t>
      </w:r>
      <w:r>
        <w:rPr>
          <w:spacing w:val="40"/>
          <w:vertAlign w:val="baseline"/>
        </w:rPr>
        <w:t> </w:t>
      </w:r>
      <w:bookmarkStart w:name="_bookmark39" w:id="41"/>
      <w:bookmarkEnd w:id="41"/>
      <w:r>
        <w:rPr>
          <w:vertAlign w:val="baseline"/>
        </w:rPr>
        <w:t>definition</w:t>
      </w:r>
      <w:r>
        <w:rPr>
          <w:vertAlign w:val="baseline"/>
        </w:rPr>
        <w:t> provides no basis at all for formulating a coherent legal doctrine. </w:t>
      </w:r>
      <w:r>
        <w:rPr>
          <w:color w:val="005DA1"/>
          <w:u w:val="single" w:color="005DA1"/>
          <w:vertAlign w:val="superscript"/>
        </w:rPr>
        <w:t>32</w:t>
      </w:r>
      <w:r>
        <w:rPr>
          <w:color w:val="005DA1"/>
          <w:vertAlign w:val="baseline"/>
        </w:rPr>
        <w:t> </w:t>
      </w:r>
      <w:r>
        <w:rPr>
          <w:vertAlign w:val="baseline"/>
        </w:rPr>
        <w:t>A modification of the suggested definition, describing consideration as “a reason for the recognition of an obligation” </w:t>
      </w:r>
      <w:r>
        <w:rPr>
          <w:color w:val="005DA1"/>
          <w:u w:val="single" w:color="005DA1"/>
          <w:vertAlign w:val="superscript"/>
        </w:rPr>
        <w:t>33</w:t>
      </w:r>
      <w:r>
        <w:rPr>
          <w:color w:val="005DA1"/>
          <w:vertAlign w:val="baseline"/>
        </w:rPr>
        <w:t> </w:t>
      </w:r>
      <w:r>
        <w:rPr>
          <w:vertAlign w:val="baseline"/>
        </w:rPr>
        <w:t>is open to the same objection. Of course the traditional definition does not provide complete (or even a very high degree of) certainty. But it does state the doctrine in a way that is broadly consistent with</w:t>
      </w:r>
      <w:r>
        <w:rPr>
          <w:spacing w:val="40"/>
          <w:vertAlign w:val="baseline"/>
        </w:rPr>
        <w:t> </w:t>
      </w:r>
      <w:r>
        <w:rPr>
          <w:vertAlign w:val="baseline"/>
        </w:rPr>
        <w:t>the case law on the subject and that gives some basis for predicting the course of future decisions. The traditional definition also has more support in the authorities than any other definition. For these reasons it will be used in this chapter.</w:t>
      </w:r>
    </w:p>
    <w:p>
      <w:pPr>
        <w:pStyle w:val="BodyText"/>
      </w:pPr>
    </w:p>
    <w:p>
      <w:pPr>
        <w:pStyle w:val="BodyText"/>
        <w:spacing w:before="31"/>
      </w:pPr>
    </w:p>
    <w:p>
      <w:pPr>
        <w:spacing w:before="0"/>
        <w:ind w:left="165" w:right="0" w:firstLine="0"/>
        <w:jc w:val="left"/>
        <w:rPr>
          <w:rFonts w:ascii="Arial"/>
          <w:b/>
          <w:sz w:val="18"/>
        </w:rPr>
      </w:pPr>
      <w:r>
        <w:rPr>
          <w:rFonts w:ascii="Arial"/>
          <w:b/>
          <w:sz w:val="18"/>
        </w:rPr>
        <w:t>Performances and promises as </w:t>
      </w:r>
      <w:r>
        <w:rPr>
          <w:rFonts w:ascii="Arial"/>
          <w:b/>
          <w:spacing w:val="-2"/>
          <w:sz w:val="18"/>
        </w:rPr>
        <w:t>consideration</w:t>
      </w:r>
    </w:p>
    <w:p>
      <w:pPr>
        <w:pStyle w:val="BodyText"/>
        <w:spacing w:before="41"/>
        <w:rPr>
          <w:rFonts w:ascii="Arial"/>
          <w:b/>
          <w:sz w:val="18"/>
        </w:rPr>
      </w:pPr>
    </w:p>
    <w:p>
      <w:pPr>
        <w:pStyle w:val="Heading2"/>
      </w:pPr>
      <w:r>
        <w:rPr/>
        <w:t>4-</w:t>
      </w:r>
      <w:r>
        <w:rPr>
          <w:spacing w:val="-5"/>
        </w:rPr>
        <w:t>008</w:t>
      </w:r>
    </w:p>
    <w:p>
      <w:pPr>
        <w:pStyle w:val="BodyText"/>
        <w:spacing w:line="235" w:lineRule="auto" w:before="203"/>
        <w:ind w:left="164" w:right="167"/>
        <w:jc w:val="both"/>
      </w:pPr>
      <w:bookmarkStart w:name="_bookmark40" w:id="42"/>
      <w:bookmarkEnd w:id="42"/>
      <w:r>
        <w:rPr/>
      </w:r>
      <w:r>
        <w:rPr/>
        <w:t>The</w:t>
      </w:r>
      <w:r>
        <w:rPr>
          <w:spacing w:val="-2"/>
        </w:rPr>
        <w:t> </w:t>
      </w:r>
      <w:r>
        <w:rPr/>
        <w:t>consideration</w:t>
      </w:r>
      <w:r>
        <w:rPr>
          <w:spacing w:val="-2"/>
        </w:rPr>
        <w:t> </w:t>
      </w:r>
      <w:r>
        <w:rPr/>
        <w:t>for</w:t>
      </w:r>
      <w:r>
        <w:rPr>
          <w:spacing w:val="-2"/>
        </w:rPr>
        <w:t> </w:t>
      </w:r>
      <w:r>
        <w:rPr/>
        <w:t>a</w:t>
      </w:r>
      <w:r>
        <w:rPr>
          <w:spacing w:val="-2"/>
        </w:rPr>
        <w:t> </w:t>
      </w:r>
      <w:r>
        <w:rPr/>
        <w:t>promise</w:t>
      </w:r>
      <w:r>
        <w:rPr>
          <w:spacing w:val="-2"/>
        </w:rPr>
        <w:t> </w:t>
      </w:r>
      <w:r>
        <w:rPr/>
        <w:t>may</w:t>
      </w:r>
      <w:r>
        <w:rPr>
          <w:spacing w:val="-2"/>
        </w:rPr>
        <w:t> </w:t>
      </w:r>
      <w:r>
        <w:rPr/>
        <w:t>consist</w:t>
      </w:r>
      <w:r>
        <w:rPr>
          <w:spacing w:val="-2"/>
        </w:rPr>
        <w:t> </w:t>
      </w:r>
      <w:r>
        <w:rPr/>
        <w:t>either</w:t>
      </w:r>
      <w:r>
        <w:rPr>
          <w:spacing w:val="-2"/>
        </w:rPr>
        <w:t> </w:t>
      </w:r>
      <w:r>
        <w:rPr/>
        <w:t>of</w:t>
      </w:r>
      <w:r>
        <w:rPr>
          <w:spacing w:val="-2"/>
        </w:rPr>
        <w:t> </w:t>
      </w:r>
      <w:r>
        <w:rPr/>
        <w:t>a</w:t>
      </w:r>
      <w:r>
        <w:rPr>
          <w:spacing w:val="-2"/>
        </w:rPr>
        <w:t> </w:t>
      </w:r>
      <w:r>
        <w:rPr/>
        <w:t>performance</w:t>
      </w:r>
      <w:r>
        <w:rPr>
          <w:spacing w:val="-2"/>
        </w:rPr>
        <w:t> </w:t>
      </w:r>
      <w:r>
        <w:rPr/>
        <w:t>rendered</w:t>
      </w:r>
      <w:r>
        <w:rPr>
          <w:spacing w:val="-2"/>
        </w:rPr>
        <w:t> </w:t>
      </w:r>
      <w:r>
        <w:rPr/>
        <w:t>by</w:t>
      </w:r>
      <w:r>
        <w:rPr>
          <w:spacing w:val="-2"/>
        </w:rPr>
        <w:t> </w:t>
      </w:r>
      <w:r>
        <w:rPr/>
        <w:t>the</w:t>
      </w:r>
      <w:r>
        <w:rPr>
          <w:spacing w:val="-2"/>
        </w:rPr>
        <w:t> </w:t>
      </w:r>
      <w:r>
        <w:rPr/>
        <w:t>promisee</w:t>
      </w:r>
      <w:r>
        <w:rPr>
          <w:spacing w:val="-2"/>
        </w:rPr>
        <w:t> </w:t>
      </w:r>
      <w:r>
        <w:rPr/>
        <w:t>or</w:t>
      </w:r>
      <w:r>
        <w:rPr>
          <w:spacing w:val="-2"/>
        </w:rPr>
        <w:t> </w:t>
      </w:r>
      <w:r>
        <w:rPr/>
        <w:t>of</w:t>
      </w:r>
      <w:r>
        <w:rPr>
          <w:spacing w:val="-2"/>
        </w:rPr>
        <w:t> </w:t>
      </w:r>
      <w:r>
        <w:rPr/>
        <w:t>a promise to render a performance. The first possibility is illustrated by cases of unilateral contracts </w:t>
      </w:r>
      <w:r>
        <w:rPr>
          <w:color w:val="005DA1"/>
          <w:u w:val="single" w:color="005DA1"/>
          <w:vertAlign w:val="superscript"/>
        </w:rPr>
        <w:t>34</w:t>
      </w:r>
      <w:r>
        <w:rPr>
          <w:color w:val="005DA1"/>
          <w:vertAlign w:val="baseline"/>
        </w:rPr>
        <w:t> </w:t>
      </w:r>
      <w:bookmarkStart w:name="_bookmark41" w:id="43"/>
      <w:bookmarkEnd w:id="43"/>
      <w:r>
        <w:rPr>
          <w:color w:val="005DA1"/>
          <w:w w:val="92"/>
          <w:vertAlign w:val="baseline"/>
        </w:rPr>
      </w:r>
      <w:r>
        <w:rPr>
          <w:vertAlign w:val="baseline"/>
        </w:rPr>
        <w:t>where performance by the promisee of the stipulated act or forbearance (e.g. walking from London to York)</w:t>
      </w:r>
      <w:r>
        <w:rPr>
          <w:spacing w:val="11"/>
          <w:vertAlign w:val="baseline"/>
        </w:rPr>
        <w:t> </w:t>
      </w:r>
      <w:r>
        <w:rPr>
          <w:vertAlign w:val="baseline"/>
        </w:rPr>
        <w:t>constitutes</w:t>
      </w:r>
      <w:r>
        <w:rPr>
          <w:spacing w:val="11"/>
          <w:vertAlign w:val="baseline"/>
        </w:rPr>
        <w:t> </w:t>
      </w:r>
      <w:r>
        <w:rPr>
          <w:vertAlign w:val="baseline"/>
        </w:rPr>
        <w:t>the</w:t>
      </w:r>
      <w:r>
        <w:rPr>
          <w:spacing w:val="11"/>
          <w:vertAlign w:val="baseline"/>
        </w:rPr>
        <w:t> </w:t>
      </w:r>
      <w:r>
        <w:rPr>
          <w:vertAlign w:val="baseline"/>
        </w:rPr>
        <w:t>consideration</w:t>
      </w:r>
      <w:r>
        <w:rPr>
          <w:spacing w:val="11"/>
          <w:vertAlign w:val="baseline"/>
        </w:rPr>
        <w:t> </w:t>
      </w:r>
      <w:r>
        <w:rPr>
          <w:vertAlign w:val="baseline"/>
        </w:rPr>
        <w:t>for</w:t>
      </w:r>
      <w:r>
        <w:rPr>
          <w:spacing w:val="11"/>
          <w:vertAlign w:val="baseline"/>
        </w:rPr>
        <w:t> </w:t>
      </w:r>
      <w:r>
        <w:rPr>
          <w:vertAlign w:val="baseline"/>
        </w:rPr>
        <w:t>the</w:t>
      </w:r>
      <w:r>
        <w:rPr>
          <w:spacing w:val="11"/>
          <w:vertAlign w:val="baseline"/>
        </w:rPr>
        <w:t> </w:t>
      </w:r>
      <w:r>
        <w:rPr>
          <w:vertAlign w:val="baseline"/>
        </w:rPr>
        <w:t>promise</w:t>
      </w:r>
      <w:r>
        <w:rPr>
          <w:spacing w:val="11"/>
          <w:vertAlign w:val="baseline"/>
        </w:rPr>
        <w:t> </w:t>
      </w:r>
      <w:r>
        <w:rPr>
          <w:vertAlign w:val="baseline"/>
        </w:rPr>
        <w:t>(usually)</w:t>
      </w:r>
      <w:r>
        <w:rPr>
          <w:spacing w:val="11"/>
          <w:vertAlign w:val="baseline"/>
        </w:rPr>
        <w:t> </w:t>
      </w:r>
      <w:r>
        <w:rPr>
          <w:vertAlign w:val="baseline"/>
        </w:rPr>
        <w:t>to</w:t>
      </w:r>
      <w:r>
        <w:rPr>
          <w:spacing w:val="11"/>
          <w:vertAlign w:val="baseline"/>
        </w:rPr>
        <w:t> </w:t>
      </w:r>
      <w:r>
        <w:rPr>
          <w:vertAlign w:val="baseline"/>
        </w:rPr>
        <w:t>pay</w:t>
      </w:r>
      <w:r>
        <w:rPr>
          <w:spacing w:val="11"/>
          <w:vertAlign w:val="baseline"/>
        </w:rPr>
        <w:t> </w:t>
      </w:r>
      <w:r>
        <w:rPr>
          <w:vertAlign w:val="baseline"/>
        </w:rPr>
        <w:t>a</w:t>
      </w:r>
      <w:r>
        <w:rPr>
          <w:spacing w:val="11"/>
          <w:vertAlign w:val="baseline"/>
        </w:rPr>
        <w:t> </w:t>
      </w:r>
      <w:r>
        <w:rPr>
          <w:vertAlign w:val="baseline"/>
        </w:rPr>
        <w:t>sum</w:t>
      </w:r>
      <w:r>
        <w:rPr>
          <w:spacing w:val="11"/>
          <w:vertAlign w:val="baseline"/>
        </w:rPr>
        <w:t> </w:t>
      </w:r>
      <w:r>
        <w:rPr>
          <w:vertAlign w:val="baseline"/>
        </w:rPr>
        <w:t>of</w:t>
      </w:r>
      <w:r>
        <w:rPr>
          <w:spacing w:val="11"/>
          <w:vertAlign w:val="baseline"/>
        </w:rPr>
        <w:t> </w:t>
      </w:r>
      <w:r>
        <w:rPr>
          <w:vertAlign w:val="baseline"/>
        </w:rPr>
        <w:t>money</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spacing w:val="-2"/>
          <w:vertAlign w:val="baseline"/>
        </w:rPr>
        <w:t>promisee.</w:t>
      </w:r>
    </w:p>
    <w:p>
      <w:pPr>
        <w:pStyle w:val="BodyText"/>
        <w:spacing w:line="235" w:lineRule="auto"/>
        <w:ind w:left="165" w:right="167"/>
        <w:jc w:val="both"/>
      </w:pPr>
      <w:r>
        <w:rPr>
          <w:color w:val="005DA1"/>
          <w:u w:val="single" w:color="005DA1"/>
          <w:vertAlign w:val="superscript"/>
        </w:rPr>
        <w:t>35</w:t>
      </w:r>
      <w:r>
        <w:rPr>
          <w:color w:val="005DA1"/>
          <w:vertAlign w:val="baseline"/>
        </w:rPr>
        <w:t> </w:t>
      </w:r>
      <w:r>
        <w:rPr>
          <w:vertAlign w:val="baseline"/>
        </w:rPr>
        <w:t>The second possibility is illustrated by cases in which each party makes a promise to the other, but </w:t>
      </w:r>
      <w:bookmarkStart w:name="_bookmark42" w:id="44"/>
      <w:bookmarkEnd w:id="44"/>
      <w:r>
        <w:rPr>
          <w:vertAlign w:val="baseline"/>
        </w:rPr>
        <w:t>neither</w:t>
      </w:r>
      <w:r>
        <w:rPr>
          <w:vertAlign w:val="baseline"/>
        </w:rPr>
        <w:t> party has yet rendered any performance. The rule that, in such a case, the parties’ </w:t>
      </w:r>
      <w:r>
        <w:rPr>
          <w:vertAlign w:val="baseline"/>
        </w:rPr>
        <w:t>mutual promises can amount to consideration for each other has long been settled. </w:t>
      </w:r>
      <w:r>
        <w:rPr>
          <w:color w:val="005DA1"/>
          <w:u w:val="single" w:color="005DA1"/>
          <w:vertAlign w:val="superscript"/>
        </w:rPr>
        <w:t>36</w:t>
      </w:r>
      <w:r>
        <w:rPr>
          <w:color w:val="005DA1"/>
          <w:vertAlign w:val="baseline"/>
        </w:rPr>
        <w:t> </w:t>
      </w:r>
      <w:r>
        <w:rPr>
          <w:vertAlign w:val="baseline"/>
        </w:rPr>
        <w:t>Hence if a seller promises to deliver goods in six months’ time and the buyer to pay for them on delivery, there is an immediately binding contract from which neither party has any right to withdraw, though, of course, </w:t>
      </w:r>
      <w:bookmarkStart w:name="_bookmark43" w:id="45"/>
      <w:bookmarkEnd w:id="45"/>
      <w:r>
        <w:rPr>
          <w:vertAlign w:val="baseline"/>
        </w:rPr>
        <w:t>performance</w:t>
      </w:r>
      <w:r>
        <w:rPr>
          <w:vertAlign w:val="baseline"/>
        </w:rPr>
        <w:t> cannot be claimed till the appointed time. An implied, no less than an express, promise</w:t>
      </w:r>
      <w:r>
        <w:rPr>
          <w:spacing w:val="40"/>
          <w:vertAlign w:val="baseline"/>
        </w:rPr>
        <w:t> </w:t>
      </w:r>
      <w:bookmarkStart w:name="_bookmark44" w:id="46"/>
      <w:bookmarkEnd w:id="46"/>
      <w:r>
        <w:rPr>
          <w:vertAlign w:val="baseline"/>
        </w:rPr>
        <w:t>is</w:t>
      </w:r>
      <w:r>
        <w:rPr>
          <w:spacing w:val="-3"/>
          <w:vertAlign w:val="baseline"/>
        </w:rPr>
        <w:t> </w:t>
      </w:r>
      <w:r>
        <w:rPr>
          <w:vertAlign w:val="baseline"/>
        </w:rPr>
        <w:t>capable</w:t>
      </w:r>
      <w:r>
        <w:rPr>
          <w:spacing w:val="-3"/>
          <w:vertAlign w:val="baseline"/>
        </w:rPr>
        <w:t> </w:t>
      </w:r>
      <w:r>
        <w:rPr>
          <w:vertAlign w:val="baseline"/>
        </w:rPr>
        <w:t>of</w:t>
      </w:r>
      <w:r>
        <w:rPr>
          <w:spacing w:val="-3"/>
          <w:vertAlign w:val="baseline"/>
        </w:rPr>
        <w:t> </w:t>
      </w:r>
      <w:r>
        <w:rPr>
          <w:vertAlign w:val="baseline"/>
        </w:rPr>
        <w:t>constituting</w:t>
      </w:r>
      <w:r>
        <w:rPr>
          <w:spacing w:val="-3"/>
          <w:vertAlign w:val="baseline"/>
        </w:rPr>
        <w:t> </w:t>
      </w:r>
      <w:r>
        <w:rPr>
          <w:vertAlign w:val="baseline"/>
        </w:rPr>
        <w:t>consideration.</w:t>
      </w:r>
      <w:r>
        <w:rPr>
          <w:spacing w:val="-3"/>
          <w:vertAlign w:val="baseline"/>
        </w:rPr>
        <w:t> </w:t>
      </w:r>
      <w:r>
        <w:rPr>
          <w:color w:val="005DA1"/>
          <w:u w:val="single" w:color="005DA1"/>
          <w:vertAlign w:val="superscript"/>
        </w:rPr>
        <w:t>37</w:t>
      </w:r>
      <w:r>
        <w:rPr>
          <w:color w:val="005DA1"/>
          <w:spacing w:val="-3"/>
          <w:vertAlign w:val="baseline"/>
        </w:rPr>
        <w:t> </w:t>
      </w:r>
      <w:r>
        <w:rPr>
          <w:vertAlign w:val="baseline"/>
        </w:rPr>
        <w:t>A</w:t>
      </w:r>
      <w:r>
        <w:rPr>
          <w:spacing w:val="-3"/>
          <w:vertAlign w:val="baseline"/>
        </w:rPr>
        <w:t> </w:t>
      </w:r>
      <w:r>
        <w:rPr>
          <w:vertAlign w:val="baseline"/>
        </w:rPr>
        <w:t>promise</w:t>
      </w:r>
      <w:r>
        <w:rPr>
          <w:spacing w:val="-3"/>
          <w:vertAlign w:val="baseline"/>
        </w:rPr>
        <w:t> </w:t>
      </w:r>
      <w:r>
        <w:rPr>
          <w:vertAlign w:val="baseline"/>
        </w:rPr>
        <w:t>can,</w:t>
      </w:r>
      <w:r>
        <w:rPr>
          <w:spacing w:val="-3"/>
          <w:vertAlign w:val="baseline"/>
        </w:rPr>
        <w:t> </w:t>
      </w:r>
      <w:r>
        <w:rPr>
          <w:vertAlign w:val="baseline"/>
        </w:rPr>
        <w:t>however,</w:t>
      </w:r>
      <w:r>
        <w:rPr>
          <w:spacing w:val="-3"/>
          <w:vertAlign w:val="baseline"/>
        </w:rPr>
        <w:t> </w:t>
      </w:r>
      <w:r>
        <w:rPr>
          <w:vertAlign w:val="baseline"/>
        </w:rPr>
        <w:t>only</w:t>
      </w:r>
      <w:r>
        <w:rPr>
          <w:spacing w:val="-3"/>
          <w:vertAlign w:val="baseline"/>
        </w:rPr>
        <w:t> </w:t>
      </w:r>
      <w:r>
        <w:rPr>
          <w:vertAlign w:val="baseline"/>
        </w:rPr>
        <w:t>be</w:t>
      </w:r>
      <w:r>
        <w:rPr>
          <w:spacing w:val="-3"/>
          <w:vertAlign w:val="baseline"/>
        </w:rPr>
        <w:t> </w:t>
      </w:r>
      <w:r>
        <w:rPr>
          <w:vertAlign w:val="baseline"/>
        </w:rPr>
        <w:t>regarded</w:t>
      </w:r>
      <w:r>
        <w:rPr>
          <w:spacing w:val="-3"/>
          <w:vertAlign w:val="baseline"/>
        </w:rPr>
        <w:t> </w:t>
      </w:r>
      <w:r>
        <w:rPr>
          <w:vertAlign w:val="baseline"/>
        </w:rPr>
        <w:t>as</w:t>
      </w:r>
      <w:r>
        <w:rPr>
          <w:spacing w:val="-3"/>
          <w:vertAlign w:val="baseline"/>
        </w:rPr>
        <w:t> </w:t>
      </w:r>
      <w:r>
        <w:rPr>
          <w:vertAlign w:val="baseline"/>
        </w:rPr>
        <w:t>consideration for a counter-promise if the performance of the promise would have been so regarded. </w:t>
      </w:r>
      <w:r>
        <w:rPr>
          <w:color w:val="005DA1"/>
          <w:u w:val="single" w:color="005DA1"/>
          <w:vertAlign w:val="superscript"/>
        </w:rPr>
        <w:t>38</w:t>
      </w:r>
      <w:r>
        <w:rPr>
          <w:color w:val="005DA1"/>
          <w:vertAlign w:val="baseline"/>
        </w:rPr>
        <w:t> </w:t>
      </w:r>
      <w:r>
        <w:rPr>
          <w:vertAlign w:val="baseline"/>
        </w:rPr>
        <w:t>It is, for </w:t>
      </w:r>
      <w:bookmarkStart w:name="_bookmark45" w:id="47"/>
      <w:bookmarkEnd w:id="47"/>
      <w:r>
        <w:rPr>
          <w:vertAlign w:val="baseline"/>
        </w:rPr>
        <w:t>example,</w:t>
      </w:r>
      <w:r>
        <w:rPr>
          <w:vertAlign w:val="baseline"/>
        </w:rPr>
        <w:t> settled that part payment of a debt by the debtor on or after the due day does not amount to consideration for a promise by the creditor to forgo the balance, </w:t>
      </w:r>
      <w:r>
        <w:rPr>
          <w:color w:val="005DA1"/>
          <w:u w:val="single" w:color="005DA1"/>
          <w:vertAlign w:val="superscript"/>
        </w:rPr>
        <w:t>39</w:t>
      </w:r>
      <w:r>
        <w:rPr>
          <w:color w:val="005DA1"/>
          <w:vertAlign w:val="baseline"/>
        </w:rPr>
        <w:t> </w:t>
      </w:r>
      <w:r>
        <w:rPr>
          <w:vertAlign w:val="baseline"/>
        </w:rPr>
        <w:t>and the position would be exactly the same if the debtor, instead of actually making such a payment, simply promised to do so. Similarly, a promise to make a gift of £100 could not be made binding by a counter-promise to accept it since performance of the counter-promise could not conceivably amount to a benefit to the original promisor or to a detriment to the original promisee. Such benefit or detriment can (in such a case) </w:t>
      </w:r>
      <w:bookmarkStart w:name="_bookmark46" w:id="48"/>
      <w:bookmarkEnd w:id="48"/>
      <w:r>
        <w:rPr>
          <w:vertAlign w:val="baseline"/>
        </w:rPr>
        <w:t>arise</w:t>
      </w:r>
      <w:r>
        <w:rPr>
          <w:vertAlign w:val="baseline"/>
        </w:rPr>
        <w:t> only if the subject-matter of the promised gift is onerous property and the donee makes a counter-promise to discharge the obligations attached to it: e.g. to perform the covenants in a lease,</w:t>
      </w:r>
      <w:r>
        <w:rPr>
          <w:spacing w:val="-1"/>
          <w:vertAlign w:val="baseline"/>
        </w:rPr>
        <w:t> </w:t>
      </w:r>
      <w:r>
        <w:rPr>
          <w:color w:val="005DA1"/>
          <w:spacing w:val="-5"/>
          <w:u w:val="single" w:color="005DA1"/>
          <w:vertAlign w:val="superscript"/>
        </w:rPr>
        <w:t>40</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47" w:id="49"/>
      <w:bookmarkEnd w:id="49"/>
      <w:r>
        <w:rPr/>
      </w:r>
      <w:r>
        <w:rPr/>
        <w:t>or to pay outstanding mortgage instalments </w:t>
      </w:r>
      <w:r>
        <w:rPr>
          <w:color w:val="005DA1"/>
          <w:u w:val="single" w:color="005DA1"/>
          <w:vertAlign w:val="superscript"/>
        </w:rPr>
        <w:t>41</w:t>
      </w:r>
      <w:r>
        <w:rPr>
          <w:color w:val="005DA1"/>
          <w:vertAlign w:val="baseline"/>
        </w:rPr>
        <w:t> </w:t>
      </w:r>
      <w:r>
        <w:rPr>
          <w:vertAlign w:val="baseline"/>
        </w:rPr>
        <w:t>or to pay calls on shares. </w:t>
      </w:r>
      <w:r>
        <w:rPr>
          <w:color w:val="005DA1"/>
          <w:u w:val="single" w:color="005DA1"/>
          <w:vertAlign w:val="superscript"/>
        </w:rPr>
        <w:t>42</w:t>
      </w:r>
      <w:r>
        <w:rPr>
          <w:color w:val="005DA1"/>
          <w:vertAlign w:val="baseline"/>
        </w:rPr>
        <w:t> </w:t>
      </w:r>
      <w:r>
        <w:rPr>
          <w:vertAlign w:val="baseline"/>
        </w:rPr>
        <w:t>Of course if the property is worth more than the obligations attached to it there will be an element of gift in such a </w:t>
      </w:r>
      <w:r>
        <w:rPr>
          <w:vertAlign w:val="baseline"/>
        </w:rPr>
        <w:t>transaction;</w:t>
      </w:r>
      <w:r>
        <w:rPr>
          <w:spacing w:val="40"/>
          <w:vertAlign w:val="baseline"/>
        </w:rPr>
        <w:t> </w:t>
      </w:r>
      <w:bookmarkStart w:name="_bookmark48" w:id="50"/>
      <w:bookmarkEnd w:id="50"/>
      <w:r>
        <w:rPr>
          <w:vertAlign w:val="baseline"/>
        </w:rPr>
        <w:t>and</w:t>
      </w:r>
      <w:r>
        <w:rPr>
          <w:vertAlign w:val="baseline"/>
        </w:rPr>
        <w:t> special safeguards are provided by law to ensure that certain categories of third parties (such as creditors of the promisor) are not prejudiced by this aspect of the transaction. </w:t>
      </w:r>
      <w:r>
        <w:rPr>
          <w:color w:val="005DA1"/>
          <w:u w:val="single" w:color="005DA1"/>
          <w:vertAlign w:val="superscript"/>
        </w:rPr>
        <w:t>43</w:t>
      </w:r>
    </w:p>
    <w:p>
      <w:pPr>
        <w:pStyle w:val="BodyText"/>
      </w:pPr>
    </w:p>
    <w:p>
      <w:pPr>
        <w:pStyle w:val="BodyText"/>
        <w:spacing w:before="37"/>
      </w:pPr>
    </w:p>
    <w:p>
      <w:pPr>
        <w:spacing w:before="0"/>
        <w:ind w:left="165" w:right="0" w:firstLine="0"/>
        <w:jc w:val="left"/>
        <w:rPr>
          <w:rFonts w:ascii="Arial"/>
          <w:b/>
          <w:sz w:val="18"/>
        </w:rPr>
      </w:pPr>
      <w:r>
        <w:rPr>
          <w:rFonts w:ascii="Arial"/>
          <w:b/>
          <w:sz w:val="18"/>
        </w:rPr>
        <w:t>Mutual promises as consideration for each </w:t>
      </w:r>
      <w:r>
        <w:rPr>
          <w:rFonts w:ascii="Arial"/>
          <w:b/>
          <w:spacing w:val="-2"/>
          <w:sz w:val="18"/>
        </w:rPr>
        <w:t>other</w:t>
      </w:r>
    </w:p>
    <w:p>
      <w:pPr>
        <w:pStyle w:val="BodyText"/>
        <w:spacing w:before="41"/>
        <w:rPr>
          <w:rFonts w:ascii="Arial"/>
          <w:b/>
          <w:sz w:val="18"/>
        </w:rPr>
      </w:pPr>
    </w:p>
    <w:p>
      <w:pPr>
        <w:pStyle w:val="Heading2"/>
      </w:pPr>
      <w:r>
        <w:rPr/>
        <w:t>4-</w:t>
      </w:r>
      <w:r>
        <w:rPr>
          <w:spacing w:val="-5"/>
        </w:rPr>
        <w:t>009</w:t>
      </w:r>
    </w:p>
    <w:p>
      <w:pPr>
        <w:pStyle w:val="BodyText"/>
        <w:spacing w:line="235" w:lineRule="auto" w:before="203"/>
        <w:ind w:left="165" w:right="167"/>
        <w:jc w:val="both"/>
      </w:pPr>
      <w:r>
        <w:rPr/>
        <w:t>Some</w:t>
      </w:r>
      <w:r>
        <w:rPr>
          <w:spacing w:val="-1"/>
        </w:rPr>
        <w:t> </w:t>
      </w:r>
      <w:r>
        <w:rPr/>
        <w:t>difficulty</w:t>
      </w:r>
      <w:r>
        <w:rPr>
          <w:spacing w:val="-1"/>
        </w:rPr>
        <w:t> </w:t>
      </w:r>
      <w:r>
        <w:rPr/>
        <w:t>has</w:t>
      </w:r>
      <w:r>
        <w:rPr>
          <w:spacing w:val="-1"/>
        </w:rPr>
        <w:t> </w:t>
      </w:r>
      <w:r>
        <w:rPr/>
        <w:t>been</w:t>
      </w:r>
      <w:r>
        <w:rPr>
          <w:spacing w:val="-1"/>
        </w:rPr>
        <w:t> </w:t>
      </w:r>
      <w:r>
        <w:rPr/>
        <w:t>felt</w:t>
      </w:r>
      <w:r>
        <w:rPr>
          <w:spacing w:val="-1"/>
        </w:rPr>
        <w:t> </w:t>
      </w:r>
      <w:r>
        <w:rPr/>
        <w:t>in</w:t>
      </w:r>
      <w:r>
        <w:rPr>
          <w:spacing w:val="-1"/>
        </w:rPr>
        <w:t> </w:t>
      </w:r>
      <w:r>
        <w:rPr/>
        <w:t>explaining</w:t>
      </w:r>
      <w:r>
        <w:rPr>
          <w:spacing w:val="-1"/>
        </w:rPr>
        <w:t> </w:t>
      </w:r>
      <w:r>
        <w:rPr/>
        <w:t>the</w:t>
      </w:r>
      <w:r>
        <w:rPr>
          <w:spacing w:val="-1"/>
        </w:rPr>
        <w:t> </w:t>
      </w:r>
      <w:r>
        <w:rPr/>
        <w:t>rule</w:t>
      </w:r>
      <w:r>
        <w:rPr>
          <w:spacing w:val="-1"/>
        </w:rPr>
        <w:t> </w:t>
      </w:r>
      <w:r>
        <w:rPr/>
        <w:t>that</w:t>
      </w:r>
      <w:r>
        <w:rPr>
          <w:spacing w:val="-1"/>
        </w:rPr>
        <w:t> </w:t>
      </w:r>
      <w:r>
        <w:rPr/>
        <w:t>mutual</w:t>
      </w:r>
      <w:r>
        <w:rPr>
          <w:spacing w:val="-1"/>
        </w:rPr>
        <w:t> </w:t>
      </w:r>
      <w:r>
        <w:rPr/>
        <w:t>promises</w:t>
      </w:r>
      <w:r>
        <w:rPr>
          <w:spacing w:val="-1"/>
        </w:rPr>
        <w:t> </w:t>
      </w:r>
      <w:r>
        <w:rPr/>
        <w:t>can</w:t>
      </w:r>
      <w:r>
        <w:rPr>
          <w:spacing w:val="-1"/>
        </w:rPr>
        <w:t> </w:t>
      </w:r>
      <w:r>
        <w:rPr/>
        <w:t>be</w:t>
      </w:r>
      <w:r>
        <w:rPr>
          <w:spacing w:val="-1"/>
        </w:rPr>
        <w:t> </w:t>
      </w:r>
      <w:r>
        <w:rPr/>
        <w:t>consideration</w:t>
      </w:r>
      <w:r>
        <w:rPr>
          <w:spacing w:val="-1"/>
        </w:rPr>
        <w:t> </w:t>
      </w:r>
      <w:r>
        <w:rPr/>
        <w:t>for</w:t>
      </w:r>
      <w:r>
        <w:rPr>
          <w:spacing w:val="-1"/>
        </w:rPr>
        <w:t> </w:t>
      </w:r>
      <w:r>
        <w:rPr/>
        <w:t>each other.</w:t>
      </w:r>
      <w:r>
        <w:rPr>
          <w:spacing w:val="-1"/>
        </w:rPr>
        <w:t> </w:t>
      </w:r>
      <w:r>
        <w:rPr/>
        <w:t>At</w:t>
      </w:r>
      <w:r>
        <w:rPr>
          <w:spacing w:val="-1"/>
        </w:rPr>
        <w:t> </w:t>
      </w:r>
      <w:r>
        <w:rPr/>
        <w:t>first</w:t>
      </w:r>
      <w:r>
        <w:rPr>
          <w:spacing w:val="-1"/>
        </w:rPr>
        <w:t> </w:t>
      </w:r>
      <w:r>
        <w:rPr/>
        <w:t>sight,</w:t>
      </w:r>
      <w:r>
        <w:rPr>
          <w:spacing w:val="-1"/>
        </w:rPr>
        <w:t> </w:t>
      </w:r>
      <w:r>
        <w:rPr/>
        <w:t>it</w:t>
      </w:r>
      <w:r>
        <w:rPr>
          <w:spacing w:val="-1"/>
        </w:rPr>
        <w:t> </w:t>
      </w:r>
      <w:r>
        <w:rPr/>
        <w:t>might</w:t>
      </w:r>
      <w:r>
        <w:rPr>
          <w:spacing w:val="-1"/>
        </w:rPr>
        <w:t> </w:t>
      </w:r>
      <w:r>
        <w:rPr/>
        <w:t>seem</w:t>
      </w:r>
      <w:r>
        <w:rPr>
          <w:spacing w:val="-1"/>
        </w:rPr>
        <w:t> </w:t>
      </w:r>
      <w:r>
        <w:rPr/>
        <w:t>that</w:t>
      </w:r>
      <w:r>
        <w:rPr>
          <w:spacing w:val="-1"/>
        </w:rPr>
        <w:t> </w:t>
      </w:r>
      <w:r>
        <w:rPr/>
        <w:t>the</w:t>
      </w:r>
      <w:r>
        <w:rPr>
          <w:spacing w:val="-1"/>
        </w:rPr>
        <w:t> </w:t>
      </w:r>
      <w:r>
        <w:rPr/>
        <w:t>mere</w:t>
      </w:r>
      <w:r>
        <w:rPr>
          <w:spacing w:val="-1"/>
        </w:rPr>
        <w:t> </w:t>
      </w:r>
      <w:r>
        <w:rPr/>
        <w:t>giving</w:t>
      </w:r>
      <w:r>
        <w:rPr>
          <w:spacing w:val="-1"/>
        </w:rPr>
        <w:t> </w:t>
      </w:r>
      <w:r>
        <w:rPr/>
        <w:t>of</w:t>
      </w:r>
      <w:r>
        <w:rPr>
          <w:spacing w:val="-1"/>
        </w:rPr>
        <w:t> </w:t>
      </w:r>
      <w:r>
        <w:rPr/>
        <w:t>a</w:t>
      </w:r>
      <w:r>
        <w:rPr>
          <w:spacing w:val="-1"/>
        </w:rPr>
        <w:t> </w:t>
      </w:r>
      <w:r>
        <w:rPr/>
        <w:t>promise</w:t>
      </w:r>
      <w:r>
        <w:rPr>
          <w:spacing w:val="-1"/>
        </w:rPr>
        <w:t> </w:t>
      </w:r>
      <w:r>
        <w:rPr/>
        <w:t>was</w:t>
      </w:r>
      <w:r>
        <w:rPr>
          <w:spacing w:val="-1"/>
        </w:rPr>
        <w:t> </w:t>
      </w:r>
      <w:r>
        <w:rPr/>
        <w:t>not</w:t>
      </w:r>
      <w:r>
        <w:rPr>
          <w:spacing w:val="-1"/>
        </w:rPr>
        <w:t> </w:t>
      </w:r>
      <w:r>
        <w:rPr/>
        <w:t>a</w:t>
      </w:r>
      <w:r>
        <w:rPr>
          <w:spacing w:val="-1"/>
        </w:rPr>
        <w:t> </w:t>
      </w:r>
      <w:r>
        <w:rPr/>
        <w:t>detriment,</w:t>
      </w:r>
      <w:r>
        <w:rPr>
          <w:spacing w:val="-1"/>
        </w:rPr>
        <w:t> </w:t>
      </w:r>
      <w:r>
        <w:rPr/>
        <w:t>nor</w:t>
      </w:r>
      <w:r>
        <w:rPr>
          <w:spacing w:val="-1"/>
        </w:rPr>
        <w:t> </w:t>
      </w:r>
      <w:r>
        <w:rPr/>
        <w:t>its</w:t>
      </w:r>
      <w:r>
        <w:rPr>
          <w:spacing w:val="-1"/>
        </w:rPr>
        <w:t> </w:t>
      </w:r>
      <w:r>
        <w:rPr/>
        <w:t>receipt a benefit, so as to make the counter-promise binding. It will not do to say that the person making the promise suffers a detriment because he is legally bound to perform it; for if this assumption is made about one of the promises, it must also be made of the other, so that the “explanation” assumes the very point in issue. Probably the reason for the rule is simpler. A person who makes a commercial promise expects to have to perform it (and is in fact under considerable pressure to do so). </w:t>
      </w:r>
      <w:bookmarkStart w:name="_bookmark49" w:id="51"/>
      <w:bookmarkEnd w:id="51"/>
      <w:r>
        <w:rPr/>
        <w:t>Correspondingly,</w:t>
      </w:r>
      <w:r>
        <w:rPr/>
        <w:t> one who receives such a promise expects it to be kept. These expectations, which can</w:t>
      </w:r>
      <w:r>
        <w:rPr>
          <w:spacing w:val="-1"/>
        </w:rPr>
        <w:t> </w:t>
      </w:r>
      <w:r>
        <w:rPr/>
        <w:t>exist</w:t>
      </w:r>
      <w:r>
        <w:rPr>
          <w:spacing w:val="-1"/>
        </w:rPr>
        <w:t> </w:t>
      </w:r>
      <w:r>
        <w:rPr/>
        <w:t>even</w:t>
      </w:r>
      <w:r>
        <w:rPr>
          <w:spacing w:val="-1"/>
        </w:rPr>
        <w:t> </w:t>
      </w:r>
      <w:r>
        <w:rPr/>
        <w:t>where</w:t>
      </w:r>
      <w:r>
        <w:rPr>
          <w:spacing w:val="-1"/>
        </w:rPr>
        <w:t> </w:t>
      </w:r>
      <w:r>
        <w:rPr/>
        <w:t>the</w:t>
      </w:r>
      <w:r>
        <w:rPr>
          <w:spacing w:val="-1"/>
        </w:rPr>
        <w:t> </w:t>
      </w:r>
      <w:r>
        <w:rPr/>
        <w:t>promise</w:t>
      </w:r>
      <w:r>
        <w:rPr>
          <w:spacing w:val="-1"/>
        </w:rPr>
        <w:t> </w:t>
      </w:r>
      <w:r>
        <w:rPr/>
        <w:t>is</w:t>
      </w:r>
      <w:r>
        <w:rPr>
          <w:spacing w:val="-1"/>
        </w:rPr>
        <w:t> </w:t>
      </w:r>
      <w:r>
        <w:rPr/>
        <w:t>not</w:t>
      </w:r>
      <w:r>
        <w:rPr>
          <w:spacing w:val="-1"/>
        </w:rPr>
        <w:t> </w:t>
      </w:r>
      <w:r>
        <w:rPr/>
        <w:t>legally</w:t>
      </w:r>
      <w:r>
        <w:rPr>
          <w:spacing w:val="-1"/>
        </w:rPr>
        <w:t> </w:t>
      </w:r>
      <w:r>
        <w:rPr/>
        <w:t>enforceable,</w:t>
      </w:r>
      <w:r>
        <w:rPr>
          <w:spacing w:val="-2"/>
        </w:rPr>
        <w:t> </w:t>
      </w:r>
      <w:r>
        <w:rPr>
          <w:color w:val="005DA1"/>
          <w:u w:val="single" w:color="005DA1"/>
          <w:vertAlign w:val="superscript"/>
        </w:rPr>
        <w:t>44</w:t>
      </w:r>
      <w:r>
        <w:rPr>
          <w:color w:val="005DA1"/>
          <w:spacing w:val="-1"/>
          <w:vertAlign w:val="baseline"/>
        </w:rPr>
        <w:t> </w:t>
      </w:r>
      <w:r>
        <w:rPr>
          <w:vertAlign w:val="baseline"/>
        </w:rPr>
        <w:t>are</w:t>
      </w:r>
      <w:r>
        <w:rPr>
          <w:spacing w:val="-1"/>
          <w:vertAlign w:val="baseline"/>
        </w:rPr>
        <w:t> </w:t>
      </w:r>
      <w:r>
        <w:rPr>
          <w:vertAlign w:val="baseline"/>
        </w:rPr>
        <w:t>based</w:t>
      </w:r>
      <w:r>
        <w:rPr>
          <w:spacing w:val="-1"/>
          <w:vertAlign w:val="baseline"/>
        </w:rPr>
        <w:t> </w:t>
      </w:r>
      <w:r>
        <w:rPr>
          <w:vertAlign w:val="baseline"/>
        </w:rPr>
        <w:t>on</w:t>
      </w:r>
      <w:r>
        <w:rPr>
          <w:spacing w:val="-1"/>
          <w:vertAlign w:val="baseline"/>
        </w:rPr>
        <w:t> </w:t>
      </w:r>
      <w:r>
        <w:rPr>
          <w:vertAlign w:val="baseline"/>
        </w:rPr>
        <w:t>commercial</w:t>
      </w:r>
      <w:r>
        <w:rPr>
          <w:spacing w:val="-1"/>
          <w:vertAlign w:val="baseline"/>
        </w:rPr>
        <w:t> </w:t>
      </w:r>
      <w:r>
        <w:rPr>
          <w:vertAlign w:val="baseline"/>
        </w:rPr>
        <w:t>morality,</w:t>
      </w:r>
      <w:r>
        <w:rPr>
          <w:spacing w:val="-1"/>
          <w:vertAlign w:val="baseline"/>
        </w:rPr>
        <w:t> </w:t>
      </w:r>
      <w:r>
        <w:rPr>
          <w:vertAlign w:val="baseline"/>
        </w:rPr>
        <w:t>and can properly be called a detriment and a benefit; hence they satisfy the requirement of consideration in the case of mutual promises.</w:t>
      </w:r>
    </w:p>
    <w:p>
      <w:pPr>
        <w:pStyle w:val="BodyText"/>
      </w:pPr>
    </w:p>
    <w:p>
      <w:pPr>
        <w:pStyle w:val="BodyText"/>
        <w:spacing w:before="34"/>
      </w:pPr>
    </w:p>
    <w:p>
      <w:pPr>
        <w:spacing w:before="0"/>
        <w:ind w:left="165" w:right="0" w:firstLine="0"/>
        <w:jc w:val="left"/>
        <w:rPr>
          <w:rFonts w:ascii="Arial"/>
          <w:b/>
          <w:sz w:val="18"/>
        </w:rPr>
      </w:pPr>
      <w:r>
        <w:rPr>
          <w:rFonts w:ascii="Arial"/>
          <w:b/>
          <w:sz w:val="18"/>
        </w:rPr>
        <w:t>Invented </w:t>
      </w:r>
      <w:r>
        <w:rPr>
          <w:rFonts w:ascii="Arial"/>
          <w:b/>
          <w:spacing w:val="-2"/>
          <w:sz w:val="18"/>
        </w:rPr>
        <w:t>consideration</w:t>
      </w:r>
    </w:p>
    <w:p>
      <w:pPr>
        <w:pStyle w:val="BodyText"/>
        <w:spacing w:before="41"/>
        <w:rPr>
          <w:rFonts w:ascii="Arial"/>
          <w:b/>
          <w:sz w:val="18"/>
        </w:rPr>
      </w:pPr>
    </w:p>
    <w:p>
      <w:pPr>
        <w:pStyle w:val="Heading2"/>
        <w:spacing w:before="1"/>
      </w:pPr>
      <w:r>
        <w:rPr/>
        <w:t>4-</w:t>
      </w:r>
      <w:r>
        <w:rPr>
          <w:spacing w:val="-5"/>
        </w:rPr>
        <w:t>010</w:t>
      </w:r>
    </w:p>
    <w:p>
      <w:pPr>
        <w:pStyle w:val="BodyText"/>
        <w:spacing w:line="235" w:lineRule="auto" w:before="202"/>
        <w:ind w:left="165" w:right="167"/>
        <w:jc w:val="both"/>
      </w:pPr>
      <w:r>
        <w:rPr/>
        <w:t>Normally, a party enters into a contract with a view to obtaining the consideration promised by </w:t>
      </w:r>
      <w:r>
        <w:rPr/>
        <w:t>the other: for example, the buyer wants the goods and the seller the price. In the United States it has</w:t>
      </w:r>
      <w:r>
        <w:rPr>
          <w:spacing w:val="40"/>
        </w:rPr>
        <w:t> </w:t>
      </w:r>
      <w:bookmarkStart w:name="_bookmark50" w:id="52"/>
      <w:bookmarkEnd w:id="52"/>
      <w:r>
        <w:rPr/>
        <w:t>been</w:t>
      </w:r>
      <w:r>
        <w:rPr>
          <w:spacing w:val="-1"/>
        </w:rPr>
        <w:t> </w:t>
      </w:r>
      <w:r>
        <w:rPr/>
        <w:t>said</w:t>
      </w:r>
      <w:r>
        <w:rPr>
          <w:spacing w:val="-1"/>
        </w:rPr>
        <w:t> </w:t>
      </w:r>
      <w:r>
        <w:rPr/>
        <w:t>that</w:t>
      </w:r>
      <w:r>
        <w:rPr>
          <w:spacing w:val="-1"/>
        </w:rPr>
        <w:t> </w:t>
      </w:r>
      <w:r>
        <w:rPr/>
        <w:t>this</w:t>
      </w:r>
      <w:r>
        <w:rPr>
          <w:spacing w:val="-1"/>
        </w:rPr>
        <w:t> </w:t>
      </w:r>
      <w:r>
        <w:rPr/>
        <w:t>is</w:t>
      </w:r>
      <w:r>
        <w:rPr>
          <w:spacing w:val="-1"/>
        </w:rPr>
        <w:t> </w:t>
      </w:r>
      <w:r>
        <w:rPr/>
        <w:t>essential,</w:t>
      </w:r>
      <w:r>
        <w:rPr>
          <w:spacing w:val="-1"/>
        </w:rPr>
        <w:t> </w:t>
      </w:r>
      <w:r>
        <w:rPr/>
        <w:t>and</w:t>
      </w:r>
      <w:r>
        <w:rPr>
          <w:spacing w:val="-1"/>
        </w:rPr>
        <w:t> </w:t>
      </w:r>
      <w:r>
        <w:rPr/>
        <w:t>that</w:t>
      </w:r>
      <w:r>
        <w:rPr>
          <w:spacing w:val="-1"/>
        </w:rPr>
        <w:t> </w:t>
      </w:r>
      <w:r>
        <w:rPr/>
        <w:t>“Nothing</w:t>
      </w:r>
      <w:r>
        <w:rPr>
          <w:spacing w:val="-1"/>
        </w:rPr>
        <w:t> </w:t>
      </w:r>
      <w:r>
        <w:rPr/>
        <w:t>is</w:t>
      </w:r>
      <w:r>
        <w:rPr>
          <w:spacing w:val="-1"/>
        </w:rPr>
        <w:t> </w:t>
      </w:r>
      <w:r>
        <w:rPr/>
        <w:t>consideration</w:t>
      </w:r>
      <w:r>
        <w:rPr>
          <w:spacing w:val="-1"/>
        </w:rPr>
        <w:t> </w:t>
      </w:r>
      <w:r>
        <w:rPr/>
        <w:t>that</w:t>
      </w:r>
      <w:r>
        <w:rPr>
          <w:spacing w:val="-1"/>
        </w:rPr>
        <w:t> </w:t>
      </w:r>
      <w:r>
        <w:rPr/>
        <w:t>is</w:t>
      </w:r>
      <w:r>
        <w:rPr>
          <w:spacing w:val="-1"/>
        </w:rPr>
        <w:t> </w:t>
      </w:r>
      <w:r>
        <w:rPr/>
        <w:t>not</w:t>
      </w:r>
      <w:r>
        <w:rPr>
          <w:spacing w:val="-1"/>
        </w:rPr>
        <w:t> </w:t>
      </w:r>
      <w:r>
        <w:rPr/>
        <w:t>regarded</w:t>
      </w:r>
      <w:r>
        <w:rPr>
          <w:spacing w:val="-1"/>
        </w:rPr>
        <w:t> </w:t>
      </w:r>
      <w:r>
        <w:rPr/>
        <w:t>as</w:t>
      </w:r>
      <w:r>
        <w:rPr>
          <w:spacing w:val="-1"/>
        </w:rPr>
        <w:t> </w:t>
      </w:r>
      <w:r>
        <w:rPr/>
        <w:t>such</w:t>
      </w:r>
      <w:r>
        <w:rPr>
          <w:spacing w:val="-1"/>
        </w:rPr>
        <w:t> </w:t>
      </w:r>
      <w:r>
        <w:rPr/>
        <w:t>by</w:t>
      </w:r>
      <w:r>
        <w:rPr>
          <w:spacing w:val="-1"/>
        </w:rPr>
        <w:t> </w:t>
      </w:r>
      <w:r>
        <w:rPr/>
        <w:t>both parties.” </w:t>
      </w:r>
      <w:r>
        <w:rPr>
          <w:color w:val="005DA1"/>
          <w:u w:val="single" w:color="005DA1"/>
          <w:vertAlign w:val="superscript"/>
        </w:rPr>
        <w:t>45</w:t>
      </w:r>
      <w:r>
        <w:rPr>
          <w:color w:val="005DA1"/>
          <w:vertAlign w:val="baseline"/>
        </w:rPr>
        <w:t> </w:t>
      </w:r>
      <w:r>
        <w:rPr>
          <w:vertAlign w:val="baseline"/>
        </w:rPr>
        <w:t>But English courts do not insist on this requirement and may regard an act or forbearance </w:t>
      </w:r>
      <w:bookmarkStart w:name="_bookmark51" w:id="53"/>
      <w:bookmarkEnd w:id="53"/>
      <w:r>
        <w:rPr>
          <w:vertAlign w:val="baseline"/>
        </w:rPr>
        <w:t>as</w:t>
      </w:r>
      <w:r>
        <w:rPr>
          <w:vertAlign w:val="baseline"/>
        </w:rPr>
        <w:t> consideration even though the promisee “did not consciously realise that [he was] subjecting </w:t>
      </w:r>
      <w:bookmarkStart w:name="_bookmark52" w:id="54"/>
      <w:bookmarkEnd w:id="54"/>
      <w:r>
        <w:rPr>
          <w:vertAlign w:val="baseline"/>
        </w:rPr>
        <w:t>himself</w:t>
      </w:r>
      <w:r>
        <w:rPr>
          <w:vertAlign w:val="baseline"/>
        </w:rPr>
        <w:t> to a detriment and [was] giving consideration for the [promisor’s] undertaking” </w:t>
      </w:r>
      <w:r>
        <w:rPr>
          <w:color w:val="005DA1"/>
          <w:u w:val="single" w:color="005DA1"/>
          <w:vertAlign w:val="superscript"/>
        </w:rPr>
        <w:t>46</w:t>
      </w:r>
      <w:r>
        <w:rPr>
          <w:color w:val="005DA1"/>
          <w:vertAlign w:val="baseline"/>
        </w:rPr>
        <w:t> </w:t>
      </w:r>
      <w:r>
        <w:rPr>
          <w:vertAlign w:val="baseline"/>
        </w:rPr>
        <w:t>or even though it was not the object of the promisor to secure it. </w:t>
      </w:r>
      <w:r>
        <w:rPr>
          <w:color w:val="005DA1"/>
          <w:u w:val="single" w:color="005DA1"/>
          <w:vertAlign w:val="superscript"/>
        </w:rPr>
        <w:t>47</w:t>
      </w:r>
      <w:r>
        <w:rPr>
          <w:color w:val="005DA1"/>
          <w:vertAlign w:val="baseline"/>
        </w:rPr>
        <w:t> </w:t>
      </w:r>
      <w:r>
        <w:rPr>
          <w:vertAlign w:val="baseline"/>
        </w:rPr>
        <w:t>They may also treat the possibility of some </w:t>
      </w:r>
      <w:bookmarkStart w:name="_bookmark53" w:id="55"/>
      <w:bookmarkEnd w:id="55"/>
      <w:r>
        <w:rPr>
          <w:vertAlign w:val="baseline"/>
        </w:rPr>
        <w:t>prejudice</w:t>
      </w:r>
      <w:r>
        <w:rPr>
          <w:vertAlign w:val="baseline"/>
        </w:rPr>
        <w:t> to the promisee as a detriment without regard to the question whether it has in fact been suffered. </w:t>
      </w:r>
      <w:r>
        <w:rPr>
          <w:color w:val="005DA1"/>
          <w:u w:val="single" w:color="005DA1"/>
          <w:vertAlign w:val="superscript"/>
        </w:rPr>
        <w:t>48</w:t>
      </w:r>
      <w:r>
        <w:rPr>
          <w:color w:val="005DA1"/>
          <w:vertAlign w:val="baseline"/>
        </w:rPr>
        <w:t> </w:t>
      </w:r>
      <w:r>
        <w:rPr>
          <w:vertAlign w:val="baseline"/>
        </w:rPr>
        <w:t>These practices may be called “inventing” consideration, </w:t>
      </w:r>
      <w:r>
        <w:rPr>
          <w:color w:val="005DA1"/>
          <w:u w:val="single" w:color="005DA1"/>
          <w:vertAlign w:val="superscript"/>
        </w:rPr>
        <w:t>49</w:t>
      </w:r>
      <w:r>
        <w:rPr>
          <w:color w:val="005DA1"/>
          <w:vertAlign w:val="baseline"/>
        </w:rPr>
        <w:t> </w:t>
      </w:r>
      <w:r>
        <w:rPr>
          <w:vertAlign w:val="baseline"/>
        </w:rPr>
        <w:t>and the temptation to adopt one or the other of them is particularly strong when the act or forbearance which was actually bargained for cannot be regarded as consideration for some reason which is thought to be technical </w:t>
      </w:r>
      <w:bookmarkStart w:name="_bookmark54" w:id="56"/>
      <w:bookmarkEnd w:id="56"/>
      <w:r>
        <w:rPr>
          <w:vertAlign w:val="baseline"/>
        </w:rPr>
        <w:t>and</w:t>
      </w:r>
      <w:r>
        <w:rPr>
          <w:vertAlign w:val="baseline"/>
        </w:rPr>
        <w:t> without merit. In such cases the practice of inventing consideration may help to make the operation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doctrine</w:t>
      </w:r>
      <w:r>
        <w:rPr>
          <w:spacing w:val="-2"/>
          <w:vertAlign w:val="baseline"/>
        </w:rPr>
        <w:t> </w:t>
      </w:r>
      <w:r>
        <w:rPr>
          <w:vertAlign w:val="baseline"/>
        </w:rPr>
        <w:t>of</w:t>
      </w:r>
      <w:r>
        <w:rPr>
          <w:spacing w:val="-2"/>
          <w:vertAlign w:val="baseline"/>
        </w:rPr>
        <w:t> </w:t>
      </w:r>
      <w:r>
        <w:rPr>
          <w:vertAlign w:val="baseline"/>
        </w:rPr>
        <w:t>consideration</w:t>
      </w:r>
      <w:r>
        <w:rPr>
          <w:spacing w:val="-2"/>
          <w:vertAlign w:val="baseline"/>
        </w:rPr>
        <w:t> </w:t>
      </w:r>
      <w:r>
        <w:rPr>
          <w:vertAlign w:val="baseline"/>
        </w:rPr>
        <w:t>more</w:t>
      </w:r>
      <w:r>
        <w:rPr>
          <w:spacing w:val="-2"/>
          <w:vertAlign w:val="baseline"/>
        </w:rPr>
        <w:t> </w:t>
      </w:r>
      <w:r>
        <w:rPr>
          <w:vertAlign w:val="baseline"/>
        </w:rPr>
        <w:t>acceptable</w:t>
      </w:r>
      <w:r>
        <w:rPr>
          <w:spacing w:val="-3"/>
          <w:vertAlign w:val="baseline"/>
        </w:rPr>
        <w:t> </w:t>
      </w:r>
      <w:r>
        <w:rPr>
          <w:color w:val="005DA1"/>
          <w:u w:val="single" w:color="005DA1"/>
          <w:vertAlign w:val="superscript"/>
        </w:rPr>
        <w:t>50</w:t>
      </w:r>
      <w:r>
        <w:rPr>
          <w:vertAlign w:val="baseline"/>
        </w:rPr>
        <w:t>;</w:t>
      </w:r>
      <w:r>
        <w:rPr>
          <w:spacing w:val="-2"/>
          <w:vertAlign w:val="baseline"/>
        </w:rPr>
        <w:t> </w:t>
      </w:r>
      <w:r>
        <w:rPr>
          <w:vertAlign w:val="baseline"/>
        </w:rPr>
        <w:t>but</w:t>
      </w:r>
      <w:r>
        <w:rPr>
          <w:spacing w:val="-2"/>
          <w:vertAlign w:val="baseline"/>
        </w:rPr>
        <w:t> </w:t>
      </w:r>
      <w:r>
        <w:rPr>
          <w:vertAlign w:val="baseline"/>
        </w:rPr>
        <w:t>the</w:t>
      </w:r>
      <w:r>
        <w:rPr>
          <w:spacing w:val="-2"/>
          <w:vertAlign w:val="baseline"/>
        </w:rPr>
        <w:t> </w:t>
      </w:r>
      <w:r>
        <w:rPr>
          <w:vertAlign w:val="baseline"/>
        </w:rPr>
        <w:t>practice</w:t>
      </w:r>
      <w:r>
        <w:rPr>
          <w:spacing w:val="-2"/>
          <w:vertAlign w:val="baseline"/>
        </w:rPr>
        <w:t> </w:t>
      </w:r>
      <w:r>
        <w:rPr>
          <w:vertAlign w:val="baseline"/>
        </w:rPr>
        <w:t>may</w:t>
      </w:r>
      <w:r>
        <w:rPr>
          <w:spacing w:val="-2"/>
          <w:vertAlign w:val="baseline"/>
        </w:rPr>
        <w:t> </w:t>
      </w:r>
      <w:r>
        <w:rPr>
          <w:vertAlign w:val="baseline"/>
        </w:rPr>
        <w:t>also</w:t>
      </w:r>
      <w:r>
        <w:rPr>
          <w:spacing w:val="-2"/>
          <w:vertAlign w:val="baseline"/>
        </w:rPr>
        <w:t> </w:t>
      </w:r>
      <w:r>
        <w:rPr>
          <w:vertAlign w:val="baseline"/>
        </w:rPr>
        <w:t>be</w:t>
      </w:r>
      <w:r>
        <w:rPr>
          <w:spacing w:val="-2"/>
          <w:vertAlign w:val="baseline"/>
        </w:rPr>
        <w:t> </w:t>
      </w:r>
      <w:r>
        <w:rPr>
          <w:vertAlign w:val="baseline"/>
        </w:rPr>
        <w:t>criticised</w:t>
      </w:r>
      <w:r>
        <w:rPr>
          <w:spacing w:val="-3"/>
          <w:vertAlign w:val="baseline"/>
        </w:rPr>
        <w:t> </w:t>
      </w:r>
      <w:r>
        <w:rPr>
          <w:color w:val="005DA1"/>
          <w:u w:val="single" w:color="005DA1"/>
          <w:vertAlign w:val="superscript"/>
        </w:rPr>
        <w:t>51</w:t>
      </w:r>
      <w:r>
        <w:rPr>
          <w:color w:val="005DA1"/>
          <w:vertAlign w:val="baseline"/>
        </w:rPr>
        <w:t> </w:t>
      </w:r>
      <w:r>
        <w:rPr>
          <w:vertAlign w:val="baseline"/>
        </w:rPr>
        <w:t>on the ground that it gives the courts a wide discretion to hold promises binding or not as they please. </w:t>
      </w:r>
      <w:bookmarkStart w:name="_bookmark55" w:id="57"/>
      <w:bookmarkEnd w:id="57"/>
      <w:r>
        <w:rPr>
          <w:vertAlign w:val="baseline"/>
        </w:rPr>
        <w:t>Thus</w:t>
      </w:r>
      <w:r>
        <w:rPr>
          <w:spacing w:val="-1"/>
          <w:vertAlign w:val="baseline"/>
        </w:rPr>
        <w:t> </w:t>
      </w:r>
      <w:r>
        <w:rPr>
          <w:vertAlign w:val="baseline"/>
        </w:rPr>
        <w:t>the</w:t>
      </w:r>
      <w:r>
        <w:rPr>
          <w:spacing w:val="-1"/>
          <w:vertAlign w:val="baseline"/>
        </w:rPr>
        <w:t> </w:t>
      </w:r>
      <w:r>
        <w:rPr>
          <w:vertAlign w:val="baseline"/>
        </w:rPr>
        <w:t>argument</w:t>
      </w:r>
      <w:r>
        <w:rPr>
          <w:spacing w:val="-1"/>
          <w:vertAlign w:val="baseline"/>
        </w:rPr>
        <w:t> </w:t>
      </w:r>
      <w:r>
        <w:rPr>
          <w:vertAlign w:val="baseline"/>
        </w:rPr>
        <w:t>that</w:t>
      </w:r>
      <w:r>
        <w:rPr>
          <w:spacing w:val="-2"/>
          <w:vertAlign w:val="baseline"/>
        </w:rPr>
        <w:t> </w:t>
      </w:r>
      <w:r>
        <w:rPr>
          <w:vertAlign w:val="baseline"/>
        </w:rPr>
        <w:t>the</w:t>
      </w:r>
      <w:r>
        <w:rPr>
          <w:spacing w:val="-1"/>
          <w:vertAlign w:val="baseline"/>
        </w:rPr>
        <w:t> </w:t>
      </w:r>
      <w:r>
        <w:rPr>
          <w:vertAlign w:val="baseline"/>
        </w:rPr>
        <w:t>promisee</w:t>
      </w:r>
      <w:r>
        <w:rPr>
          <w:spacing w:val="-1"/>
          <w:vertAlign w:val="baseline"/>
        </w:rPr>
        <w:t> </w:t>
      </w:r>
      <w:r>
        <w:rPr>
          <w:rFonts w:ascii="Arial" w:hAnsi="Arial"/>
          <w:i/>
          <w:vertAlign w:val="baseline"/>
        </w:rPr>
        <w:t>might</w:t>
      </w:r>
      <w:r>
        <w:rPr>
          <w:rFonts w:ascii="Arial" w:hAnsi="Arial"/>
          <w:i/>
          <w:spacing w:val="-1"/>
          <w:vertAlign w:val="baseline"/>
        </w:rPr>
        <w:t> </w:t>
      </w:r>
      <w:r>
        <w:rPr>
          <w:vertAlign w:val="baseline"/>
        </w:rPr>
        <w:t>have</w:t>
      </w:r>
      <w:r>
        <w:rPr>
          <w:spacing w:val="-2"/>
          <w:vertAlign w:val="baseline"/>
        </w:rPr>
        <w:t> </w:t>
      </w:r>
      <w:r>
        <w:rPr>
          <w:vertAlign w:val="baseline"/>
        </w:rPr>
        <w:t>suffered</w:t>
      </w:r>
      <w:r>
        <w:rPr>
          <w:spacing w:val="-1"/>
          <w:vertAlign w:val="baseline"/>
        </w:rPr>
        <w:t> </w:t>
      </w:r>
      <w:r>
        <w:rPr>
          <w:vertAlign w:val="baseline"/>
        </w:rPr>
        <w:t>prejudice</w:t>
      </w:r>
      <w:r>
        <w:rPr>
          <w:spacing w:val="-1"/>
          <w:vertAlign w:val="baseline"/>
        </w:rPr>
        <w:t> </w:t>
      </w:r>
      <w:r>
        <w:rPr>
          <w:vertAlign w:val="baseline"/>
        </w:rPr>
        <w:t>by</w:t>
      </w:r>
      <w:r>
        <w:rPr>
          <w:spacing w:val="-1"/>
          <w:vertAlign w:val="baseline"/>
        </w:rPr>
        <w:t> </w:t>
      </w:r>
      <w:r>
        <w:rPr>
          <w:vertAlign w:val="baseline"/>
        </w:rPr>
        <w:t>acting</w:t>
      </w:r>
      <w:r>
        <w:rPr>
          <w:spacing w:val="-2"/>
          <w:vertAlign w:val="baseline"/>
        </w:rPr>
        <w:t> </w:t>
      </w:r>
      <w:r>
        <w:rPr>
          <w:vertAlign w:val="baseline"/>
        </w:rPr>
        <w:t>in</w:t>
      </w:r>
      <w:r>
        <w:rPr>
          <w:spacing w:val="-1"/>
          <w:vertAlign w:val="baseline"/>
        </w:rPr>
        <w:t> </w:t>
      </w:r>
      <w:r>
        <w:rPr>
          <w:vertAlign w:val="baseline"/>
        </w:rPr>
        <w:t>reliance</w:t>
      </w:r>
      <w:r>
        <w:rPr>
          <w:spacing w:val="-1"/>
          <w:vertAlign w:val="baseline"/>
        </w:rPr>
        <w:t> </w:t>
      </w:r>
      <w:r>
        <w:rPr>
          <w:vertAlign w:val="baseline"/>
        </w:rPr>
        <w:t>on</w:t>
      </w:r>
      <w:r>
        <w:rPr>
          <w:spacing w:val="-1"/>
          <w:vertAlign w:val="baseline"/>
        </w:rPr>
        <w:t> </w:t>
      </w:r>
      <w:r>
        <w:rPr>
          <w:vertAlign w:val="baseline"/>
        </w:rPr>
        <w:t>a</w:t>
      </w:r>
      <w:r>
        <w:rPr>
          <w:spacing w:val="-2"/>
          <w:vertAlign w:val="baseline"/>
        </w:rPr>
        <w:t> </w:t>
      </w:r>
      <w:r>
        <w:rPr>
          <w:vertAlign w:val="baseline"/>
        </w:rPr>
        <w:t>promise is</w:t>
      </w:r>
      <w:r>
        <w:rPr>
          <w:spacing w:val="2"/>
          <w:vertAlign w:val="baseline"/>
        </w:rPr>
        <w:t> </w:t>
      </w:r>
      <w:r>
        <w:rPr>
          <w:vertAlign w:val="baseline"/>
        </w:rPr>
        <w:t>in</w:t>
      </w:r>
      <w:r>
        <w:rPr>
          <w:spacing w:val="2"/>
          <w:vertAlign w:val="baseline"/>
        </w:rPr>
        <w:t> </w:t>
      </w:r>
      <w:r>
        <w:rPr>
          <w:vertAlign w:val="baseline"/>
        </w:rPr>
        <w:t>some</w:t>
      </w:r>
      <w:r>
        <w:rPr>
          <w:spacing w:val="3"/>
          <w:vertAlign w:val="baseline"/>
        </w:rPr>
        <w:t> </w:t>
      </w:r>
      <w:r>
        <w:rPr>
          <w:vertAlign w:val="baseline"/>
        </w:rPr>
        <w:t>cases</w:t>
      </w:r>
      <w:r>
        <w:rPr>
          <w:spacing w:val="2"/>
          <w:vertAlign w:val="baseline"/>
        </w:rPr>
        <w:t> </w:t>
      </w:r>
      <w:r>
        <w:rPr>
          <w:vertAlign w:val="baseline"/>
        </w:rPr>
        <w:t>made</w:t>
      </w:r>
      <w:r>
        <w:rPr>
          <w:spacing w:val="2"/>
          <w:vertAlign w:val="baseline"/>
        </w:rPr>
        <w:t> </w:t>
      </w:r>
      <w:r>
        <w:rPr>
          <w:vertAlign w:val="baseline"/>
        </w:rPr>
        <w:t>a</w:t>
      </w:r>
      <w:r>
        <w:rPr>
          <w:spacing w:val="3"/>
          <w:vertAlign w:val="baseline"/>
        </w:rPr>
        <w:t> </w:t>
      </w:r>
      <w:r>
        <w:rPr>
          <w:vertAlign w:val="baseline"/>
        </w:rPr>
        <w:t>basis</w:t>
      </w:r>
      <w:r>
        <w:rPr>
          <w:spacing w:val="2"/>
          <w:vertAlign w:val="baseline"/>
        </w:rPr>
        <w:t> </w:t>
      </w:r>
      <w:r>
        <w:rPr>
          <w:vertAlign w:val="baseline"/>
        </w:rPr>
        <w:t>of</w:t>
      </w:r>
      <w:r>
        <w:rPr>
          <w:spacing w:val="2"/>
          <w:vertAlign w:val="baseline"/>
        </w:rPr>
        <w:t> </w:t>
      </w:r>
      <w:r>
        <w:rPr>
          <w:vertAlign w:val="baseline"/>
        </w:rPr>
        <w:t>decision,</w:t>
      </w:r>
      <w:r>
        <w:rPr>
          <w:spacing w:val="2"/>
          <w:vertAlign w:val="baseline"/>
        </w:rPr>
        <w:t> </w:t>
      </w:r>
      <w:r>
        <w:rPr>
          <w:color w:val="005DA1"/>
          <w:u w:val="single" w:color="005DA1"/>
          <w:vertAlign w:val="superscript"/>
        </w:rPr>
        <w:t>52</w:t>
      </w:r>
      <w:r>
        <w:rPr>
          <w:color w:val="005DA1"/>
          <w:spacing w:val="2"/>
          <w:vertAlign w:val="baseline"/>
        </w:rPr>
        <w:t> </w:t>
      </w:r>
      <w:r>
        <w:rPr>
          <w:vertAlign w:val="baseline"/>
        </w:rPr>
        <w:t>while</w:t>
      </w:r>
      <w:r>
        <w:rPr>
          <w:spacing w:val="2"/>
          <w:vertAlign w:val="baseline"/>
        </w:rPr>
        <w:t> </w:t>
      </w:r>
      <w:r>
        <w:rPr>
          <w:vertAlign w:val="baseline"/>
        </w:rPr>
        <w:t>in</w:t>
      </w:r>
      <w:r>
        <w:rPr>
          <w:spacing w:val="3"/>
          <w:vertAlign w:val="baseline"/>
        </w:rPr>
        <w:t> </w:t>
      </w:r>
      <w:r>
        <w:rPr>
          <w:vertAlign w:val="baseline"/>
        </w:rPr>
        <w:t>others</w:t>
      </w:r>
      <w:r>
        <w:rPr>
          <w:spacing w:val="2"/>
          <w:vertAlign w:val="baseline"/>
        </w:rPr>
        <w:t> </w:t>
      </w:r>
      <w:r>
        <w:rPr>
          <w:vertAlign w:val="baseline"/>
        </w:rPr>
        <w:t>precisely</w:t>
      </w:r>
      <w:r>
        <w:rPr>
          <w:spacing w:val="3"/>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argument</w:t>
      </w:r>
      <w:r>
        <w:rPr>
          <w:spacing w:val="3"/>
          <w:vertAlign w:val="baseline"/>
        </w:rPr>
        <w:t> </w:t>
      </w:r>
      <w:r>
        <w:rPr>
          <w:vertAlign w:val="baseline"/>
        </w:rPr>
        <w:t>is</w:t>
      </w:r>
      <w:r>
        <w:rPr>
          <w:spacing w:val="2"/>
          <w:vertAlign w:val="baseline"/>
        </w:rPr>
        <w:t> </w:t>
      </w:r>
      <w:r>
        <w:rPr>
          <w:spacing w:val="-2"/>
          <w:vertAlign w:val="baseline"/>
        </w:rPr>
        <w:t>rejected.</w:t>
      </w:r>
    </w:p>
    <w:p>
      <w:pPr>
        <w:pStyle w:val="BodyText"/>
        <w:spacing w:line="235" w:lineRule="auto"/>
        <w:ind w:left="165" w:right="167"/>
        <w:jc w:val="both"/>
      </w:pPr>
      <w:r>
        <w:rPr>
          <w:color w:val="005DA1"/>
          <w:u w:val="single" w:color="005DA1"/>
          <w:vertAlign w:val="superscript"/>
        </w:rPr>
        <w:t>53</w:t>
      </w:r>
      <w:r>
        <w:rPr>
          <w:color w:val="005DA1"/>
          <w:vertAlign w:val="baseline"/>
        </w:rPr>
        <w:t> </w:t>
      </w:r>
      <w:r>
        <w:rPr>
          <w:vertAlign w:val="baseline"/>
        </w:rPr>
        <w:t>The practice of “inventing” consideration is, therefore, a source of considerable uncertainty in </w:t>
      </w:r>
      <w:r>
        <w:rPr>
          <w:vertAlign w:val="baseline"/>
        </w:rPr>
        <w:t>this branch of the law.</w:t>
      </w:r>
    </w:p>
    <w:p>
      <w:pPr>
        <w:pStyle w:val="BodyText"/>
      </w:pPr>
    </w:p>
    <w:p>
      <w:pPr>
        <w:pStyle w:val="BodyText"/>
        <w:spacing w:before="32"/>
      </w:pPr>
    </w:p>
    <w:p>
      <w:pPr>
        <w:spacing w:before="0"/>
        <w:ind w:left="165" w:right="0" w:firstLine="0"/>
        <w:jc w:val="left"/>
        <w:rPr>
          <w:rFonts w:ascii="Arial"/>
          <w:b/>
          <w:sz w:val="18"/>
        </w:rPr>
      </w:pPr>
      <w:r>
        <w:rPr>
          <w:rFonts w:ascii="Arial"/>
          <w:b/>
          <w:sz w:val="18"/>
        </w:rPr>
        <w:t>Motive and </w:t>
      </w:r>
      <w:r>
        <w:rPr>
          <w:rFonts w:ascii="Arial"/>
          <w:b/>
          <w:spacing w:val="-2"/>
          <w:sz w:val="18"/>
        </w:rPr>
        <w:t>consideration</w:t>
      </w:r>
    </w:p>
    <w:p>
      <w:pPr>
        <w:pStyle w:val="BodyText"/>
        <w:spacing w:before="41"/>
        <w:rPr>
          <w:rFonts w:ascii="Arial"/>
          <w:b/>
          <w:sz w:val="18"/>
        </w:rPr>
      </w:pPr>
    </w:p>
    <w:p>
      <w:pPr>
        <w:pStyle w:val="Heading2"/>
      </w:pPr>
      <w:r>
        <w:rPr/>
        <w:t>4-</w:t>
      </w:r>
      <w:r>
        <w:rPr>
          <w:spacing w:val="-5"/>
        </w:rPr>
        <w:t>011</w:t>
      </w:r>
    </w:p>
    <w:p>
      <w:pPr>
        <w:pStyle w:val="BodyText"/>
        <w:spacing w:line="235" w:lineRule="auto" w:before="203"/>
        <w:ind w:left="165" w:right="167"/>
        <w:jc w:val="both"/>
      </w:pPr>
      <w:bookmarkStart w:name="_bookmark56" w:id="58"/>
      <w:bookmarkEnd w:id="58"/>
      <w:r>
        <w:rPr/>
      </w:r>
      <w:r>
        <w:rPr/>
        <w:t>In </w:t>
      </w:r>
      <w:r>
        <w:rPr>
          <w:rFonts w:ascii="Arial" w:hAnsi="Arial"/>
          <w:i/>
        </w:rPr>
        <w:t>Thomas v Thomas </w:t>
      </w:r>
      <w:r>
        <w:rPr>
          <w:color w:val="005DA1"/>
          <w:u w:val="single" w:color="005DA1"/>
          <w:vertAlign w:val="superscript"/>
        </w:rPr>
        <w:t>54</w:t>
      </w:r>
      <w:r>
        <w:rPr>
          <w:color w:val="005DA1"/>
          <w:vertAlign w:val="baseline"/>
        </w:rPr>
        <w:t> </w:t>
      </w:r>
      <w:r>
        <w:rPr>
          <w:vertAlign w:val="baseline"/>
        </w:rPr>
        <w:t>a testator shortly before his death expressed a desire that his widow </w:t>
      </w:r>
      <w:r>
        <w:rPr>
          <w:vertAlign w:val="baseline"/>
        </w:rPr>
        <w:t>should during her life have the house in which he lived, or £100. After his death, his executors “in consideration of such desire” promised to convey the house to the widow during her life or for so long as she should continue a widow, “provided nevertheless and it is hereby further agreed” that she should pay £1 per annum towards the ground rent, and keep the house in repair. In an action by the widow for breach of this promise, the consideration for it was stated to be the widow’s promise to pay and repair. An objection that the declaration omitted to state part of the consideration, viz. the </w:t>
      </w:r>
      <w:bookmarkStart w:name="_bookmark57" w:id="59"/>
      <w:bookmarkEnd w:id="59"/>
      <w:r>
        <w:rPr>
          <w:vertAlign w:val="baseline"/>
        </w:rPr>
        <w:t>testator’s</w:t>
      </w:r>
      <w:r>
        <w:rPr>
          <w:vertAlign w:val="baseline"/>
        </w:rPr>
        <w:t> desire, was rejected. Patteson J. said: “Motive is not the same thing with consideration. Consideration</w:t>
      </w:r>
      <w:r>
        <w:rPr>
          <w:spacing w:val="17"/>
          <w:vertAlign w:val="baseline"/>
        </w:rPr>
        <w:t> </w:t>
      </w:r>
      <w:r>
        <w:rPr>
          <w:vertAlign w:val="baseline"/>
        </w:rPr>
        <w:t>means</w:t>
      </w:r>
      <w:r>
        <w:rPr>
          <w:spacing w:val="17"/>
          <w:vertAlign w:val="baseline"/>
        </w:rPr>
        <w:t> </w:t>
      </w:r>
      <w:r>
        <w:rPr>
          <w:vertAlign w:val="baseline"/>
        </w:rPr>
        <w:t>something</w:t>
      </w:r>
      <w:r>
        <w:rPr>
          <w:spacing w:val="17"/>
          <w:vertAlign w:val="baseline"/>
        </w:rPr>
        <w:t> </w:t>
      </w:r>
      <w:r>
        <w:rPr>
          <w:vertAlign w:val="baseline"/>
        </w:rPr>
        <w:t>which</w:t>
      </w:r>
      <w:r>
        <w:rPr>
          <w:spacing w:val="17"/>
          <w:vertAlign w:val="baseline"/>
        </w:rPr>
        <w:t> </w:t>
      </w:r>
      <w:r>
        <w:rPr>
          <w:vertAlign w:val="baseline"/>
        </w:rPr>
        <w:t>is</w:t>
      </w:r>
      <w:r>
        <w:rPr>
          <w:spacing w:val="17"/>
          <w:vertAlign w:val="baseline"/>
        </w:rPr>
        <w:t> </w:t>
      </w:r>
      <w:r>
        <w:rPr>
          <w:vertAlign w:val="baseline"/>
        </w:rPr>
        <w:t>of</w:t>
      </w:r>
      <w:r>
        <w:rPr>
          <w:spacing w:val="17"/>
          <w:vertAlign w:val="baseline"/>
        </w:rPr>
        <w:t> </w:t>
      </w:r>
      <w:r>
        <w:rPr>
          <w:vertAlign w:val="baseline"/>
        </w:rPr>
        <w:t>value</w:t>
      </w:r>
      <w:r>
        <w:rPr>
          <w:spacing w:val="17"/>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eye</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law</w:t>
      </w:r>
      <w:r>
        <w:rPr>
          <w:spacing w:val="17"/>
          <w:vertAlign w:val="baseline"/>
        </w:rPr>
        <w:t> </w:t>
      </w:r>
      <w:r>
        <w:rPr>
          <w:vertAlign w:val="baseline"/>
        </w:rPr>
        <w:t>moving</w:t>
      </w:r>
      <w:r>
        <w:rPr>
          <w:spacing w:val="17"/>
          <w:vertAlign w:val="baseline"/>
        </w:rPr>
        <w:t> </w:t>
      </w:r>
      <w:r>
        <w:rPr>
          <w:vertAlign w:val="baseline"/>
        </w:rPr>
        <w:t>from</w:t>
      </w:r>
      <w:r>
        <w:rPr>
          <w:spacing w:val="17"/>
          <w:vertAlign w:val="baseline"/>
        </w:rPr>
        <w:t> </w:t>
      </w:r>
      <w:r>
        <w:rPr>
          <w:vertAlign w:val="baseline"/>
        </w:rPr>
        <w:t>the</w:t>
      </w:r>
      <w:r>
        <w:rPr>
          <w:spacing w:val="17"/>
          <w:vertAlign w:val="baseline"/>
        </w:rPr>
        <w:t> </w:t>
      </w:r>
      <w:r>
        <w:rPr>
          <w:vertAlign w:val="baseline"/>
        </w:rPr>
        <w:t>plaintiff.”</w:t>
      </w:r>
      <w:r>
        <w:rPr>
          <w:spacing w:val="16"/>
          <w:vertAlign w:val="baseline"/>
        </w:rPr>
        <w:t> </w:t>
      </w:r>
      <w:r>
        <w:rPr>
          <w:color w:val="005DA1"/>
          <w:spacing w:val="-5"/>
          <w:u w:val="single" w:color="005DA1"/>
          <w:vertAlign w:val="superscript"/>
        </w:rPr>
        <w:t>55</w:t>
      </w:r>
    </w:p>
    <w:p>
      <w:pPr>
        <w:pStyle w:val="BodyText"/>
        <w:spacing w:after="0" w:line="235" w:lineRule="auto"/>
        <w:jc w:val="both"/>
        <w:sectPr>
          <w:headerReference w:type="default" r:id="rId8"/>
          <w:headerReference w:type="even" r:id="rId9"/>
          <w:pgSz w:w="11900" w:h="16840"/>
          <w:pgMar w:header="971" w:footer="0" w:top="1160" w:bottom="280" w:left="1275" w:right="1275"/>
          <w:pgNumType w:start="3"/>
        </w:sectPr>
      </w:pPr>
    </w:p>
    <w:p>
      <w:pPr>
        <w:pStyle w:val="BodyText"/>
        <w:spacing w:before="24"/>
      </w:pPr>
    </w:p>
    <w:p>
      <w:pPr>
        <w:pStyle w:val="BodyText"/>
        <w:spacing w:line="235" w:lineRule="auto" w:before="1"/>
        <w:ind w:left="165" w:right="167"/>
        <w:jc w:val="both"/>
      </w:pPr>
      <w:r>
        <w:rPr/>
        <w:t>This remark should not be misunderstood: a common motive for making a promise is the desire to </w:t>
      </w:r>
      <w:bookmarkStart w:name="_bookmark58" w:id="60"/>
      <w:bookmarkEnd w:id="60"/>
      <w:r>
        <w:rPr/>
        <w:t>obtain</w:t>
      </w:r>
      <w:r>
        <w:rPr/>
        <w:t> the consideration; and an act or forbearance on the part of the promisee may (unless the court is prepared to “invent” </w:t>
      </w:r>
      <w:r>
        <w:rPr>
          <w:color w:val="005DA1"/>
          <w:u w:val="single" w:color="005DA1"/>
          <w:vertAlign w:val="superscript"/>
        </w:rPr>
        <w:t>56</w:t>
      </w:r>
      <w:r>
        <w:rPr>
          <w:color w:val="005DA1"/>
          <w:vertAlign w:val="baseline"/>
        </w:rPr>
        <w:t> </w:t>
      </w:r>
      <w:r>
        <w:rPr>
          <w:vertAlign w:val="baseline"/>
        </w:rPr>
        <w:t>a consideration) fail to constitute consideration precisely because it was </w:t>
      </w:r>
      <w:r>
        <w:rPr>
          <w:vertAlign w:val="baseline"/>
        </w:rPr>
        <w:t>not the promisor’s motive to secure it. What Patteson J. meant was that a motive for promising did not amount to consideration unless two further requirements were satisfied, viz.: (i) that the thing secured </w:t>
      </w:r>
      <w:bookmarkStart w:name="_bookmark59" w:id="61"/>
      <w:bookmarkEnd w:id="61"/>
      <w:r>
        <w:rPr>
          <w:vertAlign w:val="baseline"/>
        </w:rPr>
        <w:t>in</w:t>
      </w:r>
      <w:r>
        <w:rPr>
          <w:vertAlign w:val="baseline"/>
        </w:rPr>
        <w:t> exchange for the promise was “of some value in the eye of the law”; and (ii) that it moved from the </w:t>
      </w:r>
      <w:bookmarkStart w:name="_bookmark60" w:id="62"/>
      <w:bookmarkEnd w:id="62"/>
      <w:r>
        <w:rPr>
          <w:vertAlign w:val="baseline"/>
        </w:rPr>
        <w:t>plaintiff.</w:t>
      </w:r>
      <w:r>
        <w:rPr>
          <w:vertAlign w:val="baseline"/>
        </w:rPr>
        <w:t> </w:t>
      </w:r>
      <w:r>
        <w:rPr>
          <w:color w:val="005DA1"/>
          <w:u w:val="single" w:color="005DA1"/>
          <w:vertAlign w:val="superscript"/>
        </w:rPr>
        <w:t>57</w:t>
      </w:r>
      <w:r>
        <w:rPr>
          <w:color w:val="005DA1"/>
          <w:vertAlign w:val="baseline"/>
        </w:rPr>
        <w:t> </w:t>
      </w:r>
      <w:r>
        <w:rPr>
          <w:vertAlign w:val="baseline"/>
        </w:rPr>
        <w:t>Consideration and motive are not opposites; the former concept is a subdivision of the latter. The consideration for a promise is (unless the consideration is nominal </w:t>
      </w:r>
      <w:r>
        <w:rPr>
          <w:color w:val="005DA1"/>
          <w:u w:val="single" w:color="005DA1"/>
          <w:vertAlign w:val="superscript"/>
        </w:rPr>
        <w:t>58</w:t>
      </w:r>
      <w:r>
        <w:rPr>
          <w:color w:val="005DA1"/>
          <w:vertAlign w:val="baseline"/>
        </w:rPr>
        <w:t> </w:t>
      </w:r>
      <w:r>
        <w:rPr>
          <w:vertAlign w:val="baseline"/>
        </w:rPr>
        <w:t>or invented) always a </w:t>
      </w:r>
      <w:bookmarkStart w:name="_bookmark61" w:id="63"/>
      <w:bookmarkEnd w:id="63"/>
      <w:r>
        <w:rPr>
          <w:vertAlign w:val="baseline"/>
        </w:rPr>
        <w:t>motive</w:t>
      </w:r>
      <w:r>
        <w:rPr>
          <w:vertAlign w:val="baseline"/>
        </w:rPr>
        <w:t> for promising; but a motive for making a promise is not necessarily consideration for it in law. Thus the testator’s “desire” </w:t>
      </w:r>
      <w:r>
        <w:rPr>
          <w:color w:val="005DA1"/>
          <w:u w:val="single" w:color="005DA1"/>
          <w:vertAlign w:val="superscript"/>
        </w:rPr>
        <w:t>59</w:t>
      </w:r>
      <w:r>
        <w:rPr>
          <w:color w:val="005DA1"/>
          <w:vertAlign w:val="baseline"/>
        </w:rPr>
        <w:t> </w:t>
      </w:r>
      <w:r>
        <w:rPr>
          <w:vertAlign w:val="baseline"/>
        </w:rPr>
        <w:t>in </w:t>
      </w:r>
      <w:r>
        <w:rPr>
          <w:rFonts w:ascii="Arial" w:hAnsi="Arial"/>
          <w:i/>
          <w:vertAlign w:val="baseline"/>
        </w:rPr>
        <w:t>Thomas v Thomas </w:t>
      </w:r>
      <w:r>
        <w:rPr>
          <w:vertAlign w:val="baseline"/>
        </w:rPr>
        <w:t>was a motive for the executors’ promise but not part of the consideration for it. The widow’s promise to pay and repair was another motive for the executors’ promise and did constitute the consideration for that promise.</w:t>
      </w:r>
    </w:p>
    <w:p>
      <w:pPr>
        <w:pStyle w:val="BodyText"/>
      </w:pPr>
    </w:p>
    <w:p>
      <w:pPr>
        <w:pStyle w:val="BodyText"/>
        <w:spacing w:before="34"/>
      </w:pPr>
    </w:p>
    <w:p>
      <w:pPr>
        <w:spacing w:before="0"/>
        <w:ind w:left="165" w:right="0" w:firstLine="0"/>
        <w:jc w:val="both"/>
        <w:rPr>
          <w:rFonts w:ascii="Arial"/>
          <w:b/>
          <w:sz w:val="18"/>
        </w:rPr>
      </w:pPr>
      <w:r>
        <w:rPr>
          <w:rFonts w:ascii="Arial"/>
          <w:b/>
          <w:sz w:val="18"/>
        </w:rPr>
        <w:t>Consideration and </w:t>
      </w:r>
      <w:r>
        <w:rPr>
          <w:rFonts w:ascii="Arial"/>
          <w:b/>
          <w:spacing w:val="-2"/>
          <w:sz w:val="18"/>
        </w:rPr>
        <w:t>condition</w:t>
      </w:r>
    </w:p>
    <w:p>
      <w:pPr>
        <w:pStyle w:val="BodyText"/>
        <w:spacing w:before="41"/>
        <w:rPr>
          <w:rFonts w:ascii="Arial"/>
          <w:b/>
          <w:sz w:val="18"/>
        </w:rPr>
      </w:pPr>
    </w:p>
    <w:p>
      <w:pPr>
        <w:pStyle w:val="Heading2"/>
      </w:pPr>
      <w:r>
        <w:rPr/>
        <w:t>4-</w:t>
      </w:r>
      <w:r>
        <w:rPr>
          <w:spacing w:val="-5"/>
        </w:rPr>
        <w:t>012</w:t>
      </w:r>
    </w:p>
    <w:p>
      <w:pPr>
        <w:pStyle w:val="BodyText"/>
        <w:spacing w:line="235" w:lineRule="auto" w:before="203"/>
        <w:ind w:left="164" w:right="166"/>
        <w:jc w:val="both"/>
      </w:pPr>
      <w:bookmarkStart w:name="_bookmark62" w:id="64"/>
      <w:bookmarkEnd w:id="64"/>
      <w:r>
        <w:rPr/>
      </w:r>
      <w:r>
        <w:rPr>
          <w:rFonts w:ascii="Arial" w:hAnsi="Arial"/>
          <w:i/>
        </w:rPr>
        <w:t>Thomas v Thomas </w:t>
      </w:r>
      <w:r>
        <w:rPr>
          <w:color w:val="005DA1"/>
          <w:u w:val="single" w:color="005DA1"/>
          <w:vertAlign w:val="superscript"/>
        </w:rPr>
        <w:t>60</w:t>
      </w:r>
      <w:r>
        <w:rPr>
          <w:color w:val="005DA1"/>
          <w:vertAlign w:val="baseline"/>
        </w:rPr>
        <w:t> </w:t>
      </w:r>
      <w:r>
        <w:rPr>
          <w:vertAlign w:val="baseline"/>
        </w:rPr>
        <w:t>also illustrates the difference between consideration and condition: the </w:t>
      </w:r>
      <w:r>
        <w:rPr>
          <w:vertAlign w:val="baseline"/>
        </w:rPr>
        <w:t>plaintiff’s </w:t>
      </w:r>
      <w:bookmarkStart w:name="_bookmark63" w:id="65"/>
      <w:bookmarkEnd w:id="65"/>
      <w:r>
        <w:rPr>
          <w:vertAlign w:val="baseline"/>
        </w:rPr>
        <w:t>remaining</w:t>
      </w:r>
      <w:r>
        <w:rPr>
          <w:vertAlign w:val="baseline"/>
        </w:rPr>
        <w:t> a widow was not part of the consideration but a condition of her entitlement to enforce the executor’s promise. On the other hand, in </w:t>
      </w:r>
      <w:r>
        <w:rPr>
          <w:rFonts w:ascii="Arial" w:hAnsi="Arial"/>
          <w:i/>
          <w:vertAlign w:val="baseline"/>
        </w:rPr>
        <w:t>Re Soames </w:t>
      </w:r>
      <w:r>
        <w:rPr>
          <w:color w:val="005DA1"/>
          <w:u w:val="single" w:color="005DA1"/>
          <w:vertAlign w:val="superscript"/>
        </w:rPr>
        <w:t>61</w:t>
      </w:r>
      <w:r>
        <w:rPr>
          <w:color w:val="005DA1"/>
          <w:vertAlign w:val="baseline"/>
        </w:rPr>
        <w:t> </w:t>
      </w:r>
      <w:r>
        <w:rPr>
          <w:vertAlign w:val="baseline"/>
        </w:rPr>
        <w:t>A promised £3,000 to B if B would set up a school in the running of which A was to have an active part. It was held that, by establishing the school, B had provided consideration for A’s promise. It seems that the distinction between consideration and condition depends, in such cases, on whether “a reasonable man would or would </w:t>
      </w:r>
      <w:bookmarkStart w:name="_bookmark64" w:id="66"/>
      <w:bookmarkEnd w:id="66"/>
      <w:r>
        <w:rPr>
          <w:vertAlign w:val="baseline"/>
        </w:rPr>
        <w:t>not</w:t>
      </w:r>
      <w:r>
        <w:rPr>
          <w:vertAlign w:val="baseline"/>
        </w:rPr>
        <w:t> understand that the performance of the condition was requested as the price or exchange for the promise.” </w:t>
      </w:r>
      <w:r>
        <w:rPr>
          <w:color w:val="005DA1"/>
          <w:u w:val="single" w:color="005DA1"/>
          <w:vertAlign w:val="superscript"/>
        </w:rPr>
        <w:t>62</w:t>
      </w:r>
      <w:r>
        <w:rPr>
          <w:color w:val="005DA1"/>
          <w:vertAlign w:val="baseline"/>
        </w:rPr>
        <w:t> </w:t>
      </w:r>
      <w:r>
        <w:rPr>
          <w:vertAlign w:val="baseline"/>
        </w:rPr>
        <w:t>In </w:t>
      </w:r>
      <w:r>
        <w:rPr>
          <w:rFonts w:ascii="Arial" w:hAnsi="Arial"/>
          <w:i/>
          <w:vertAlign w:val="baseline"/>
        </w:rPr>
        <w:t>Thomas v Thomas </w:t>
      </w:r>
      <w:r>
        <w:rPr>
          <w:vertAlign w:val="baseline"/>
        </w:rPr>
        <w:t>the executors had not requested the plaintiff to remain a widow; while in </w:t>
      </w:r>
      <w:r>
        <w:rPr>
          <w:rFonts w:ascii="Arial" w:hAnsi="Arial"/>
          <w:i/>
          <w:vertAlign w:val="baseline"/>
        </w:rPr>
        <w:t>Re Soames </w:t>
      </w:r>
      <w:r>
        <w:rPr>
          <w:vertAlign w:val="baseline"/>
        </w:rPr>
        <w:t>a request by A that B should establish the school could be inferred from A’s </w:t>
      </w:r>
      <w:bookmarkStart w:name="_bookmark65" w:id="67"/>
      <w:bookmarkEnd w:id="67"/>
      <w:r>
        <w:rPr>
          <w:vertAlign w:val="baseline"/>
        </w:rPr>
        <w:t>expressed</w:t>
      </w:r>
      <w:r>
        <w:rPr>
          <w:vertAlign w:val="baseline"/>
        </w:rPr>
        <w:t> intention to participate in its management. The distinction is further illustrated by </w:t>
      </w:r>
      <w:r>
        <w:rPr>
          <w:rFonts w:ascii="Arial" w:hAnsi="Arial"/>
          <w:i/>
          <w:vertAlign w:val="baseline"/>
        </w:rPr>
        <w:t>Carlill v Carbolic Smoke Ball Co </w:t>
      </w:r>
      <w:r>
        <w:rPr>
          <w:color w:val="005DA1"/>
          <w:u w:val="single" w:color="005DA1"/>
          <w:vertAlign w:val="superscript"/>
        </w:rPr>
        <w:t>63</w:t>
      </w:r>
      <w:r>
        <w:rPr>
          <w:color w:val="005DA1"/>
          <w:vertAlign w:val="baseline"/>
        </w:rPr>
        <w:t> </w:t>
      </w:r>
      <w:r>
        <w:rPr>
          <w:vertAlign w:val="baseline"/>
        </w:rPr>
        <w:t>where the claimant provided consideration for the defendants’ promise by </w:t>
      </w:r>
      <w:bookmarkStart w:name="_bookmark66" w:id="68"/>
      <w:bookmarkEnd w:id="68"/>
      <w:r>
        <w:rPr>
          <w:vertAlign w:val="baseline"/>
        </w:rPr>
        <w:t>using</w:t>
      </w:r>
      <w:r>
        <w:rPr>
          <w:vertAlign w:val="baseline"/>
        </w:rPr>
        <w:t> the smoke-ball; but her catching influenza was a condition of her entitlement to enforce that promise. </w:t>
      </w:r>
      <w:r>
        <w:rPr>
          <w:color w:val="005DA1"/>
          <w:u w:val="single" w:color="005DA1"/>
          <w:vertAlign w:val="superscript"/>
        </w:rPr>
        <w:t>64</w:t>
      </w:r>
    </w:p>
    <w:p>
      <w:pPr>
        <w:pStyle w:val="BodyText"/>
      </w:pPr>
    </w:p>
    <w:p>
      <w:pPr>
        <w:pStyle w:val="BodyText"/>
        <w:spacing w:before="33"/>
      </w:pPr>
    </w:p>
    <w:p>
      <w:pPr>
        <w:spacing w:before="0"/>
        <w:ind w:left="165" w:right="0" w:firstLine="0"/>
        <w:jc w:val="left"/>
        <w:rPr>
          <w:rFonts w:ascii="Arial"/>
          <w:b/>
          <w:sz w:val="18"/>
        </w:rPr>
      </w:pPr>
      <w:r>
        <w:rPr>
          <w:rFonts w:ascii="Arial"/>
          <w:b/>
          <w:sz w:val="18"/>
        </w:rPr>
        <w:t>Certain limited effects of promises without </w:t>
      </w:r>
      <w:r>
        <w:rPr>
          <w:rFonts w:ascii="Arial"/>
          <w:b/>
          <w:spacing w:val="-2"/>
          <w:sz w:val="18"/>
        </w:rPr>
        <w:t>consideration</w:t>
      </w:r>
    </w:p>
    <w:p>
      <w:pPr>
        <w:pStyle w:val="BodyText"/>
        <w:spacing w:before="42"/>
        <w:rPr>
          <w:rFonts w:ascii="Arial"/>
          <w:b/>
          <w:sz w:val="18"/>
        </w:rPr>
      </w:pPr>
    </w:p>
    <w:p>
      <w:pPr>
        <w:pStyle w:val="Heading2"/>
      </w:pPr>
      <w:r>
        <w:rPr/>
        <w:t>4-</w:t>
      </w:r>
      <w:r>
        <w:rPr>
          <w:spacing w:val="-5"/>
        </w:rPr>
        <w:t>013</w:t>
      </w:r>
    </w:p>
    <w:p>
      <w:pPr>
        <w:pStyle w:val="BodyText"/>
        <w:spacing w:line="235" w:lineRule="auto" w:before="202"/>
        <w:ind w:left="165" w:right="167"/>
        <w:jc w:val="both"/>
      </w:pPr>
      <w:r>
        <w:rPr/>
        <w:t>A promise that is not supported by consideration may, in spite of having no contractual force nevertheless give rise to certain other legal effects. In particular, English law places </w:t>
      </w:r>
      <w:r>
        <w:rPr/>
        <w:t>certain</w:t>
      </w:r>
      <w:r>
        <w:rPr>
          <w:spacing w:val="40"/>
        </w:rPr>
        <w:t> </w:t>
      </w:r>
      <w:r>
        <w:rPr/>
        <w:t>restrictions on the revocability of a promise where the promisee has acted on it in a way that was intended and could have been anticipated (without having been requested) by the promisor; and it may give a remedy against a promisor who would be unjustly enriched (or otherwise act unconscionably) if he were allowed freely to revoke and did revoke his promise after such action in </w:t>
      </w:r>
      <w:bookmarkStart w:name="_bookmark67" w:id="69"/>
      <w:bookmarkEnd w:id="69"/>
      <w:r>
        <w:rPr/>
        <w:t>reliance</w:t>
      </w:r>
      <w:r>
        <w:rPr/>
        <w:t> on it by the promisee. These limited legal effects of promises without consideration are discussed later in this chapter. </w:t>
      </w:r>
      <w:r>
        <w:rPr>
          <w:color w:val="005DA1"/>
          <w:u w:val="single" w:color="005DA1"/>
          <w:vertAlign w:val="superscript"/>
        </w:rPr>
        <w:t>65</w:t>
      </w:r>
      <w:r>
        <w:rPr>
          <w:color w:val="005DA1"/>
          <w:vertAlign w:val="baseline"/>
        </w:rPr>
        <w:t> </w:t>
      </w:r>
      <w:r>
        <w:rPr>
          <w:vertAlign w:val="baseline"/>
        </w:rPr>
        <w:t>Here it is necessary only to emphasise that these legal effects do</w:t>
      </w:r>
      <w:r>
        <w:rPr>
          <w:spacing w:val="40"/>
          <w:vertAlign w:val="baseline"/>
        </w:rPr>
        <w:t> </w:t>
      </w:r>
      <w:bookmarkStart w:name="_bookmark68" w:id="70"/>
      <w:bookmarkEnd w:id="70"/>
      <w:r>
        <w:rPr>
          <w:vertAlign w:val="baseline"/>
        </w:rPr>
        <w:t>not</w:t>
      </w:r>
      <w:r>
        <w:rPr>
          <w:vertAlign w:val="baseline"/>
        </w:rPr>
        <w:t> give such promises the full consequences of a binding contract. Thus the restriction on</w:t>
      </w:r>
      <w:r>
        <w:rPr>
          <w:spacing w:val="40"/>
          <w:vertAlign w:val="baseline"/>
        </w:rPr>
        <w:t> </w:t>
      </w:r>
      <w:bookmarkStart w:name="_bookmark69" w:id="71"/>
      <w:bookmarkEnd w:id="71"/>
      <w:r>
        <w:rPr>
          <w:vertAlign w:val="baseline"/>
        </w:rPr>
        <w:t>revocability</w:t>
      </w:r>
      <w:r>
        <w:rPr>
          <w:vertAlign w:val="baseline"/>
        </w:rPr>
        <w:t> may be only temporary </w:t>
      </w:r>
      <w:r>
        <w:rPr>
          <w:color w:val="005DA1"/>
          <w:u w:val="single" w:color="005DA1"/>
          <w:vertAlign w:val="superscript"/>
        </w:rPr>
        <w:t>66</w:t>
      </w:r>
      <w:r>
        <w:rPr>
          <w:vertAlign w:val="baseline"/>
        </w:rPr>
        <w:t>; breach of the promise may not entitle the injured party to the</w:t>
      </w:r>
      <w:r>
        <w:rPr>
          <w:spacing w:val="40"/>
          <w:vertAlign w:val="baseline"/>
        </w:rPr>
        <w:t> </w:t>
      </w:r>
      <w:bookmarkStart w:name="_bookmark70" w:id="72"/>
      <w:bookmarkEnd w:id="72"/>
      <w:r>
        <w:rPr>
          <w:vertAlign w:val="baseline"/>
        </w:rPr>
        <w:t>full</w:t>
      </w:r>
      <w:r>
        <w:rPr>
          <w:spacing w:val="-3"/>
          <w:vertAlign w:val="baseline"/>
        </w:rPr>
        <w:t> </w:t>
      </w:r>
      <w:r>
        <w:rPr>
          <w:vertAlign w:val="baseline"/>
        </w:rPr>
        <w:t>loss</w:t>
      </w:r>
      <w:r>
        <w:rPr>
          <w:spacing w:val="-3"/>
          <w:vertAlign w:val="baseline"/>
        </w:rPr>
        <w:t> </w:t>
      </w:r>
      <w:r>
        <w:rPr>
          <w:vertAlign w:val="baseline"/>
        </w:rPr>
        <w:t>of</w:t>
      </w:r>
      <w:r>
        <w:rPr>
          <w:spacing w:val="-3"/>
          <w:vertAlign w:val="baseline"/>
        </w:rPr>
        <w:t> </w:t>
      </w:r>
      <w:r>
        <w:rPr>
          <w:vertAlign w:val="baseline"/>
        </w:rPr>
        <w:t>bargain</w:t>
      </w:r>
      <w:r>
        <w:rPr>
          <w:spacing w:val="-3"/>
          <w:vertAlign w:val="baseline"/>
        </w:rPr>
        <w:t> </w:t>
      </w:r>
      <w:r>
        <w:rPr>
          <w:vertAlign w:val="baseline"/>
        </w:rPr>
        <w:t>damages</w:t>
      </w:r>
      <w:r>
        <w:rPr>
          <w:spacing w:val="-3"/>
          <w:vertAlign w:val="baseline"/>
        </w:rPr>
        <w:t> </w:t>
      </w:r>
      <w:r>
        <w:rPr>
          <w:vertAlign w:val="baseline"/>
        </w:rPr>
        <w:t>normally</w:t>
      </w:r>
      <w:r>
        <w:rPr>
          <w:spacing w:val="-3"/>
          <w:vertAlign w:val="baseline"/>
        </w:rPr>
        <w:t> </w:t>
      </w:r>
      <w:r>
        <w:rPr>
          <w:vertAlign w:val="baseline"/>
        </w:rPr>
        <w:t>awarded</w:t>
      </w:r>
      <w:r>
        <w:rPr>
          <w:spacing w:val="-3"/>
          <w:vertAlign w:val="baseline"/>
        </w:rPr>
        <w:t> </w:t>
      </w:r>
      <w:r>
        <w:rPr>
          <w:vertAlign w:val="baseline"/>
        </w:rPr>
        <w:t>for</w:t>
      </w:r>
      <w:r>
        <w:rPr>
          <w:spacing w:val="-3"/>
          <w:vertAlign w:val="baseline"/>
        </w:rPr>
        <w:t> </w:t>
      </w:r>
      <w:r>
        <w:rPr>
          <w:vertAlign w:val="baseline"/>
        </w:rPr>
        <w:t>breach</w:t>
      </w:r>
      <w:r>
        <w:rPr>
          <w:spacing w:val="-3"/>
          <w:vertAlign w:val="baseline"/>
        </w:rPr>
        <w:t> </w:t>
      </w:r>
      <w:r>
        <w:rPr>
          <w:vertAlign w:val="baseline"/>
        </w:rPr>
        <w:t>of</w:t>
      </w:r>
      <w:r>
        <w:rPr>
          <w:spacing w:val="-3"/>
          <w:vertAlign w:val="baseline"/>
        </w:rPr>
        <w:t> </w:t>
      </w:r>
      <w:r>
        <w:rPr>
          <w:vertAlign w:val="baseline"/>
        </w:rPr>
        <w:t>contract,</w:t>
      </w:r>
      <w:r>
        <w:rPr>
          <w:spacing w:val="-3"/>
          <w:vertAlign w:val="baseline"/>
        </w:rPr>
        <w:t> </w:t>
      </w:r>
      <w:r>
        <w:rPr>
          <w:color w:val="005DA1"/>
          <w:u w:val="single" w:color="005DA1"/>
          <w:vertAlign w:val="superscript"/>
        </w:rPr>
        <w:t>67</w:t>
      </w:r>
      <w:r>
        <w:rPr>
          <w:color w:val="005DA1"/>
          <w:spacing w:val="-3"/>
          <w:vertAlign w:val="baseline"/>
        </w:rPr>
        <w:t> </w:t>
      </w:r>
      <w:r>
        <w:rPr>
          <w:vertAlign w:val="baseline"/>
        </w:rPr>
        <w:t>or</w:t>
      </w:r>
      <w:r>
        <w:rPr>
          <w:spacing w:val="-3"/>
          <w:vertAlign w:val="baseline"/>
        </w:rPr>
        <w:t> </w:t>
      </w:r>
      <w:r>
        <w:rPr>
          <w:vertAlign w:val="baseline"/>
        </w:rPr>
        <w:t>may</w:t>
      </w:r>
      <w:r>
        <w:rPr>
          <w:spacing w:val="-3"/>
          <w:vertAlign w:val="baseline"/>
        </w:rPr>
        <w:t> </w:t>
      </w:r>
      <w:r>
        <w:rPr>
          <w:vertAlign w:val="baseline"/>
        </w:rPr>
        <w:t>not</w:t>
      </w:r>
      <w:r>
        <w:rPr>
          <w:spacing w:val="-3"/>
          <w:vertAlign w:val="baseline"/>
        </w:rPr>
        <w:t> </w:t>
      </w:r>
      <w:r>
        <w:rPr>
          <w:vertAlign w:val="baseline"/>
        </w:rPr>
        <w:t>entitle</w:t>
      </w:r>
      <w:r>
        <w:rPr>
          <w:spacing w:val="-3"/>
          <w:vertAlign w:val="baseline"/>
        </w:rPr>
        <w:t> </w:t>
      </w:r>
      <w:r>
        <w:rPr>
          <w:vertAlign w:val="baseline"/>
        </w:rPr>
        <w:t>him</w:t>
      </w:r>
      <w:r>
        <w:rPr>
          <w:spacing w:val="-3"/>
          <w:vertAlign w:val="baseline"/>
        </w:rPr>
        <w:t> </w:t>
      </w:r>
      <w:r>
        <w:rPr>
          <w:vertAlign w:val="baseline"/>
        </w:rPr>
        <w:t>to</w:t>
      </w:r>
      <w:r>
        <w:rPr>
          <w:spacing w:val="-3"/>
          <w:vertAlign w:val="baseline"/>
        </w:rPr>
        <w:t> </w:t>
      </w:r>
      <w:r>
        <w:rPr>
          <w:vertAlign w:val="baseline"/>
        </w:rPr>
        <w:t>them as of right. </w:t>
      </w:r>
      <w:r>
        <w:rPr>
          <w:color w:val="005DA1"/>
          <w:u w:val="single" w:color="005DA1"/>
          <w:vertAlign w:val="superscript"/>
        </w:rPr>
        <w:t>68</w:t>
      </w:r>
      <w:r>
        <w:rPr>
          <w:color w:val="005DA1"/>
          <w:vertAlign w:val="baseline"/>
        </w:rPr>
        <w:t> </w:t>
      </w:r>
      <w:r>
        <w:rPr>
          <w:vertAlign w:val="baseline"/>
        </w:rPr>
        <w:t>Only a promise supported by consideration or made in a deed has these full contractual effects. “Contract” does not exhaust the category of promises having </w:t>
      </w:r>
      <w:r>
        <w:rPr>
          <w:rFonts w:ascii="Arial" w:hAnsi="Arial"/>
          <w:i/>
          <w:vertAlign w:val="baseline"/>
        </w:rPr>
        <w:t>some </w:t>
      </w:r>
      <w:r>
        <w:rPr>
          <w:vertAlign w:val="baseline"/>
        </w:rPr>
        <w:t>legal effect; it refers, more </w:t>
      </w:r>
      <w:bookmarkStart w:name="_bookmark71" w:id="73"/>
      <w:bookmarkEnd w:id="73"/>
      <w:r>
        <w:rPr>
          <w:vertAlign w:val="baseline"/>
        </w:rPr>
        <w:t>narrowly,</w:t>
      </w:r>
      <w:r>
        <w:rPr>
          <w:vertAlign w:val="baseline"/>
        </w:rPr>
        <w:t> to those promises or agreements leading to the full degree of enforceability accorded by the law to contractual promises. </w:t>
      </w:r>
      <w:r>
        <w:rPr>
          <w:color w:val="005DA1"/>
          <w:u w:val="single" w:color="005DA1"/>
          <w:vertAlign w:val="superscript"/>
        </w:rPr>
        <w:t>69</w:t>
      </w:r>
      <w:r>
        <w:rPr>
          <w:color w:val="005DA1"/>
          <w:vertAlign w:val="baseline"/>
        </w:rPr>
        <w:t> </w:t>
      </w:r>
      <w:r>
        <w:rPr>
          <w:vertAlign w:val="baseline"/>
        </w:rPr>
        <w:t>Moreover, while promises without consideration may have some legal effects, the promisee can still gain a number of important practical advantages by showing that he provided consideration. If the promise was supported by consideration, the promisee will not need to show that he had acted in reliance on the promise or that the promisor would be unjustly enriched or would otherwise be acting unconscionably if he went back on the promise; the promise will not be revocable but enforceable according to its terms; and the promisee will be entitled to full loss of bargain damages as of right. The limited legal effects of promises without consideration may have </w:t>
      </w:r>
      <w:bookmarkStart w:name="_bookmark72" w:id="74"/>
      <w:bookmarkEnd w:id="74"/>
      <w:r>
        <w:rPr>
          <w:vertAlign w:val="baseline"/>
        </w:rPr>
        <w:t>mitigated</w:t>
      </w:r>
      <w:r>
        <w:rPr>
          <w:vertAlign w:val="baseline"/>
        </w:rPr>
        <w:t> some of the rigours of the strict doctrine; but they have not eliminated consideration as an essential requirement of a binding contract. </w:t>
      </w:r>
      <w:r>
        <w:rPr>
          <w:color w:val="005DA1"/>
          <w:u w:val="single" w:color="005DA1"/>
          <w:vertAlign w:val="superscript"/>
        </w:rPr>
        <w:t>70</w:t>
      </w:r>
    </w:p>
    <w:p>
      <w:pPr>
        <w:pStyle w:val="BodyText"/>
        <w:spacing w:after="0" w:line="235" w:lineRule="auto"/>
        <w:jc w:val="both"/>
        <w:sectPr>
          <w:pgSz w:w="11900" w:h="16840"/>
          <w:pgMar w:header="971" w:footer="0" w:top="1160" w:bottom="280" w:left="1275" w:right="1275"/>
        </w:sectPr>
      </w:pPr>
    </w:p>
    <w:p>
      <w:pPr>
        <w:pStyle w:val="BodyText"/>
      </w:pPr>
    </w:p>
    <w:p>
      <w:pPr>
        <w:pStyle w:val="BodyText"/>
        <w:spacing w:before="158" w:after="1"/>
      </w:pPr>
    </w:p>
    <w:p>
      <w:pPr>
        <w:pStyle w:val="BodyText"/>
        <w:spacing w:line="20" w:lineRule="exact"/>
        <w:ind w:left="165"/>
        <w:rPr>
          <w:sz w:val="2"/>
        </w:rPr>
      </w:pPr>
      <w:r>
        <w:rPr>
          <w:sz w:val="2"/>
        </w:rPr>
        <mc:AlternateContent>
          <mc:Choice Requires="wps">
            <w:drawing>
              <wp:inline distT="0" distB="0" distL="0" distR="0">
                <wp:extent cx="5724525" cy="12700"/>
                <wp:effectExtent l="9525" t="0" r="0" b="6350"/>
                <wp:docPr id="28" name="Group 28"/>
                <wp:cNvGraphicFramePr>
                  <a:graphicFrameLocks/>
                </wp:cNvGraphicFramePr>
                <a:graphic>
                  <a:graphicData uri="http://schemas.microsoft.com/office/word/2010/wordprocessingGroup">
                    <wpg:wgp>
                      <wpg:cNvPr id="28" name="Group 28"/>
                      <wpg:cNvGrpSpPr/>
                      <wpg:grpSpPr>
                        <a:xfrm>
                          <a:off x="0" y="0"/>
                          <a:ext cx="5724525" cy="12700"/>
                          <a:chExt cx="5724525" cy="12700"/>
                        </a:xfrm>
                      </wpg:grpSpPr>
                      <wps:wsp>
                        <wps:cNvPr id="29" name="Graphic 29"/>
                        <wps:cNvSpPr/>
                        <wps:spPr>
                          <a:xfrm>
                            <a:off x="0" y="635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75pt;height:1pt;mso-position-horizontal-relative:char;mso-position-vertical-relative:line" id="docshapegroup7" coordorigin="0,0" coordsize="9015,20">
                <v:line style="position:absolute" from="0,10" to="9014,10" stroked="true" strokeweight="1pt" strokecolor="#000000">
                  <v:stroke dashstyle="solid"/>
                </v:line>
              </v:group>
            </w:pict>
          </mc:Fallback>
        </mc:AlternateContent>
      </w:r>
      <w:r>
        <w:rPr>
          <w:sz w:val="2"/>
        </w:rPr>
      </w:r>
    </w:p>
    <w:p>
      <w:pPr>
        <w:pStyle w:val="BodyText"/>
        <w:spacing w:before="8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164736">
                <wp:simplePos x="0" y="0"/>
                <wp:positionH relativeFrom="page">
                  <wp:posOffset>914400</wp:posOffset>
                </wp:positionH>
                <wp:positionV relativeFrom="paragraph">
                  <wp:posOffset>97116</wp:posOffset>
                </wp:positionV>
                <wp:extent cx="4953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1744"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before="5"/>
      </w:pPr>
    </w:p>
    <w:p>
      <w:pPr>
        <w:spacing w:line="227" w:lineRule="exact" w:before="0"/>
        <w:ind w:left="165" w:right="0" w:firstLine="0"/>
        <w:jc w:val="both"/>
        <w:rPr>
          <w:sz w:val="20"/>
        </w:rPr>
      </w:pPr>
      <w:bookmarkStart w:name="_bookmark73" w:id="75"/>
      <w:bookmarkEnd w:id="75"/>
      <w:r>
        <w:rPr/>
      </w:r>
      <w:hyperlink w:history="true" w:anchor="_bookmark24">
        <w:r>
          <w:rPr>
            <w:color w:val="005DA1"/>
            <w:position w:val="5"/>
            <w:sz w:val="14"/>
            <w:u w:val="single" w:color="005DA1"/>
          </w:rPr>
          <w:t>15</w:t>
        </w:r>
      </w:hyperlink>
      <w:r>
        <w:rPr>
          <w:position w:val="5"/>
          <w:sz w:val="14"/>
        </w:rPr>
        <w:t>.</w:t>
      </w:r>
      <w:r>
        <w:rPr>
          <w:spacing w:val="76"/>
          <w:position w:val="5"/>
          <w:sz w:val="14"/>
        </w:rPr>
        <w:t>   </w:t>
      </w:r>
      <w:r>
        <w:rPr>
          <w:rFonts w:ascii="Arial"/>
          <w:i/>
          <w:sz w:val="20"/>
        </w:rPr>
        <w:t>Currie</w:t>
      </w:r>
      <w:r>
        <w:rPr>
          <w:rFonts w:ascii="Arial"/>
          <w:i/>
          <w:spacing w:val="14"/>
          <w:sz w:val="20"/>
        </w:rPr>
        <w:t> </w:t>
      </w:r>
      <w:r>
        <w:rPr>
          <w:rFonts w:ascii="Arial"/>
          <w:i/>
          <w:sz w:val="20"/>
        </w:rPr>
        <w:t>v</w:t>
      </w:r>
      <w:r>
        <w:rPr>
          <w:rFonts w:ascii="Arial"/>
          <w:i/>
          <w:spacing w:val="14"/>
          <w:sz w:val="20"/>
        </w:rPr>
        <w:t> </w:t>
      </w:r>
      <w:r>
        <w:rPr>
          <w:rFonts w:ascii="Arial"/>
          <w:i/>
          <w:sz w:val="20"/>
        </w:rPr>
        <w:t>Misa</w:t>
      </w:r>
      <w:r>
        <w:rPr>
          <w:rFonts w:ascii="Arial"/>
          <w:i/>
          <w:spacing w:val="14"/>
          <w:sz w:val="20"/>
        </w:rPr>
        <w:t> </w:t>
      </w:r>
      <w:r>
        <w:rPr>
          <w:rFonts w:ascii="Arial"/>
          <w:i/>
          <w:sz w:val="20"/>
        </w:rPr>
        <w:t>(1875)</w:t>
      </w:r>
      <w:r>
        <w:rPr>
          <w:rFonts w:ascii="Arial"/>
          <w:i/>
          <w:spacing w:val="14"/>
          <w:sz w:val="20"/>
        </w:rPr>
        <w:t> </w:t>
      </w:r>
      <w:r>
        <w:rPr>
          <w:rFonts w:ascii="Arial"/>
          <w:i/>
          <w:sz w:val="20"/>
        </w:rPr>
        <w:t>L.R.</w:t>
      </w:r>
      <w:r>
        <w:rPr>
          <w:rFonts w:ascii="Arial"/>
          <w:i/>
          <w:spacing w:val="14"/>
          <w:sz w:val="20"/>
        </w:rPr>
        <w:t> </w:t>
      </w:r>
      <w:r>
        <w:rPr>
          <w:rFonts w:ascii="Arial"/>
          <w:i/>
          <w:sz w:val="20"/>
        </w:rPr>
        <w:t>10</w:t>
      </w:r>
      <w:r>
        <w:rPr>
          <w:rFonts w:ascii="Arial"/>
          <w:i/>
          <w:spacing w:val="14"/>
          <w:sz w:val="20"/>
        </w:rPr>
        <w:t> </w:t>
      </w:r>
      <w:r>
        <w:rPr>
          <w:rFonts w:ascii="Arial"/>
          <w:i/>
          <w:sz w:val="20"/>
        </w:rPr>
        <w:t>Ex.</w:t>
      </w:r>
      <w:r>
        <w:rPr>
          <w:rFonts w:ascii="Arial"/>
          <w:i/>
          <w:spacing w:val="14"/>
          <w:sz w:val="20"/>
        </w:rPr>
        <w:t> </w:t>
      </w:r>
      <w:r>
        <w:rPr>
          <w:rFonts w:ascii="Arial"/>
          <w:i/>
          <w:sz w:val="20"/>
        </w:rPr>
        <w:t>153,</w:t>
      </w:r>
      <w:r>
        <w:rPr>
          <w:rFonts w:ascii="Arial"/>
          <w:i/>
          <w:spacing w:val="14"/>
          <w:sz w:val="20"/>
        </w:rPr>
        <w:t> </w:t>
      </w:r>
      <w:r>
        <w:rPr>
          <w:rFonts w:ascii="Arial"/>
          <w:i/>
          <w:sz w:val="20"/>
        </w:rPr>
        <w:t>162</w:t>
      </w:r>
      <w:r>
        <w:rPr>
          <w:sz w:val="20"/>
        </w:rPr>
        <w:t>.</w:t>
      </w:r>
      <w:r>
        <w:rPr>
          <w:spacing w:val="13"/>
          <w:sz w:val="20"/>
        </w:rPr>
        <w:t> </w:t>
      </w:r>
      <w:r>
        <w:rPr>
          <w:sz w:val="20"/>
        </w:rPr>
        <w:t>See</w:t>
      </w:r>
      <w:r>
        <w:rPr>
          <w:spacing w:val="14"/>
          <w:sz w:val="20"/>
        </w:rPr>
        <w:t> </w:t>
      </w:r>
      <w:r>
        <w:rPr>
          <w:sz w:val="20"/>
        </w:rPr>
        <w:t>also</w:t>
      </w:r>
      <w:r>
        <w:rPr>
          <w:spacing w:val="14"/>
          <w:sz w:val="20"/>
        </w:rPr>
        <w:t> </w:t>
      </w:r>
      <w:r>
        <w:rPr>
          <w:rFonts w:ascii="Arial"/>
          <w:i/>
          <w:sz w:val="20"/>
        </w:rPr>
        <w:t>Barber</w:t>
      </w:r>
      <w:r>
        <w:rPr>
          <w:rFonts w:ascii="Arial"/>
          <w:i/>
          <w:spacing w:val="14"/>
          <w:sz w:val="20"/>
        </w:rPr>
        <w:t> </w:t>
      </w:r>
      <w:r>
        <w:rPr>
          <w:rFonts w:ascii="Arial"/>
          <w:i/>
          <w:sz w:val="20"/>
        </w:rPr>
        <w:t>v</w:t>
      </w:r>
      <w:r>
        <w:rPr>
          <w:rFonts w:ascii="Arial"/>
          <w:i/>
          <w:spacing w:val="14"/>
          <w:sz w:val="20"/>
        </w:rPr>
        <w:t> </w:t>
      </w:r>
      <w:r>
        <w:rPr>
          <w:rFonts w:ascii="Arial"/>
          <w:i/>
          <w:sz w:val="20"/>
        </w:rPr>
        <w:t>Fox</w:t>
      </w:r>
      <w:r>
        <w:rPr>
          <w:rFonts w:ascii="Arial"/>
          <w:i/>
          <w:spacing w:val="14"/>
          <w:sz w:val="20"/>
        </w:rPr>
        <w:t> </w:t>
      </w:r>
      <w:r>
        <w:rPr>
          <w:rFonts w:ascii="Arial"/>
          <w:i/>
          <w:sz w:val="20"/>
        </w:rPr>
        <w:t>(1670)</w:t>
      </w:r>
      <w:r>
        <w:rPr>
          <w:rFonts w:ascii="Arial"/>
          <w:i/>
          <w:spacing w:val="14"/>
          <w:sz w:val="20"/>
        </w:rPr>
        <w:t> </w:t>
      </w:r>
      <w:r>
        <w:rPr>
          <w:rFonts w:ascii="Arial"/>
          <w:i/>
          <w:sz w:val="20"/>
        </w:rPr>
        <w:t>2</w:t>
      </w:r>
      <w:r>
        <w:rPr>
          <w:rFonts w:ascii="Arial"/>
          <w:i/>
          <w:spacing w:val="14"/>
          <w:sz w:val="20"/>
        </w:rPr>
        <w:t> </w:t>
      </w:r>
      <w:r>
        <w:rPr>
          <w:rFonts w:ascii="Arial"/>
          <w:i/>
          <w:sz w:val="20"/>
        </w:rPr>
        <w:t>Wms.Saund.</w:t>
      </w:r>
      <w:r>
        <w:rPr>
          <w:rFonts w:ascii="Arial"/>
          <w:i/>
          <w:spacing w:val="14"/>
          <w:sz w:val="20"/>
        </w:rPr>
        <w:t> </w:t>
      </w:r>
      <w:r>
        <w:rPr>
          <w:rFonts w:ascii="Arial"/>
          <w:i/>
          <w:spacing w:val="-4"/>
          <w:sz w:val="20"/>
        </w:rPr>
        <w:t>134</w:t>
      </w:r>
      <w:r>
        <w:rPr>
          <w:spacing w:val="-4"/>
          <w:sz w:val="20"/>
        </w:rPr>
        <w:t>,</w:t>
      </w:r>
    </w:p>
    <w:p>
      <w:pPr>
        <w:spacing w:line="225" w:lineRule="exact" w:before="0"/>
        <w:ind w:left="705" w:right="0" w:firstLine="0"/>
        <w:jc w:val="both"/>
        <w:rPr>
          <w:sz w:val="20"/>
        </w:rPr>
      </w:pPr>
      <w:r>
        <w:rPr>
          <w:sz w:val="20"/>
        </w:rPr>
        <w:t>n.(e);</w:t>
      </w:r>
      <w:r>
        <w:rPr>
          <w:spacing w:val="57"/>
          <w:sz w:val="20"/>
        </w:rPr>
        <w:t> </w:t>
      </w:r>
      <w:r>
        <w:rPr>
          <w:rFonts w:ascii="Arial"/>
          <w:i/>
          <w:sz w:val="20"/>
        </w:rPr>
        <w:t>Cooke</w:t>
      </w:r>
      <w:r>
        <w:rPr>
          <w:rFonts w:ascii="Arial"/>
          <w:i/>
          <w:spacing w:val="58"/>
          <w:sz w:val="20"/>
        </w:rPr>
        <w:t> </w:t>
      </w:r>
      <w:r>
        <w:rPr>
          <w:rFonts w:ascii="Arial"/>
          <w:i/>
          <w:sz w:val="20"/>
        </w:rPr>
        <w:t>v</w:t>
      </w:r>
      <w:r>
        <w:rPr>
          <w:rFonts w:ascii="Arial"/>
          <w:i/>
          <w:spacing w:val="58"/>
          <w:sz w:val="20"/>
        </w:rPr>
        <w:t> </w:t>
      </w:r>
      <w:r>
        <w:rPr>
          <w:rFonts w:ascii="Arial"/>
          <w:i/>
          <w:sz w:val="20"/>
        </w:rPr>
        <w:t>Oxley</w:t>
      </w:r>
      <w:r>
        <w:rPr>
          <w:rFonts w:ascii="Arial"/>
          <w:i/>
          <w:spacing w:val="58"/>
          <w:sz w:val="20"/>
        </w:rPr>
        <w:t> </w:t>
      </w:r>
      <w:r>
        <w:rPr>
          <w:rFonts w:ascii="Arial"/>
          <w:i/>
          <w:sz w:val="20"/>
        </w:rPr>
        <w:t>(1790)</w:t>
      </w:r>
      <w:r>
        <w:rPr>
          <w:rFonts w:ascii="Arial"/>
          <w:i/>
          <w:spacing w:val="58"/>
          <w:sz w:val="20"/>
        </w:rPr>
        <w:t> </w:t>
      </w:r>
      <w:r>
        <w:rPr>
          <w:rFonts w:ascii="Arial"/>
          <w:i/>
          <w:sz w:val="20"/>
        </w:rPr>
        <w:t>3</w:t>
      </w:r>
      <w:r>
        <w:rPr>
          <w:rFonts w:ascii="Arial"/>
          <w:i/>
          <w:spacing w:val="58"/>
          <w:sz w:val="20"/>
        </w:rPr>
        <w:t> </w:t>
      </w:r>
      <w:r>
        <w:rPr>
          <w:rFonts w:ascii="Arial"/>
          <w:i/>
          <w:sz w:val="20"/>
        </w:rPr>
        <w:t>T.R.</w:t>
      </w:r>
      <w:r>
        <w:rPr>
          <w:rFonts w:ascii="Arial"/>
          <w:i/>
          <w:spacing w:val="58"/>
          <w:sz w:val="20"/>
        </w:rPr>
        <w:t> </w:t>
      </w:r>
      <w:r>
        <w:rPr>
          <w:rFonts w:ascii="Arial"/>
          <w:i/>
          <w:sz w:val="20"/>
        </w:rPr>
        <w:t>653,</w:t>
      </w:r>
      <w:r>
        <w:rPr>
          <w:rFonts w:ascii="Arial"/>
          <w:i/>
          <w:spacing w:val="58"/>
          <w:sz w:val="20"/>
        </w:rPr>
        <w:t> </w:t>
      </w:r>
      <w:r>
        <w:rPr>
          <w:rFonts w:ascii="Arial"/>
          <w:i/>
          <w:sz w:val="20"/>
        </w:rPr>
        <w:t>654</w:t>
      </w:r>
      <w:r>
        <w:rPr>
          <w:sz w:val="20"/>
        </w:rPr>
        <w:t>;</w:t>
      </w:r>
      <w:r>
        <w:rPr>
          <w:spacing w:val="58"/>
          <w:sz w:val="20"/>
        </w:rPr>
        <w:t> </w:t>
      </w:r>
      <w:r>
        <w:rPr>
          <w:rFonts w:ascii="Arial"/>
          <w:i/>
          <w:sz w:val="20"/>
        </w:rPr>
        <w:t>Jones</w:t>
      </w:r>
      <w:r>
        <w:rPr>
          <w:rFonts w:ascii="Arial"/>
          <w:i/>
          <w:spacing w:val="58"/>
          <w:sz w:val="20"/>
        </w:rPr>
        <w:t> </w:t>
      </w:r>
      <w:r>
        <w:rPr>
          <w:rFonts w:ascii="Arial"/>
          <w:i/>
          <w:sz w:val="20"/>
        </w:rPr>
        <w:t>v</w:t>
      </w:r>
      <w:r>
        <w:rPr>
          <w:rFonts w:ascii="Arial"/>
          <w:i/>
          <w:spacing w:val="58"/>
          <w:sz w:val="20"/>
        </w:rPr>
        <w:t> </w:t>
      </w:r>
      <w:r>
        <w:rPr>
          <w:rFonts w:ascii="Arial"/>
          <w:i/>
          <w:sz w:val="20"/>
        </w:rPr>
        <w:t>Ashburnham</w:t>
      </w:r>
      <w:r>
        <w:rPr>
          <w:rFonts w:ascii="Arial"/>
          <w:i/>
          <w:spacing w:val="58"/>
          <w:sz w:val="20"/>
        </w:rPr>
        <w:t> </w:t>
      </w:r>
      <w:r>
        <w:rPr>
          <w:rFonts w:ascii="Arial"/>
          <w:i/>
          <w:sz w:val="20"/>
        </w:rPr>
        <w:t>(1804)</w:t>
      </w:r>
      <w:r>
        <w:rPr>
          <w:rFonts w:ascii="Arial"/>
          <w:i/>
          <w:spacing w:val="58"/>
          <w:sz w:val="20"/>
        </w:rPr>
        <w:t> </w:t>
      </w:r>
      <w:r>
        <w:rPr>
          <w:rFonts w:ascii="Arial"/>
          <w:i/>
          <w:sz w:val="20"/>
        </w:rPr>
        <w:t>4</w:t>
      </w:r>
      <w:r>
        <w:rPr>
          <w:rFonts w:ascii="Arial"/>
          <w:i/>
          <w:spacing w:val="58"/>
          <w:sz w:val="20"/>
        </w:rPr>
        <w:t> </w:t>
      </w:r>
      <w:r>
        <w:rPr>
          <w:rFonts w:ascii="Arial"/>
          <w:i/>
          <w:sz w:val="20"/>
        </w:rPr>
        <w:t>East</w:t>
      </w:r>
      <w:r>
        <w:rPr>
          <w:rFonts w:ascii="Arial"/>
          <w:i/>
          <w:spacing w:val="58"/>
          <w:sz w:val="20"/>
        </w:rPr>
        <w:t> </w:t>
      </w:r>
      <w:r>
        <w:rPr>
          <w:rFonts w:ascii="Arial"/>
          <w:i/>
          <w:spacing w:val="-4"/>
          <w:sz w:val="20"/>
        </w:rPr>
        <w:t>455</w:t>
      </w:r>
      <w:r>
        <w:rPr>
          <w:spacing w:val="-4"/>
          <w:sz w:val="20"/>
        </w:rPr>
        <w:t>;</w:t>
      </w:r>
    </w:p>
    <w:p>
      <w:pPr>
        <w:spacing w:line="225" w:lineRule="exact" w:before="0"/>
        <w:ind w:left="705" w:right="0" w:firstLine="0"/>
        <w:jc w:val="both"/>
        <w:rPr>
          <w:sz w:val="20"/>
        </w:rPr>
      </w:pPr>
      <w:r>
        <w:rPr>
          <w:rFonts w:ascii="Arial"/>
          <w:i/>
          <w:sz w:val="20"/>
        </w:rPr>
        <w:t>Bainbridge</w:t>
      </w:r>
      <w:r>
        <w:rPr>
          <w:rFonts w:ascii="Arial"/>
          <w:i/>
          <w:spacing w:val="10"/>
          <w:sz w:val="20"/>
        </w:rPr>
        <w:t> </w:t>
      </w:r>
      <w:r>
        <w:rPr>
          <w:rFonts w:ascii="Arial"/>
          <w:i/>
          <w:sz w:val="20"/>
        </w:rPr>
        <w:t>v</w:t>
      </w:r>
      <w:r>
        <w:rPr>
          <w:rFonts w:ascii="Arial"/>
          <w:i/>
          <w:spacing w:val="11"/>
          <w:sz w:val="20"/>
        </w:rPr>
        <w:t> </w:t>
      </w:r>
      <w:r>
        <w:rPr>
          <w:rFonts w:ascii="Arial"/>
          <w:i/>
          <w:sz w:val="20"/>
        </w:rPr>
        <w:t>Firmstone</w:t>
      </w:r>
      <w:r>
        <w:rPr>
          <w:rFonts w:ascii="Arial"/>
          <w:i/>
          <w:spacing w:val="11"/>
          <w:sz w:val="20"/>
        </w:rPr>
        <w:t> </w:t>
      </w:r>
      <w:r>
        <w:rPr>
          <w:rFonts w:ascii="Arial"/>
          <w:i/>
          <w:sz w:val="20"/>
        </w:rPr>
        <w:t>(1838)</w:t>
      </w:r>
      <w:r>
        <w:rPr>
          <w:rFonts w:ascii="Arial"/>
          <w:i/>
          <w:spacing w:val="11"/>
          <w:sz w:val="20"/>
        </w:rPr>
        <w:t> </w:t>
      </w:r>
      <w:r>
        <w:rPr>
          <w:rFonts w:ascii="Arial"/>
          <w:i/>
          <w:sz w:val="20"/>
        </w:rPr>
        <w:t>8</w:t>
      </w:r>
      <w:r>
        <w:rPr>
          <w:rFonts w:ascii="Arial"/>
          <w:i/>
          <w:spacing w:val="11"/>
          <w:sz w:val="20"/>
        </w:rPr>
        <w:t> </w:t>
      </w:r>
      <w:r>
        <w:rPr>
          <w:rFonts w:ascii="Arial"/>
          <w:i/>
          <w:sz w:val="20"/>
        </w:rPr>
        <w:t>A.</w:t>
      </w:r>
      <w:r>
        <w:rPr>
          <w:rFonts w:ascii="Arial"/>
          <w:i/>
          <w:spacing w:val="11"/>
          <w:sz w:val="20"/>
        </w:rPr>
        <w:t> </w:t>
      </w:r>
      <w:r>
        <w:rPr>
          <w:rFonts w:ascii="Arial"/>
          <w:i/>
          <w:sz w:val="20"/>
        </w:rPr>
        <w:t>&amp;</w:t>
      </w:r>
      <w:r>
        <w:rPr>
          <w:rFonts w:ascii="Arial"/>
          <w:i/>
          <w:spacing w:val="11"/>
          <w:sz w:val="20"/>
        </w:rPr>
        <w:t> </w:t>
      </w:r>
      <w:r>
        <w:rPr>
          <w:rFonts w:ascii="Arial"/>
          <w:i/>
          <w:sz w:val="20"/>
        </w:rPr>
        <w:t>E.</w:t>
      </w:r>
      <w:r>
        <w:rPr>
          <w:rFonts w:ascii="Arial"/>
          <w:i/>
          <w:spacing w:val="11"/>
          <w:sz w:val="20"/>
        </w:rPr>
        <w:t> </w:t>
      </w:r>
      <w:r>
        <w:rPr>
          <w:rFonts w:ascii="Arial"/>
          <w:i/>
          <w:sz w:val="20"/>
        </w:rPr>
        <w:t>743,</w:t>
      </w:r>
      <w:r>
        <w:rPr>
          <w:rFonts w:ascii="Arial"/>
          <w:i/>
          <w:spacing w:val="11"/>
          <w:sz w:val="20"/>
        </w:rPr>
        <w:t> </w:t>
      </w:r>
      <w:r>
        <w:rPr>
          <w:rFonts w:ascii="Arial"/>
          <w:i/>
          <w:sz w:val="20"/>
        </w:rPr>
        <w:t>744</w:t>
      </w:r>
      <w:r>
        <w:rPr>
          <w:sz w:val="20"/>
        </w:rPr>
        <w:t>;</w:t>
      </w:r>
      <w:r>
        <w:rPr>
          <w:spacing w:val="11"/>
          <w:sz w:val="20"/>
        </w:rPr>
        <w:t> </w:t>
      </w:r>
      <w:r>
        <w:rPr>
          <w:rFonts w:ascii="Arial"/>
          <w:i/>
          <w:sz w:val="20"/>
        </w:rPr>
        <w:t>Thomas</w:t>
      </w:r>
      <w:r>
        <w:rPr>
          <w:rFonts w:ascii="Arial"/>
          <w:i/>
          <w:spacing w:val="11"/>
          <w:sz w:val="20"/>
        </w:rPr>
        <w:t> </w:t>
      </w:r>
      <w:r>
        <w:rPr>
          <w:rFonts w:ascii="Arial"/>
          <w:i/>
          <w:sz w:val="20"/>
        </w:rPr>
        <w:t>v</w:t>
      </w:r>
      <w:r>
        <w:rPr>
          <w:rFonts w:ascii="Arial"/>
          <w:i/>
          <w:spacing w:val="11"/>
          <w:sz w:val="20"/>
        </w:rPr>
        <w:t> </w:t>
      </w:r>
      <w:r>
        <w:rPr>
          <w:rFonts w:ascii="Arial"/>
          <w:i/>
          <w:sz w:val="20"/>
        </w:rPr>
        <w:t>Thomas</w:t>
      </w:r>
      <w:r>
        <w:rPr>
          <w:rFonts w:ascii="Arial"/>
          <w:i/>
          <w:spacing w:val="11"/>
          <w:sz w:val="20"/>
        </w:rPr>
        <w:t> </w:t>
      </w:r>
      <w:r>
        <w:rPr>
          <w:rFonts w:ascii="Arial"/>
          <w:i/>
          <w:sz w:val="20"/>
        </w:rPr>
        <w:t>(1842)</w:t>
      </w:r>
      <w:r>
        <w:rPr>
          <w:rFonts w:ascii="Arial"/>
          <w:i/>
          <w:spacing w:val="11"/>
          <w:sz w:val="20"/>
        </w:rPr>
        <w:t> </w:t>
      </w:r>
      <w:r>
        <w:rPr>
          <w:rFonts w:ascii="Arial"/>
          <w:i/>
          <w:sz w:val="20"/>
        </w:rPr>
        <w:t>2</w:t>
      </w:r>
      <w:r>
        <w:rPr>
          <w:rFonts w:ascii="Arial"/>
          <w:i/>
          <w:spacing w:val="11"/>
          <w:sz w:val="20"/>
        </w:rPr>
        <w:t> </w:t>
      </w:r>
      <w:r>
        <w:rPr>
          <w:rFonts w:ascii="Arial"/>
          <w:i/>
          <w:sz w:val="20"/>
        </w:rPr>
        <w:t>Q.B.</w:t>
      </w:r>
      <w:r>
        <w:rPr>
          <w:rFonts w:ascii="Arial"/>
          <w:i/>
          <w:spacing w:val="11"/>
          <w:sz w:val="20"/>
        </w:rPr>
        <w:t> </w:t>
      </w:r>
      <w:r>
        <w:rPr>
          <w:rFonts w:ascii="Arial"/>
          <w:i/>
          <w:sz w:val="20"/>
        </w:rPr>
        <w:t>851,</w:t>
      </w:r>
      <w:r>
        <w:rPr>
          <w:rFonts w:ascii="Arial"/>
          <w:i/>
          <w:spacing w:val="11"/>
          <w:sz w:val="20"/>
        </w:rPr>
        <w:t> </w:t>
      </w:r>
      <w:r>
        <w:rPr>
          <w:rFonts w:ascii="Arial"/>
          <w:i/>
          <w:spacing w:val="-4"/>
          <w:sz w:val="20"/>
        </w:rPr>
        <w:t>859</w:t>
      </w:r>
      <w:r>
        <w:rPr>
          <w:spacing w:val="-4"/>
          <w:sz w:val="20"/>
        </w:rPr>
        <w:t>;</w:t>
      </w:r>
    </w:p>
    <w:p>
      <w:pPr>
        <w:spacing w:line="235" w:lineRule="auto" w:before="1"/>
        <w:ind w:left="705" w:right="168" w:firstLine="0"/>
        <w:jc w:val="both"/>
        <w:rPr>
          <w:sz w:val="20"/>
        </w:rPr>
      </w:pPr>
      <w:r>
        <w:rPr>
          <w:rFonts w:ascii="Arial" w:hAnsi="Arial"/>
          <w:i/>
          <w:sz w:val="20"/>
        </w:rPr>
        <w:t>Bolton v Madden (1873) L.R. 9 Q.B. 55, 56</w:t>
      </w:r>
      <w:r>
        <w:rPr>
          <w:sz w:val="20"/>
        </w:rPr>
        <w:t>; </w:t>
      </w:r>
      <w:r>
        <w:rPr>
          <w:rFonts w:ascii="Arial" w:hAnsi="Arial"/>
          <w:i/>
          <w:sz w:val="20"/>
        </w:rPr>
        <w:t>Gore v Van der Lann [1967] 2 Q.B. 31, 42</w:t>
      </w:r>
      <w:r>
        <w:rPr>
          <w:sz w:val="20"/>
        </w:rPr>
        <w:t>; </w:t>
      </w:r>
      <w:r>
        <w:rPr>
          <w:rFonts w:ascii="Arial" w:hAnsi="Arial"/>
          <w:i/>
          <w:sz w:val="20"/>
        </w:rPr>
        <w:t>Argy Trading Development Co Ltd v Lapid Developments Ltd [1977] Lloyd’s Rep. 67, 75</w:t>
      </w:r>
      <w:r>
        <w:rPr>
          <w:sz w:val="20"/>
        </w:rPr>
        <w:t>; </w:t>
      </w:r>
      <w:r>
        <w:rPr>
          <w:rFonts w:ascii="Arial" w:hAnsi="Arial"/>
          <w:i/>
          <w:sz w:val="20"/>
        </w:rPr>
        <w:t>Midland Bank &amp; Trust Co Ltd v Green [1981] A.C. 513, 531</w:t>
      </w:r>
      <w:r>
        <w:rPr>
          <w:sz w:val="20"/>
        </w:rPr>
        <w:t>; </w:t>
      </w:r>
      <w:r>
        <w:rPr>
          <w:rFonts w:ascii="Arial" w:hAnsi="Arial"/>
          <w:i/>
          <w:sz w:val="20"/>
        </w:rPr>
        <w:t>R. v Braithwaite [1983] 1 W.L.R. 383, 391</w:t>
      </w:r>
      <w:r>
        <w:rPr>
          <w:sz w:val="20"/>
        </w:rPr>
        <w:t>; </w:t>
      </w:r>
      <w:r>
        <w:rPr>
          <w:rFonts w:ascii="Arial" w:hAnsi="Arial"/>
          <w:i/>
          <w:sz w:val="20"/>
        </w:rPr>
        <w:t>Johnsey Estates Ltd v Lewis Manley (Engineering) Ltd [1987] 2 E.G.L.R. 69, 70</w:t>
      </w:r>
      <w:r>
        <w:rPr>
          <w:sz w:val="20"/>
        </w:rPr>
        <w:t>; </w:t>
      </w:r>
      <w:r>
        <w:rPr>
          <w:rFonts w:ascii="Arial" w:hAnsi="Arial"/>
          <w:i/>
          <w:sz w:val="20"/>
        </w:rPr>
        <w:t>Guiness Mahon &amp; Co Ltd v Kensington &amp; Chelsea Royal B.C. [1999] Q.B. 215 </w:t>
      </w:r>
      <w:r>
        <w:rPr>
          <w:sz w:val="20"/>
        </w:rPr>
        <w:t>at 236; </w:t>
      </w:r>
      <w:r>
        <w:rPr>
          <w:rFonts w:ascii="Arial" w:hAnsi="Arial"/>
          <w:i/>
          <w:sz w:val="20"/>
        </w:rPr>
        <w:t>Modahl v British Athletics Federation Ltd [2001] EWCA Civ 1447, [2002] 1 W.L.R. 1192 </w:t>
      </w:r>
      <w:r>
        <w:rPr>
          <w:sz w:val="20"/>
        </w:rPr>
        <w:t>at [50]; cf. at [103].</w:t>
      </w:r>
    </w:p>
    <w:p>
      <w:pPr>
        <w:pStyle w:val="BodyText"/>
        <w:spacing w:before="4"/>
      </w:pPr>
    </w:p>
    <w:p>
      <w:pPr>
        <w:tabs>
          <w:tab w:pos="705" w:val="left" w:leader="none"/>
        </w:tabs>
        <w:spacing w:line="227" w:lineRule="exact" w:before="0"/>
        <w:ind w:left="165" w:right="0" w:firstLine="0"/>
        <w:jc w:val="left"/>
        <w:rPr>
          <w:rFonts w:ascii="Arial" w:hAnsi="Arial"/>
          <w:i/>
          <w:sz w:val="20"/>
        </w:rPr>
      </w:pPr>
      <w:bookmarkStart w:name="_bookmark74" w:id="76"/>
      <w:bookmarkEnd w:id="76"/>
      <w:r>
        <w:rPr/>
      </w:r>
      <w:hyperlink w:history="true" w:anchor="_bookmark25">
        <w:r>
          <w:rPr>
            <w:color w:val="005DA1"/>
            <w:spacing w:val="-5"/>
            <w:position w:val="5"/>
            <w:sz w:val="14"/>
            <w:u w:val="single" w:color="005DA1"/>
          </w:rPr>
          <w:t>16</w:t>
        </w:r>
      </w:hyperlink>
      <w:r>
        <w:rPr>
          <w:spacing w:val="-5"/>
          <w:position w:val="5"/>
          <w:sz w:val="14"/>
        </w:rPr>
        <w:t>.</w:t>
      </w:r>
      <w:r>
        <w:rPr>
          <w:position w:val="5"/>
          <w:sz w:val="14"/>
        </w:rPr>
        <w:tab/>
      </w:r>
      <w:r>
        <w:rPr>
          <w:rFonts w:ascii="Arial" w:hAnsi="Arial"/>
          <w:i/>
          <w:sz w:val="20"/>
        </w:rPr>
        <w:t>O’Sullivan</w:t>
      </w:r>
      <w:r>
        <w:rPr>
          <w:rFonts w:ascii="Arial" w:hAnsi="Arial"/>
          <w:i/>
          <w:spacing w:val="-1"/>
          <w:sz w:val="20"/>
        </w:rPr>
        <w:t> </w:t>
      </w:r>
      <w:r>
        <w:rPr>
          <w:rFonts w:ascii="Arial" w:hAnsi="Arial"/>
          <w:i/>
          <w:sz w:val="20"/>
        </w:rPr>
        <w:t>v</w:t>
      </w:r>
      <w:r>
        <w:rPr>
          <w:rFonts w:ascii="Arial" w:hAnsi="Arial"/>
          <w:i/>
          <w:spacing w:val="2"/>
          <w:sz w:val="20"/>
        </w:rPr>
        <w:t> </w:t>
      </w:r>
      <w:r>
        <w:rPr>
          <w:rFonts w:ascii="Arial" w:hAnsi="Arial"/>
          <w:i/>
          <w:sz w:val="20"/>
        </w:rPr>
        <w:t>Management</w:t>
      </w:r>
      <w:r>
        <w:rPr>
          <w:rFonts w:ascii="Arial" w:hAnsi="Arial"/>
          <w:i/>
          <w:spacing w:val="2"/>
          <w:sz w:val="20"/>
        </w:rPr>
        <w:t> </w:t>
      </w:r>
      <w:r>
        <w:rPr>
          <w:rFonts w:ascii="Arial" w:hAnsi="Arial"/>
          <w:i/>
          <w:sz w:val="20"/>
        </w:rPr>
        <w:t>Agency</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Music</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[1985]</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428,</w:t>
      </w:r>
      <w:r>
        <w:rPr>
          <w:rFonts w:ascii="Arial" w:hAnsi="Arial"/>
          <w:i/>
          <w:spacing w:val="2"/>
          <w:sz w:val="20"/>
        </w:rPr>
        <w:t> </w:t>
      </w:r>
      <w:r>
        <w:rPr>
          <w:rFonts w:ascii="Arial" w:hAnsi="Arial"/>
          <w:i/>
          <w:sz w:val="20"/>
        </w:rPr>
        <w:t>459</w:t>
      </w:r>
      <w:r>
        <w:rPr>
          <w:sz w:val="20"/>
        </w:rPr>
        <w:t>;</w:t>
      </w:r>
      <w:r>
        <w:rPr>
          <w:spacing w:val="2"/>
          <w:sz w:val="20"/>
        </w:rPr>
        <w:t> </w:t>
      </w:r>
      <w:r>
        <w:rPr>
          <w:rFonts w:ascii="Arial" w:hAnsi="Arial"/>
          <w:i/>
          <w:sz w:val="20"/>
        </w:rPr>
        <w:t>Re</w:t>
      </w:r>
      <w:r>
        <w:rPr>
          <w:rFonts w:ascii="Arial" w:hAnsi="Arial"/>
          <w:i/>
          <w:spacing w:val="2"/>
          <w:sz w:val="20"/>
        </w:rPr>
        <w:t> </w:t>
      </w:r>
      <w:r>
        <w:rPr>
          <w:rFonts w:ascii="Arial" w:hAnsi="Arial"/>
          <w:i/>
          <w:sz w:val="20"/>
        </w:rPr>
        <w:t>Dale</w:t>
      </w:r>
      <w:r>
        <w:rPr>
          <w:rFonts w:ascii="Arial" w:hAnsi="Arial"/>
          <w:i/>
          <w:spacing w:val="2"/>
          <w:sz w:val="20"/>
        </w:rPr>
        <w:t> </w:t>
      </w:r>
      <w:r>
        <w:rPr>
          <w:rFonts w:ascii="Arial" w:hAnsi="Arial"/>
          <w:i/>
          <w:sz w:val="20"/>
        </w:rPr>
        <w:t>[1994]</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31,</w:t>
      </w:r>
      <w:r>
        <w:rPr>
          <w:rFonts w:ascii="Arial" w:hAnsi="Arial"/>
          <w:i/>
          <w:spacing w:val="2"/>
          <w:sz w:val="20"/>
        </w:rPr>
        <w:t> </w:t>
      </w:r>
      <w:r>
        <w:rPr>
          <w:rFonts w:ascii="Arial" w:hAnsi="Arial"/>
          <w:i/>
          <w:spacing w:val="-5"/>
          <w:sz w:val="20"/>
        </w:rPr>
        <w:t>38</w:t>
      </w:r>
    </w:p>
    <w:p>
      <w:pPr>
        <w:spacing w:line="227" w:lineRule="exact" w:before="0"/>
        <w:ind w:left="705" w:right="0" w:firstLine="0"/>
        <w:jc w:val="left"/>
        <w:rPr>
          <w:sz w:val="20"/>
        </w:rPr>
      </w:pPr>
      <w:r>
        <w:rPr>
          <w:sz w:val="20"/>
        </w:rPr>
        <w:t>. cf. </w:t>
      </w:r>
      <w:r>
        <w:rPr>
          <w:rFonts w:ascii="Arial" w:hAnsi="Arial"/>
          <w:i/>
          <w:sz w:val="20"/>
        </w:rPr>
        <w:t>Gill &amp; Duffus SA v Rionda Futures [1994] 2 Lloyd’s Rep. 67</w:t>
      </w:r>
      <w:r>
        <w:rPr>
          <w:rFonts w:ascii="Arial" w:hAnsi="Arial"/>
          <w:i/>
          <w:spacing w:val="-1"/>
          <w:sz w:val="20"/>
        </w:rPr>
        <w:t> </w:t>
      </w:r>
      <w:r>
        <w:rPr>
          <w:sz w:val="20"/>
        </w:rPr>
        <w:t>at </w:t>
      </w:r>
      <w:r>
        <w:rPr>
          <w:spacing w:val="-5"/>
          <w:sz w:val="20"/>
        </w:rPr>
        <w:t>82.</w:t>
      </w:r>
    </w:p>
    <w:p>
      <w:pPr>
        <w:pStyle w:val="BodyText"/>
        <w:spacing w:before="5"/>
      </w:pPr>
    </w:p>
    <w:p>
      <w:pPr>
        <w:pStyle w:val="BodyText"/>
        <w:tabs>
          <w:tab w:pos="705" w:val="left" w:leader="none"/>
        </w:tabs>
        <w:ind w:left="165"/>
      </w:pPr>
      <w:bookmarkStart w:name="_bookmark75" w:id="77"/>
      <w:bookmarkEnd w:id="77"/>
      <w:r>
        <w:rPr/>
      </w:r>
      <w:hyperlink w:history="true" w:anchor="_bookmark26">
        <w:r>
          <w:rPr>
            <w:color w:val="005DA1"/>
            <w:spacing w:val="-5"/>
            <w:position w:val="5"/>
            <w:sz w:val="14"/>
            <w:u w:val="single" w:color="005DA1"/>
          </w:rPr>
          <w:t>17</w:t>
        </w:r>
      </w:hyperlink>
      <w:r>
        <w:rPr>
          <w:spacing w:val="-5"/>
          <w:position w:val="5"/>
          <w:sz w:val="14"/>
        </w:rPr>
        <w:t>.</w:t>
      </w:r>
      <w:r>
        <w:rPr>
          <w:position w:val="5"/>
          <w:sz w:val="14"/>
        </w:rPr>
        <w:tab/>
      </w:r>
      <w:r>
        <w:rPr/>
        <w:t>cf. below, para.4-</w:t>
      </w:r>
      <w:r>
        <w:rPr>
          <w:spacing w:val="-4"/>
        </w:rPr>
        <w:t>040.</w:t>
      </w:r>
    </w:p>
    <w:p>
      <w:pPr>
        <w:pStyle w:val="BodyText"/>
        <w:spacing w:before="5"/>
      </w:pPr>
    </w:p>
    <w:p>
      <w:pPr>
        <w:tabs>
          <w:tab w:pos="705" w:val="left" w:leader="none"/>
        </w:tabs>
        <w:spacing w:before="0"/>
        <w:ind w:left="165" w:right="0" w:firstLine="0"/>
        <w:jc w:val="left"/>
        <w:rPr>
          <w:sz w:val="20"/>
        </w:rPr>
      </w:pPr>
      <w:bookmarkStart w:name="_bookmark76" w:id="78"/>
      <w:bookmarkEnd w:id="78"/>
      <w:r>
        <w:rPr/>
      </w:r>
      <w:hyperlink w:history="true" w:anchor="_bookmark27">
        <w:r>
          <w:rPr>
            <w:color w:val="005DA1"/>
            <w:spacing w:val="-5"/>
            <w:position w:val="5"/>
            <w:sz w:val="14"/>
            <w:u w:val="single" w:color="005DA1"/>
          </w:rPr>
          <w:t>18</w:t>
        </w:r>
      </w:hyperlink>
      <w:r>
        <w:rPr>
          <w:spacing w:val="-5"/>
          <w:position w:val="5"/>
          <w:sz w:val="14"/>
        </w:rPr>
        <w:t>.</w:t>
      </w:r>
      <w:r>
        <w:rPr>
          <w:position w:val="5"/>
          <w:sz w:val="14"/>
        </w:rPr>
        <w:tab/>
      </w:r>
      <w:r>
        <w:rPr>
          <w:sz w:val="20"/>
        </w:rPr>
        <w:t>Holdsworth,</w:t>
      </w:r>
      <w:r>
        <w:rPr>
          <w:spacing w:val="-4"/>
          <w:sz w:val="20"/>
        </w:rPr>
        <w:t> </w:t>
      </w:r>
      <w:r>
        <w:rPr>
          <w:rFonts w:ascii="Arial"/>
          <w:i/>
          <w:sz w:val="20"/>
        </w:rPr>
        <w:t>History of English Law</w:t>
      </w:r>
      <w:r>
        <w:rPr>
          <w:sz w:val="20"/>
        </w:rPr>
        <w:t>, Vol.8, </w:t>
      </w:r>
      <w:r>
        <w:rPr>
          <w:spacing w:val="-2"/>
          <w:sz w:val="20"/>
        </w:rPr>
        <w:t>p.11.</w:t>
      </w:r>
    </w:p>
    <w:p>
      <w:pPr>
        <w:pStyle w:val="BodyText"/>
        <w:spacing w:before="5"/>
      </w:pPr>
    </w:p>
    <w:p>
      <w:pPr>
        <w:pStyle w:val="BodyText"/>
        <w:tabs>
          <w:tab w:pos="705" w:val="left" w:leader="none"/>
        </w:tabs>
        <w:spacing w:before="1"/>
        <w:ind w:left="165"/>
      </w:pPr>
      <w:bookmarkStart w:name="_bookmark77" w:id="79"/>
      <w:bookmarkEnd w:id="79"/>
      <w:r>
        <w:rPr/>
      </w:r>
      <w:hyperlink w:history="true" w:anchor="_bookmark28">
        <w:r>
          <w:rPr>
            <w:color w:val="005DA1"/>
            <w:spacing w:val="-5"/>
            <w:position w:val="5"/>
            <w:sz w:val="14"/>
            <w:u w:val="single" w:color="005DA1"/>
          </w:rPr>
          <w:t>19</w:t>
        </w:r>
      </w:hyperlink>
      <w:r>
        <w:rPr>
          <w:spacing w:val="-5"/>
          <w:position w:val="5"/>
          <w:sz w:val="14"/>
        </w:rPr>
        <w:t>.</w:t>
      </w:r>
      <w:r>
        <w:rPr>
          <w:position w:val="5"/>
          <w:sz w:val="14"/>
        </w:rPr>
        <w:tab/>
      </w:r>
      <w:r>
        <w:rPr/>
        <w:t>e.g. below, paras 4-038—4-041, 4-069, 4-</w:t>
      </w:r>
      <w:r>
        <w:rPr>
          <w:spacing w:val="-4"/>
        </w:rPr>
        <w:t>127.</w:t>
      </w:r>
    </w:p>
    <w:p>
      <w:pPr>
        <w:pStyle w:val="BodyText"/>
        <w:spacing w:before="8"/>
      </w:pPr>
    </w:p>
    <w:p>
      <w:pPr>
        <w:tabs>
          <w:tab w:pos="705" w:val="left" w:leader="none"/>
        </w:tabs>
        <w:spacing w:line="235" w:lineRule="auto" w:before="0"/>
        <w:ind w:left="705" w:right="168" w:hanging="541"/>
        <w:jc w:val="left"/>
        <w:rPr>
          <w:sz w:val="20"/>
        </w:rPr>
      </w:pPr>
      <w:bookmarkStart w:name="_bookmark78" w:id="80"/>
      <w:bookmarkEnd w:id="80"/>
      <w:r>
        <w:rPr/>
      </w:r>
      <w:hyperlink w:history="true" w:anchor="_bookmark29">
        <w:r>
          <w:rPr>
            <w:color w:val="005DA1"/>
            <w:spacing w:val="-4"/>
            <w:position w:val="5"/>
            <w:sz w:val="14"/>
            <w:u w:val="single" w:color="005DA1"/>
          </w:rPr>
          <w:t>20</w:t>
        </w:r>
      </w:hyperlink>
      <w:r>
        <w:rPr>
          <w:spacing w:val="-4"/>
          <w:position w:val="5"/>
          <w:sz w:val="14"/>
        </w:rPr>
        <w:t>.</w:t>
      </w:r>
      <w:r>
        <w:rPr>
          <w:position w:val="5"/>
          <w:sz w:val="14"/>
        </w:rPr>
        <w:tab/>
      </w:r>
      <w:r>
        <w:rPr>
          <w:sz w:val="20"/>
        </w:rPr>
        <w:t>cf.</w:t>
      </w:r>
      <w:r>
        <w:rPr>
          <w:spacing w:val="30"/>
          <w:sz w:val="20"/>
        </w:rPr>
        <w:t> </w:t>
      </w:r>
      <w:r>
        <w:rPr>
          <w:rFonts w:ascii="Arial" w:hAnsi="Arial"/>
          <w:i/>
          <w:sz w:val="20"/>
        </w:rPr>
        <w:t>Sandeman</w:t>
      </w:r>
      <w:r>
        <w:rPr>
          <w:rFonts w:ascii="Arial" w:hAnsi="Arial"/>
          <w:i/>
          <w:spacing w:val="30"/>
          <w:sz w:val="20"/>
        </w:rPr>
        <w:t> </w:t>
      </w:r>
      <w:r>
        <w:rPr>
          <w:rFonts w:ascii="Arial" w:hAnsi="Arial"/>
          <w:i/>
          <w:sz w:val="20"/>
        </w:rPr>
        <w:t>Coprimar</w:t>
      </w:r>
      <w:r>
        <w:rPr>
          <w:rFonts w:ascii="Arial" w:hAnsi="Arial"/>
          <w:i/>
          <w:spacing w:val="30"/>
          <w:sz w:val="20"/>
        </w:rPr>
        <w:t> </w:t>
      </w:r>
      <w:r>
        <w:rPr>
          <w:rFonts w:ascii="Arial" w:hAnsi="Arial"/>
          <w:i/>
          <w:sz w:val="20"/>
        </w:rPr>
        <w:t>SA</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Transitos</w:t>
      </w:r>
      <w:r>
        <w:rPr>
          <w:rFonts w:ascii="Arial" w:hAnsi="Arial"/>
          <w:i/>
          <w:spacing w:val="30"/>
          <w:sz w:val="20"/>
        </w:rPr>
        <w:t> </w:t>
      </w:r>
      <w:r>
        <w:rPr>
          <w:rFonts w:ascii="Arial" w:hAnsi="Arial"/>
          <w:i/>
          <w:sz w:val="20"/>
        </w:rPr>
        <w:t>y</w:t>
      </w:r>
      <w:r>
        <w:rPr>
          <w:rFonts w:ascii="Arial" w:hAnsi="Arial"/>
          <w:i/>
          <w:spacing w:val="30"/>
          <w:sz w:val="20"/>
        </w:rPr>
        <w:t> </w:t>
      </w:r>
      <w:r>
        <w:rPr>
          <w:rFonts w:ascii="Arial" w:hAnsi="Arial"/>
          <w:i/>
          <w:sz w:val="20"/>
        </w:rPr>
        <w:t>Transportes</w:t>
      </w:r>
      <w:r>
        <w:rPr>
          <w:rFonts w:ascii="Arial" w:hAnsi="Arial"/>
          <w:i/>
          <w:spacing w:val="30"/>
          <w:sz w:val="20"/>
        </w:rPr>
        <w:t> </w:t>
      </w:r>
      <w:r>
        <w:rPr>
          <w:rFonts w:ascii="Arial" w:hAnsi="Arial"/>
          <w:i/>
          <w:sz w:val="20"/>
        </w:rPr>
        <w:t>Integrales</w:t>
      </w:r>
      <w:r>
        <w:rPr>
          <w:rFonts w:ascii="Arial" w:hAnsi="Arial"/>
          <w:i/>
          <w:spacing w:val="30"/>
          <w:sz w:val="20"/>
        </w:rPr>
        <w:t> </w:t>
      </w:r>
      <w:r>
        <w:rPr>
          <w:rFonts w:ascii="Arial" w:hAnsi="Arial"/>
          <w:i/>
          <w:sz w:val="20"/>
        </w:rPr>
        <w:t>SL</w:t>
      </w:r>
      <w:r>
        <w:rPr>
          <w:rFonts w:ascii="Arial" w:hAnsi="Arial"/>
          <w:i/>
          <w:spacing w:val="30"/>
          <w:sz w:val="20"/>
        </w:rPr>
        <w:t> </w:t>
      </w:r>
      <w:r>
        <w:rPr>
          <w:rFonts w:ascii="Arial" w:hAnsi="Arial"/>
          <w:i/>
          <w:sz w:val="20"/>
        </w:rPr>
        <w:t>[2003]</w:t>
      </w:r>
      <w:r>
        <w:rPr>
          <w:rFonts w:ascii="Arial" w:hAnsi="Arial"/>
          <w:i/>
          <w:spacing w:val="30"/>
          <w:sz w:val="20"/>
        </w:rPr>
        <w:t> </w:t>
      </w:r>
      <w:r>
        <w:rPr>
          <w:rFonts w:ascii="Arial" w:hAnsi="Arial"/>
          <w:i/>
          <w:sz w:val="20"/>
        </w:rPr>
        <w:t>EWCA</w:t>
      </w:r>
      <w:r>
        <w:rPr>
          <w:rFonts w:ascii="Arial" w:hAnsi="Arial"/>
          <w:i/>
          <w:spacing w:val="30"/>
          <w:sz w:val="20"/>
        </w:rPr>
        <w:t> </w:t>
      </w:r>
      <w:r>
        <w:rPr>
          <w:rFonts w:ascii="Arial" w:hAnsi="Arial"/>
          <w:i/>
          <w:sz w:val="20"/>
        </w:rPr>
        <w:t>Civ</w:t>
      </w:r>
      <w:r>
        <w:rPr>
          <w:rFonts w:ascii="Arial" w:hAnsi="Arial"/>
          <w:i/>
          <w:spacing w:val="30"/>
          <w:sz w:val="20"/>
        </w:rPr>
        <w:t> </w:t>
      </w:r>
      <w:r>
        <w:rPr>
          <w:rFonts w:ascii="Arial" w:hAnsi="Arial"/>
          <w:i/>
          <w:sz w:val="20"/>
        </w:rPr>
        <w:t>113; [2003] 2 Q.B. 1270 </w:t>
      </w:r>
      <w:r>
        <w:rPr>
          <w:sz w:val="20"/>
        </w:rPr>
        <w:t>at [63], referring only to “benefit” (and not to detriment).</w:t>
      </w:r>
    </w:p>
    <w:p>
      <w:pPr>
        <w:pStyle w:val="BodyText"/>
        <w:spacing w:before="9"/>
      </w:pPr>
    </w:p>
    <w:p>
      <w:pPr>
        <w:pStyle w:val="BodyText"/>
        <w:tabs>
          <w:tab w:pos="705" w:val="left" w:leader="none"/>
        </w:tabs>
        <w:spacing w:line="235" w:lineRule="auto" w:before="1"/>
        <w:ind w:left="705" w:right="168" w:hanging="541"/>
      </w:pPr>
      <w:bookmarkStart w:name="_bookmark79" w:id="81"/>
      <w:bookmarkEnd w:id="81"/>
      <w:r>
        <w:rPr/>
      </w:r>
      <w:hyperlink w:history="true" w:anchor="_bookmark30">
        <w:r>
          <w:rPr>
            <w:color w:val="005DA1"/>
            <w:spacing w:val="-4"/>
            <w:position w:val="5"/>
            <w:sz w:val="14"/>
            <w:u w:val="single" w:color="005DA1"/>
          </w:rPr>
          <w:t>21</w:t>
        </w:r>
      </w:hyperlink>
      <w:r>
        <w:rPr>
          <w:spacing w:val="-4"/>
          <w:position w:val="5"/>
          <w:sz w:val="14"/>
        </w:rPr>
        <w:t>.</w:t>
      </w:r>
      <w:r>
        <w:rPr>
          <w:position w:val="5"/>
          <w:sz w:val="14"/>
        </w:rPr>
        <w:tab/>
      </w:r>
      <w:r>
        <w:rPr/>
        <w:t>Or</w:t>
      </w:r>
      <w:r>
        <w:rPr>
          <w:spacing w:val="-2"/>
        </w:rPr>
        <w:t> </w:t>
      </w:r>
      <w:r>
        <w:rPr/>
        <w:t>forbearance,</w:t>
      </w:r>
      <w:r>
        <w:rPr>
          <w:spacing w:val="-2"/>
        </w:rPr>
        <w:t> </w:t>
      </w:r>
      <w:r>
        <w:rPr/>
        <w:t>or</w:t>
      </w:r>
      <w:r>
        <w:rPr>
          <w:spacing w:val="-2"/>
        </w:rPr>
        <w:t> </w:t>
      </w:r>
      <w:r>
        <w:rPr/>
        <w:t>promise</w:t>
      </w:r>
      <w:r>
        <w:rPr>
          <w:spacing w:val="-2"/>
        </w:rPr>
        <w:t> </w:t>
      </w:r>
      <w:r>
        <w:rPr/>
        <w:t>to</w:t>
      </w:r>
      <w:r>
        <w:rPr>
          <w:spacing w:val="-2"/>
        </w:rPr>
        <w:t> </w:t>
      </w:r>
      <w:r>
        <w:rPr/>
        <w:t>do</w:t>
      </w:r>
      <w:r>
        <w:rPr>
          <w:spacing w:val="-2"/>
        </w:rPr>
        <w:t> </w:t>
      </w:r>
      <w:r>
        <w:rPr/>
        <w:t>or</w:t>
      </w:r>
      <w:r>
        <w:rPr>
          <w:spacing w:val="-2"/>
        </w:rPr>
        <w:t> </w:t>
      </w:r>
      <w:r>
        <w:rPr/>
        <w:t>to</w:t>
      </w:r>
      <w:r>
        <w:rPr>
          <w:spacing w:val="-2"/>
        </w:rPr>
        <w:t> </w:t>
      </w:r>
      <w:r>
        <w:rPr/>
        <w:t>forbear.</w:t>
      </w:r>
      <w:r>
        <w:rPr>
          <w:spacing w:val="-2"/>
        </w:rPr>
        <w:t> </w:t>
      </w:r>
      <w:r>
        <w:rPr/>
        <w:t>For</w:t>
      </w:r>
      <w:r>
        <w:rPr>
          <w:spacing w:val="-2"/>
        </w:rPr>
        <w:t> </w:t>
      </w:r>
      <w:r>
        <w:rPr/>
        <w:t>the</w:t>
      </w:r>
      <w:r>
        <w:rPr>
          <w:spacing w:val="-2"/>
        </w:rPr>
        <w:t> </w:t>
      </w:r>
      <w:r>
        <w:rPr/>
        <w:t>sake</w:t>
      </w:r>
      <w:r>
        <w:rPr>
          <w:spacing w:val="-2"/>
        </w:rPr>
        <w:t> </w:t>
      </w:r>
      <w:r>
        <w:rPr/>
        <w:t>of</w:t>
      </w:r>
      <w:r>
        <w:rPr>
          <w:spacing w:val="-2"/>
        </w:rPr>
        <w:t> </w:t>
      </w:r>
      <w:r>
        <w:rPr/>
        <w:t>brevity,</w:t>
      </w:r>
      <w:r>
        <w:rPr>
          <w:spacing w:val="-2"/>
        </w:rPr>
        <w:t> </w:t>
      </w:r>
      <w:r>
        <w:rPr/>
        <w:t>references</w:t>
      </w:r>
      <w:r>
        <w:rPr>
          <w:spacing w:val="-2"/>
        </w:rPr>
        <w:t> </w:t>
      </w:r>
      <w:r>
        <w:rPr/>
        <w:t>in</w:t>
      </w:r>
      <w:r>
        <w:rPr>
          <w:spacing w:val="-2"/>
        </w:rPr>
        <w:t> </w:t>
      </w:r>
      <w:r>
        <w:rPr/>
        <w:t>the</w:t>
      </w:r>
      <w:r>
        <w:rPr>
          <w:spacing w:val="-2"/>
        </w:rPr>
        <w:t> </w:t>
      </w:r>
      <w:r>
        <w:rPr/>
        <w:t>text</w:t>
      </w:r>
      <w:r>
        <w:rPr>
          <w:spacing w:val="-2"/>
        </w:rPr>
        <w:t> </w:t>
      </w:r>
      <w:r>
        <w:rPr/>
        <w:t>are confined to the doing of an act.</w:t>
      </w:r>
    </w:p>
    <w:p>
      <w:pPr>
        <w:pStyle w:val="BodyText"/>
        <w:spacing w:before="9"/>
      </w:pPr>
    </w:p>
    <w:p>
      <w:pPr>
        <w:tabs>
          <w:tab w:pos="705" w:val="left" w:leader="none"/>
        </w:tabs>
        <w:spacing w:line="235" w:lineRule="auto" w:before="0"/>
        <w:ind w:left="705" w:right="168" w:hanging="541"/>
        <w:jc w:val="left"/>
        <w:rPr>
          <w:sz w:val="20"/>
        </w:rPr>
      </w:pPr>
      <w:bookmarkStart w:name="_bookmark80" w:id="82"/>
      <w:bookmarkEnd w:id="82"/>
      <w:r>
        <w:rPr/>
      </w:r>
      <w:hyperlink w:history="true" w:anchor="_bookmark31">
        <w:r>
          <w:rPr>
            <w:color w:val="005DA1"/>
            <w:spacing w:val="-4"/>
            <w:position w:val="5"/>
            <w:sz w:val="14"/>
            <w:u w:val="single" w:color="005DA1"/>
          </w:rPr>
          <w:t>22</w:t>
        </w:r>
      </w:hyperlink>
      <w:r>
        <w:rPr>
          <w:spacing w:val="-4"/>
          <w:position w:val="5"/>
          <w:sz w:val="14"/>
        </w:rPr>
        <w:t>.</w:t>
      </w:r>
      <w:r>
        <w:rPr>
          <w:position w:val="5"/>
          <w:sz w:val="14"/>
        </w:rPr>
        <w:tab/>
      </w:r>
      <w:r>
        <w:rPr>
          <w:sz w:val="20"/>
        </w:rPr>
        <w:t>e.g. in </w:t>
      </w:r>
      <w:r>
        <w:rPr>
          <w:rFonts w:ascii="Arial" w:hAnsi="Arial"/>
          <w:i/>
          <w:sz w:val="20"/>
        </w:rPr>
        <w:t>Bolton v Madden (1873) L.R. 9 Q.B. 55</w:t>
      </w:r>
      <w:r>
        <w:rPr>
          <w:sz w:val="20"/>
        </w:rPr>
        <w:t>, below, para.4-041; cf. </w:t>
      </w:r>
      <w:r>
        <w:rPr>
          <w:rFonts w:ascii="Arial" w:hAnsi="Arial"/>
          <w:i/>
          <w:sz w:val="20"/>
        </w:rPr>
        <w:t>R v Att-Gen for England and Wales [2003] UKPC 22, [2003] E.M.L.R. 24</w:t>
      </w:r>
      <w:r>
        <w:rPr>
          <w:sz w:val="20"/>
        </w:rPr>
        <w:t>, at [32] (“practical benefit” to promisor).</w:t>
      </w:r>
    </w:p>
    <w:p>
      <w:pPr>
        <w:pStyle w:val="BodyText"/>
        <w:spacing w:before="5"/>
      </w:pPr>
    </w:p>
    <w:p>
      <w:pPr>
        <w:pStyle w:val="BodyText"/>
        <w:tabs>
          <w:tab w:pos="705" w:val="left" w:leader="none"/>
        </w:tabs>
        <w:ind w:left="165"/>
      </w:pPr>
      <w:bookmarkStart w:name="_bookmark81" w:id="83"/>
      <w:bookmarkEnd w:id="83"/>
      <w:r>
        <w:rPr/>
      </w:r>
      <w:hyperlink w:history="true" w:anchor="_bookmark32">
        <w:r>
          <w:rPr>
            <w:color w:val="005DA1"/>
            <w:spacing w:val="-5"/>
            <w:position w:val="5"/>
            <w:sz w:val="14"/>
            <w:u w:val="single" w:color="005DA1"/>
          </w:rPr>
          <w:t>23</w:t>
        </w:r>
      </w:hyperlink>
      <w:r>
        <w:rPr>
          <w:spacing w:val="-5"/>
          <w:position w:val="5"/>
          <w:sz w:val="14"/>
        </w:rPr>
        <w:t>.</w:t>
      </w:r>
      <w:r>
        <w:rPr>
          <w:position w:val="5"/>
          <w:sz w:val="14"/>
        </w:rPr>
        <w:tab/>
      </w:r>
      <w:r>
        <w:rPr/>
        <w:t>e.g. in some of the existing duty cases discussed in paras 4-069, 4-074, 4-076, </w:t>
      </w:r>
      <w:r>
        <w:rPr>
          <w:spacing w:val="-2"/>
        </w:rPr>
        <w:t>below.</w:t>
      </w:r>
    </w:p>
    <w:p>
      <w:pPr>
        <w:pStyle w:val="BodyText"/>
        <w:spacing w:before="5"/>
      </w:pPr>
    </w:p>
    <w:p>
      <w:pPr>
        <w:tabs>
          <w:tab w:pos="705" w:val="left" w:leader="none"/>
        </w:tabs>
        <w:spacing w:before="0"/>
        <w:ind w:left="165" w:right="0" w:firstLine="0"/>
        <w:jc w:val="left"/>
        <w:rPr>
          <w:sz w:val="20"/>
        </w:rPr>
      </w:pPr>
      <w:bookmarkStart w:name="_bookmark82" w:id="84"/>
      <w:bookmarkEnd w:id="84"/>
      <w:r>
        <w:rPr/>
      </w:r>
      <w:hyperlink w:history="true" w:anchor="_bookmark32">
        <w:r>
          <w:rPr>
            <w:color w:val="005DA1"/>
            <w:spacing w:val="-5"/>
            <w:position w:val="5"/>
            <w:sz w:val="14"/>
            <w:u w:val="single" w:color="005DA1"/>
          </w:rPr>
          <w:t>24</w:t>
        </w:r>
      </w:hyperlink>
      <w:r>
        <w:rPr>
          <w:spacing w:val="-5"/>
          <w:position w:val="5"/>
          <w:sz w:val="14"/>
        </w:rPr>
        <w:t>.</w:t>
      </w:r>
      <w:r>
        <w:rPr>
          <w:position w:val="5"/>
          <w:sz w:val="14"/>
        </w:rPr>
        <w:tab/>
      </w:r>
      <w:r>
        <w:rPr>
          <w:rFonts w:ascii="Arial"/>
          <w:i/>
          <w:sz w:val="20"/>
        </w:rPr>
        <w:t>Williams v Roffey Bros &amp; Nicholls (Contractors) Ltd [1991] 1 Q.B. </w:t>
      </w:r>
      <w:r>
        <w:rPr>
          <w:rFonts w:ascii="Arial"/>
          <w:i/>
          <w:spacing w:val="-5"/>
          <w:sz w:val="20"/>
        </w:rPr>
        <w:t>1</w:t>
      </w:r>
      <w:r>
        <w:rPr>
          <w:spacing w:val="-5"/>
          <w:sz w:val="20"/>
        </w:rPr>
        <w:t>.</w:t>
      </w:r>
    </w:p>
    <w:p>
      <w:pPr>
        <w:pStyle w:val="BodyText"/>
        <w:spacing w:before="9"/>
      </w:pPr>
    </w:p>
    <w:p>
      <w:pPr>
        <w:pStyle w:val="BodyText"/>
        <w:tabs>
          <w:tab w:pos="705" w:val="left" w:leader="none"/>
        </w:tabs>
        <w:spacing w:line="235" w:lineRule="auto"/>
        <w:ind w:left="705" w:right="168" w:hanging="541"/>
      </w:pPr>
      <w:bookmarkStart w:name="_bookmark83" w:id="85"/>
      <w:bookmarkEnd w:id="85"/>
      <w:r>
        <w:rPr/>
      </w:r>
      <w:hyperlink w:history="true" w:anchor="_bookmark33">
        <w:r>
          <w:rPr>
            <w:color w:val="005DA1"/>
            <w:spacing w:val="-4"/>
            <w:position w:val="5"/>
            <w:sz w:val="14"/>
            <w:u w:val="single" w:color="005DA1"/>
          </w:rPr>
          <w:t>25</w:t>
        </w:r>
      </w:hyperlink>
      <w:r>
        <w:rPr>
          <w:spacing w:val="-4"/>
          <w:position w:val="5"/>
          <w:sz w:val="14"/>
        </w:rPr>
        <w:t>.</w:t>
      </w:r>
      <w:r>
        <w:rPr>
          <w:position w:val="5"/>
          <w:sz w:val="14"/>
        </w:rPr>
        <w:tab/>
      </w:r>
      <w:r>
        <w:rPr/>
        <w:t>e.g.</w:t>
      </w:r>
      <w:r>
        <w:rPr>
          <w:spacing w:val="80"/>
        </w:rPr>
        <w:t> </w:t>
      </w:r>
      <w:r>
        <w:rPr/>
        <w:t>to</w:t>
      </w:r>
      <w:r>
        <w:rPr>
          <w:spacing w:val="80"/>
        </w:rPr>
        <w:t> </w:t>
      </w:r>
      <w:r>
        <w:rPr/>
        <w:t>the</w:t>
      </w:r>
      <w:r>
        <w:rPr>
          <w:spacing w:val="80"/>
        </w:rPr>
        <w:t> </w:t>
      </w:r>
      <w:r>
        <w:rPr/>
        <w:t>variation</w:t>
      </w:r>
      <w:r>
        <w:rPr>
          <w:spacing w:val="80"/>
        </w:rPr>
        <w:t> </w:t>
      </w:r>
      <w:r>
        <w:rPr/>
        <w:t>cases</w:t>
      </w:r>
      <w:r>
        <w:rPr>
          <w:spacing w:val="80"/>
        </w:rPr>
        <w:t> </w:t>
      </w:r>
      <w:r>
        <w:rPr/>
        <w:t>discussed</w:t>
      </w:r>
      <w:r>
        <w:rPr>
          <w:spacing w:val="80"/>
        </w:rPr>
        <w:t> </w:t>
      </w:r>
      <w:r>
        <w:rPr/>
        <w:t>in</w:t>
      </w:r>
      <w:r>
        <w:rPr>
          <w:spacing w:val="80"/>
        </w:rPr>
        <w:t> </w:t>
      </w:r>
      <w:r>
        <w:rPr/>
        <w:t>paras</w:t>
      </w:r>
      <w:r>
        <w:rPr>
          <w:spacing w:val="80"/>
        </w:rPr>
        <w:t> </w:t>
      </w:r>
      <w:r>
        <w:rPr/>
        <w:t>4-080—4-081;</w:t>
      </w:r>
      <w:r>
        <w:rPr>
          <w:spacing w:val="80"/>
        </w:rPr>
        <w:t> </w:t>
      </w:r>
      <w:r>
        <w:rPr/>
        <w:t>but</w:t>
      </w:r>
      <w:r>
        <w:rPr>
          <w:spacing w:val="80"/>
        </w:rPr>
        <w:t> </w:t>
      </w:r>
      <w:r>
        <w:rPr/>
        <w:t>probably</w:t>
      </w:r>
      <w:r>
        <w:rPr>
          <w:spacing w:val="80"/>
        </w:rPr>
        <w:t> </w:t>
      </w:r>
      <w:r>
        <w:rPr/>
        <w:t>not</w:t>
      </w:r>
      <w:r>
        <w:rPr>
          <w:spacing w:val="80"/>
        </w:rPr>
        <w:t> </w:t>
      </w:r>
      <w:r>
        <w:rPr/>
        <w:t>to</w:t>
      </w:r>
      <w:r>
        <w:rPr>
          <w:spacing w:val="80"/>
        </w:rPr>
        <w:t> </w:t>
      </w:r>
      <w:r>
        <w:rPr/>
        <w:t>the forbearance to sue cases discussed in paras 4-051—4-054.</w:t>
      </w:r>
    </w:p>
    <w:p>
      <w:pPr>
        <w:pStyle w:val="BodyText"/>
        <w:spacing w:before="9"/>
      </w:pPr>
    </w:p>
    <w:p>
      <w:pPr>
        <w:spacing w:line="235" w:lineRule="auto" w:before="0"/>
        <w:ind w:left="705" w:right="167" w:hanging="541"/>
        <w:jc w:val="both"/>
        <w:rPr>
          <w:sz w:val="20"/>
        </w:rPr>
      </w:pPr>
      <w:bookmarkStart w:name="_bookmark84" w:id="86"/>
      <w:bookmarkEnd w:id="86"/>
      <w:r>
        <w:rPr/>
      </w:r>
      <w:hyperlink w:history="true" w:anchor="_bookmark34">
        <w:r>
          <w:rPr>
            <w:color w:val="005DA1"/>
            <w:position w:val="5"/>
            <w:sz w:val="14"/>
            <w:u w:val="single" w:color="005DA1"/>
          </w:rPr>
          <w:t>26</w:t>
        </w:r>
      </w:hyperlink>
      <w:r>
        <w:rPr>
          <w:position w:val="5"/>
          <w:sz w:val="14"/>
        </w:rPr>
        <w:t>.</w:t>
      </w:r>
      <w:r>
        <w:rPr>
          <w:spacing w:val="73"/>
          <w:position w:val="5"/>
          <w:sz w:val="14"/>
        </w:rPr>
        <w:t>   </w:t>
      </w:r>
      <w:r>
        <w:rPr>
          <w:sz w:val="20"/>
        </w:rPr>
        <w:t>There are traces of this approach in </w:t>
      </w:r>
      <w:r>
        <w:rPr>
          <w:rFonts w:ascii="Arial" w:hAnsi="Arial"/>
          <w:i/>
          <w:sz w:val="20"/>
        </w:rPr>
        <w:t>Williams v Roffey Bros. &amp; Nicholls (Contractors) Ltd </w:t>
      </w:r>
      <w:r>
        <w:rPr>
          <w:rFonts w:ascii="Arial" w:hAnsi="Arial"/>
          <w:i/>
          <w:sz w:val="20"/>
        </w:rPr>
        <w:t>[1991] 1 Q.B. 1, 23</w:t>
      </w:r>
      <w:r>
        <w:rPr>
          <w:sz w:val="20"/>
        </w:rPr>
        <w:t>: “If both parties benefit from an agreement it is not necessary that each also suffered a detriment.”</w:t>
      </w:r>
    </w:p>
    <w:p>
      <w:pPr>
        <w:pStyle w:val="BodyText"/>
        <w:spacing w:before="5"/>
      </w:pPr>
    </w:p>
    <w:p>
      <w:pPr>
        <w:pStyle w:val="BodyText"/>
        <w:tabs>
          <w:tab w:pos="705" w:val="left" w:leader="none"/>
        </w:tabs>
        <w:spacing w:before="1"/>
        <w:ind w:left="165"/>
      </w:pPr>
      <w:bookmarkStart w:name="_bookmark85" w:id="87"/>
      <w:bookmarkEnd w:id="87"/>
      <w:r>
        <w:rPr/>
      </w:r>
      <w:hyperlink w:history="true" w:anchor="_bookmark34">
        <w:r>
          <w:rPr>
            <w:color w:val="005DA1"/>
            <w:spacing w:val="-5"/>
            <w:position w:val="5"/>
            <w:sz w:val="14"/>
            <w:u w:val="single" w:color="005DA1"/>
          </w:rPr>
          <w:t>27</w:t>
        </w:r>
      </w:hyperlink>
      <w:r>
        <w:rPr>
          <w:spacing w:val="-5"/>
          <w:position w:val="5"/>
          <w:sz w:val="14"/>
        </w:rPr>
        <w:t>.</w:t>
      </w:r>
      <w:r>
        <w:rPr>
          <w:position w:val="5"/>
          <w:sz w:val="14"/>
        </w:rPr>
        <w:tab/>
      </w:r>
      <w:r>
        <w:rPr/>
        <w:t>Above, para.4-</w:t>
      </w:r>
      <w:r>
        <w:rPr>
          <w:spacing w:val="-4"/>
        </w:rPr>
        <w:t>004.</w:t>
      </w:r>
    </w:p>
    <w:p>
      <w:pPr>
        <w:pStyle w:val="BodyText"/>
        <w:spacing w:before="4"/>
      </w:pPr>
    </w:p>
    <w:p>
      <w:pPr>
        <w:pStyle w:val="BodyText"/>
        <w:tabs>
          <w:tab w:pos="705" w:val="left" w:leader="none"/>
        </w:tabs>
        <w:spacing w:before="1"/>
        <w:ind w:left="165"/>
      </w:pPr>
      <w:bookmarkStart w:name="_bookmark86" w:id="88"/>
      <w:bookmarkEnd w:id="88"/>
      <w:r>
        <w:rPr/>
      </w:r>
      <w:hyperlink w:history="true" w:anchor="_bookmark35">
        <w:r>
          <w:rPr>
            <w:color w:val="005DA1"/>
            <w:spacing w:val="-5"/>
            <w:position w:val="5"/>
            <w:sz w:val="14"/>
            <w:u w:val="single" w:color="005DA1"/>
          </w:rPr>
          <w:t>28</w:t>
        </w:r>
      </w:hyperlink>
      <w:r>
        <w:rPr>
          <w:spacing w:val="-5"/>
          <w:position w:val="5"/>
          <w:sz w:val="14"/>
        </w:rPr>
        <w:t>.</w:t>
      </w:r>
      <w:r>
        <w:rPr>
          <w:position w:val="5"/>
          <w:sz w:val="14"/>
        </w:rPr>
        <w:tab/>
      </w:r>
      <w:r>
        <w:rPr/>
        <w:t>Principles of Contract (13th ed.), </w:t>
      </w:r>
      <w:r>
        <w:rPr>
          <w:spacing w:val="-2"/>
        </w:rPr>
        <w:t>p.133.</w:t>
      </w:r>
    </w:p>
    <w:p>
      <w:pPr>
        <w:pStyle w:val="BodyText"/>
        <w:spacing w:before="4"/>
      </w:pPr>
    </w:p>
    <w:p>
      <w:pPr>
        <w:tabs>
          <w:tab w:pos="705" w:val="left" w:leader="none"/>
        </w:tabs>
        <w:spacing w:before="1"/>
        <w:ind w:left="165" w:right="0" w:firstLine="0"/>
        <w:jc w:val="left"/>
        <w:rPr>
          <w:sz w:val="20"/>
        </w:rPr>
      </w:pPr>
      <w:bookmarkStart w:name="_bookmark87" w:id="89"/>
      <w:bookmarkEnd w:id="89"/>
      <w:r>
        <w:rPr/>
      </w:r>
      <w:hyperlink w:history="true" w:anchor="_bookmark36">
        <w:r>
          <w:rPr>
            <w:color w:val="005DA1"/>
            <w:spacing w:val="-5"/>
            <w:position w:val="5"/>
            <w:sz w:val="14"/>
            <w:u w:val="single" w:color="005DA1"/>
          </w:rPr>
          <w:t>29</w:t>
        </w:r>
      </w:hyperlink>
      <w:r>
        <w:rPr>
          <w:spacing w:val="-5"/>
          <w:position w:val="5"/>
          <w:sz w:val="14"/>
        </w:rPr>
        <w:t>.</w:t>
      </w:r>
      <w:r>
        <w:rPr>
          <w:position w:val="5"/>
          <w:sz w:val="14"/>
        </w:rPr>
        <w:tab/>
      </w:r>
      <w:r>
        <w:rPr>
          <w:rFonts w:ascii="Arial"/>
          <w:i/>
          <w:sz w:val="20"/>
        </w:rPr>
        <w:t>Dunlop Pneumatic Tyre Co Ltd v Selfridge Ltd [1915] A.C. 847, </w:t>
      </w:r>
      <w:r>
        <w:rPr>
          <w:rFonts w:ascii="Arial"/>
          <w:i/>
          <w:spacing w:val="-4"/>
          <w:sz w:val="20"/>
        </w:rPr>
        <w:t>855</w:t>
      </w:r>
      <w:r>
        <w:rPr>
          <w:spacing w:val="-4"/>
          <w:sz w:val="20"/>
        </w:rPr>
        <w:t>.</w:t>
      </w:r>
    </w:p>
    <w:p>
      <w:pPr>
        <w:pStyle w:val="BodyText"/>
        <w:spacing w:before="8"/>
      </w:pPr>
    </w:p>
    <w:p>
      <w:pPr>
        <w:spacing w:line="235" w:lineRule="auto" w:before="0"/>
        <w:ind w:left="705" w:right="167" w:hanging="541"/>
        <w:jc w:val="both"/>
        <w:rPr>
          <w:sz w:val="20"/>
        </w:rPr>
      </w:pPr>
      <w:bookmarkStart w:name="_bookmark88" w:id="90"/>
      <w:bookmarkEnd w:id="90"/>
      <w:r>
        <w:rPr/>
      </w:r>
      <w:hyperlink w:history="true" w:anchor="_bookmark37">
        <w:r>
          <w:rPr>
            <w:color w:val="005DA1"/>
            <w:position w:val="5"/>
            <w:sz w:val="14"/>
            <w:u w:val="single" w:color="005DA1"/>
          </w:rPr>
          <w:t>30</w:t>
        </w:r>
      </w:hyperlink>
      <w:r>
        <w:rPr>
          <w:position w:val="5"/>
          <w:sz w:val="14"/>
        </w:rPr>
        <w:t>.</w:t>
      </w:r>
      <w:r>
        <w:rPr>
          <w:spacing w:val="80"/>
          <w:position w:val="5"/>
          <w:sz w:val="14"/>
        </w:rPr>
        <w:t>  </w:t>
      </w:r>
      <w:r>
        <w:rPr>
          <w:sz w:val="20"/>
        </w:rPr>
        <w:t>Atiyah, </w:t>
      </w:r>
      <w:r>
        <w:rPr>
          <w:rFonts w:ascii="Arial" w:hAnsi="Arial"/>
          <w:i/>
          <w:sz w:val="20"/>
        </w:rPr>
        <w:t>Consideration in Contracts: A Fundamental Restatement</w:t>
      </w:r>
      <w:r>
        <w:rPr>
          <w:sz w:val="20"/>
        </w:rPr>
        <w:t>, Canberra, 1971, p.60. For an earlier, similar statement, see Llewellyn (1931) 40 Yale L.J. at p.741—“any </w:t>
      </w:r>
      <w:r>
        <w:rPr>
          <w:sz w:val="20"/>
        </w:rPr>
        <w:t>sufficient</w:t>
      </w:r>
      <w:r>
        <w:rPr>
          <w:spacing w:val="40"/>
          <w:sz w:val="20"/>
        </w:rPr>
        <w:t> </w:t>
      </w:r>
      <w:r>
        <w:rPr>
          <w:sz w:val="20"/>
        </w:rPr>
        <w:t>justification for court enforcement”; but no attempt is there made to suggest that this actually is the law. For further criticism of Atiyah’s views, see Treitel (1976) 50 A.L.J. 439. cf. </w:t>
      </w:r>
      <w:r>
        <w:rPr>
          <w:rFonts w:ascii="Arial" w:hAnsi="Arial"/>
          <w:i/>
          <w:sz w:val="20"/>
        </w:rPr>
        <w:t>Colonia Versicherung A.G. v Amoco Oil Co [1995] 1 Lloyd’s Rep. 570, 577 </w:t>
      </w:r>
      <w:r>
        <w:rPr>
          <w:sz w:val="20"/>
        </w:rPr>
        <w:t>(affirmed without reference</w:t>
      </w:r>
      <w:r>
        <w:rPr>
          <w:spacing w:val="40"/>
          <w:sz w:val="20"/>
        </w:rPr>
        <w:t> </w:t>
      </w:r>
      <w:r>
        <w:rPr>
          <w:sz w:val="20"/>
        </w:rPr>
        <w:t>to this point </w:t>
      </w:r>
      <w:r>
        <w:rPr>
          <w:rFonts w:ascii="Arial" w:hAnsi="Arial"/>
          <w:i/>
          <w:sz w:val="20"/>
        </w:rPr>
        <w:t>[1997] 1 Lloyd’s Rep. 261</w:t>
      </w:r>
      <w:r>
        <w:rPr>
          <w:sz w:val="20"/>
        </w:rPr>
        <w:t>) where the words “(a) the reason for and (b) ample consideration for” a payment clearly treat these concepts as distinct.</w:t>
      </w:r>
    </w:p>
    <w:p>
      <w:pPr>
        <w:pStyle w:val="BodyText"/>
        <w:spacing w:before="4"/>
      </w:pPr>
    </w:p>
    <w:p>
      <w:pPr>
        <w:pStyle w:val="BodyText"/>
        <w:tabs>
          <w:tab w:pos="705" w:val="left" w:leader="none"/>
        </w:tabs>
        <w:ind w:left="165"/>
      </w:pPr>
      <w:bookmarkStart w:name="_bookmark89" w:id="91"/>
      <w:bookmarkEnd w:id="91"/>
      <w:r>
        <w:rPr/>
      </w:r>
      <w:hyperlink w:history="true" w:anchor="_bookmark37">
        <w:r>
          <w:rPr>
            <w:color w:val="005DA1"/>
            <w:spacing w:val="-5"/>
            <w:position w:val="5"/>
            <w:sz w:val="14"/>
            <w:u w:val="single" w:color="005DA1"/>
          </w:rPr>
          <w:t>31</w:t>
        </w:r>
      </w:hyperlink>
      <w:r>
        <w:rPr>
          <w:spacing w:val="-5"/>
          <w:position w:val="5"/>
          <w:sz w:val="14"/>
        </w:rPr>
        <w:t>.</w:t>
      </w:r>
      <w:r>
        <w:rPr>
          <w:position w:val="5"/>
          <w:sz w:val="14"/>
        </w:rPr>
        <w:tab/>
      </w:r>
      <w:r>
        <w:rPr/>
        <w:t>Atiyah, loc. cit. pp.52, </w:t>
      </w:r>
      <w:r>
        <w:rPr>
          <w:spacing w:val="-5"/>
        </w:rPr>
        <w:t>58.</w:t>
      </w:r>
    </w:p>
    <w:p>
      <w:pPr>
        <w:pStyle w:val="BodyText"/>
        <w:spacing w:after="0"/>
        <w:sectPr>
          <w:pgSz w:w="11900" w:h="16840"/>
          <w:pgMar w:header="971" w:footer="0" w:top="1160" w:bottom="280" w:left="1275" w:right="1275"/>
        </w:sectPr>
      </w:pPr>
    </w:p>
    <w:p>
      <w:pPr>
        <w:pStyle w:val="BodyText"/>
        <w:spacing w:before="84"/>
      </w:pPr>
    </w:p>
    <w:p>
      <w:pPr>
        <w:tabs>
          <w:tab w:pos="705" w:val="left" w:leader="none"/>
        </w:tabs>
        <w:spacing w:line="235" w:lineRule="auto" w:before="1"/>
        <w:ind w:left="705" w:right="168" w:hanging="541"/>
        <w:jc w:val="left"/>
        <w:rPr>
          <w:sz w:val="20"/>
        </w:rPr>
      </w:pPr>
      <w:hyperlink w:history="true" w:anchor="_bookmark38">
        <w:r>
          <w:rPr>
            <w:color w:val="005DA1"/>
            <w:spacing w:val="-4"/>
            <w:position w:val="5"/>
            <w:sz w:val="14"/>
            <w:u w:val="single" w:color="005DA1"/>
          </w:rPr>
          <w:t>32</w:t>
        </w:r>
      </w:hyperlink>
      <w:r>
        <w:rPr>
          <w:spacing w:val="-4"/>
          <w:position w:val="5"/>
          <w:sz w:val="14"/>
        </w:rPr>
        <w:t>.</w:t>
      </w:r>
      <w:r>
        <w:rPr>
          <w:position w:val="5"/>
          <w:sz w:val="14"/>
        </w:rPr>
        <w:tab/>
      </w:r>
      <w:r>
        <w:rPr>
          <w:sz w:val="20"/>
        </w:rPr>
        <w:t>cf. the description of a similar concept as “potentially very confusing”: </w:t>
      </w:r>
      <w:r>
        <w:rPr>
          <w:rFonts w:ascii="Arial" w:hAnsi="Arial"/>
          <w:i/>
          <w:sz w:val="20"/>
        </w:rPr>
        <w:t>Guinness Mahon &amp; Co</w:t>
      </w:r>
      <w:r>
        <w:rPr>
          <w:rFonts w:ascii="Arial" w:hAnsi="Arial"/>
          <w:i/>
          <w:spacing w:val="80"/>
          <w:sz w:val="20"/>
        </w:rPr>
        <w:t> </w:t>
      </w:r>
      <w:r>
        <w:rPr>
          <w:rFonts w:ascii="Arial" w:hAnsi="Arial"/>
          <w:i/>
          <w:sz w:val="20"/>
        </w:rPr>
        <w:t>Ltd v Kensington &amp; Chelsea Royal B.C. [1999] Q.B. 215 </w:t>
      </w:r>
      <w:r>
        <w:rPr>
          <w:sz w:val="20"/>
        </w:rPr>
        <w:t>at 216.</w:t>
      </w:r>
    </w:p>
    <w:p>
      <w:pPr>
        <w:pStyle w:val="BodyText"/>
        <w:spacing w:before="5"/>
      </w:pPr>
    </w:p>
    <w:p>
      <w:pPr>
        <w:tabs>
          <w:tab w:pos="705" w:val="left" w:leader="none"/>
        </w:tabs>
        <w:spacing w:before="0"/>
        <w:ind w:left="165" w:right="0" w:firstLine="0"/>
        <w:jc w:val="left"/>
        <w:rPr>
          <w:sz w:val="20"/>
        </w:rPr>
      </w:pPr>
      <w:bookmarkStart w:name="_bookmark90" w:id="92"/>
      <w:bookmarkEnd w:id="92"/>
      <w:r>
        <w:rPr/>
      </w:r>
      <w:hyperlink w:history="true" w:anchor="_bookmark39">
        <w:r>
          <w:rPr>
            <w:color w:val="005DA1"/>
            <w:spacing w:val="-5"/>
            <w:position w:val="5"/>
            <w:sz w:val="14"/>
            <w:u w:val="single" w:color="005DA1"/>
          </w:rPr>
          <w:t>33</w:t>
        </w:r>
      </w:hyperlink>
      <w:r>
        <w:rPr>
          <w:spacing w:val="-5"/>
          <w:position w:val="5"/>
          <w:sz w:val="14"/>
        </w:rPr>
        <w:t>.</w:t>
      </w:r>
      <w:r>
        <w:rPr>
          <w:position w:val="5"/>
          <w:sz w:val="14"/>
        </w:rPr>
        <w:tab/>
      </w:r>
      <w:r>
        <w:rPr>
          <w:sz w:val="20"/>
        </w:rPr>
        <w:t>Atiyah,</w:t>
      </w:r>
      <w:r>
        <w:rPr>
          <w:spacing w:val="-1"/>
          <w:sz w:val="20"/>
        </w:rPr>
        <w:t> </w:t>
      </w:r>
      <w:r>
        <w:rPr>
          <w:rFonts w:ascii="Arial"/>
          <w:i/>
          <w:sz w:val="20"/>
        </w:rPr>
        <w:t>Essays on Contract</w:t>
      </w:r>
      <w:r>
        <w:rPr>
          <w:sz w:val="20"/>
        </w:rPr>
        <w:t>, pp.179, </w:t>
      </w:r>
      <w:r>
        <w:rPr>
          <w:spacing w:val="-4"/>
          <w:sz w:val="20"/>
        </w:rPr>
        <w:t>183.</w:t>
      </w:r>
    </w:p>
    <w:p>
      <w:pPr>
        <w:pStyle w:val="BodyText"/>
        <w:spacing w:before="9"/>
      </w:pPr>
    </w:p>
    <w:p>
      <w:pPr>
        <w:spacing w:line="235" w:lineRule="auto" w:before="0"/>
        <w:ind w:left="705" w:right="168" w:hanging="541"/>
        <w:jc w:val="both"/>
        <w:rPr>
          <w:sz w:val="20"/>
        </w:rPr>
      </w:pPr>
      <w:bookmarkStart w:name="_bookmark91" w:id="93"/>
      <w:bookmarkEnd w:id="93"/>
      <w:r>
        <w:rPr/>
      </w:r>
      <w:hyperlink w:history="true" w:anchor="_bookmark40">
        <w:r>
          <w:rPr>
            <w:color w:val="005DA1"/>
            <w:position w:val="5"/>
            <w:sz w:val="14"/>
            <w:u w:val="single" w:color="005DA1"/>
          </w:rPr>
          <w:t>34</w:t>
        </w:r>
      </w:hyperlink>
      <w:r>
        <w:rPr>
          <w:position w:val="5"/>
          <w:sz w:val="14"/>
        </w:rPr>
        <w:t>.</w:t>
      </w:r>
      <w:r>
        <w:rPr>
          <w:spacing w:val="80"/>
          <w:position w:val="5"/>
          <w:sz w:val="14"/>
        </w:rPr>
        <w:t>  </w:t>
      </w:r>
      <w:r>
        <w:rPr>
          <w:sz w:val="20"/>
        </w:rPr>
        <w:t>Above, para.2-082. See also </w:t>
      </w:r>
      <w:r>
        <w:rPr>
          <w:rFonts w:ascii="Arial"/>
          <w:i/>
          <w:sz w:val="20"/>
        </w:rPr>
        <w:t>Carlill v Carbolic Smoke Ball Co [1892] 2 Q.B. 484</w:t>
      </w:r>
      <w:r>
        <w:rPr>
          <w:sz w:val="20"/>
        </w:rPr>
        <w:t>; </w:t>
      </w:r>
      <w:r>
        <w:rPr>
          <w:rFonts w:ascii="Arial"/>
          <w:i/>
          <w:sz w:val="20"/>
        </w:rPr>
        <w:t>Budgett v Stratford Co-operative and Industrial Society Ltd (1916) 32 T.L.R. 378</w:t>
      </w:r>
      <w:r>
        <w:rPr>
          <w:sz w:val="20"/>
        </w:rPr>
        <w:t>; </w:t>
      </w:r>
      <w:r>
        <w:rPr>
          <w:rFonts w:ascii="Arial"/>
          <w:i/>
          <w:sz w:val="20"/>
        </w:rPr>
        <w:t>Melhuish v Redbridge Citizens Advice Bureau [2005] I.R.L.R. 415 </w:t>
      </w:r>
      <w:r>
        <w:rPr>
          <w:sz w:val="20"/>
        </w:rPr>
        <w:t>at [18].</w:t>
      </w:r>
    </w:p>
    <w:p>
      <w:pPr>
        <w:pStyle w:val="BodyText"/>
        <w:spacing w:before="9"/>
      </w:pPr>
    </w:p>
    <w:p>
      <w:pPr>
        <w:pStyle w:val="BodyText"/>
        <w:tabs>
          <w:tab w:pos="705" w:val="left" w:leader="none"/>
        </w:tabs>
        <w:spacing w:line="235" w:lineRule="auto"/>
        <w:ind w:left="705" w:right="168" w:hanging="541"/>
      </w:pPr>
      <w:bookmarkStart w:name="_bookmark92" w:id="94"/>
      <w:bookmarkEnd w:id="94"/>
      <w:r>
        <w:rPr/>
      </w:r>
      <w:hyperlink w:history="true" w:anchor="_bookmark41">
        <w:r>
          <w:rPr>
            <w:color w:val="005DA1"/>
            <w:spacing w:val="-4"/>
            <w:position w:val="5"/>
            <w:sz w:val="14"/>
            <w:u w:val="single" w:color="005DA1"/>
          </w:rPr>
          <w:t>35</w:t>
        </w:r>
      </w:hyperlink>
      <w:r>
        <w:rPr>
          <w:spacing w:val="-4"/>
          <w:position w:val="5"/>
          <w:sz w:val="14"/>
        </w:rPr>
        <w:t>.</w:t>
      </w:r>
      <w:r>
        <w:rPr>
          <w:position w:val="5"/>
          <w:sz w:val="14"/>
        </w:rPr>
        <w:tab/>
      </w:r>
      <w:r>
        <w:rPr/>
        <w:t>The promisee may accept and provide consideration at an earlier stage: see above, para.2-</w:t>
      </w:r>
      <w:r>
        <w:rPr/>
        <w:t>083 and below, para.4-191.</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93" w:id="95"/>
      <w:bookmarkEnd w:id="95"/>
      <w:r>
        <w:rPr/>
      </w:r>
      <w:hyperlink w:history="true" w:anchor="_bookmark42">
        <w:r>
          <w:rPr>
            <w:color w:val="005DA1"/>
            <w:spacing w:val="-5"/>
            <w:position w:val="5"/>
            <w:sz w:val="14"/>
            <w:u w:val="single" w:color="005DA1"/>
          </w:rPr>
          <w:t>36</w:t>
        </w:r>
      </w:hyperlink>
      <w:r>
        <w:rPr>
          <w:spacing w:val="-5"/>
          <w:position w:val="5"/>
          <w:sz w:val="14"/>
        </w:rPr>
        <w:t>.</w:t>
      </w:r>
      <w:r>
        <w:rPr>
          <w:position w:val="5"/>
          <w:sz w:val="14"/>
        </w:rPr>
        <w:tab/>
      </w:r>
      <w:r>
        <w:rPr>
          <w:sz w:val="20"/>
        </w:rPr>
        <w:t>See,</w:t>
      </w:r>
      <w:r>
        <w:rPr>
          <w:spacing w:val="4"/>
          <w:sz w:val="20"/>
        </w:rPr>
        <w:t> </w:t>
      </w:r>
      <w:r>
        <w:rPr>
          <w:sz w:val="20"/>
        </w:rPr>
        <w:t>e.g.</w:t>
      </w:r>
      <w:r>
        <w:rPr>
          <w:spacing w:val="5"/>
          <w:sz w:val="20"/>
        </w:rPr>
        <w:t> </w:t>
      </w:r>
      <w:r>
        <w:rPr>
          <w:rFonts w:ascii="Arial"/>
          <w:i/>
          <w:sz w:val="20"/>
        </w:rPr>
        <w:t>Pecke</w:t>
      </w:r>
      <w:r>
        <w:rPr>
          <w:rFonts w:ascii="Arial"/>
          <w:i/>
          <w:spacing w:val="5"/>
          <w:sz w:val="20"/>
        </w:rPr>
        <w:t> </w:t>
      </w:r>
      <w:r>
        <w:rPr>
          <w:rFonts w:ascii="Arial"/>
          <w:i/>
          <w:sz w:val="20"/>
        </w:rPr>
        <w:t>v</w:t>
      </w:r>
      <w:r>
        <w:rPr>
          <w:rFonts w:ascii="Arial"/>
          <w:i/>
          <w:spacing w:val="5"/>
          <w:sz w:val="20"/>
        </w:rPr>
        <w:t> </w:t>
      </w:r>
      <w:r>
        <w:rPr>
          <w:rFonts w:ascii="Arial"/>
          <w:i/>
          <w:sz w:val="20"/>
        </w:rPr>
        <w:t>Redman</w:t>
      </w:r>
      <w:r>
        <w:rPr>
          <w:rFonts w:ascii="Arial"/>
          <w:i/>
          <w:spacing w:val="5"/>
          <w:sz w:val="20"/>
        </w:rPr>
        <w:t> </w:t>
      </w:r>
      <w:r>
        <w:rPr>
          <w:rFonts w:ascii="Arial"/>
          <w:i/>
          <w:sz w:val="20"/>
        </w:rPr>
        <w:t>(1555)</w:t>
      </w:r>
      <w:r>
        <w:rPr>
          <w:rFonts w:ascii="Arial"/>
          <w:i/>
          <w:spacing w:val="5"/>
          <w:sz w:val="20"/>
        </w:rPr>
        <w:t> </w:t>
      </w:r>
      <w:r>
        <w:rPr>
          <w:rFonts w:ascii="Arial"/>
          <w:i/>
          <w:sz w:val="20"/>
        </w:rPr>
        <w:t>1</w:t>
      </w:r>
      <w:r>
        <w:rPr>
          <w:rFonts w:ascii="Arial"/>
          <w:i/>
          <w:spacing w:val="5"/>
          <w:sz w:val="20"/>
        </w:rPr>
        <w:t> </w:t>
      </w:r>
      <w:r>
        <w:rPr>
          <w:rFonts w:ascii="Arial"/>
          <w:i/>
          <w:sz w:val="20"/>
        </w:rPr>
        <w:t>Dyer</w:t>
      </w:r>
      <w:r>
        <w:rPr>
          <w:rFonts w:ascii="Arial"/>
          <w:i/>
          <w:spacing w:val="5"/>
          <w:sz w:val="20"/>
        </w:rPr>
        <w:t> </w:t>
      </w:r>
      <w:r>
        <w:rPr>
          <w:rFonts w:ascii="Arial"/>
          <w:i/>
          <w:sz w:val="20"/>
        </w:rPr>
        <w:t>113a</w:t>
      </w:r>
      <w:r>
        <w:rPr>
          <w:sz w:val="20"/>
        </w:rPr>
        <w:t>;</w:t>
      </w:r>
      <w:r>
        <w:rPr>
          <w:spacing w:val="4"/>
          <w:sz w:val="20"/>
        </w:rPr>
        <w:t> </w:t>
      </w:r>
      <w:r>
        <w:rPr>
          <w:rFonts w:ascii="Arial"/>
          <w:i/>
          <w:sz w:val="20"/>
        </w:rPr>
        <w:t>Joscelin</w:t>
      </w:r>
      <w:r>
        <w:rPr>
          <w:rFonts w:ascii="Arial"/>
          <w:i/>
          <w:spacing w:val="5"/>
          <w:sz w:val="20"/>
        </w:rPr>
        <w:t> </w:t>
      </w:r>
      <w:r>
        <w:rPr>
          <w:rFonts w:ascii="Arial"/>
          <w:i/>
          <w:sz w:val="20"/>
        </w:rPr>
        <w:t>v</w:t>
      </w:r>
      <w:r>
        <w:rPr>
          <w:rFonts w:ascii="Arial"/>
          <w:i/>
          <w:spacing w:val="5"/>
          <w:sz w:val="20"/>
        </w:rPr>
        <w:t> </w:t>
      </w:r>
      <w:r>
        <w:rPr>
          <w:rFonts w:ascii="Arial"/>
          <w:i/>
          <w:sz w:val="20"/>
        </w:rPr>
        <w:t>Shelton</w:t>
      </w:r>
      <w:r>
        <w:rPr>
          <w:rFonts w:ascii="Arial"/>
          <w:i/>
          <w:spacing w:val="5"/>
          <w:sz w:val="20"/>
        </w:rPr>
        <w:t> </w:t>
      </w:r>
      <w:r>
        <w:rPr>
          <w:rFonts w:ascii="Arial"/>
          <w:i/>
          <w:sz w:val="20"/>
        </w:rPr>
        <w:t>(1557)</w:t>
      </w:r>
      <w:r>
        <w:rPr>
          <w:rFonts w:ascii="Arial"/>
          <w:i/>
          <w:spacing w:val="5"/>
          <w:sz w:val="20"/>
        </w:rPr>
        <w:t> </w:t>
      </w:r>
      <w:r>
        <w:rPr>
          <w:rFonts w:ascii="Arial"/>
          <w:i/>
          <w:sz w:val="20"/>
        </w:rPr>
        <w:t>3</w:t>
      </w:r>
      <w:r>
        <w:rPr>
          <w:rFonts w:ascii="Arial"/>
          <w:i/>
          <w:spacing w:val="5"/>
          <w:sz w:val="20"/>
        </w:rPr>
        <w:t> </w:t>
      </w:r>
      <w:r>
        <w:rPr>
          <w:rFonts w:ascii="Arial"/>
          <w:i/>
          <w:sz w:val="20"/>
        </w:rPr>
        <w:t>Leon.</w:t>
      </w:r>
      <w:r>
        <w:rPr>
          <w:rFonts w:ascii="Arial"/>
          <w:i/>
          <w:spacing w:val="5"/>
          <w:sz w:val="20"/>
        </w:rPr>
        <w:t> </w:t>
      </w:r>
      <w:r>
        <w:rPr>
          <w:rFonts w:ascii="Arial"/>
          <w:i/>
          <w:sz w:val="20"/>
        </w:rPr>
        <w:t>4</w:t>
      </w:r>
      <w:r>
        <w:rPr>
          <w:sz w:val="20"/>
        </w:rPr>
        <w:t>;</w:t>
      </w:r>
      <w:r>
        <w:rPr>
          <w:spacing w:val="5"/>
          <w:sz w:val="20"/>
        </w:rPr>
        <w:t> </w:t>
      </w:r>
      <w:r>
        <w:rPr>
          <w:rFonts w:ascii="Arial"/>
          <w:i/>
          <w:spacing w:val="-2"/>
          <w:sz w:val="20"/>
        </w:rPr>
        <w:t>Manwood</w:t>
      </w:r>
    </w:p>
    <w:p>
      <w:pPr>
        <w:spacing w:line="225" w:lineRule="exact" w:before="0"/>
        <w:ind w:left="0" w:right="168" w:firstLine="0"/>
        <w:jc w:val="right"/>
        <w:rPr>
          <w:rFonts w:ascii="Arial"/>
          <w:i/>
          <w:sz w:val="20"/>
        </w:rPr>
      </w:pPr>
      <w:r>
        <w:rPr>
          <w:rFonts w:ascii="Arial"/>
          <w:i/>
          <w:sz w:val="20"/>
        </w:rPr>
        <w:t>v</w:t>
      </w:r>
      <w:r>
        <w:rPr>
          <w:rFonts w:ascii="Arial"/>
          <w:i/>
          <w:spacing w:val="6"/>
          <w:sz w:val="20"/>
        </w:rPr>
        <w:t> </w:t>
      </w:r>
      <w:r>
        <w:rPr>
          <w:rFonts w:ascii="Arial"/>
          <w:i/>
          <w:sz w:val="20"/>
        </w:rPr>
        <w:t>Burston</w:t>
      </w:r>
      <w:r>
        <w:rPr>
          <w:rFonts w:ascii="Arial"/>
          <w:i/>
          <w:spacing w:val="9"/>
          <w:sz w:val="20"/>
        </w:rPr>
        <w:t> </w:t>
      </w:r>
      <w:r>
        <w:rPr>
          <w:rFonts w:ascii="Arial"/>
          <w:i/>
          <w:sz w:val="20"/>
        </w:rPr>
        <w:t>(1586)</w:t>
      </w:r>
      <w:r>
        <w:rPr>
          <w:rFonts w:ascii="Arial"/>
          <w:i/>
          <w:spacing w:val="9"/>
          <w:sz w:val="20"/>
        </w:rPr>
        <w:t> </w:t>
      </w:r>
      <w:r>
        <w:rPr>
          <w:rFonts w:ascii="Arial"/>
          <w:i/>
          <w:sz w:val="20"/>
        </w:rPr>
        <w:t>2</w:t>
      </w:r>
      <w:r>
        <w:rPr>
          <w:rFonts w:ascii="Arial"/>
          <w:i/>
          <w:spacing w:val="9"/>
          <w:sz w:val="20"/>
        </w:rPr>
        <w:t> </w:t>
      </w:r>
      <w:r>
        <w:rPr>
          <w:rFonts w:ascii="Arial"/>
          <w:i/>
          <w:sz w:val="20"/>
        </w:rPr>
        <w:t>Leon.</w:t>
      </w:r>
      <w:r>
        <w:rPr>
          <w:rFonts w:ascii="Arial"/>
          <w:i/>
          <w:spacing w:val="9"/>
          <w:sz w:val="20"/>
        </w:rPr>
        <w:t> </w:t>
      </w:r>
      <w:r>
        <w:rPr>
          <w:rFonts w:ascii="Arial"/>
          <w:i/>
          <w:sz w:val="20"/>
        </w:rPr>
        <w:t>203</w:t>
      </w:r>
      <w:r>
        <w:rPr>
          <w:sz w:val="20"/>
        </w:rPr>
        <w:t>;</w:t>
      </w:r>
      <w:r>
        <w:rPr>
          <w:spacing w:val="9"/>
          <w:sz w:val="20"/>
        </w:rPr>
        <w:t> </w:t>
      </w:r>
      <w:r>
        <w:rPr>
          <w:rFonts w:ascii="Arial"/>
          <w:i/>
          <w:sz w:val="20"/>
        </w:rPr>
        <w:t>Harrison</w:t>
      </w:r>
      <w:r>
        <w:rPr>
          <w:rFonts w:ascii="Arial"/>
          <w:i/>
          <w:spacing w:val="9"/>
          <w:sz w:val="20"/>
        </w:rPr>
        <w:t> </w:t>
      </w:r>
      <w:r>
        <w:rPr>
          <w:rFonts w:ascii="Arial"/>
          <w:i/>
          <w:sz w:val="20"/>
        </w:rPr>
        <w:t>v</w:t>
      </w:r>
      <w:r>
        <w:rPr>
          <w:rFonts w:ascii="Arial"/>
          <w:i/>
          <w:spacing w:val="9"/>
          <w:sz w:val="20"/>
        </w:rPr>
        <w:t> </w:t>
      </w:r>
      <w:r>
        <w:rPr>
          <w:rFonts w:ascii="Arial"/>
          <w:i/>
          <w:sz w:val="20"/>
        </w:rPr>
        <w:t>Cage</w:t>
      </w:r>
      <w:r>
        <w:rPr>
          <w:rFonts w:ascii="Arial"/>
          <w:i/>
          <w:spacing w:val="8"/>
          <w:sz w:val="20"/>
        </w:rPr>
        <w:t> </w:t>
      </w:r>
      <w:r>
        <w:rPr>
          <w:rFonts w:ascii="Arial"/>
          <w:i/>
          <w:sz w:val="20"/>
        </w:rPr>
        <w:t>(1698)</w:t>
      </w:r>
      <w:r>
        <w:rPr>
          <w:rFonts w:ascii="Arial"/>
          <w:i/>
          <w:spacing w:val="9"/>
          <w:sz w:val="20"/>
        </w:rPr>
        <w:t> </w:t>
      </w:r>
      <w:r>
        <w:rPr>
          <w:rFonts w:ascii="Arial"/>
          <w:i/>
          <w:sz w:val="20"/>
        </w:rPr>
        <w:t>12</w:t>
      </w:r>
      <w:r>
        <w:rPr>
          <w:rFonts w:ascii="Arial"/>
          <w:i/>
          <w:spacing w:val="9"/>
          <w:sz w:val="20"/>
        </w:rPr>
        <w:t> </w:t>
      </w:r>
      <w:r>
        <w:rPr>
          <w:rFonts w:ascii="Arial"/>
          <w:i/>
          <w:sz w:val="20"/>
        </w:rPr>
        <w:t>Mod.</w:t>
      </w:r>
      <w:r>
        <w:rPr>
          <w:rFonts w:ascii="Arial"/>
          <w:i/>
          <w:spacing w:val="9"/>
          <w:sz w:val="20"/>
        </w:rPr>
        <w:t> </w:t>
      </w:r>
      <w:r>
        <w:rPr>
          <w:rFonts w:ascii="Arial"/>
          <w:i/>
          <w:sz w:val="20"/>
        </w:rPr>
        <w:t>214</w:t>
      </w:r>
      <w:r>
        <w:rPr>
          <w:sz w:val="20"/>
        </w:rPr>
        <w:t>;</w:t>
      </w:r>
      <w:r>
        <w:rPr>
          <w:spacing w:val="9"/>
          <w:sz w:val="20"/>
        </w:rPr>
        <w:t> </w:t>
      </w:r>
      <w:r>
        <w:rPr>
          <w:sz w:val="20"/>
        </w:rPr>
        <w:t>Simpson,</w:t>
      </w:r>
      <w:r>
        <w:rPr>
          <w:spacing w:val="9"/>
          <w:sz w:val="20"/>
        </w:rPr>
        <w:t> </w:t>
      </w:r>
      <w:r>
        <w:rPr>
          <w:rFonts w:ascii="Arial"/>
          <w:i/>
          <w:sz w:val="20"/>
        </w:rPr>
        <w:t>A</w:t>
      </w:r>
      <w:r>
        <w:rPr>
          <w:rFonts w:ascii="Arial"/>
          <w:i/>
          <w:spacing w:val="9"/>
          <w:sz w:val="20"/>
        </w:rPr>
        <w:t> </w:t>
      </w:r>
      <w:r>
        <w:rPr>
          <w:rFonts w:ascii="Arial"/>
          <w:i/>
          <w:sz w:val="20"/>
        </w:rPr>
        <w:t>History</w:t>
      </w:r>
      <w:r>
        <w:rPr>
          <w:rFonts w:ascii="Arial"/>
          <w:i/>
          <w:spacing w:val="9"/>
          <w:sz w:val="20"/>
        </w:rPr>
        <w:t> </w:t>
      </w:r>
      <w:r>
        <w:rPr>
          <w:rFonts w:ascii="Arial"/>
          <w:i/>
          <w:sz w:val="20"/>
        </w:rPr>
        <w:t>of</w:t>
      </w:r>
      <w:r>
        <w:rPr>
          <w:rFonts w:ascii="Arial"/>
          <w:i/>
          <w:spacing w:val="9"/>
          <w:sz w:val="20"/>
        </w:rPr>
        <w:t> </w:t>
      </w:r>
      <w:r>
        <w:rPr>
          <w:rFonts w:ascii="Arial"/>
          <w:i/>
          <w:spacing w:val="-5"/>
          <w:sz w:val="20"/>
        </w:rPr>
        <w:t>the</w:t>
      </w:r>
    </w:p>
    <w:p>
      <w:pPr>
        <w:spacing w:line="235" w:lineRule="auto" w:before="2"/>
        <w:ind w:left="705" w:right="167" w:firstLine="0"/>
        <w:jc w:val="both"/>
        <w:rPr>
          <w:sz w:val="20"/>
        </w:rPr>
      </w:pPr>
      <w:r>
        <w:rPr>
          <w:rFonts w:ascii="Arial" w:hAnsi="Arial"/>
          <w:i/>
          <w:sz w:val="20"/>
        </w:rPr>
        <w:t>Common Law of Contract</w:t>
      </w:r>
      <w:r>
        <w:rPr>
          <w:sz w:val="20"/>
        </w:rPr>
        <w:t>, pp.459–470; Baker (1980) 43 M.L.R. 467, 468 (reviewing </w:t>
      </w:r>
      <w:r>
        <w:rPr>
          <w:sz w:val="20"/>
        </w:rPr>
        <w:t>Atiyah,</w:t>
      </w:r>
      <w:r>
        <w:rPr>
          <w:spacing w:val="40"/>
          <w:sz w:val="20"/>
        </w:rPr>
        <w:t> </w:t>
      </w:r>
      <w:r>
        <w:rPr>
          <w:rFonts w:ascii="Arial" w:hAnsi="Arial"/>
          <w:i/>
          <w:sz w:val="20"/>
        </w:rPr>
        <w:t>The Rise and Fall of Freedom of Contract</w:t>
      </w:r>
      <w:r>
        <w:rPr>
          <w:sz w:val="20"/>
        </w:rPr>
        <w:t>). But a mere proposal falling short of a promise does not suffice: </w:t>
      </w:r>
      <w:r>
        <w:rPr>
          <w:rFonts w:ascii="Arial" w:hAnsi="Arial"/>
          <w:i/>
          <w:sz w:val="20"/>
        </w:rPr>
        <w:t>The Kaliningrad and Nadezhda Krupskaya [1997] 2 Lloyd’s Rep. 35, 39</w:t>
      </w:r>
      <w:r>
        <w:rPr>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94" w:id="96"/>
      <w:bookmarkEnd w:id="96"/>
      <w:r>
        <w:rPr/>
      </w:r>
      <w:hyperlink w:history="true" w:anchor="_bookmark43">
        <w:r>
          <w:rPr>
            <w:color w:val="005DA1"/>
            <w:spacing w:val="-4"/>
            <w:position w:val="5"/>
            <w:sz w:val="14"/>
            <w:u w:val="single" w:color="005DA1"/>
          </w:rPr>
          <w:t>37</w:t>
        </w:r>
      </w:hyperlink>
      <w:r>
        <w:rPr>
          <w:spacing w:val="-4"/>
          <w:position w:val="5"/>
          <w:sz w:val="14"/>
        </w:rPr>
        <w:t>.</w:t>
      </w:r>
      <w:r>
        <w:rPr>
          <w:position w:val="5"/>
          <w:sz w:val="14"/>
        </w:rPr>
        <w:tab/>
      </w:r>
      <w:r>
        <w:rPr>
          <w:rFonts w:ascii="Arial" w:hAnsi="Arial"/>
          <w:i/>
          <w:sz w:val="20"/>
        </w:rPr>
        <w:t>Thoresen</w:t>
      </w:r>
      <w:r>
        <w:rPr>
          <w:rFonts w:ascii="Arial" w:hAnsi="Arial"/>
          <w:i/>
          <w:spacing w:val="-1"/>
          <w:sz w:val="20"/>
        </w:rPr>
        <w:t> </w:t>
      </w:r>
      <w:r>
        <w:rPr>
          <w:rFonts w:ascii="Arial" w:hAnsi="Arial"/>
          <w:i/>
          <w:sz w:val="20"/>
        </w:rPr>
        <w:t>Car</w:t>
      </w:r>
      <w:r>
        <w:rPr>
          <w:rFonts w:ascii="Arial" w:hAnsi="Arial"/>
          <w:i/>
          <w:spacing w:val="-1"/>
          <w:sz w:val="20"/>
        </w:rPr>
        <w:t> </w:t>
      </w:r>
      <w:r>
        <w:rPr>
          <w:rFonts w:ascii="Arial" w:hAnsi="Arial"/>
          <w:i/>
          <w:sz w:val="20"/>
        </w:rPr>
        <w:t>Ferries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Weymouth</w:t>
      </w:r>
      <w:r>
        <w:rPr>
          <w:rFonts w:ascii="Arial" w:hAnsi="Arial"/>
          <w:i/>
          <w:spacing w:val="-1"/>
          <w:sz w:val="20"/>
        </w:rPr>
        <w:t> </w:t>
      </w:r>
      <w:r>
        <w:rPr>
          <w:rFonts w:ascii="Arial" w:hAnsi="Arial"/>
          <w:i/>
          <w:sz w:val="20"/>
        </w:rPr>
        <w:t>Portland</w:t>
      </w:r>
      <w:r>
        <w:rPr>
          <w:rFonts w:ascii="Arial" w:hAnsi="Arial"/>
          <w:i/>
          <w:spacing w:val="-1"/>
          <w:sz w:val="20"/>
        </w:rPr>
        <w:t> </w:t>
      </w:r>
      <w:r>
        <w:rPr>
          <w:rFonts w:ascii="Arial" w:hAnsi="Arial"/>
          <w:i/>
          <w:sz w:val="20"/>
        </w:rPr>
        <w:t>BC</w:t>
      </w:r>
      <w:r>
        <w:rPr>
          <w:rFonts w:ascii="Arial" w:hAnsi="Arial"/>
          <w:i/>
          <w:spacing w:val="-1"/>
          <w:sz w:val="20"/>
        </w:rPr>
        <w:t> </w:t>
      </w:r>
      <w:r>
        <w:rPr>
          <w:rFonts w:ascii="Arial" w:hAnsi="Arial"/>
          <w:i/>
          <w:sz w:val="20"/>
        </w:rPr>
        <w:t>[1977]</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614,</w:t>
      </w:r>
      <w:r>
        <w:rPr>
          <w:rFonts w:ascii="Arial" w:hAnsi="Arial"/>
          <w:i/>
          <w:spacing w:val="-1"/>
          <w:sz w:val="20"/>
        </w:rPr>
        <w:t> </w:t>
      </w:r>
      <w:r>
        <w:rPr>
          <w:rFonts w:ascii="Arial" w:hAnsi="Arial"/>
          <w:i/>
          <w:sz w:val="20"/>
        </w:rPr>
        <w:t>619</w:t>
      </w:r>
      <w:r>
        <w:rPr>
          <w:sz w:val="20"/>
        </w:rPr>
        <w:t>;</w:t>
      </w:r>
      <w:r>
        <w:rPr>
          <w:spacing w:val="-1"/>
          <w:sz w:val="20"/>
        </w:rPr>
        <w:t> </w:t>
      </w:r>
      <w:r>
        <w:rPr>
          <w:rFonts w:ascii="Arial" w:hAnsi="Arial"/>
          <w:i/>
          <w:sz w:val="20"/>
        </w:rPr>
        <w:t>The</w:t>
      </w:r>
      <w:r>
        <w:rPr>
          <w:rFonts w:ascii="Arial" w:hAnsi="Arial"/>
          <w:i/>
          <w:spacing w:val="-1"/>
          <w:sz w:val="20"/>
        </w:rPr>
        <w:t> </w:t>
      </w:r>
      <w:r>
        <w:rPr>
          <w:rFonts w:ascii="Arial" w:hAnsi="Arial"/>
          <w:i/>
          <w:sz w:val="20"/>
        </w:rPr>
        <w:t>Aramis [1989] 2 Lloyd’s Rep. 213 </w:t>
      </w:r>
      <w:r>
        <w:rPr>
          <w:sz w:val="20"/>
        </w:rPr>
        <w:t>at 225 (where the claim failed for want of contractual intention).</w:t>
      </w:r>
    </w:p>
    <w:p>
      <w:pPr>
        <w:pStyle w:val="BodyText"/>
        <w:spacing w:before="5"/>
      </w:pPr>
    </w:p>
    <w:p>
      <w:pPr>
        <w:tabs>
          <w:tab w:pos="705" w:val="left" w:leader="none"/>
        </w:tabs>
        <w:spacing w:before="0"/>
        <w:ind w:left="165" w:right="0" w:firstLine="0"/>
        <w:jc w:val="left"/>
        <w:rPr>
          <w:sz w:val="20"/>
        </w:rPr>
      </w:pPr>
      <w:bookmarkStart w:name="_bookmark95" w:id="97"/>
      <w:bookmarkEnd w:id="97"/>
      <w:r>
        <w:rPr/>
      </w:r>
      <w:hyperlink w:history="true" w:anchor="_bookmark44">
        <w:r>
          <w:rPr>
            <w:color w:val="005DA1"/>
            <w:spacing w:val="-5"/>
            <w:position w:val="5"/>
            <w:sz w:val="14"/>
            <w:u w:val="single" w:color="005DA1"/>
          </w:rPr>
          <w:t>38</w:t>
        </w:r>
      </w:hyperlink>
      <w:r>
        <w:rPr>
          <w:spacing w:val="-5"/>
          <w:position w:val="5"/>
          <w:sz w:val="14"/>
        </w:rPr>
        <w:t>.</w:t>
      </w:r>
      <w:r>
        <w:rPr>
          <w:position w:val="5"/>
          <w:sz w:val="14"/>
        </w:rPr>
        <w:tab/>
      </w:r>
      <w:r>
        <w:rPr>
          <w:rFonts w:ascii="Arial"/>
          <w:i/>
          <w:sz w:val="20"/>
        </w:rPr>
        <w:t>Re Dale [1994] Ch. 31, </w:t>
      </w:r>
      <w:r>
        <w:rPr>
          <w:rFonts w:ascii="Arial"/>
          <w:i/>
          <w:spacing w:val="-5"/>
          <w:sz w:val="20"/>
        </w:rPr>
        <w:t>38</w:t>
      </w:r>
      <w:r>
        <w:rPr>
          <w:spacing w:val="-5"/>
          <w:sz w:val="20"/>
        </w:rPr>
        <w:t>.</w:t>
      </w:r>
    </w:p>
    <w:p>
      <w:pPr>
        <w:pStyle w:val="BodyText"/>
        <w:spacing w:before="5"/>
      </w:pPr>
    </w:p>
    <w:p>
      <w:pPr>
        <w:pStyle w:val="BodyText"/>
        <w:tabs>
          <w:tab w:pos="705" w:val="left" w:leader="none"/>
        </w:tabs>
        <w:ind w:left="165"/>
      </w:pPr>
      <w:bookmarkStart w:name="_bookmark96" w:id="98"/>
      <w:bookmarkEnd w:id="98"/>
      <w:r>
        <w:rPr/>
      </w:r>
      <w:hyperlink w:history="true" w:anchor="_bookmark45">
        <w:r>
          <w:rPr>
            <w:color w:val="005DA1"/>
            <w:spacing w:val="-5"/>
            <w:position w:val="5"/>
            <w:sz w:val="14"/>
            <w:u w:val="single" w:color="005DA1"/>
          </w:rPr>
          <w:t>39</w:t>
        </w:r>
      </w:hyperlink>
      <w:r>
        <w:rPr>
          <w:spacing w:val="-5"/>
          <w:position w:val="5"/>
          <w:sz w:val="14"/>
        </w:rPr>
        <w:t>.</w:t>
      </w:r>
      <w:r>
        <w:rPr>
          <w:position w:val="5"/>
          <w:sz w:val="14"/>
        </w:rPr>
        <w:tab/>
      </w:r>
      <w:r>
        <w:rPr/>
        <w:t>Below, para.4-</w:t>
      </w:r>
      <w:r>
        <w:rPr>
          <w:spacing w:val="-4"/>
        </w:rPr>
        <w:t>117.</w:t>
      </w:r>
    </w:p>
    <w:p>
      <w:pPr>
        <w:pStyle w:val="BodyText"/>
        <w:spacing w:before="9"/>
      </w:pPr>
    </w:p>
    <w:p>
      <w:pPr>
        <w:spacing w:line="235" w:lineRule="auto" w:before="0"/>
        <w:ind w:left="705" w:right="168" w:hanging="541"/>
        <w:jc w:val="both"/>
        <w:rPr>
          <w:rFonts w:ascii="Arial" w:hAnsi="Arial"/>
          <w:i/>
          <w:sz w:val="20"/>
        </w:rPr>
      </w:pPr>
      <w:bookmarkStart w:name="_bookmark97" w:id="99"/>
      <w:bookmarkEnd w:id="99"/>
      <w:r>
        <w:rPr/>
      </w:r>
      <w:hyperlink w:history="true" w:anchor="_bookmark46">
        <w:r>
          <w:rPr>
            <w:color w:val="005DA1"/>
            <w:position w:val="5"/>
            <w:sz w:val="14"/>
            <w:u w:val="single" w:color="005DA1"/>
          </w:rPr>
          <w:t>40</w:t>
        </w:r>
      </w:hyperlink>
      <w:r>
        <w:rPr>
          <w:position w:val="5"/>
          <w:sz w:val="14"/>
        </w:rPr>
        <w:t>.</w:t>
      </w:r>
      <w:r>
        <w:rPr>
          <w:spacing w:val="80"/>
          <w:position w:val="5"/>
          <w:sz w:val="14"/>
        </w:rPr>
        <w:t>  </w:t>
      </w:r>
      <w:r>
        <w:rPr>
          <w:rFonts w:ascii="Arial" w:hAnsi="Arial"/>
          <w:i/>
          <w:sz w:val="20"/>
        </w:rPr>
        <w:t>Price v Jenkins (1877) 5 Ch.D. 619</w:t>
      </w:r>
      <w:r>
        <w:rPr>
          <w:sz w:val="20"/>
        </w:rPr>
        <w:t>. In so far as </w:t>
      </w:r>
      <w:r>
        <w:rPr>
          <w:rFonts w:ascii="Arial" w:hAnsi="Arial"/>
          <w:i/>
          <w:sz w:val="20"/>
        </w:rPr>
        <w:t>Thomas v Thomas (1842) 2 Q.B. 851 </w:t>
      </w:r>
      <w:r>
        <w:rPr>
          <w:sz w:val="20"/>
        </w:rPr>
        <w:t>(below, para.4-011) is contra, it seems to be inconsistent with</w:t>
      </w:r>
      <w:r>
        <w:rPr>
          <w:spacing w:val="-1"/>
          <w:sz w:val="20"/>
        </w:rPr>
        <w:t> </w:t>
      </w:r>
      <w:r>
        <w:rPr>
          <w:rFonts w:ascii="Arial" w:hAnsi="Arial"/>
          <w:i/>
          <w:sz w:val="20"/>
        </w:rPr>
        <w:t>Price v Jenkins </w:t>
      </w:r>
      <w:r>
        <w:rPr>
          <w:sz w:val="20"/>
        </w:rPr>
        <w:t>(where the “case which </w:t>
      </w:r>
      <w:r>
        <w:rPr>
          <w:sz w:val="20"/>
        </w:rPr>
        <w:t>is not reported” mentioned at p.620 closely resembles </w:t>
      </w:r>
      <w:r>
        <w:rPr>
          <w:rFonts w:ascii="Arial" w:hAnsi="Arial"/>
          <w:i/>
          <w:sz w:val="20"/>
        </w:rPr>
        <w:t>Thomas v Thomas</w:t>
      </w:r>
      <w:r>
        <w:rPr>
          <w:sz w:val="20"/>
        </w:rPr>
        <w:t>); cf. </w:t>
      </w:r>
      <w:r>
        <w:rPr>
          <w:rFonts w:ascii="Arial" w:hAnsi="Arial"/>
          <w:i/>
          <w:sz w:val="20"/>
        </w:rPr>
        <w:t>Johnsey Estates v Lewis</w:t>
      </w:r>
      <w:r>
        <w:rPr>
          <w:rFonts w:ascii="Arial" w:hAnsi="Arial"/>
          <w:i/>
          <w:spacing w:val="-1"/>
          <w:sz w:val="20"/>
        </w:rPr>
        <w:t> </w:t>
      </w:r>
      <w:r>
        <w:rPr>
          <w:rFonts w:ascii="Arial" w:hAnsi="Arial"/>
          <w:i/>
          <w:sz w:val="20"/>
        </w:rPr>
        <w:t>&amp; Manley [1987] 2 E.G.L.R. 69</w:t>
      </w:r>
      <w:r>
        <w:rPr>
          <w:sz w:val="20"/>
        </w:rPr>
        <w:t>; </w:t>
      </w:r>
      <w:r>
        <w:rPr>
          <w:rFonts w:ascii="Arial" w:hAnsi="Arial"/>
          <w:i/>
          <w:sz w:val="20"/>
        </w:rPr>
        <w:t>Westminster City Council v Duke of Westminster [1991] </w:t>
      </w:r>
      <w:r>
        <w:rPr>
          <w:rFonts w:ascii="Arial" w:hAnsi="Arial"/>
          <w:i/>
          <w:spacing w:val="-10"/>
          <w:sz w:val="20"/>
        </w:rPr>
        <w:t>4</w:t>
      </w:r>
    </w:p>
    <w:p>
      <w:pPr>
        <w:spacing w:line="225" w:lineRule="exact" w:before="0"/>
        <w:ind w:left="705" w:right="0" w:firstLine="0"/>
        <w:jc w:val="left"/>
        <w:rPr>
          <w:sz w:val="20"/>
        </w:rPr>
      </w:pPr>
      <w:r>
        <w:rPr>
          <w:rFonts w:ascii="Arial"/>
          <w:i/>
          <w:sz w:val="20"/>
        </w:rPr>
        <w:t>All E.R. 136</w:t>
      </w:r>
      <w:r>
        <w:rPr>
          <w:rFonts w:ascii="Arial"/>
          <w:i/>
          <w:spacing w:val="-1"/>
          <w:sz w:val="20"/>
        </w:rPr>
        <w:t> </w:t>
      </w:r>
      <w:r>
        <w:rPr>
          <w:sz w:val="20"/>
        </w:rPr>
        <w:t>(reversed in part on other grounds</w:t>
      </w:r>
      <w:r>
        <w:rPr>
          <w:spacing w:val="-1"/>
          <w:sz w:val="20"/>
        </w:rPr>
        <w:t> </w:t>
      </w:r>
      <w:r>
        <w:rPr>
          <w:rFonts w:ascii="Arial"/>
          <w:i/>
          <w:sz w:val="20"/>
        </w:rPr>
        <w:t>(1992) 24 H.L.R. </w:t>
      </w:r>
      <w:r>
        <w:rPr>
          <w:rFonts w:ascii="Arial"/>
          <w:i/>
          <w:spacing w:val="-2"/>
          <w:sz w:val="20"/>
        </w:rPr>
        <w:t>572</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98" w:id="100"/>
      <w:bookmarkEnd w:id="100"/>
      <w:r>
        <w:rPr/>
      </w:r>
      <w:hyperlink w:history="true" w:anchor="_bookmark47">
        <w:r>
          <w:rPr>
            <w:color w:val="005DA1"/>
            <w:spacing w:val="-5"/>
            <w:position w:val="5"/>
            <w:sz w:val="14"/>
            <w:u w:val="single" w:color="005DA1"/>
          </w:rPr>
          <w:t>41</w:t>
        </w:r>
      </w:hyperlink>
      <w:r>
        <w:rPr>
          <w:spacing w:val="-5"/>
          <w:position w:val="5"/>
          <w:sz w:val="14"/>
        </w:rPr>
        <w:t>.</w:t>
      </w:r>
      <w:r>
        <w:rPr>
          <w:position w:val="5"/>
          <w:sz w:val="14"/>
        </w:rPr>
        <w:tab/>
      </w:r>
      <w:r>
        <w:rPr>
          <w:rFonts w:ascii="Arial"/>
          <w:i/>
          <w:sz w:val="20"/>
        </w:rPr>
        <w:t>Merritt v Merritt [1970] 1 W.L.R. </w:t>
      </w:r>
      <w:r>
        <w:rPr>
          <w:rFonts w:ascii="Arial"/>
          <w:i/>
          <w:spacing w:val="-2"/>
          <w:sz w:val="20"/>
        </w:rPr>
        <w:t>1211</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99" w:id="101"/>
      <w:bookmarkEnd w:id="101"/>
      <w:r>
        <w:rPr/>
      </w:r>
      <w:hyperlink w:history="true" w:anchor="_bookmark47">
        <w:r>
          <w:rPr>
            <w:color w:val="005DA1"/>
            <w:spacing w:val="-5"/>
            <w:position w:val="5"/>
            <w:sz w:val="14"/>
            <w:u w:val="single" w:color="005DA1"/>
          </w:rPr>
          <w:t>42</w:t>
        </w:r>
      </w:hyperlink>
      <w:r>
        <w:rPr>
          <w:spacing w:val="-5"/>
          <w:position w:val="5"/>
          <w:sz w:val="14"/>
        </w:rPr>
        <w:t>.</w:t>
      </w:r>
      <w:r>
        <w:rPr>
          <w:position w:val="5"/>
          <w:sz w:val="14"/>
        </w:rPr>
        <w:tab/>
      </w:r>
      <w:r>
        <w:rPr>
          <w:rFonts w:ascii="Arial"/>
          <w:i/>
          <w:sz w:val="20"/>
        </w:rPr>
        <w:t>Cheale v Kenward (1858) 3 D. &amp; J. </w:t>
      </w:r>
      <w:r>
        <w:rPr>
          <w:rFonts w:ascii="Arial"/>
          <w:i/>
          <w:spacing w:val="-5"/>
          <w:sz w:val="20"/>
        </w:rPr>
        <w:t>27</w:t>
      </w:r>
      <w:r>
        <w:rPr>
          <w:spacing w:val="-5"/>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00" w:id="102"/>
      <w:bookmarkEnd w:id="102"/>
      <w:r>
        <w:rPr/>
      </w:r>
      <w:hyperlink w:history="true" w:anchor="_bookmark48">
        <w:r>
          <w:rPr>
            <w:color w:val="005DA1"/>
            <w:spacing w:val="-5"/>
            <w:position w:val="5"/>
            <w:sz w:val="14"/>
            <w:u w:val="single" w:color="005DA1"/>
          </w:rPr>
          <w:t>43</w:t>
        </w:r>
      </w:hyperlink>
      <w:r>
        <w:rPr>
          <w:spacing w:val="-5"/>
          <w:position w:val="5"/>
          <w:sz w:val="14"/>
        </w:rPr>
        <w:t>.</w:t>
      </w:r>
      <w:r>
        <w:rPr>
          <w:position w:val="5"/>
          <w:sz w:val="14"/>
        </w:rPr>
        <w:tab/>
      </w:r>
      <w:r>
        <w:rPr>
          <w:sz w:val="20"/>
        </w:rPr>
        <w:t>Insolvency</w:t>
      </w:r>
      <w:r>
        <w:rPr>
          <w:spacing w:val="3"/>
          <w:sz w:val="20"/>
        </w:rPr>
        <w:t> </w:t>
      </w:r>
      <w:r>
        <w:rPr>
          <w:sz w:val="20"/>
        </w:rPr>
        <w:t>Act</w:t>
      </w:r>
      <w:r>
        <w:rPr>
          <w:spacing w:val="3"/>
          <w:sz w:val="20"/>
        </w:rPr>
        <w:t> </w:t>
      </w:r>
      <w:r>
        <w:rPr>
          <w:sz w:val="20"/>
        </w:rPr>
        <w:t>1986,</w:t>
      </w:r>
      <w:r>
        <w:rPr>
          <w:spacing w:val="3"/>
          <w:sz w:val="20"/>
        </w:rPr>
        <w:t> </w:t>
      </w:r>
      <w:r>
        <w:rPr>
          <w:sz w:val="20"/>
        </w:rPr>
        <w:t>ss.238,</w:t>
      </w:r>
      <w:r>
        <w:rPr>
          <w:spacing w:val="3"/>
          <w:sz w:val="20"/>
        </w:rPr>
        <w:t> </w:t>
      </w:r>
      <w:r>
        <w:rPr>
          <w:sz w:val="20"/>
        </w:rPr>
        <w:t>339;</w:t>
      </w:r>
      <w:r>
        <w:rPr>
          <w:spacing w:val="3"/>
          <w:sz w:val="20"/>
        </w:rPr>
        <w:t> </w:t>
      </w:r>
      <w:r>
        <w:rPr>
          <w:sz w:val="20"/>
        </w:rPr>
        <w:t>and</w:t>
      </w:r>
      <w:r>
        <w:rPr>
          <w:spacing w:val="3"/>
          <w:sz w:val="20"/>
        </w:rPr>
        <w:t> </w:t>
      </w:r>
      <w:r>
        <w:rPr>
          <w:sz w:val="20"/>
        </w:rPr>
        <w:t>see</w:t>
      </w:r>
      <w:r>
        <w:rPr>
          <w:spacing w:val="3"/>
          <w:sz w:val="20"/>
        </w:rPr>
        <w:t> </w:t>
      </w:r>
      <w:r>
        <w:rPr>
          <w:sz w:val="20"/>
        </w:rPr>
        <w:t>below,</w:t>
      </w:r>
      <w:r>
        <w:rPr>
          <w:spacing w:val="3"/>
          <w:sz w:val="20"/>
        </w:rPr>
        <w:t> </w:t>
      </w:r>
      <w:r>
        <w:rPr>
          <w:sz w:val="20"/>
        </w:rPr>
        <w:t>para.4-019</w:t>
      </w:r>
      <w:r>
        <w:rPr>
          <w:spacing w:val="3"/>
          <w:sz w:val="20"/>
        </w:rPr>
        <w:t> </w:t>
      </w:r>
      <w:r>
        <w:rPr>
          <w:sz w:val="20"/>
        </w:rPr>
        <w:t>n.122;</w:t>
      </w:r>
      <w:r>
        <w:rPr>
          <w:spacing w:val="2"/>
          <w:sz w:val="20"/>
        </w:rPr>
        <w:t> </w:t>
      </w:r>
      <w:r>
        <w:rPr>
          <w:rFonts w:ascii="Arial"/>
          <w:i/>
          <w:sz w:val="20"/>
        </w:rPr>
        <w:t>Re</w:t>
      </w:r>
      <w:r>
        <w:rPr>
          <w:rFonts w:ascii="Arial"/>
          <w:i/>
          <w:spacing w:val="3"/>
          <w:sz w:val="20"/>
        </w:rPr>
        <w:t> </w:t>
      </w:r>
      <w:r>
        <w:rPr>
          <w:rFonts w:ascii="Arial"/>
          <w:i/>
          <w:sz w:val="20"/>
        </w:rPr>
        <w:t>Kumar</w:t>
      </w:r>
      <w:r>
        <w:rPr>
          <w:rFonts w:ascii="Arial"/>
          <w:i/>
          <w:spacing w:val="3"/>
          <w:sz w:val="20"/>
        </w:rPr>
        <w:t> </w:t>
      </w:r>
      <w:r>
        <w:rPr>
          <w:rFonts w:ascii="Arial"/>
          <w:i/>
          <w:sz w:val="20"/>
        </w:rPr>
        <w:t>[1993]</w:t>
      </w:r>
      <w:r>
        <w:rPr>
          <w:rFonts w:ascii="Arial"/>
          <w:i/>
          <w:spacing w:val="3"/>
          <w:sz w:val="20"/>
        </w:rPr>
        <w:t> </w:t>
      </w:r>
      <w:r>
        <w:rPr>
          <w:rFonts w:ascii="Arial"/>
          <w:i/>
          <w:sz w:val="20"/>
        </w:rPr>
        <w:t>1</w:t>
      </w:r>
      <w:r>
        <w:rPr>
          <w:rFonts w:ascii="Arial"/>
          <w:i/>
          <w:spacing w:val="3"/>
          <w:sz w:val="20"/>
        </w:rPr>
        <w:t> </w:t>
      </w:r>
      <w:r>
        <w:rPr>
          <w:rFonts w:ascii="Arial"/>
          <w:i/>
          <w:spacing w:val="-2"/>
          <w:sz w:val="20"/>
        </w:rPr>
        <w:t>W.L.R.</w:t>
      </w:r>
    </w:p>
    <w:p>
      <w:pPr>
        <w:spacing w:line="227" w:lineRule="exact" w:before="0"/>
        <w:ind w:left="705" w:right="0" w:firstLine="0"/>
        <w:jc w:val="left"/>
        <w:rPr>
          <w:sz w:val="20"/>
        </w:rPr>
      </w:pPr>
      <w:r>
        <w:rPr>
          <w:rFonts w:ascii="Arial"/>
          <w:i/>
          <w:spacing w:val="-4"/>
          <w:sz w:val="20"/>
        </w:rPr>
        <w:t>224</w:t>
      </w:r>
      <w:r>
        <w:rPr>
          <w:spacing w:val="-4"/>
          <w:sz w:val="20"/>
        </w:rPr>
        <w:t>.</w:t>
      </w:r>
    </w:p>
    <w:p>
      <w:pPr>
        <w:pStyle w:val="BodyText"/>
        <w:spacing w:before="9"/>
      </w:pPr>
    </w:p>
    <w:p>
      <w:pPr>
        <w:spacing w:line="235" w:lineRule="auto" w:before="0"/>
        <w:ind w:left="705" w:right="167" w:hanging="541"/>
        <w:jc w:val="both"/>
        <w:rPr>
          <w:sz w:val="20"/>
        </w:rPr>
      </w:pPr>
      <w:bookmarkStart w:name="_bookmark101" w:id="103"/>
      <w:bookmarkEnd w:id="103"/>
      <w:r>
        <w:rPr/>
      </w:r>
      <w:hyperlink w:history="true" w:anchor="_bookmark49">
        <w:r>
          <w:rPr>
            <w:color w:val="005DA1"/>
            <w:position w:val="5"/>
            <w:sz w:val="14"/>
            <w:u w:val="single" w:color="005DA1"/>
          </w:rPr>
          <w:t>44</w:t>
        </w:r>
      </w:hyperlink>
      <w:r>
        <w:rPr>
          <w:position w:val="5"/>
          <w:sz w:val="14"/>
        </w:rPr>
        <w:t>.</w:t>
      </w:r>
      <w:r>
        <w:rPr>
          <w:spacing w:val="80"/>
          <w:w w:val="150"/>
          <w:position w:val="5"/>
          <w:sz w:val="14"/>
        </w:rPr>
        <w:t>  </w:t>
      </w:r>
      <w:r>
        <w:rPr>
          <w:sz w:val="20"/>
        </w:rPr>
        <w:t>cf. </w:t>
      </w:r>
      <w:r>
        <w:rPr>
          <w:rFonts w:ascii="Arial"/>
          <w:i/>
          <w:sz w:val="20"/>
        </w:rPr>
        <w:t>Lipkin Gorman v Karpnale Ltd [1991] 2 A.C. 548 </w:t>
      </w:r>
      <w:r>
        <w:rPr>
          <w:sz w:val="20"/>
        </w:rPr>
        <w:t>at 581; the promise under consideration in this case would now be legally enforceable by virtue of Gambling Act 2005, s.335(1); Vol.II, </w:t>
      </w:r>
      <w:r>
        <w:rPr>
          <w:spacing w:val="-2"/>
          <w:sz w:val="20"/>
        </w:rPr>
        <w:t>para.41-011.</w:t>
      </w:r>
    </w:p>
    <w:p>
      <w:pPr>
        <w:pStyle w:val="BodyText"/>
        <w:spacing w:before="8"/>
      </w:pPr>
    </w:p>
    <w:p>
      <w:pPr>
        <w:pStyle w:val="BodyText"/>
        <w:spacing w:line="235" w:lineRule="auto" w:before="1"/>
        <w:ind w:left="705" w:right="167" w:hanging="541"/>
        <w:jc w:val="both"/>
      </w:pPr>
      <w:bookmarkStart w:name="_bookmark102" w:id="104"/>
      <w:bookmarkEnd w:id="104"/>
      <w:r>
        <w:rPr/>
      </w:r>
      <w:hyperlink w:history="true" w:anchor="_bookmark50">
        <w:r>
          <w:rPr>
            <w:color w:val="005DA1"/>
            <w:position w:val="5"/>
            <w:sz w:val="14"/>
            <w:u w:val="single" w:color="005DA1"/>
          </w:rPr>
          <w:t>45</w:t>
        </w:r>
      </w:hyperlink>
      <w:r>
        <w:rPr>
          <w:position w:val="5"/>
          <w:sz w:val="14"/>
        </w:rPr>
        <w:t>.</w:t>
      </w:r>
      <w:r>
        <w:rPr>
          <w:spacing w:val="80"/>
          <w:position w:val="5"/>
          <w:sz w:val="14"/>
        </w:rPr>
        <w:t>  </w:t>
      </w:r>
      <w:r>
        <w:rPr>
          <w:rFonts w:ascii="Arial" w:hAnsi="Arial"/>
          <w:i/>
        </w:rPr>
        <w:t>Philpot v Gruninger (1872) 14 Wall. 570, 577</w:t>
      </w:r>
      <w:r>
        <w:rPr/>
        <w:t>; Restatement, Contracts, §75(1): “bargained for</w:t>
      </w:r>
      <w:r>
        <w:rPr>
          <w:spacing w:val="40"/>
        </w:rPr>
        <w:t> </w:t>
      </w:r>
      <w:r>
        <w:rPr/>
        <w:t>and given in exchange for the promise”; Restatement 2d, Contracts, §75(1) and (2); </w:t>
      </w:r>
      <w:r>
        <w:rPr/>
        <w:t>Williston, </w:t>
      </w:r>
      <w:r>
        <w:rPr>
          <w:rFonts w:ascii="Arial" w:hAnsi="Arial"/>
          <w:i/>
        </w:rPr>
        <w:t>Contracts </w:t>
      </w:r>
      <w:r>
        <w:rPr/>
        <w:t>(rev. ed.), Vol.1, p.320; Corbin, </w:t>
      </w:r>
      <w:r>
        <w:rPr>
          <w:rFonts w:ascii="Arial" w:hAnsi="Arial"/>
          <w:i/>
        </w:rPr>
        <w:t>Contracts</w:t>
      </w:r>
      <w:r>
        <w:rPr/>
        <w:t>, §172, is more sceptical. The Restatement 2d, §72 also supports the converse proposition that “any performance which is bargained for is consideration,” even though there may be no element of benefit or detriment; but this is subject to important exceptions, especially where the performance bargained for is the settlement of an invalid claim and the performance of an existing duty: see §§73 and 74; as to these topics, see below, paras 4-051—4-076.</w:t>
      </w:r>
    </w:p>
    <w:p>
      <w:pPr>
        <w:pStyle w:val="BodyText"/>
        <w:spacing w:before="3"/>
      </w:pPr>
    </w:p>
    <w:p>
      <w:pPr>
        <w:tabs>
          <w:tab w:pos="705" w:val="left" w:leader="none"/>
        </w:tabs>
        <w:spacing w:before="0"/>
        <w:ind w:left="165" w:right="0" w:firstLine="0"/>
        <w:jc w:val="left"/>
        <w:rPr>
          <w:sz w:val="20"/>
        </w:rPr>
      </w:pPr>
      <w:bookmarkStart w:name="_bookmark103" w:id="105"/>
      <w:bookmarkEnd w:id="105"/>
      <w:r>
        <w:rPr/>
      </w:r>
      <w:hyperlink w:history="true" w:anchor="_bookmark51">
        <w:r>
          <w:rPr>
            <w:color w:val="005DA1"/>
            <w:spacing w:val="-5"/>
            <w:position w:val="5"/>
            <w:sz w:val="14"/>
            <w:u w:val="single" w:color="005DA1"/>
          </w:rPr>
          <w:t>46</w:t>
        </w:r>
      </w:hyperlink>
      <w:r>
        <w:rPr>
          <w:spacing w:val="-5"/>
          <w:position w:val="5"/>
          <w:sz w:val="14"/>
        </w:rPr>
        <w:t>.</w:t>
      </w:r>
      <w:r>
        <w:rPr>
          <w:position w:val="5"/>
          <w:sz w:val="14"/>
        </w:rPr>
        <w:tab/>
      </w:r>
      <w:r>
        <w:rPr>
          <w:rFonts w:ascii="Arial"/>
          <w:i/>
          <w:sz w:val="20"/>
        </w:rPr>
        <w:t>Pitts v Jones [2007] EWCA Civ 1301, [2008] Q.B. 76</w:t>
      </w:r>
      <w:r>
        <w:rPr>
          <w:rFonts w:ascii="Arial"/>
          <w:i/>
          <w:spacing w:val="-1"/>
          <w:sz w:val="20"/>
        </w:rPr>
        <w:t> </w:t>
      </w:r>
      <w:r>
        <w:rPr>
          <w:sz w:val="20"/>
        </w:rPr>
        <w:t>at </w:t>
      </w:r>
      <w:r>
        <w:rPr>
          <w:spacing w:val="-2"/>
          <w:sz w:val="20"/>
        </w:rPr>
        <w:t>[18].</w:t>
      </w:r>
    </w:p>
    <w:p>
      <w:pPr>
        <w:pStyle w:val="BodyText"/>
        <w:spacing w:before="8"/>
      </w:pPr>
    </w:p>
    <w:p>
      <w:pPr>
        <w:spacing w:line="235" w:lineRule="auto" w:before="1"/>
        <w:ind w:left="705" w:right="167" w:hanging="541"/>
        <w:jc w:val="both"/>
        <w:rPr>
          <w:sz w:val="20"/>
        </w:rPr>
      </w:pPr>
      <w:bookmarkStart w:name="_bookmark104" w:id="106"/>
      <w:bookmarkEnd w:id="106"/>
      <w:r>
        <w:rPr/>
      </w:r>
      <w:hyperlink w:history="true" w:anchor="_bookmark52">
        <w:r>
          <w:rPr>
            <w:color w:val="005DA1"/>
            <w:position w:val="5"/>
            <w:sz w:val="14"/>
            <w:u w:val="single" w:color="005DA1"/>
          </w:rPr>
          <w:t>47</w:t>
        </w:r>
      </w:hyperlink>
      <w:r>
        <w:rPr>
          <w:position w:val="5"/>
          <w:sz w:val="14"/>
        </w:rPr>
        <w:t>.</w:t>
      </w:r>
      <w:r>
        <w:rPr>
          <w:spacing w:val="80"/>
          <w:w w:val="150"/>
          <w:position w:val="5"/>
          <w:sz w:val="14"/>
        </w:rPr>
        <w:t>  </w:t>
      </w:r>
      <w:r>
        <w:rPr>
          <w:sz w:val="20"/>
        </w:rPr>
        <w:t>See, for example, below, paras 4-013, 4-016, 4-074, 4-195 and below at n.52; and cf. </w:t>
      </w:r>
      <w:r>
        <w:rPr>
          <w:rFonts w:ascii="Arial" w:hAnsi="Arial"/>
          <w:i/>
          <w:sz w:val="20"/>
        </w:rPr>
        <w:t>Pollwaty Ltd v Abdullah [1974] 1 W.L.R. 493</w:t>
      </w:r>
      <w:r>
        <w:rPr>
          <w:sz w:val="20"/>
        </w:rPr>
        <w:t>, discussed by Zuckerman (1975) 38 M.L.R. 384 and Thornely [1975] C.L.J. 26; cf. </w:t>
      </w:r>
      <w:r>
        <w:rPr>
          <w:rFonts w:ascii="Arial" w:hAnsi="Arial"/>
          <w:i/>
          <w:sz w:val="20"/>
        </w:rPr>
        <w:t>Vantage Navigation Corp. v Sahail and Saud Building Materials Co LLC (The Alev) [1989] 1 Lloyd’s Rep. 138, 147</w:t>
      </w:r>
      <w:r>
        <w:rPr>
          <w:sz w:val="20"/>
        </w:rPr>
        <w:t>; </w:t>
      </w:r>
      <w:r>
        <w:rPr>
          <w:rFonts w:ascii="Arial" w:hAnsi="Arial"/>
          <w:i/>
          <w:sz w:val="20"/>
        </w:rPr>
        <w:t>Moran v University College Salford (No.2), The Times, November 23, 1993</w:t>
      </w:r>
      <w:r>
        <w:rPr>
          <w:sz w:val="20"/>
        </w:rPr>
        <w:t>.</w:t>
      </w:r>
    </w:p>
    <w:p>
      <w:pPr>
        <w:pStyle w:val="BodyText"/>
        <w:spacing w:before="4"/>
      </w:pPr>
    </w:p>
    <w:p>
      <w:pPr>
        <w:pStyle w:val="BodyText"/>
        <w:tabs>
          <w:tab w:pos="705" w:val="left" w:leader="none"/>
        </w:tabs>
        <w:ind w:left="165"/>
      </w:pPr>
      <w:bookmarkStart w:name="_bookmark105" w:id="107"/>
      <w:bookmarkEnd w:id="107"/>
      <w:r>
        <w:rPr/>
      </w:r>
      <w:hyperlink w:history="true" w:anchor="_bookmark53">
        <w:r>
          <w:rPr>
            <w:color w:val="005DA1"/>
            <w:spacing w:val="-5"/>
            <w:position w:val="5"/>
            <w:sz w:val="14"/>
            <w:u w:val="single" w:color="005DA1"/>
          </w:rPr>
          <w:t>48</w:t>
        </w:r>
      </w:hyperlink>
      <w:r>
        <w:rPr>
          <w:spacing w:val="-5"/>
          <w:position w:val="5"/>
          <w:sz w:val="14"/>
        </w:rPr>
        <w:t>.</w:t>
      </w:r>
      <w:r>
        <w:rPr>
          <w:position w:val="5"/>
          <w:sz w:val="14"/>
        </w:rPr>
        <w:tab/>
      </w:r>
      <w:r>
        <w:rPr/>
        <w:t>e.g. below, </w:t>
      </w:r>
      <w:r>
        <w:rPr>
          <w:spacing w:val="-2"/>
        </w:rPr>
        <w:t>n.52.</w:t>
      </w:r>
    </w:p>
    <w:p>
      <w:pPr>
        <w:pStyle w:val="BodyText"/>
        <w:spacing w:after="0"/>
        <w:sectPr>
          <w:pgSz w:w="11900" w:h="16840"/>
          <w:pgMar w:header="971" w:footer="0" w:top="1160" w:bottom="280" w:left="1275" w:right="1275"/>
        </w:sectPr>
      </w:pPr>
    </w:p>
    <w:p>
      <w:pPr>
        <w:pStyle w:val="BodyText"/>
        <w:spacing w:before="84"/>
      </w:pPr>
    </w:p>
    <w:p>
      <w:pPr>
        <w:pStyle w:val="BodyText"/>
        <w:spacing w:line="235" w:lineRule="auto" w:before="1"/>
        <w:ind w:left="705" w:right="167" w:hanging="541"/>
        <w:jc w:val="both"/>
      </w:pPr>
      <w:hyperlink w:history="true" w:anchor="_bookmark53">
        <w:r>
          <w:rPr>
            <w:color w:val="005DA1"/>
            <w:position w:val="5"/>
            <w:sz w:val="14"/>
            <w:u w:val="single" w:color="005DA1"/>
          </w:rPr>
          <w:t>49</w:t>
        </w:r>
      </w:hyperlink>
      <w:r>
        <w:rPr>
          <w:position w:val="5"/>
          <w:sz w:val="14"/>
        </w:rPr>
        <w:t>.</w:t>
      </w:r>
      <w:r>
        <w:rPr>
          <w:spacing w:val="80"/>
          <w:position w:val="5"/>
          <w:sz w:val="14"/>
        </w:rPr>
        <w:t>  </w:t>
      </w:r>
      <w:r>
        <w:rPr/>
        <w:t>Atiyah, loc. cit. para.4-007, n.30 above, accuses the present editor of having “invented the concept of invented consideration;” but all that the editor can claim to have invented is a phrase for describing what the courts sometimes actually do. The phrase does not imply approval of</w:t>
      </w:r>
      <w:r>
        <w:rPr>
          <w:spacing w:val="40"/>
        </w:rPr>
        <w:t> </w:t>
      </w:r>
      <w:r>
        <w:rPr/>
        <w:t>the practice: see below after n.51. Nor does the phrase necessarily imply inconsistency</w:t>
      </w:r>
      <w:r>
        <w:rPr>
          <w:spacing w:val="40"/>
        </w:rPr>
        <w:t> </w:t>
      </w:r>
      <w:r>
        <w:rPr/>
        <w:t>between decisions, as Atiyah suggests ibid.: courts could </w:t>
      </w:r>
      <w:r>
        <w:rPr>
          <w:rFonts w:ascii="Arial" w:hAnsi="Arial"/>
          <w:i/>
        </w:rPr>
        <w:t>consistently </w:t>
      </w:r>
      <w:r>
        <w:rPr/>
        <w:t>hold that an act or forbearance was consideration although it was not the promisor’s object to secure it. In fact, </w:t>
      </w:r>
      <w:r>
        <w:rPr/>
        <w:t>the decisions on the point are not perfectly consistent with each other: see below at nn.52 and 53; but that is hardly unusual in a common law system.</w:t>
      </w:r>
    </w:p>
    <w:p>
      <w:pPr>
        <w:pStyle w:val="BodyText"/>
        <w:spacing w:before="6"/>
      </w:pPr>
    </w:p>
    <w:p>
      <w:pPr>
        <w:spacing w:line="235" w:lineRule="auto" w:before="1"/>
        <w:ind w:left="705" w:right="167" w:hanging="541"/>
        <w:jc w:val="both"/>
        <w:rPr>
          <w:rFonts w:ascii="Arial" w:hAnsi="Arial"/>
          <w:i/>
          <w:sz w:val="20"/>
        </w:rPr>
      </w:pPr>
      <w:bookmarkStart w:name="_bookmark106" w:id="108"/>
      <w:bookmarkEnd w:id="108"/>
      <w:r>
        <w:rPr/>
      </w:r>
      <w:hyperlink w:history="true" w:anchor="_bookmark54">
        <w:r>
          <w:rPr>
            <w:color w:val="005DA1"/>
            <w:position w:val="5"/>
            <w:sz w:val="14"/>
            <w:u w:val="single" w:color="005DA1"/>
          </w:rPr>
          <w:t>50</w:t>
        </w:r>
      </w:hyperlink>
      <w:r>
        <w:rPr>
          <w:position w:val="5"/>
          <w:sz w:val="14"/>
        </w:rPr>
        <w:t>.</w:t>
      </w:r>
      <w:r>
        <w:rPr>
          <w:spacing w:val="80"/>
          <w:position w:val="5"/>
          <w:sz w:val="14"/>
        </w:rPr>
        <w:t>  </w:t>
      </w:r>
      <w:r>
        <w:rPr>
          <w:sz w:val="20"/>
        </w:rPr>
        <w:t>cf. the dictum in </w:t>
      </w:r>
      <w:r>
        <w:rPr>
          <w:rFonts w:ascii="Arial" w:hAnsi="Arial"/>
          <w:i/>
          <w:sz w:val="20"/>
        </w:rPr>
        <w:t>Williams v Roffey Bros &amp; Nicholls Contractors Ltd [1991] 1 Q.B. 1 </w:t>
      </w:r>
      <w:r>
        <w:rPr>
          <w:sz w:val="20"/>
        </w:rPr>
        <w:t>(below,</w:t>
      </w:r>
      <w:r>
        <w:rPr>
          <w:spacing w:val="40"/>
          <w:sz w:val="20"/>
        </w:rPr>
        <w:t> </w:t>
      </w:r>
      <w:r>
        <w:rPr>
          <w:sz w:val="20"/>
        </w:rPr>
        <w:t>para.4-069) at 18 that the courts should “be more ready” to find that there was consideration where such a finding “reflects the true understanding of the parties”; and the reliance on this dictum</w:t>
      </w:r>
      <w:r>
        <w:rPr>
          <w:spacing w:val="46"/>
          <w:sz w:val="20"/>
        </w:rPr>
        <w:t> </w:t>
      </w:r>
      <w:r>
        <w:rPr>
          <w:sz w:val="20"/>
        </w:rPr>
        <w:t>in</w:t>
      </w:r>
      <w:r>
        <w:rPr>
          <w:spacing w:val="46"/>
          <w:sz w:val="20"/>
        </w:rPr>
        <w:t> </w:t>
      </w:r>
      <w:r>
        <w:rPr>
          <w:rFonts w:ascii="Arial" w:hAnsi="Arial"/>
          <w:i/>
          <w:sz w:val="20"/>
        </w:rPr>
        <w:t>Birmingham</w:t>
      </w:r>
      <w:r>
        <w:rPr>
          <w:rFonts w:ascii="Arial" w:hAnsi="Arial"/>
          <w:i/>
          <w:spacing w:val="46"/>
          <w:sz w:val="20"/>
        </w:rPr>
        <w:t> </w:t>
      </w:r>
      <w:r>
        <w:rPr>
          <w:rFonts w:ascii="Arial" w:hAnsi="Arial"/>
          <w:i/>
          <w:sz w:val="20"/>
        </w:rPr>
        <w:t>City</w:t>
      </w:r>
      <w:r>
        <w:rPr>
          <w:rFonts w:ascii="Arial" w:hAnsi="Arial"/>
          <w:i/>
          <w:spacing w:val="46"/>
          <w:sz w:val="20"/>
        </w:rPr>
        <w:t> </w:t>
      </w:r>
      <w:r>
        <w:rPr>
          <w:rFonts w:ascii="Arial" w:hAnsi="Arial"/>
          <w:i/>
          <w:sz w:val="20"/>
        </w:rPr>
        <w:t>Council</w:t>
      </w:r>
      <w:r>
        <w:rPr>
          <w:rFonts w:ascii="Arial" w:hAnsi="Arial"/>
          <w:i/>
          <w:spacing w:val="46"/>
          <w:sz w:val="20"/>
        </w:rPr>
        <w:t> </w:t>
      </w:r>
      <w:r>
        <w:rPr>
          <w:rFonts w:ascii="Arial" w:hAnsi="Arial"/>
          <w:i/>
          <w:sz w:val="20"/>
        </w:rPr>
        <w:t>v</w:t>
      </w:r>
      <w:r>
        <w:rPr>
          <w:rFonts w:ascii="Arial" w:hAnsi="Arial"/>
          <w:i/>
          <w:spacing w:val="46"/>
          <w:sz w:val="20"/>
        </w:rPr>
        <w:t> </w:t>
      </w:r>
      <w:r>
        <w:rPr>
          <w:rFonts w:ascii="Arial" w:hAnsi="Arial"/>
          <w:i/>
          <w:sz w:val="20"/>
        </w:rPr>
        <w:t>Forde</w:t>
      </w:r>
      <w:r>
        <w:rPr>
          <w:rFonts w:ascii="Arial" w:hAnsi="Arial"/>
          <w:i/>
          <w:spacing w:val="46"/>
          <w:sz w:val="20"/>
        </w:rPr>
        <w:t> </w:t>
      </w:r>
      <w:r>
        <w:rPr>
          <w:rFonts w:ascii="Arial" w:hAnsi="Arial"/>
          <w:i/>
          <w:sz w:val="20"/>
        </w:rPr>
        <w:t>[2009]</w:t>
      </w:r>
      <w:r>
        <w:rPr>
          <w:rFonts w:ascii="Arial" w:hAnsi="Arial"/>
          <w:i/>
          <w:spacing w:val="46"/>
          <w:sz w:val="20"/>
        </w:rPr>
        <w:t> </w:t>
      </w:r>
      <w:r>
        <w:rPr>
          <w:rFonts w:ascii="Arial" w:hAnsi="Arial"/>
          <w:i/>
          <w:sz w:val="20"/>
        </w:rPr>
        <w:t>EWHC</w:t>
      </w:r>
      <w:r>
        <w:rPr>
          <w:rFonts w:ascii="Arial" w:hAnsi="Arial"/>
          <w:i/>
          <w:spacing w:val="46"/>
          <w:sz w:val="20"/>
        </w:rPr>
        <w:t> </w:t>
      </w:r>
      <w:r>
        <w:rPr>
          <w:rFonts w:ascii="Arial" w:hAnsi="Arial"/>
          <w:i/>
          <w:sz w:val="20"/>
        </w:rPr>
        <w:t>12</w:t>
      </w:r>
      <w:r>
        <w:rPr>
          <w:rFonts w:ascii="Arial" w:hAnsi="Arial"/>
          <w:i/>
          <w:spacing w:val="46"/>
          <w:sz w:val="20"/>
        </w:rPr>
        <w:t> </w:t>
      </w:r>
      <w:r>
        <w:rPr>
          <w:rFonts w:ascii="Arial" w:hAnsi="Arial"/>
          <w:i/>
          <w:sz w:val="20"/>
        </w:rPr>
        <w:t>(QB),</w:t>
      </w:r>
      <w:r>
        <w:rPr>
          <w:rFonts w:ascii="Arial" w:hAnsi="Arial"/>
          <w:i/>
          <w:spacing w:val="46"/>
          <w:sz w:val="20"/>
        </w:rPr>
        <w:t> </w:t>
      </w:r>
      <w:r>
        <w:rPr>
          <w:rFonts w:ascii="Arial" w:hAnsi="Arial"/>
          <w:i/>
          <w:sz w:val="20"/>
        </w:rPr>
        <w:t>[2009]</w:t>
      </w:r>
      <w:r>
        <w:rPr>
          <w:rFonts w:ascii="Arial" w:hAnsi="Arial"/>
          <w:i/>
          <w:spacing w:val="46"/>
          <w:sz w:val="20"/>
        </w:rPr>
        <w:t> </w:t>
      </w:r>
      <w:r>
        <w:rPr>
          <w:rFonts w:ascii="Arial" w:hAnsi="Arial"/>
          <w:i/>
          <w:sz w:val="20"/>
        </w:rPr>
        <w:t>1</w:t>
      </w:r>
      <w:r>
        <w:rPr>
          <w:rFonts w:ascii="Arial" w:hAnsi="Arial"/>
          <w:i/>
          <w:spacing w:val="46"/>
          <w:sz w:val="20"/>
        </w:rPr>
        <w:t> </w:t>
      </w:r>
      <w:r>
        <w:rPr>
          <w:rFonts w:ascii="Arial" w:hAnsi="Arial"/>
          <w:i/>
          <w:sz w:val="20"/>
        </w:rPr>
        <w:t>W.L.R.</w:t>
      </w:r>
      <w:r>
        <w:rPr>
          <w:rFonts w:ascii="Arial" w:hAnsi="Arial"/>
          <w:i/>
          <w:spacing w:val="46"/>
          <w:sz w:val="20"/>
        </w:rPr>
        <w:t> </w:t>
      </w:r>
      <w:r>
        <w:rPr>
          <w:rFonts w:ascii="Arial" w:hAnsi="Arial"/>
          <w:i/>
          <w:spacing w:val="-4"/>
          <w:sz w:val="20"/>
        </w:rPr>
        <w:t>2732</w:t>
      </w:r>
    </w:p>
    <w:p>
      <w:pPr>
        <w:pStyle w:val="BodyText"/>
        <w:spacing w:line="225" w:lineRule="exact"/>
        <w:ind w:left="705"/>
        <w:jc w:val="both"/>
      </w:pPr>
      <w:r>
        <w:rPr/>
        <w:t>(below, paras 4-018 and 4-072) at </w:t>
      </w:r>
      <w:r>
        <w:rPr>
          <w:spacing w:val="-2"/>
        </w:rPr>
        <w:t>[88].</w:t>
      </w:r>
    </w:p>
    <w:p>
      <w:pPr>
        <w:pStyle w:val="BodyText"/>
        <w:spacing w:before="8"/>
      </w:pPr>
    </w:p>
    <w:p>
      <w:pPr>
        <w:pStyle w:val="BodyText"/>
        <w:spacing w:line="235" w:lineRule="auto"/>
        <w:ind w:left="705" w:right="167" w:hanging="541"/>
        <w:jc w:val="both"/>
      </w:pPr>
      <w:bookmarkStart w:name="_bookmark107" w:id="109"/>
      <w:bookmarkEnd w:id="109"/>
      <w:r>
        <w:rPr/>
      </w:r>
      <w:hyperlink w:history="true" w:anchor="_bookmark54">
        <w:r>
          <w:rPr>
            <w:color w:val="005DA1"/>
            <w:position w:val="5"/>
            <w:sz w:val="14"/>
            <w:u w:val="single" w:color="005DA1"/>
          </w:rPr>
          <w:t>51</w:t>
        </w:r>
      </w:hyperlink>
      <w:r>
        <w:rPr>
          <w:position w:val="5"/>
          <w:sz w:val="14"/>
        </w:rPr>
        <w:t>.</w:t>
      </w:r>
      <w:r>
        <w:rPr>
          <w:spacing w:val="80"/>
          <w:position w:val="5"/>
          <w:sz w:val="14"/>
        </w:rPr>
        <w:t>  </w:t>
      </w:r>
      <w:r>
        <w:rPr/>
        <w:t>For criticism, see Holmes, </w:t>
      </w:r>
      <w:r>
        <w:rPr>
          <w:rFonts w:ascii="Arial" w:hAnsi="Arial"/>
          <w:i/>
        </w:rPr>
        <w:t>The Common Law</w:t>
      </w:r>
      <w:r>
        <w:rPr/>
        <w:t>, p.292. In the United States there is less need for “inventing” consideration because of the existence of a broad doctrine of promissory </w:t>
      </w:r>
      <w:r>
        <w:rPr/>
        <w:t>estoppel: see Restatement, Contracts, §90, and Restatement 2d, Contracts, §90 and below para.4-107.</w:t>
      </w:r>
    </w:p>
    <w:p>
      <w:pPr>
        <w:pStyle w:val="BodyText"/>
        <w:spacing w:before="9"/>
      </w:pPr>
    </w:p>
    <w:p>
      <w:pPr>
        <w:spacing w:line="235" w:lineRule="auto" w:before="0"/>
        <w:ind w:left="705" w:right="168" w:hanging="541"/>
        <w:jc w:val="both"/>
        <w:rPr>
          <w:sz w:val="20"/>
        </w:rPr>
      </w:pPr>
      <w:bookmarkStart w:name="_bookmark108" w:id="110"/>
      <w:bookmarkEnd w:id="110"/>
      <w:r>
        <w:rPr/>
      </w:r>
      <w:hyperlink w:history="true" w:anchor="_bookmark55">
        <w:r>
          <w:rPr>
            <w:color w:val="005DA1"/>
            <w:position w:val="5"/>
            <w:sz w:val="14"/>
            <w:u w:val="single" w:color="005DA1"/>
          </w:rPr>
          <w:t>52</w:t>
        </w:r>
      </w:hyperlink>
      <w:r>
        <w:rPr>
          <w:position w:val="5"/>
          <w:sz w:val="14"/>
        </w:rPr>
        <w:t>.</w:t>
      </w:r>
      <w:r>
        <w:rPr>
          <w:spacing w:val="80"/>
          <w:position w:val="5"/>
          <w:sz w:val="14"/>
        </w:rPr>
        <w:t>  </w:t>
      </w:r>
      <w:r>
        <w:rPr>
          <w:rFonts w:ascii="Arial" w:hAnsi="Arial"/>
          <w:i/>
          <w:sz w:val="20"/>
        </w:rPr>
        <w:t>Shadwell v Shadwell (1860) 9 C.B.(N.S.) 159, 174</w:t>
      </w:r>
      <w:r>
        <w:rPr>
          <w:sz w:val="20"/>
        </w:rPr>
        <w:t>: the consideration was said by Erle C.J. </w:t>
      </w:r>
      <w:r>
        <w:rPr>
          <w:sz w:val="20"/>
        </w:rPr>
        <w:t>to consist of the possibility that the promisor “</w:t>
      </w:r>
      <w:r>
        <w:rPr>
          <w:spacing w:val="-14"/>
          <w:sz w:val="20"/>
        </w:rPr>
        <w:t> </w:t>
      </w:r>
      <w:r>
        <w:rPr>
          <w:rFonts w:ascii="Arial" w:hAnsi="Arial"/>
          <w:i/>
          <w:sz w:val="20"/>
        </w:rPr>
        <w:t>may </w:t>
      </w:r>
      <w:r>
        <w:rPr>
          <w:sz w:val="20"/>
        </w:rPr>
        <w:t>have made a most material change in his position … ” (italics supplied).</w:t>
      </w:r>
    </w:p>
    <w:p>
      <w:pPr>
        <w:pStyle w:val="BodyText"/>
        <w:spacing w:before="9"/>
      </w:pPr>
    </w:p>
    <w:p>
      <w:pPr>
        <w:spacing w:line="235" w:lineRule="auto" w:before="0"/>
        <w:ind w:left="705" w:right="167" w:hanging="541"/>
        <w:jc w:val="both"/>
        <w:rPr>
          <w:sz w:val="20"/>
        </w:rPr>
      </w:pPr>
      <w:bookmarkStart w:name="_bookmark109" w:id="111"/>
      <w:bookmarkEnd w:id="111"/>
      <w:r>
        <w:rPr/>
      </w:r>
      <w:hyperlink w:history="true" w:anchor="_bookmark55">
        <w:r>
          <w:rPr>
            <w:color w:val="005DA1"/>
            <w:position w:val="5"/>
            <w:sz w:val="14"/>
            <w:u w:val="single" w:color="005DA1"/>
          </w:rPr>
          <w:t>53</w:t>
        </w:r>
      </w:hyperlink>
      <w:r>
        <w:rPr>
          <w:position w:val="5"/>
          <w:sz w:val="14"/>
        </w:rPr>
        <w:t>.</w:t>
      </w:r>
      <w:r>
        <w:rPr>
          <w:spacing w:val="80"/>
          <w:position w:val="5"/>
          <w:sz w:val="14"/>
        </w:rPr>
        <w:t>  </w:t>
      </w:r>
      <w:r>
        <w:rPr>
          <w:sz w:val="20"/>
        </w:rPr>
        <w:t>In </w:t>
      </w:r>
      <w:r>
        <w:rPr>
          <w:rFonts w:ascii="Arial" w:hAnsi="Arial"/>
          <w:i/>
          <w:sz w:val="20"/>
        </w:rPr>
        <w:t>Offord v Davies (1862) 12 C.B.(N.S.) 748</w:t>
      </w:r>
      <w:r>
        <w:rPr>
          <w:sz w:val="20"/>
        </w:rPr>
        <w:t>: the argument of counsel (at 750) that “the plaintiff </w:t>
      </w:r>
      <w:r>
        <w:rPr>
          <w:rFonts w:ascii="Arial" w:hAnsi="Arial"/>
          <w:i/>
          <w:sz w:val="20"/>
        </w:rPr>
        <w:t>might </w:t>
      </w:r>
      <w:r>
        <w:rPr>
          <w:sz w:val="20"/>
        </w:rPr>
        <w:t>have altered his position in consequence of the guarantie” (italics supplied) was </w:t>
      </w:r>
      <w:r>
        <w:rPr>
          <w:sz w:val="20"/>
        </w:rPr>
        <w:t>rejected, Erle C.J. being again a member of the court. cf. also </w:t>
      </w:r>
      <w:r>
        <w:rPr>
          <w:rFonts w:ascii="Arial" w:hAnsi="Arial"/>
          <w:i/>
          <w:sz w:val="20"/>
        </w:rPr>
        <w:t>Collier v P &amp; M.J. Wright (Holdings) [2007] EWCA</w:t>
      </w:r>
      <w:r>
        <w:rPr>
          <w:rFonts w:ascii="Arial" w:hAnsi="Arial"/>
          <w:i/>
          <w:spacing w:val="40"/>
          <w:sz w:val="20"/>
        </w:rPr>
        <w:t> </w:t>
      </w:r>
      <w:r>
        <w:rPr>
          <w:rFonts w:ascii="Arial" w:hAnsi="Arial"/>
          <w:i/>
          <w:sz w:val="20"/>
        </w:rPr>
        <w:t>Civ</w:t>
      </w:r>
      <w:r>
        <w:rPr>
          <w:rFonts w:ascii="Arial" w:hAnsi="Arial"/>
          <w:i/>
          <w:spacing w:val="40"/>
          <w:sz w:val="20"/>
        </w:rPr>
        <w:t> </w:t>
      </w:r>
      <w:r>
        <w:rPr>
          <w:rFonts w:ascii="Arial" w:hAnsi="Arial"/>
          <w:i/>
          <w:sz w:val="20"/>
        </w:rPr>
        <w:t>1329,</w:t>
      </w:r>
      <w:r>
        <w:rPr>
          <w:rFonts w:ascii="Arial" w:hAnsi="Arial"/>
          <w:i/>
          <w:spacing w:val="40"/>
          <w:sz w:val="20"/>
        </w:rPr>
        <w:t> </w:t>
      </w:r>
      <w:r>
        <w:rPr>
          <w:rFonts w:ascii="Arial" w:hAnsi="Arial"/>
          <w:i/>
          <w:sz w:val="20"/>
        </w:rPr>
        <w:t>[2008]</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643</w:t>
      </w:r>
      <w:r>
        <w:rPr>
          <w:rFonts w:ascii="Arial" w:hAnsi="Arial"/>
          <w:i/>
          <w:spacing w:val="40"/>
          <w:sz w:val="20"/>
        </w:rPr>
        <w:t> </w:t>
      </w:r>
      <w:r>
        <w:rPr>
          <w:sz w:val="20"/>
        </w:rPr>
        <w:t>at</w:t>
      </w:r>
      <w:r>
        <w:rPr>
          <w:spacing w:val="40"/>
          <w:sz w:val="20"/>
        </w:rPr>
        <w:t> </w:t>
      </w:r>
      <w:r>
        <w:rPr>
          <w:sz w:val="20"/>
        </w:rPr>
        <w:t>[27(ii)];</w:t>
      </w:r>
      <w:r>
        <w:rPr>
          <w:spacing w:val="40"/>
          <w:sz w:val="20"/>
        </w:rPr>
        <w:t> </w:t>
      </w:r>
      <w:r>
        <w:rPr>
          <w:sz w:val="20"/>
        </w:rPr>
        <w:t>and</w:t>
      </w:r>
      <w:r>
        <w:rPr>
          <w:spacing w:val="40"/>
          <w:sz w:val="20"/>
        </w:rPr>
        <w:t> </w:t>
      </w:r>
      <w:r>
        <w:rPr>
          <w:sz w:val="20"/>
        </w:rPr>
        <w:t>see</w:t>
      </w:r>
      <w:r>
        <w:rPr>
          <w:spacing w:val="40"/>
          <w:sz w:val="20"/>
        </w:rPr>
        <w:t> </w:t>
      </w:r>
      <w:r>
        <w:rPr>
          <w:sz w:val="20"/>
        </w:rPr>
        <w:t>below,</w:t>
      </w:r>
      <w:r>
        <w:rPr>
          <w:spacing w:val="40"/>
          <w:sz w:val="20"/>
        </w:rPr>
        <w:t> </w:t>
      </w:r>
      <w:r>
        <w:rPr>
          <w:sz w:val="20"/>
        </w:rPr>
        <w:t>para.4-015</w:t>
      </w:r>
      <w:r>
        <w:rPr>
          <w:spacing w:val="40"/>
          <w:sz w:val="20"/>
        </w:rPr>
        <w:t> </w:t>
      </w:r>
      <w:r>
        <w:rPr>
          <w:sz w:val="20"/>
        </w:rPr>
        <w:t>n.96</w:t>
      </w:r>
      <w:r>
        <w:rPr>
          <w:spacing w:val="40"/>
          <w:sz w:val="20"/>
        </w:rPr>
        <w:t> </w:t>
      </w:r>
      <w:r>
        <w:rPr>
          <w:sz w:val="20"/>
        </w:rPr>
        <w:t>and para.4-016 at n.106 for refusal to “invent” consideration.</w:t>
      </w:r>
    </w:p>
    <w:p>
      <w:pPr>
        <w:pStyle w:val="BodyText"/>
        <w:spacing w:before="4"/>
      </w:pPr>
    </w:p>
    <w:p>
      <w:pPr>
        <w:tabs>
          <w:tab w:pos="705" w:val="left" w:leader="none"/>
        </w:tabs>
        <w:spacing w:before="1"/>
        <w:ind w:left="165" w:right="0" w:firstLine="0"/>
        <w:jc w:val="left"/>
        <w:rPr>
          <w:sz w:val="20"/>
        </w:rPr>
      </w:pPr>
      <w:bookmarkStart w:name="_bookmark110" w:id="112"/>
      <w:bookmarkEnd w:id="112"/>
      <w:r>
        <w:rPr/>
      </w:r>
      <w:hyperlink w:history="true" w:anchor="_bookmark56">
        <w:r>
          <w:rPr>
            <w:color w:val="005DA1"/>
            <w:spacing w:val="-5"/>
            <w:position w:val="5"/>
            <w:sz w:val="14"/>
            <w:u w:val="single" w:color="005DA1"/>
          </w:rPr>
          <w:t>54</w:t>
        </w:r>
      </w:hyperlink>
      <w:r>
        <w:rPr>
          <w:spacing w:val="-5"/>
          <w:position w:val="5"/>
          <w:sz w:val="14"/>
        </w:rPr>
        <w:t>.</w:t>
      </w:r>
      <w:r>
        <w:rPr>
          <w:position w:val="5"/>
          <w:sz w:val="14"/>
        </w:rPr>
        <w:tab/>
      </w:r>
      <w:r>
        <w:rPr>
          <w:rFonts w:ascii="Arial"/>
          <w:i/>
          <w:sz w:val="20"/>
        </w:rPr>
        <w:t>(1842)</w:t>
      </w:r>
      <w:r>
        <w:rPr>
          <w:rFonts w:ascii="Arial"/>
          <w:i/>
          <w:spacing w:val="-2"/>
          <w:sz w:val="20"/>
        </w:rPr>
        <w:t> </w:t>
      </w:r>
      <w:r>
        <w:rPr>
          <w:rFonts w:ascii="Arial"/>
          <w:i/>
          <w:sz w:val="20"/>
        </w:rPr>
        <w:t>2 Q.B. </w:t>
      </w:r>
      <w:r>
        <w:rPr>
          <w:rFonts w:ascii="Arial"/>
          <w:i/>
          <w:spacing w:val="-4"/>
          <w:sz w:val="20"/>
        </w:rPr>
        <w:t>851</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11" w:id="113"/>
      <w:bookmarkEnd w:id="113"/>
      <w:r>
        <w:rPr/>
      </w:r>
      <w:hyperlink w:history="true" w:anchor="_bookmark57">
        <w:r>
          <w:rPr>
            <w:color w:val="005DA1"/>
            <w:spacing w:val="-5"/>
            <w:position w:val="5"/>
            <w:sz w:val="14"/>
            <w:u w:val="single" w:color="005DA1"/>
          </w:rPr>
          <w:t>55</w:t>
        </w:r>
      </w:hyperlink>
      <w:r>
        <w:rPr>
          <w:spacing w:val="-5"/>
          <w:position w:val="5"/>
          <w:sz w:val="14"/>
        </w:rPr>
        <w:t>.</w:t>
      </w:r>
      <w:r>
        <w:rPr>
          <w:position w:val="5"/>
          <w:sz w:val="14"/>
        </w:rPr>
        <w:tab/>
      </w:r>
      <w:r>
        <w:rPr>
          <w:sz w:val="20"/>
        </w:rPr>
        <w:t>At 859; cf. </w:t>
      </w:r>
      <w:r>
        <w:rPr>
          <w:rFonts w:ascii="Arial"/>
          <w:i/>
          <w:sz w:val="20"/>
        </w:rPr>
        <w:t>Hadley v Kemp [1999] E.M.L.R. 589</w:t>
      </w:r>
      <w:r>
        <w:rPr>
          <w:rFonts w:ascii="Arial"/>
          <w:i/>
          <w:spacing w:val="-1"/>
          <w:sz w:val="20"/>
        </w:rPr>
        <w:t> </w:t>
      </w:r>
      <w:r>
        <w:rPr>
          <w:sz w:val="20"/>
        </w:rPr>
        <w:t>at </w:t>
      </w:r>
      <w:r>
        <w:rPr>
          <w:spacing w:val="-4"/>
          <w:sz w:val="20"/>
        </w:rPr>
        <w:t>625.</w:t>
      </w:r>
    </w:p>
    <w:p>
      <w:pPr>
        <w:pStyle w:val="BodyText"/>
        <w:spacing w:before="4"/>
      </w:pPr>
    </w:p>
    <w:p>
      <w:pPr>
        <w:pStyle w:val="BodyText"/>
        <w:tabs>
          <w:tab w:pos="705" w:val="left" w:leader="none"/>
        </w:tabs>
        <w:spacing w:before="1"/>
        <w:ind w:left="165"/>
      </w:pPr>
      <w:bookmarkStart w:name="_bookmark112" w:id="114"/>
      <w:bookmarkEnd w:id="114"/>
      <w:r>
        <w:rPr/>
      </w:r>
      <w:hyperlink w:history="true" w:anchor="_bookmark58">
        <w:r>
          <w:rPr>
            <w:color w:val="005DA1"/>
            <w:spacing w:val="-5"/>
            <w:position w:val="5"/>
            <w:sz w:val="14"/>
            <w:u w:val="single" w:color="005DA1"/>
          </w:rPr>
          <w:t>56</w:t>
        </w:r>
      </w:hyperlink>
      <w:r>
        <w:rPr>
          <w:spacing w:val="-5"/>
          <w:position w:val="5"/>
          <w:sz w:val="14"/>
        </w:rPr>
        <w:t>.</w:t>
      </w:r>
      <w:r>
        <w:rPr>
          <w:position w:val="5"/>
          <w:sz w:val="14"/>
        </w:rPr>
        <w:tab/>
      </w:r>
      <w:r>
        <w:rPr/>
        <w:t>Above, para.4-</w:t>
      </w:r>
      <w:r>
        <w:rPr>
          <w:spacing w:val="-4"/>
        </w:rPr>
        <w:t>010.</w:t>
      </w:r>
    </w:p>
    <w:p>
      <w:pPr>
        <w:pStyle w:val="BodyText"/>
        <w:spacing w:before="4"/>
      </w:pPr>
    </w:p>
    <w:p>
      <w:pPr>
        <w:pStyle w:val="BodyText"/>
        <w:tabs>
          <w:tab w:pos="705" w:val="left" w:leader="none"/>
        </w:tabs>
        <w:spacing w:before="1"/>
        <w:ind w:left="165"/>
      </w:pPr>
      <w:bookmarkStart w:name="_bookmark113" w:id="115"/>
      <w:bookmarkEnd w:id="115"/>
      <w:r>
        <w:rPr/>
      </w:r>
      <w:hyperlink w:history="true" w:anchor="_bookmark59">
        <w:r>
          <w:rPr>
            <w:color w:val="005DA1"/>
            <w:spacing w:val="-5"/>
            <w:position w:val="5"/>
            <w:sz w:val="14"/>
            <w:u w:val="single" w:color="005DA1"/>
          </w:rPr>
          <w:t>57</w:t>
        </w:r>
      </w:hyperlink>
      <w:r>
        <w:rPr>
          <w:spacing w:val="-5"/>
          <w:position w:val="5"/>
          <w:sz w:val="14"/>
        </w:rPr>
        <w:t>.</w:t>
      </w:r>
      <w:r>
        <w:rPr>
          <w:position w:val="5"/>
          <w:sz w:val="14"/>
        </w:rPr>
        <w:tab/>
      </w:r>
      <w:r>
        <w:rPr/>
        <w:t>Discussion of these requirements forms the bulk of this </w:t>
      </w:r>
      <w:r>
        <w:rPr>
          <w:spacing w:val="-2"/>
        </w:rPr>
        <w:t>chapter.</w:t>
      </w:r>
    </w:p>
    <w:p>
      <w:pPr>
        <w:pStyle w:val="BodyText"/>
        <w:spacing w:before="8"/>
      </w:pPr>
    </w:p>
    <w:p>
      <w:pPr>
        <w:spacing w:line="235" w:lineRule="auto" w:before="0"/>
        <w:ind w:left="705" w:right="167" w:hanging="541"/>
        <w:jc w:val="both"/>
        <w:rPr>
          <w:sz w:val="20"/>
        </w:rPr>
      </w:pPr>
      <w:bookmarkStart w:name="_bookmark114" w:id="116"/>
      <w:bookmarkEnd w:id="116"/>
      <w:r>
        <w:rPr/>
      </w:r>
      <w:hyperlink w:history="true" w:anchor="_bookmark60">
        <w:r>
          <w:rPr>
            <w:color w:val="005DA1"/>
            <w:position w:val="5"/>
            <w:sz w:val="14"/>
            <w:u w:val="single" w:color="005DA1"/>
          </w:rPr>
          <w:t>58</w:t>
        </w:r>
      </w:hyperlink>
      <w:r>
        <w:rPr>
          <w:position w:val="5"/>
          <w:sz w:val="14"/>
        </w:rPr>
        <w:t>.</w:t>
      </w:r>
      <w:r>
        <w:rPr>
          <w:spacing w:val="80"/>
          <w:position w:val="5"/>
          <w:sz w:val="14"/>
        </w:rPr>
        <w:t>  </w:t>
      </w:r>
      <w:r>
        <w:rPr>
          <w:sz w:val="20"/>
        </w:rPr>
        <w:t>In</w:t>
      </w:r>
      <w:r>
        <w:rPr>
          <w:spacing w:val="-2"/>
          <w:sz w:val="20"/>
        </w:rPr>
        <w:t> </w:t>
      </w:r>
      <w:r>
        <w:rPr>
          <w:rFonts w:ascii="Arial"/>
          <w:i/>
          <w:sz w:val="20"/>
        </w:rPr>
        <w:t>Thomas</w:t>
      </w:r>
      <w:r>
        <w:rPr>
          <w:rFonts w:ascii="Arial"/>
          <w:i/>
          <w:spacing w:val="-2"/>
          <w:sz w:val="20"/>
        </w:rPr>
        <w:t> </w:t>
      </w:r>
      <w:r>
        <w:rPr>
          <w:rFonts w:ascii="Arial"/>
          <w:i/>
          <w:sz w:val="20"/>
        </w:rPr>
        <w:t>v</w:t>
      </w:r>
      <w:r>
        <w:rPr>
          <w:rFonts w:ascii="Arial"/>
          <w:i/>
          <w:spacing w:val="-2"/>
          <w:sz w:val="20"/>
        </w:rPr>
        <w:t> </w:t>
      </w:r>
      <w:r>
        <w:rPr>
          <w:rFonts w:ascii="Arial"/>
          <w:i/>
          <w:sz w:val="20"/>
        </w:rPr>
        <w:t>Thomas</w:t>
      </w:r>
      <w:r>
        <w:rPr>
          <w:rFonts w:ascii="Arial"/>
          <w:i/>
          <w:spacing w:val="-2"/>
          <w:sz w:val="20"/>
        </w:rPr>
        <w:t> </w:t>
      </w:r>
      <w:r>
        <w:rPr>
          <w:sz w:val="20"/>
        </w:rPr>
        <w:t>the</w:t>
      </w:r>
      <w:r>
        <w:rPr>
          <w:spacing w:val="-2"/>
          <w:sz w:val="20"/>
        </w:rPr>
        <w:t> </w:t>
      </w:r>
      <w:r>
        <w:rPr>
          <w:sz w:val="20"/>
        </w:rPr>
        <w:t>consideration</w:t>
      </w:r>
      <w:r>
        <w:rPr>
          <w:spacing w:val="-2"/>
          <w:sz w:val="20"/>
        </w:rPr>
        <w:t> </w:t>
      </w:r>
      <w:r>
        <w:rPr>
          <w:sz w:val="20"/>
        </w:rPr>
        <w:t>may</w:t>
      </w:r>
      <w:r>
        <w:rPr>
          <w:spacing w:val="-2"/>
          <w:sz w:val="20"/>
        </w:rPr>
        <w:t> </w:t>
      </w:r>
      <w:r>
        <w:rPr>
          <w:sz w:val="20"/>
        </w:rPr>
        <w:t>not</w:t>
      </w:r>
      <w:r>
        <w:rPr>
          <w:spacing w:val="-2"/>
          <w:sz w:val="20"/>
        </w:rPr>
        <w:t> </w:t>
      </w:r>
      <w:r>
        <w:rPr>
          <w:sz w:val="20"/>
        </w:rPr>
        <w:t>have</w:t>
      </w:r>
      <w:r>
        <w:rPr>
          <w:spacing w:val="-2"/>
          <w:sz w:val="20"/>
        </w:rPr>
        <w:t> </w:t>
      </w:r>
      <w:r>
        <w:rPr>
          <w:sz w:val="20"/>
        </w:rPr>
        <w:t>been</w:t>
      </w:r>
      <w:r>
        <w:rPr>
          <w:spacing w:val="-2"/>
          <w:sz w:val="20"/>
        </w:rPr>
        <w:t> </w:t>
      </w:r>
      <w:r>
        <w:rPr>
          <w:sz w:val="20"/>
        </w:rPr>
        <w:t>adequate,</w:t>
      </w:r>
      <w:r>
        <w:rPr>
          <w:spacing w:val="-2"/>
          <w:sz w:val="20"/>
        </w:rPr>
        <w:t> </w:t>
      </w:r>
      <w:r>
        <w:rPr>
          <w:sz w:val="20"/>
        </w:rPr>
        <w:t>but</w:t>
      </w:r>
      <w:r>
        <w:rPr>
          <w:spacing w:val="-2"/>
          <w:sz w:val="20"/>
        </w:rPr>
        <w:t> </w:t>
      </w:r>
      <w:r>
        <w:rPr>
          <w:sz w:val="20"/>
        </w:rPr>
        <w:t>it</w:t>
      </w:r>
      <w:r>
        <w:rPr>
          <w:spacing w:val="-2"/>
          <w:sz w:val="20"/>
        </w:rPr>
        <w:t> </w:t>
      </w:r>
      <w:r>
        <w:rPr>
          <w:sz w:val="20"/>
        </w:rPr>
        <w:t>was</w:t>
      </w:r>
      <w:r>
        <w:rPr>
          <w:spacing w:val="-2"/>
          <w:sz w:val="20"/>
        </w:rPr>
        <w:t> </w:t>
      </w:r>
      <w:r>
        <w:rPr>
          <w:sz w:val="20"/>
        </w:rPr>
        <w:t>not</w:t>
      </w:r>
      <w:r>
        <w:rPr>
          <w:spacing w:val="-2"/>
          <w:sz w:val="20"/>
        </w:rPr>
        <w:t> </w:t>
      </w:r>
      <w:r>
        <w:rPr>
          <w:sz w:val="20"/>
        </w:rPr>
        <w:t>nominal;</w:t>
      </w:r>
      <w:r>
        <w:rPr>
          <w:spacing w:val="-2"/>
          <w:sz w:val="20"/>
        </w:rPr>
        <w:t> </w:t>
      </w:r>
      <w:r>
        <w:rPr>
          <w:sz w:val="20"/>
        </w:rPr>
        <w:t>cf. </w:t>
      </w:r>
      <w:r>
        <w:rPr>
          <w:rFonts w:ascii="Arial"/>
          <w:i/>
          <w:sz w:val="20"/>
        </w:rPr>
        <w:t>Westminster City Council v Duke of Westminster [1991] 4 All E.R. 136 (reversed in part on</w:t>
      </w:r>
      <w:r>
        <w:rPr>
          <w:rFonts w:ascii="Arial"/>
          <w:i/>
          <w:spacing w:val="40"/>
          <w:sz w:val="20"/>
        </w:rPr>
        <w:t> </w:t>
      </w:r>
      <w:r>
        <w:rPr>
          <w:rFonts w:ascii="Arial"/>
          <w:i/>
          <w:sz w:val="20"/>
        </w:rPr>
        <w:t>other grounds (1992) 24 H.L.R. 572)</w:t>
      </w:r>
      <w:r>
        <w:rPr>
          <w:sz w:val="20"/>
        </w:rPr>
        <w:t>; below, para.4-020.</w:t>
      </w:r>
    </w:p>
    <w:p>
      <w:pPr>
        <w:pStyle w:val="BodyText"/>
        <w:spacing w:before="5"/>
      </w:pPr>
    </w:p>
    <w:p>
      <w:pPr>
        <w:pStyle w:val="BodyText"/>
        <w:tabs>
          <w:tab w:pos="705" w:val="left" w:leader="none"/>
        </w:tabs>
        <w:spacing w:before="1"/>
        <w:ind w:left="165"/>
      </w:pPr>
      <w:bookmarkStart w:name="_bookmark115" w:id="117"/>
      <w:bookmarkEnd w:id="117"/>
      <w:r>
        <w:rPr/>
      </w:r>
      <w:hyperlink w:history="true" w:anchor="_bookmark61">
        <w:r>
          <w:rPr>
            <w:color w:val="005DA1"/>
            <w:spacing w:val="-5"/>
            <w:position w:val="5"/>
            <w:sz w:val="14"/>
            <w:u w:val="single" w:color="005DA1"/>
          </w:rPr>
          <w:t>59</w:t>
        </w:r>
      </w:hyperlink>
      <w:r>
        <w:rPr>
          <w:spacing w:val="-5"/>
          <w:position w:val="5"/>
          <w:sz w:val="14"/>
        </w:rPr>
        <w:t>.</w:t>
      </w:r>
      <w:r>
        <w:rPr>
          <w:position w:val="5"/>
          <w:sz w:val="14"/>
        </w:rPr>
        <w:tab/>
      </w:r>
      <w:r>
        <w:rPr/>
        <w:t>After n.54 </w:t>
      </w:r>
      <w:r>
        <w:rPr>
          <w:spacing w:val="-2"/>
        </w:rPr>
        <w:t>above.</w:t>
      </w:r>
    </w:p>
    <w:p>
      <w:pPr>
        <w:pStyle w:val="BodyText"/>
        <w:spacing w:before="4"/>
      </w:pPr>
    </w:p>
    <w:p>
      <w:pPr>
        <w:pStyle w:val="BodyText"/>
        <w:tabs>
          <w:tab w:pos="705" w:val="left" w:leader="none"/>
        </w:tabs>
        <w:spacing w:before="1"/>
        <w:ind w:left="165"/>
      </w:pPr>
      <w:bookmarkStart w:name="_bookmark116" w:id="118"/>
      <w:bookmarkEnd w:id="118"/>
      <w:r>
        <w:rPr/>
      </w:r>
      <w:hyperlink w:history="true" w:anchor="_bookmark62">
        <w:r>
          <w:rPr>
            <w:color w:val="005DA1"/>
            <w:spacing w:val="-5"/>
            <w:position w:val="5"/>
            <w:sz w:val="14"/>
            <w:u w:val="single" w:color="005DA1"/>
          </w:rPr>
          <w:t>60</w:t>
        </w:r>
      </w:hyperlink>
      <w:r>
        <w:rPr>
          <w:spacing w:val="-5"/>
          <w:position w:val="5"/>
          <w:sz w:val="14"/>
        </w:rPr>
        <w:t>.</w:t>
      </w:r>
      <w:r>
        <w:rPr>
          <w:position w:val="5"/>
          <w:sz w:val="14"/>
        </w:rPr>
        <w:tab/>
      </w:r>
      <w:r>
        <w:rPr/>
        <w:t>Above, para.4-011 at </w:t>
      </w:r>
      <w:r>
        <w:rPr>
          <w:spacing w:val="-2"/>
        </w:rPr>
        <w:t>n.54.</w:t>
      </w:r>
    </w:p>
    <w:p>
      <w:pPr>
        <w:pStyle w:val="BodyText"/>
        <w:spacing w:before="4"/>
      </w:pPr>
    </w:p>
    <w:p>
      <w:pPr>
        <w:tabs>
          <w:tab w:pos="705" w:val="left" w:leader="none"/>
        </w:tabs>
        <w:spacing w:before="1"/>
        <w:ind w:left="165" w:right="0" w:firstLine="0"/>
        <w:jc w:val="left"/>
        <w:rPr>
          <w:sz w:val="20"/>
        </w:rPr>
      </w:pPr>
      <w:bookmarkStart w:name="_bookmark117" w:id="119"/>
      <w:bookmarkEnd w:id="119"/>
      <w:r>
        <w:rPr/>
      </w:r>
      <w:hyperlink w:history="true" w:anchor="_bookmark63">
        <w:r>
          <w:rPr>
            <w:color w:val="005DA1"/>
            <w:spacing w:val="-5"/>
            <w:position w:val="5"/>
            <w:sz w:val="14"/>
            <w:u w:val="single" w:color="005DA1"/>
          </w:rPr>
          <w:t>61</w:t>
        </w:r>
      </w:hyperlink>
      <w:r>
        <w:rPr>
          <w:spacing w:val="-5"/>
          <w:position w:val="5"/>
          <w:sz w:val="14"/>
        </w:rPr>
        <w:t>.</w:t>
      </w:r>
      <w:r>
        <w:rPr>
          <w:position w:val="5"/>
          <w:sz w:val="14"/>
        </w:rPr>
        <w:tab/>
      </w:r>
      <w:r>
        <w:rPr>
          <w:rFonts w:ascii="Arial"/>
          <w:i/>
          <w:sz w:val="20"/>
        </w:rPr>
        <w:t>(1897)</w:t>
      </w:r>
      <w:r>
        <w:rPr>
          <w:rFonts w:ascii="Arial"/>
          <w:i/>
          <w:spacing w:val="-1"/>
          <w:sz w:val="20"/>
        </w:rPr>
        <w:t> </w:t>
      </w:r>
      <w:r>
        <w:rPr>
          <w:rFonts w:ascii="Arial"/>
          <w:i/>
          <w:sz w:val="20"/>
        </w:rPr>
        <w:t>13 T.L.R. 439</w:t>
      </w:r>
      <w:r>
        <w:rPr>
          <w:sz w:val="20"/>
        </w:rPr>
        <w:t>; cf. below, para.4-</w:t>
      </w:r>
      <w:r>
        <w:rPr>
          <w:spacing w:val="-4"/>
          <w:sz w:val="20"/>
        </w:rPr>
        <w:t>191.</w:t>
      </w:r>
    </w:p>
    <w:p>
      <w:pPr>
        <w:pStyle w:val="BodyText"/>
        <w:spacing w:before="8"/>
      </w:pPr>
    </w:p>
    <w:p>
      <w:pPr>
        <w:pStyle w:val="BodyText"/>
        <w:spacing w:line="235" w:lineRule="auto"/>
        <w:ind w:left="705" w:right="167" w:hanging="541"/>
        <w:jc w:val="both"/>
      </w:pPr>
      <w:bookmarkStart w:name="_bookmark118" w:id="120"/>
      <w:bookmarkEnd w:id="120"/>
      <w:r>
        <w:rPr/>
      </w:r>
      <w:hyperlink w:history="true" w:anchor="_bookmark64">
        <w:r>
          <w:rPr>
            <w:color w:val="005DA1"/>
            <w:position w:val="5"/>
            <w:sz w:val="14"/>
            <w:u w:val="single" w:color="005DA1"/>
          </w:rPr>
          <w:t>62</w:t>
        </w:r>
      </w:hyperlink>
      <w:r>
        <w:rPr>
          <w:position w:val="5"/>
          <w:sz w:val="14"/>
        </w:rPr>
        <w:t>.</w:t>
      </w:r>
      <w:r>
        <w:rPr>
          <w:spacing w:val="40"/>
          <w:position w:val="5"/>
          <w:sz w:val="14"/>
        </w:rPr>
        <w:t>  </w:t>
      </w:r>
      <w:r>
        <w:rPr/>
        <w:t>Williston, </w:t>
      </w:r>
      <w:r>
        <w:rPr>
          <w:rFonts w:ascii="Arial" w:hAnsi="Arial"/>
          <w:i/>
        </w:rPr>
        <w:t>Contracts </w:t>
      </w:r>
      <w:r>
        <w:rPr/>
        <w:t>(3rd ed.), §112; cf. </w:t>
      </w:r>
      <w:r>
        <w:rPr>
          <w:rFonts w:ascii="Arial" w:hAnsi="Arial"/>
          <w:i/>
        </w:rPr>
        <w:t>Dickinson v Abel [1969] 1 W.L.R. 295 </w:t>
      </w:r>
      <w:r>
        <w:rPr/>
        <w:t>(where A </w:t>
      </w:r>
      <w:r>
        <w:rPr/>
        <w:t>had promised to pay £10,000 to B if A succeeded (as he did) in buying Blackacre from X. This was said to be “nothing but a conditional promise without consideration” because B had not been requested to do anything to promote the sale by X to A); see also </w:t>
      </w:r>
      <w:r>
        <w:rPr>
          <w:rFonts w:ascii="Arial" w:hAnsi="Arial"/>
          <w:i/>
        </w:rPr>
        <w:t>Ellis v Chief Adjudication Officer [1998] 1 FLR 184 </w:t>
      </w:r>
      <w:r>
        <w:rPr/>
        <w:t>where performance of the condition was no doubt requested but the actual decision was that an executed gift of a flat failed because the condition (that the donee should</w:t>
      </w:r>
      <w:r>
        <w:rPr>
          <w:spacing w:val="-1"/>
        </w:rPr>
        <w:t> </w:t>
      </w:r>
      <w:r>
        <w:rPr/>
        <w:t>look</w:t>
      </w:r>
      <w:r>
        <w:rPr>
          <w:spacing w:val="-1"/>
        </w:rPr>
        <w:t> </w:t>
      </w:r>
      <w:r>
        <w:rPr/>
        <w:t>after</w:t>
      </w:r>
      <w:r>
        <w:rPr>
          <w:spacing w:val="-1"/>
        </w:rPr>
        <w:t> </w:t>
      </w:r>
      <w:r>
        <w:rPr/>
        <w:t>her</w:t>
      </w:r>
      <w:r>
        <w:rPr>
          <w:spacing w:val="-1"/>
        </w:rPr>
        <w:t> </w:t>
      </w:r>
      <w:r>
        <w:rPr/>
        <w:t>mother</w:t>
      </w:r>
      <w:r>
        <w:rPr>
          <w:spacing w:val="-1"/>
        </w:rPr>
        <w:t> </w:t>
      </w:r>
      <w:r>
        <w:rPr/>
        <w:t>there)</w:t>
      </w:r>
      <w:r>
        <w:rPr>
          <w:spacing w:val="-1"/>
        </w:rPr>
        <w:t> </w:t>
      </w:r>
      <w:r>
        <w:rPr/>
        <w:t>had</w:t>
      </w:r>
      <w:r>
        <w:rPr>
          <w:spacing w:val="-1"/>
        </w:rPr>
        <w:t> </w:t>
      </w:r>
      <w:r>
        <w:rPr/>
        <w:t>not</w:t>
      </w:r>
      <w:r>
        <w:rPr>
          <w:spacing w:val="-1"/>
        </w:rPr>
        <w:t> </w:t>
      </w:r>
      <w:r>
        <w:rPr/>
        <w:t>been</w:t>
      </w:r>
      <w:r>
        <w:rPr>
          <w:spacing w:val="-1"/>
        </w:rPr>
        <w:t> </w:t>
      </w:r>
      <w:r>
        <w:rPr/>
        <w:t>performed.</w:t>
      </w:r>
      <w:r>
        <w:rPr>
          <w:spacing w:val="-1"/>
        </w:rPr>
        <w:t> </w:t>
      </w:r>
      <w:r>
        <w:rPr/>
        <w:t>The</w:t>
      </w:r>
      <w:r>
        <w:rPr>
          <w:spacing w:val="-1"/>
        </w:rPr>
        <w:t> </w:t>
      </w:r>
      <w:r>
        <w:rPr/>
        <w:t>agreement</w:t>
      </w:r>
      <w:r>
        <w:rPr>
          <w:spacing w:val="-1"/>
        </w:rPr>
        <w:t> </w:t>
      </w:r>
      <w:r>
        <w:rPr/>
        <w:t>in</w:t>
      </w:r>
      <w:r>
        <w:rPr>
          <w:spacing w:val="-1"/>
        </w:rPr>
        <w:t> </w:t>
      </w:r>
      <w:r>
        <w:rPr/>
        <w:t>that</w:t>
      </w:r>
      <w:r>
        <w:rPr>
          <w:spacing w:val="-1"/>
        </w:rPr>
        <w:t> </w:t>
      </w:r>
      <w:r>
        <w:rPr/>
        <w:t>case</w:t>
      </w:r>
      <w:r>
        <w:rPr>
          <w:spacing w:val="-1"/>
        </w:rPr>
        <w:t> </w:t>
      </w:r>
      <w:r>
        <w:rPr/>
        <w:t>lacked contractual force for want of contractual intention: above, para.2-183.</w:t>
      </w:r>
    </w:p>
    <w:p>
      <w:pPr>
        <w:pStyle w:val="BodyText"/>
        <w:spacing w:before="4"/>
      </w:pPr>
    </w:p>
    <w:p>
      <w:pPr>
        <w:tabs>
          <w:tab w:pos="705" w:val="left" w:leader="none"/>
        </w:tabs>
        <w:spacing w:before="0"/>
        <w:ind w:left="165" w:right="0" w:firstLine="0"/>
        <w:jc w:val="left"/>
        <w:rPr>
          <w:sz w:val="20"/>
        </w:rPr>
      </w:pPr>
      <w:bookmarkStart w:name="_bookmark119" w:id="121"/>
      <w:bookmarkEnd w:id="121"/>
      <w:r>
        <w:rPr/>
      </w:r>
      <w:hyperlink w:history="true" w:anchor="_bookmark65">
        <w:r>
          <w:rPr>
            <w:color w:val="005DA1"/>
            <w:spacing w:val="-5"/>
            <w:position w:val="5"/>
            <w:sz w:val="14"/>
            <w:u w:val="single" w:color="005DA1"/>
          </w:rPr>
          <w:t>63</w:t>
        </w:r>
      </w:hyperlink>
      <w:r>
        <w:rPr>
          <w:spacing w:val="-5"/>
          <w:position w:val="5"/>
          <w:sz w:val="14"/>
        </w:rPr>
        <w:t>.</w:t>
      </w:r>
      <w:r>
        <w:rPr>
          <w:position w:val="5"/>
          <w:sz w:val="14"/>
        </w:rPr>
        <w:tab/>
      </w:r>
      <w:r>
        <w:rPr>
          <w:rFonts w:ascii="Arial"/>
          <w:i/>
          <w:sz w:val="20"/>
        </w:rPr>
        <w:t>[1893]</w:t>
      </w:r>
      <w:r>
        <w:rPr>
          <w:rFonts w:ascii="Arial"/>
          <w:i/>
          <w:spacing w:val="-1"/>
          <w:sz w:val="20"/>
        </w:rPr>
        <w:t> </w:t>
      </w:r>
      <w:r>
        <w:rPr>
          <w:rFonts w:ascii="Arial"/>
          <w:i/>
          <w:sz w:val="20"/>
        </w:rPr>
        <w:t>1 Q.B. 256</w:t>
      </w:r>
      <w:r>
        <w:rPr>
          <w:sz w:val="20"/>
        </w:rPr>
        <w:t>; stated above, para.2-</w:t>
      </w:r>
      <w:r>
        <w:rPr>
          <w:spacing w:val="-4"/>
          <w:sz w:val="20"/>
        </w:rPr>
        <w:t>015.</w:t>
      </w:r>
    </w:p>
    <w:p>
      <w:pPr>
        <w:pStyle w:val="BodyText"/>
        <w:spacing w:before="8"/>
      </w:pPr>
    </w:p>
    <w:p>
      <w:pPr>
        <w:pStyle w:val="BodyText"/>
        <w:tabs>
          <w:tab w:pos="705" w:val="left" w:leader="none"/>
        </w:tabs>
        <w:spacing w:line="235" w:lineRule="auto"/>
        <w:ind w:left="705" w:right="167" w:hanging="541"/>
      </w:pPr>
      <w:bookmarkStart w:name="_bookmark120" w:id="122"/>
      <w:bookmarkEnd w:id="122"/>
      <w:r>
        <w:rPr/>
      </w:r>
      <w:hyperlink w:history="true" w:anchor="_bookmark66">
        <w:r>
          <w:rPr>
            <w:color w:val="005DA1"/>
            <w:spacing w:val="-4"/>
            <w:position w:val="5"/>
            <w:sz w:val="14"/>
            <w:u w:val="single" w:color="005DA1"/>
          </w:rPr>
          <w:t>64</w:t>
        </w:r>
      </w:hyperlink>
      <w:r>
        <w:rPr>
          <w:spacing w:val="-4"/>
          <w:position w:val="5"/>
          <w:sz w:val="14"/>
        </w:rPr>
        <w:t>.</w:t>
      </w:r>
      <w:r>
        <w:rPr>
          <w:position w:val="5"/>
          <w:sz w:val="14"/>
        </w:rPr>
        <w:tab/>
      </w:r>
      <w:r>
        <w:rPr/>
        <w:t>For</w:t>
      </w:r>
      <w:r>
        <w:rPr>
          <w:spacing w:val="36"/>
        </w:rPr>
        <w:t> </w:t>
      </w:r>
      <w:r>
        <w:rPr/>
        <w:t>the</w:t>
      </w:r>
      <w:r>
        <w:rPr>
          <w:spacing w:val="36"/>
        </w:rPr>
        <w:t> </w:t>
      </w:r>
      <w:r>
        <w:rPr/>
        <w:t>purpose</w:t>
      </w:r>
      <w:r>
        <w:rPr>
          <w:spacing w:val="36"/>
        </w:rPr>
        <w:t> </w:t>
      </w:r>
      <w:r>
        <w:rPr/>
        <w:t>of</w:t>
      </w:r>
      <w:r>
        <w:rPr>
          <w:spacing w:val="36"/>
        </w:rPr>
        <w:t> </w:t>
      </w:r>
      <w:r>
        <w:rPr/>
        <w:t>assessing</w:t>
      </w:r>
      <w:r>
        <w:rPr>
          <w:spacing w:val="36"/>
        </w:rPr>
        <w:t> </w:t>
      </w:r>
      <w:r>
        <w:rPr/>
        <w:t>VAT,</w:t>
      </w:r>
      <w:r>
        <w:rPr>
          <w:spacing w:val="36"/>
        </w:rPr>
        <w:t> </w:t>
      </w:r>
      <w:r>
        <w:rPr/>
        <w:t>a</w:t>
      </w:r>
      <w:r>
        <w:rPr>
          <w:spacing w:val="36"/>
        </w:rPr>
        <w:t> </w:t>
      </w:r>
      <w:r>
        <w:rPr/>
        <w:t>wider</w:t>
      </w:r>
      <w:r>
        <w:rPr>
          <w:spacing w:val="36"/>
        </w:rPr>
        <w:t> </w:t>
      </w:r>
      <w:r>
        <w:rPr/>
        <w:t>test</w:t>
      </w:r>
      <w:r>
        <w:rPr>
          <w:spacing w:val="36"/>
        </w:rPr>
        <w:t> </w:t>
      </w:r>
      <w:r>
        <w:rPr/>
        <w:t>(laid</w:t>
      </w:r>
      <w:r>
        <w:rPr>
          <w:spacing w:val="36"/>
        </w:rPr>
        <w:t> </w:t>
      </w:r>
      <w:r>
        <w:rPr/>
        <w:t>down</w:t>
      </w:r>
      <w:r>
        <w:rPr>
          <w:spacing w:val="36"/>
        </w:rPr>
        <w:t> </w:t>
      </w:r>
      <w:r>
        <w:rPr/>
        <w:t>by</w:t>
      </w:r>
      <w:r>
        <w:rPr>
          <w:spacing w:val="36"/>
        </w:rPr>
        <w:t> </w:t>
      </w:r>
      <w:r>
        <w:rPr/>
        <w:t>European</w:t>
      </w:r>
      <w:r>
        <w:rPr>
          <w:spacing w:val="36"/>
        </w:rPr>
        <w:t> </w:t>
      </w:r>
      <w:r>
        <w:rPr/>
        <w:t>Community</w:t>
      </w:r>
      <w:r>
        <w:rPr>
          <w:spacing w:val="36"/>
        </w:rPr>
        <w:t> </w:t>
      </w:r>
      <w:r>
        <w:rPr/>
        <w:t>Law), requiring</w:t>
      </w:r>
      <w:r>
        <w:rPr>
          <w:spacing w:val="62"/>
        </w:rPr>
        <w:t> </w:t>
      </w:r>
      <w:r>
        <w:rPr/>
        <w:t>only</w:t>
      </w:r>
      <w:r>
        <w:rPr>
          <w:spacing w:val="62"/>
        </w:rPr>
        <w:t> </w:t>
      </w:r>
      <w:r>
        <w:rPr/>
        <w:t>a</w:t>
      </w:r>
      <w:r>
        <w:rPr>
          <w:spacing w:val="62"/>
        </w:rPr>
        <w:t> </w:t>
      </w:r>
      <w:r>
        <w:rPr/>
        <w:t>“direct</w:t>
      </w:r>
      <w:r>
        <w:rPr>
          <w:spacing w:val="62"/>
        </w:rPr>
        <w:t> </w:t>
      </w:r>
      <w:r>
        <w:rPr/>
        <w:t>link”</w:t>
      </w:r>
      <w:r>
        <w:rPr>
          <w:spacing w:val="62"/>
        </w:rPr>
        <w:t> </w:t>
      </w:r>
      <w:r>
        <w:rPr/>
        <w:t>between</w:t>
      </w:r>
      <w:r>
        <w:rPr>
          <w:spacing w:val="62"/>
        </w:rPr>
        <w:t> </w:t>
      </w:r>
      <w:r>
        <w:rPr/>
        <w:t>performance</w:t>
      </w:r>
      <w:r>
        <w:rPr>
          <w:spacing w:val="62"/>
        </w:rPr>
        <w:t> </w:t>
      </w:r>
      <w:r>
        <w:rPr/>
        <w:t>and</w:t>
      </w:r>
      <w:r>
        <w:rPr>
          <w:spacing w:val="62"/>
        </w:rPr>
        <w:t> </w:t>
      </w:r>
      <w:r>
        <w:rPr/>
        <w:t>counterperformance,</w:t>
      </w:r>
      <w:r>
        <w:rPr>
          <w:spacing w:val="62"/>
        </w:rPr>
        <w:t> </w:t>
      </w:r>
      <w:r>
        <w:rPr/>
        <w:t>suffices:</w:t>
      </w:r>
      <w:r>
        <w:rPr>
          <w:spacing w:val="62"/>
        </w:rPr>
        <w:t> </w:t>
      </w:r>
      <w:r>
        <w:rPr>
          <w:spacing w:val="-5"/>
        </w:rPr>
        <w:t>see</w:t>
      </w:r>
    </w:p>
    <w:p>
      <w:pPr>
        <w:pStyle w:val="BodyText"/>
        <w:spacing w:after="0" w:line="235" w:lineRule="auto"/>
        <w:sectPr>
          <w:pgSz w:w="11900" w:h="16840"/>
          <w:pgMar w:header="971" w:footer="0" w:top="1160" w:bottom="280" w:left="1275" w:right="1275"/>
        </w:sectPr>
      </w:pPr>
    </w:p>
    <w:p>
      <w:pPr>
        <w:pStyle w:val="BodyText"/>
        <w:spacing w:before="24"/>
      </w:pPr>
    </w:p>
    <w:p>
      <w:pPr>
        <w:spacing w:line="235" w:lineRule="auto" w:before="1"/>
        <w:ind w:left="705" w:right="167" w:firstLine="0"/>
        <w:jc w:val="both"/>
        <w:rPr>
          <w:sz w:val="20"/>
        </w:rPr>
      </w:pPr>
      <w:r>
        <w:rPr>
          <w:rFonts w:ascii="Arial"/>
          <w:i/>
          <w:sz w:val="20"/>
        </w:rPr>
        <w:t>Rosgill Group Ltd v Customs &amp; Excise Commissioners [1997] 3 All E.R. 1012</w:t>
      </w:r>
      <w:r>
        <w:rPr>
          <w:sz w:val="20"/>
        </w:rPr>
        <w:t>, though in that case the English test for what constitutes consideration was also said at 1020 to have been </w:t>
      </w:r>
      <w:r>
        <w:rPr>
          <w:spacing w:val="-2"/>
          <w:sz w:val="20"/>
        </w:rPr>
        <w:t>satisfied.</w:t>
      </w:r>
    </w:p>
    <w:p>
      <w:pPr>
        <w:pStyle w:val="BodyText"/>
        <w:spacing w:before="5"/>
      </w:pPr>
    </w:p>
    <w:p>
      <w:pPr>
        <w:pStyle w:val="BodyText"/>
        <w:tabs>
          <w:tab w:pos="705" w:val="left" w:leader="none"/>
        </w:tabs>
        <w:ind w:left="165"/>
      </w:pPr>
      <w:bookmarkStart w:name="_bookmark121" w:id="123"/>
      <w:bookmarkEnd w:id="123"/>
      <w:r>
        <w:rPr/>
      </w:r>
      <w:hyperlink w:history="true" w:anchor="_bookmark67">
        <w:r>
          <w:rPr>
            <w:color w:val="005DA1"/>
            <w:spacing w:val="-5"/>
            <w:position w:val="5"/>
            <w:sz w:val="14"/>
            <w:u w:val="single" w:color="005DA1"/>
          </w:rPr>
          <w:t>65</w:t>
        </w:r>
      </w:hyperlink>
      <w:r>
        <w:rPr>
          <w:spacing w:val="-5"/>
          <w:position w:val="5"/>
          <w:sz w:val="14"/>
        </w:rPr>
        <w:t>.</w:t>
      </w:r>
      <w:r>
        <w:rPr>
          <w:position w:val="5"/>
          <w:sz w:val="14"/>
        </w:rPr>
        <w:tab/>
      </w:r>
      <w:r>
        <w:rPr/>
        <w:t>Below, paras 4-082—4-107, 4-130—4-</w:t>
      </w:r>
      <w:r>
        <w:rPr>
          <w:spacing w:val="-4"/>
        </w:rPr>
        <w:t>185.</w:t>
      </w:r>
    </w:p>
    <w:p>
      <w:pPr>
        <w:pStyle w:val="BodyText"/>
        <w:spacing w:before="5"/>
      </w:pPr>
    </w:p>
    <w:p>
      <w:pPr>
        <w:pStyle w:val="BodyText"/>
        <w:tabs>
          <w:tab w:pos="705" w:val="left" w:leader="none"/>
        </w:tabs>
        <w:ind w:left="165"/>
      </w:pPr>
      <w:bookmarkStart w:name="_bookmark122" w:id="124"/>
      <w:bookmarkEnd w:id="124"/>
      <w:r>
        <w:rPr/>
      </w:r>
      <w:hyperlink w:history="true" w:anchor="_bookmark68">
        <w:r>
          <w:rPr>
            <w:color w:val="005DA1"/>
            <w:spacing w:val="-5"/>
            <w:position w:val="5"/>
            <w:sz w:val="14"/>
            <w:u w:val="single" w:color="005DA1"/>
          </w:rPr>
          <w:t>66</w:t>
        </w:r>
      </w:hyperlink>
      <w:r>
        <w:rPr>
          <w:spacing w:val="-5"/>
          <w:position w:val="5"/>
          <w:sz w:val="14"/>
        </w:rPr>
        <w:t>.</w:t>
      </w:r>
      <w:r>
        <w:rPr>
          <w:position w:val="5"/>
          <w:sz w:val="14"/>
        </w:rPr>
        <w:tab/>
      </w:r>
      <w:r>
        <w:rPr/>
        <w:t>Below, paras 4-097, 4-131, 4-</w:t>
      </w:r>
      <w:r>
        <w:rPr>
          <w:spacing w:val="-4"/>
        </w:rPr>
        <w:t>168.</w:t>
      </w:r>
    </w:p>
    <w:p>
      <w:pPr>
        <w:pStyle w:val="BodyText"/>
        <w:spacing w:before="5"/>
      </w:pPr>
    </w:p>
    <w:p>
      <w:pPr>
        <w:pStyle w:val="BodyText"/>
        <w:tabs>
          <w:tab w:pos="705" w:val="left" w:leader="none"/>
        </w:tabs>
        <w:ind w:left="165"/>
      </w:pPr>
      <w:bookmarkStart w:name="_bookmark123" w:id="125"/>
      <w:bookmarkEnd w:id="125"/>
      <w:r>
        <w:rPr/>
      </w:r>
      <w:hyperlink w:history="true" w:anchor="_bookmark69">
        <w:r>
          <w:rPr>
            <w:color w:val="005DA1"/>
            <w:spacing w:val="-5"/>
            <w:position w:val="5"/>
            <w:sz w:val="14"/>
            <w:u w:val="single" w:color="005DA1"/>
          </w:rPr>
          <w:t>67</w:t>
        </w:r>
      </w:hyperlink>
      <w:r>
        <w:rPr>
          <w:spacing w:val="-5"/>
          <w:position w:val="5"/>
          <w:sz w:val="14"/>
        </w:rPr>
        <w:t>.</w:t>
      </w:r>
      <w:r>
        <w:rPr>
          <w:position w:val="5"/>
          <w:sz w:val="14"/>
        </w:rPr>
        <w:tab/>
      </w:r>
      <w:r>
        <w:rPr/>
        <w:t>Below,</w:t>
      </w:r>
      <w:r>
        <w:rPr>
          <w:spacing w:val="-2"/>
        </w:rPr>
        <w:t> </w:t>
      </w:r>
      <w:r>
        <w:rPr/>
        <w:t>paras 4-172—4-</w:t>
      </w:r>
      <w:r>
        <w:rPr>
          <w:spacing w:val="-4"/>
        </w:rPr>
        <w:t>179.</w:t>
      </w:r>
    </w:p>
    <w:p>
      <w:pPr>
        <w:pStyle w:val="BodyText"/>
        <w:spacing w:before="5"/>
      </w:pPr>
    </w:p>
    <w:p>
      <w:pPr>
        <w:pStyle w:val="BodyText"/>
        <w:tabs>
          <w:tab w:pos="705" w:val="left" w:leader="none"/>
        </w:tabs>
        <w:ind w:left="165"/>
      </w:pPr>
      <w:bookmarkStart w:name="_bookmark124" w:id="126"/>
      <w:bookmarkEnd w:id="126"/>
      <w:r>
        <w:rPr/>
      </w:r>
      <w:hyperlink w:history="true" w:anchor="_bookmark70">
        <w:r>
          <w:rPr>
            <w:color w:val="005DA1"/>
            <w:spacing w:val="-5"/>
            <w:position w:val="5"/>
            <w:sz w:val="14"/>
            <w:u w:val="single" w:color="005DA1"/>
          </w:rPr>
          <w:t>68</w:t>
        </w:r>
      </w:hyperlink>
      <w:r>
        <w:rPr>
          <w:spacing w:val="-5"/>
          <w:position w:val="5"/>
          <w:sz w:val="14"/>
        </w:rPr>
        <w:t>.</w:t>
      </w:r>
      <w:r>
        <w:rPr>
          <w:position w:val="5"/>
          <w:sz w:val="14"/>
        </w:rPr>
        <w:tab/>
      </w:r>
      <w:r>
        <w:rPr/>
        <w:t>Below, para.4-</w:t>
      </w:r>
      <w:r>
        <w:rPr>
          <w:spacing w:val="-4"/>
        </w:rPr>
        <w:t>173.</w:t>
      </w:r>
    </w:p>
    <w:p>
      <w:pPr>
        <w:pStyle w:val="BodyText"/>
        <w:spacing w:before="5"/>
      </w:pPr>
    </w:p>
    <w:p>
      <w:pPr>
        <w:pStyle w:val="BodyText"/>
        <w:tabs>
          <w:tab w:pos="705" w:val="left" w:leader="none"/>
        </w:tabs>
        <w:ind w:left="165"/>
      </w:pPr>
      <w:bookmarkStart w:name="_bookmark125" w:id="127"/>
      <w:bookmarkEnd w:id="127"/>
      <w:r>
        <w:rPr/>
      </w:r>
      <w:hyperlink w:history="true" w:anchor="_bookmark71">
        <w:r>
          <w:rPr>
            <w:color w:val="005DA1"/>
            <w:spacing w:val="-5"/>
            <w:position w:val="5"/>
            <w:sz w:val="14"/>
            <w:u w:val="single" w:color="005DA1"/>
          </w:rPr>
          <w:t>69</w:t>
        </w:r>
      </w:hyperlink>
      <w:r>
        <w:rPr>
          <w:spacing w:val="-5"/>
          <w:position w:val="5"/>
          <w:sz w:val="14"/>
        </w:rPr>
        <w:t>.</w:t>
      </w:r>
      <w:r>
        <w:rPr>
          <w:position w:val="5"/>
          <w:sz w:val="14"/>
        </w:rPr>
        <w:tab/>
      </w:r>
      <w:r>
        <w:rPr/>
        <w:t>See below, Chs 26 and </w:t>
      </w:r>
      <w:r>
        <w:rPr>
          <w:spacing w:val="-5"/>
        </w:rPr>
        <w:t>27.</w:t>
      </w:r>
    </w:p>
    <w:p>
      <w:pPr>
        <w:pStyle w:val="BodyText"/>
        <w:spacing w:before="5"/>
      </w:pPr>
    </w:p>
    <w:p>
      <w:pPr>
        <w:pStyle w:val="BodyText"/>
        <w:tabs>
          <w:tab w:pos="705" w:val="left" w:leader="none"/>
        </w:tabs>
        <w:ind w:left="165"/>
      </w:pPr>
      <w:bookmarkStart w:name="_bookmark126" w:id="128"/>
      <w:bookmarkEnd w:id="128"/>
      <w:r>
        <w:rPr/>
      </w:r>
      <w:hyperlink w:history="true" w:anchor="_bookmark72">
        <w:r>
          <w:rPr>
            <w:color w:val="005DA1"/>
            <w:spacing w:val="-5"/>
            <w:position w:val="5"/>
            <w:sz w:val="14"/>
            <w:u w:val="single" w:color="005DA1"/>
          </w:rPr>
          <w:t>70</w:t>
        </w:r>
      </w:hyperlink>
      <w:r>
        <w:rPr>
          <w:spacing w:val="-5"/>
          <w:position w:val="5"/>
          <w:sz w:val="14"/>
        </w:rPr>
        <w:t>.</w:t>
      </w:r>
      <w:r>
        <w:rPr>
          <w:position w:val="5"/>
          <w:sz w:val="14"/>
        </w:rPr>
        <w:tab/>
      </w:r>
      <w:r>
        <w:rPr/>
        <w:t>See further, below, paras 4-106, 4-</w:t>
      </w:r>
      <w:r>
        <w:rPr>
          <w:spacing w:val="-4"/>
        </w:rPr>
        <w:t>185.</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727" w:right="2730"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65248">
                <wp:simplePos x="0" y="0"/>
                <wp:positionH relativeFrom="page">
                  <wp:posOffset>4707940</wp:posOffset>
                </wp:positionH>
                <wp:positionV relativeFrom="paragraph">
                  <wp:posOffset>377436</wp:posOffset>
                </wp:positionV>
                <wp:extent cx="425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1232" from="370.70401pt,29.719406pt" to="374.04001pt,29.719406pt" stroked="true" strokeweight=".428pt" strokecolor="#005da1">
                <v:stroke dashstyle="solid"/>
                <w10:wrap type="none"/>
              </v:line>
            </w:pict>
          </mc:Fallback>
        </mc:AlternateContent>
      </w: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4 - Consideration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3. - Adequacy of </w:t>
      </w:r>
      <w:r>
        <w:rPr>
          <w:rFonts w:ascii="Arial"/>
          <w:b/>
          <w:spacing w:val="-2"/>
          <w:sz w:val="24"/>
        </w:rPr>
        <w:t>Consideration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Courts generally will not judge </w:t>
      </w:r>
      <w:r>
        <w:rPr>
          <w:rFonts w:ascii="Arial"/>
          <w:b/>
          <w:spacing w:val="-2"/>
          <w:sz w:val="18"/>
        </w:rPr>
        <w:t>adequacy</w:t>
      </w:r>
    </w:p>
    <w:p>
      <w:pPr>
        <w:pStyle w:val="BodyText"/>
        <w:spacing w:before="41"/>
        <w:rPr>
          <w:rFonts w:ascii="Arial"/>
          <w:b/>
          <w:sz w:val="18"/>
        </w:rPr>
      </w:pPr>
    </w:p>
    <w:p>
      <w:pPr>
        <w:pStyle w:val="Heading2"/>
      </w:pPr>
      <w:r>
        <w:rPr/>
        <w:t>4-</w:t>
      </w:r>
      <w:r>
        <w:rPr>
          <w:spacing w:val="-5"/>
        </w:rPr>
        <w:t>014</w:t>
      </w:r>
    </w:p>
    <w:p>
      <w:pPr>
        <w:pStyle w:val="BodyText"/>
        <w:spacing w:line="235" w:lineRule="auto" w:before="203"/>
        <w:ind w:left="165" w:right="167"/>
        <w:jc w:val="both"/>
      </w:pPr>
      <w:bookmarkStart w:name="_bookmark127" w:id="129"/>
      <w:bookmarkEnd w:id="129"/>
      <w:r>
        <w:rPr/>
      </w:r>
      <w:r>
        <w:rPr/>
        <w:t>Under the doctrine of consideration, a promise has no contractual force unless </w:t>
      </w:r>
      <w:r>
        <w:rPr>
          <w:rFonts w:ascii="Arial" w:hAnsi="Arial"/>
          <w:i/>
        </w:rPr>
        <w:t>some </w:t>
      </w:r>
      <w:r>
        <w:rPr/>
        <w:t>value has been </w:t>
      </w:r>
      <w:bookmarkStart w:name="_bookmark128" w:id="130"/>
      <w:bookmarkEnd w:id="130"/>
      <w:r>
        <w:rPr/>
        <w:t>given</w:t>
      </w:r>
      <w:r>
        <w:rPr/>
        <w:t> for it. But as a general rule </w:t>
      </w:r>
      <w:r>
        <w:rPr>
          <w:color w:val="005DA1"/>
          <w:u w:val="single" w:color="005DA1"/>
          <w:vertAlign w:val="superscript"/>
        </w:rPr>
        <w:t>71</w:t>
      </w:r>
      <w:r>
        <w:rPr>
          <w:color w:val="005DA1"/>
          <w:vertAlign w:val="baseline"/>
        </w:rPr>
        <w:t> </w:t>
      </w:r>
      <w:r>
        <w:rPr>
          <w:vertAlign w:val="baseline"/>
        </w:rPr>
        <w:t>the courts do not concern themselves with the question whether </w:t>
      </w:r>
      <w:bookmarkStart w:name="_bookmark129" w:id="131"/>
      <w:bookmarkEnd w:id="131"/>
      <w:r>
        <w:rPr>
          <w:vertAlign w:val="baseline"/>
        </w:rPr>
        <w:t>“adequate”</w:t>
      </w:r>
      <w:r>
        <w:rPr>
          <w:spacing w:val="-3"/>
          <w:vertAlign w:val="baseline"/>
        </w:rPr>
        <w:t> </w:t>
      </w:r>
      <w:r>
        <w:rPr>
          <w:vertAlign w:val="baseline"/>
        </w:rPr>
        <w:t>value</w:t>
      </w:r>
      <w:r>
        <w:rPr>
          <w:spacing w:val="-3"/>
          <w:vertAlign w:val="baseline"/>
        </w:rPr>
        <w:t> </w:t>
      </w:r>
      <w:r>
        <w:rPr>
          <w:vertAlign w:val="baseline"/>
        </w:rPr>
        <w:t>has</w:t>
      </w:r>
      <w:r>
        <w:rPr>
          <w:spacing w:val="-3"/>
          <w:vertAlign w:val="baseline"/>
        </w:rPr>
        <w:t> </w:t>
      </w:r>
      <w:r>
        <w:rPr>
          <w:vertAlign w:val="baseline"/>
        </w:rPr>
        <w:t>been</w:t>
      </w:r>
      <w:r>
        <w:rPr>
          <w:spacing w:val="-3"/>
          <w:vertAlign w:val="baseline"/>
        </w:rPr>
        <w:t> </w:t>
      </w:r>
      <w:r>
        <w:rPr>
          <w:vertAlign w:val="baseline"/>
        </w:rPr>
        <w:t>given,</w:t>
      </w:r>
      <w:r>
        <w:rPr>
          <w:spacing w:val="-4"/>
          <w:vertAlign w:val="baseline"/>
        </w:rPr>
        <w:t> </w:t>
      </w:r>
      <w:r>
        <w:rPr>
          <w:color w:val="005DA1"/>
          <w:u w:val="single" w:color="005DA1"/>
          <w:vertAlign w:val="superscript"/>
        </w:rPr>
        <w:t>72</w:t>
      </w:r>
      <w:r>
        <w:rPr>
          <w:color w:val="005DA1"/>
          <w:spacing w:val="-3"/>
          <w:vertAlign w:val="baseline"/>
        </w:rPr>
        <w:t> </w:t>
      </w:r>
      <w:r>
        <w:rPr>
          <w:vertAlign w:val="baseline"/>
        </w:rPr>
        <w:t>or</w:t>
      </w:r>
      <w:r>
        <w:rPr>
          <w:spacing w:val="-3"/>
          <w:vertAlign w:val="baseline"/>
        </w:rPr>
        <w:t> </w:t>
      </w:r>
      <w:r>
        <w:rPr>
          <w:vertAlign w:val="baseline"/>
        </w:rPr>
        <w:t>whether</w:t>
      </w:r>
      <w:r>
        <w:rPr>
          <w:spacing w:val="-3"/>
          <w:vertAlign w:val="baseline"/>
        </w:rPr>
        <w:t> </w:t>
      </w:r>
      <w:r>
        <w:rPr>
          <w:vertAlign w:val="baseline"/>
        </w:rPr>
        <w:t>the</w:t>
      </w:r>
      <w:r>
        <w:rPr>
          <w:spacing w:val="-3"/>
          <w:vertAlign w:val="baseline"/>
        </w:rPr>
        <w:t> </w:t>
      </w:r>
      <w:r>
        <w:rPr>
          <w:vertAlign w:val="baseline"/>
        </w:rPr>
        <w:t>agreement</w:t>
      </w:r>
      <w:r>
        <w:rPr>
          <w:spacing w:val="-3"/>
          <w:vertAlign w:val="baseline"/>
        </w:rPr>
        <w:t> </w:t>
      </w:r>
      <w:r>
        <w:rPr>
          <w:vertAlign w:val="baseline"/>
        </w:rPr>
        <w:t>is</w:t>
      </w:r>
      <w:r>
        <w:rPr>
          <w:spacing w:val="-3"/>
          <w:vertAlign w:val="baseline"/>
        </w:rPr>
        <w:t> </w:t>
      </w:r>
      <w:r>
        <w:rPr>
          <w:vertAlign w:val="baseline"/>
        </w:rPr>
        <w:t>harsh</w:t>
      </w:r>
      <w:r>
        <w:rPr>
          <w:spacing w:val="-3"/>
          <w:vertAlign w:val="baseline"/>
        </w:rPr>
        <w:t> </w:t>
      </w:r>
      <w:r>
        <w:rPr>
          <w:vertAlign w:val="baseline"/>
        </w:rPr>
        <w:t>or</w:t>
      </w:r>
      <w:r>
        <w:rPr>
          <w:spacing w:val="-3"/>
          <w:vertAlign w:val="baseline"/>
        </w:rPr>
        <w:t> </w:t>
      </w:r>
      <w:r>
        <w:rPr>
          <w:vertAlign w:val="baseline"/>
        </w:rPr>
        <w:t>one-sided.</w:t>
      </w:r>
      <w:r>
        <w:rPr>
          <w:spacing w:val="-4"/>
          <w:vertAlign w:val="baseline"/>
        </w:rPr>
        <w:t> </w:t>
      </w:r>
      <w:r>
        <w:rPr>
          <w:color w:val="005DA1"/>
          <w:u w:val="single" w:color="005DA1"/>
          <w:vertAlign w:val="superscript"/>
        </w:rPr>
        <w:t>73</w:t>
      </w:r>
      <w:r>
        <w:rPr>
          <w:color w:val="005DA1"/>
          <w:spacing w:val="-3"/>
          <w:vertAlign w:val="baseline"/>
        </w:rPr>
        <w:t> </w:t>
      </w:r>
      <w:r>
        <w:rPr>
          <w:vertAlign w:val="baseline"/>
        </w:rPr>
        <w:t>The</w:t>
      </w:r>
      <w:r>
        <w:rPr>
          <w:spacing w:val="-3"/>
          <w:vertAlign w:val="baseline"/>
        </w:rPr>
        <w:t> </w:t>
      </w:r>
      <w:r>
        <w:rPr>
          <w:vertAlign w:val="baseline"/>
        </w:rPr>
        <w:t>fact</w:t>
      </w:r>
      <w:r>
        <w:rPr>
          <w:spacing w:val="-3"/>
          <w:vertAlign w:val="baseline"/>
        </w:rPr>
        <w:t> </w:t>
      </w:r>
      <w:r>
        <w:rPr>
          <w:vertAlign w:val="baseline"/>
        </w:rPr>
        <w:t>that</w:t>
      </w:r>
      <w:r>
        <w:rPr>
          <w:spacing w:val="-3"/>
          <w:vertAlign w:val="baseline"/>
        </w:rPr>
        <w:t> </w:t>
      </w:r>
      <w:r>
        <w:rPr>
          <w:vertAlign w:val="baseline"/>
        </w:rPr>
        <w:t>a person pays “too much” or “too little” for a thing may be evidence of fraud </w:t>
      </w:r>
      <w:r>
        <w:rPr>
          <w:color w:val="005DA1"/>
          <w:u w:val="single" w:color="005DA1"/>
          <w:vertAlign w:val="superscript"/>
        </w:rPr>
        <w:t>74</w:t>
      </w:r>
      <w:r>
        <w:rPr>
          <w:color w:val="005DA1"/>
          <w:vertAlign w:val="baseline"/>
        </w:rPr>
        <w:t> </w:t>
      </w:r>
      <w:r>
        <w:rPr>
          <w:vertAlign w:val="baseline"/>
        </w:rPr>
        <w:t>or mistake, or it may induce the court to imply a term as to the quality of the subject-matter or be relevant to the question whether a contract has been frustrated. But it does not of itself affect the validity of the contract, so that</w:t>
      </w:r>
      <w:r>
        <w:rPr>
          <w:spacing w:val="-1"/>
          <w:vertAlign w:val="baseline"/>
        </w:rPr>
        <w:t> </w:t>
      </w:r>
      <w:r>
        <w:rPr>
          <w:vertAlign w:val="baseline"/>
        </w:rPr>
        <w:t>(for</w:t>
      </w:r>
      <w:r>
        <w:rPr>
          <w:spacing w:val="-1"/>
          <w:vertAlign w:val="baseline"/>
        </w:rPr>
        <w:t> </w:t>
      </w:r>
      <w:r>
        <w:rPr>
          <w:vertAlign w:val="baseline"/>
        </w:rPr>
        <w:t>example)</w:t>
      </w:r>
      <w:r>
        <w:rPr>
          <w:spacing w:val="-1"/>
          <w:vertAlign w:val="baseline"/>
        </w:rPr>
        <w:t> </w:t>
      </w:r>
      <w:r>
        <w:rPr>
          <w:vertAlign w:val="baseline"/>
        </w:rPr>
        <w:t>a</w:t>
      </w:r>
      <w:r>
        <w:rPr>
          <w:spacing w:val="-1"/>
          <w:vertAlign w:val="baseline"/>
        </w:rPr>
        <w:t> </w:t>
      </w:r>
      <w:r>
        <w:rPr>
          <w:vertAlign w:val="baseline"/>
        </w:rPr>
        <w:t>promise</w:t>
      </w:r>
      <w:r>
        <w:rPr>
          <w:spacing w:val="-1"/>
          <w:vertAlign w:val="baseline"/>
        </w:rPr>
        <w:t> </w:t>
      </w:r>
      <w:r>
        <w:rPr>
          <w:vertAlign w:val="baseline"/>
        </w:rPr>
        <w:t>by</w:t>
      </w:r>
      <w:r>
        <w:rPr>
          <w:spacing w:val="-1"/>
          <w:vertAlign w:val="baseline"/>
        </w:rPr>
        <w:t> </w:t>
      </w:r>
      <w:r>
        <w:rPr>
          <w:vertAlign w:val="baseline"/>
        </w:rPr>
        <w:t>an</w:t>
      </w:r>
      <w:r>
        <w:rPr>
          <w:spacing w:val="-1"/>
          <w:vertAlign w:val="baseline"/>
        </w:rPr>
        <w:t> </w:t>
      </w:r>
      <w:r>
        <w:rPr>
          <w:vertAlign w:val="baseline"/>
        </w:rPr>
        <w:t>employer</w:t>
      </w:r>
      <w:r>
        <w:rPr>
          <w:spacing w:val="-1"/>
          <w:vertAlign w:val="baseline"/>
        </w:rPr>
        <w:t> </w:t>
      </w:r>
      <w:r>
        <w:rPr>
          <w:vertAlign w:val="baseline"/>
        </w:rPr>
        <w:t>to</w:t>
      </w:r>
      <w:r>
        <w:rPr>
          <w:spacing w:val="-1"/>
          <w:vertAlign w:val="baseline"/>
        </w:rPr>
        <w:t> </w:t>
      </w:r>
      <w:r>
        <w:rPr>
          <w:vertAlign w:val="baseline"/>
        </w:rPr>
        <w:t>make</w:t>
      </w:r>
      <w:r>
        <w:rPr>
          <w:spacing w:val="-1"/>
          <w:vertAlign w:val="baseline"/>
        </w:rPr>
        <w:t> </w:t>
      </w:r>
      <w:r>
        <w:rPr>
          <w:vertAlign w:val="baseline"/>
        </w:rPr>
        <w:t>a</w:t>
      </w:r>
      <w:r>
        <w:rPr>
          <w:spacing w:val="-1"/>
          <w:vertAlign w:val="baseline"/>
        </w:rPr>
        <w:t> </w:t>
      </w:r>
      <w:r>
        <w:rPr>
          <w:vertAlign w:val="baseline"/>
        </w:rPr>
        <w:t>payment</w:t>
      </w:r>
      <w:r>
        <w:rPr>
          <w:spacing w:val="-1"/>
          <w:vertAlign w:val="baseline"/>
        </w:rPr>
        <w:t> </w:t>
      </w:r>
      <w:r>
        <w:rPr>
          <w:vertAlign w:val="baseline"/>
        </w:rPr>
        <w:t>to</w:t>
      </w:r>
      <w:r>
        <w:rPr>
          <w:spacing w:val="-1"/>
          <w:vertAlign w:val="baseline"/>
        </w:rPr>
        <w:t> </w:t>
      </w:r>
      <w:r>
        <w:rPr>
          <w:vertAlign w:val="baseline"/>
        </w:rPr>
        <w:t>an</w:t>
      </w:r>
      <w:r>
        <w:rPr>
          <w:spacing w:val="-1"/>
          <w:vertAlign w:val="baseline"/>
        </w:rPr>
        <w:t> </w:t>
      </w:r>
      <w:r>
        <w:rPr>
          <w:vertAlign w:val="baseline"/>
        </w:rPr>
        <w:t>employee</w:t>
      </w:r>
      <w:r>
        <w:rPr>
          <w:spacing w:val="-1"/>
          <w:vertAlign w:val="baseline"/>
        </w:rPr>
        <w:t> </w:t>
      </w:r>
      <w:r>
        <w:rPr>
          <w:vertAlign w:val="baseline"/>
        </w:rPr>
        <w:t>under</w:t>
      </w:r>
      <w:r>
        <w:rPr>
          <w:spacing w:val="-1"/>
          <w:vertAlign w:val="baseline"/>
        </w:rPr>
        <w:t> </w:t>
      </w:r>
      <w:r>
        <w:rPr>
          <w:vertAlign w:val="baseline"/>
        </w:rPr>
        <w:t>a</w:t>
      </w:r>
      <w:r>
        <w:rPr>
          <w:spacing w:val="-1"/>
          <w:vertAlign w:val="baseline"/>
        </w:rPr>
        <w:t> </w:t>
      </w:r>
      <w:r>
        <w:rPr>
          <w:vertAlign w:val="baseline"/>
        </w:rPr>
        <w:t>compromise agreement</w:t>
      </w:r>
      <w:r>
        <w:rPr>
          <w:spacing w:val="-2"/>
          <w:vertAlign w:val="baseline"/>
        </w:rPr>
        <w:t> </w:t>
      </w:r>
      <w:r>
        <w:rPr>
          <w:vertAlign w:val="baseline"/>
        </w:rPr>
        <w:t>would</w:t>
      </w:r>
      <w:r>
        <w:rPr>
          <w:spacing w:val="-2"/>
          <w:vertAlign w:val="baseline"/>
        </w:rPr>
        <w:t> </w:t>
      </w:r>
      <w:r>
        <w:rPr>
          <w:vertAlign w:val="baseline"/>
        </w:rPr>
        <w:t>not</w:t>
      </w:r>
      <w:r>
        <w:rPr>
          <w:spacing w:val="-2"/>
          <w:vertAlign w:val="baseline"/>
        </w:rPr>
        <w:t> </w:t>
      </w:r>
      <w:r>
        <w:rPr>
          <w:vertAlign w:val="baseline"/>
        </w:rPr>
        <w:t>be</w:t>
      </w:r>
      <w:r>
        <w:rPr>
          <w:spacing w:val="-2"/>
          <w:vertAlign w:val="baseline"/>
        </w:rPr>
        <w:t> </w:t>
      </w:r>
      <w:r>
        <w:rPr>
          <w:vertAlign w:val="baseline"/>
        </w:rPr>
        <w:t>invalid</w:t>
      </w:r>
      <w:r>
        <w:rPr>
          <w:spacing w:val="-2"/>
          <w:vertAlign w:val="baseline"/>
        </w:rPr>
        <w:t> </w:t>
      </w:r>
      <w:r>
        <w:rPr>
          <w:vertAlign w:val="baseline"/>
        </w:rPr>
        <w:t>merely</w:t>
      </w:r>
      <w:r>
        <w:rPr>
          <w:spacing w:val="-2"/>
          <w:vertAlign w:val="baseline"/>
        </w:rPr>
        <w:t> </w:t>
      </w:r>
      <w:r>
        <w:rPr>
          <w:vertAlign w:val="baseline"/>
        </w:rPr>
        <w:t>because</w:t>
      </w:r>
      <w:r>
        <w:rPr>
          <w:spacing w:val="-2"/>
          <w:vertAlign w:val="baseline"/>
        </w:rPr>
        <w:t> </w:t>
      </w:r>
      <w:r>
        <w:rPr>
          <w:vertAlign w:val="baseline"/>
        </w:rPr>
        <w:t>the</w:t>
      </w:r>
      <w:r>
        <w:rPr>
          <w:spacing w:val="-2"/>
          <w:vertAlign w:val="baseline"/>
        </w:rPr>
        <w:t> </w:t>
      </w:r>
      <w:r>
        <w:rPr>
          <w:vertAlign w:val="baseline"/>
        </w:rPr>
        <w:t>amount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payment</w:t>
      </w:r>
      <w:r>
        <w:rPr>
          <w:spacing w:val="-2"/>
          <w:vertAlign w:val="baseline"/>
        </w:rPr>
        <w:t> </w:t>
      </w:r>
      <w:r>
        <w:rPr>
          <w:vertAlign w:val="baseline"/>
        </w:rPr>
        <w:t>was</w:t>
      </w:r>
      <w:r>
        <w:rPr>
          <w:spacing w:val="-2"/>
          <w:vertAlign w:val="baseline"/>
        </w:rPr>
        <w:t> </w:t>
      </w:r>
      <w:r>
        <w:rPr>
          <w:vertAlign w:val="baseline"/>
        </w:rPr>
        <w:t>irrationally</w:t>
      </w:r>
      <w:r>
        <w:rPr>
          <w:spacing w:val="-2"/>
          <w:vertAlign w:val="baseline"/>
        </w:rPr>
        <w:t> </w:t>
      </w:r>
      <w:r>
        <w:rPr>
          <w:vertAlign w:val="baseline"/>
        </w:rPr>
        <w:t>generous. This factor might, indeed, where the employer was a public authority, make such a promise void on </w:t>
      </w:r>
      <w:bookmarkStart w:name="_bookmark130" w:id="132"/>
      <w:bookmarkEnd w:id="132"/>
      <w:r>
        <w:rPr>
          <w:vertAlign w:val="baseline"/>
        </w:rPr>
        <w:t>the</w:t>
      </w:r>
      <w:r>
        <w:rPr>
          <w:vertAlign w:val="baseline"/>
        </w:rPr>
        <w:t> ground that such an authority is “constrained by a general duty arising in public law not to conduct itself in a way which may be described as ‘irrationally generous’.” </w:t>
      </w:r>
      <w:r>
        <w:rPr>
          <w:color w:val="005DA1"/>
          <w:u w:val="single" w:color="005DA1"/>
          <w:vertAlign w:val="superscript"/>
        </w:rPr>
        <w:t>75</w:t>
      </w:r>
      <w:r>
        <w:rPr>
          <w:color w:val="005DA1"/>
          <w:vertAlign w:val="baseline"/>
        </w:rPr>
        <w:t> </w:t>
      </w:r>
      <w:r>
        <w:rPr>
          <w:vertAlign w:val="baseline"/>
        </w:rPr>
        <w:t>But the courts are reluctant to allow</w:t>
      </w:r>
      <w:r>
        <w:rPr>
          <w:spacing w:val="-2"/>
          <w:vertAlign w:val="baseline"/>
        </w:rPr>
        <w:t> </w:t>
      </w:r>
      <w:r>
        <w:rPr>
          <w:vertAlign w:val="baseline"/>
        </w:rPr>
        <w:t>such</w:t>
      </w:r>
      <w:r>
        <w:rPr>
          <w:spacing w:val="-2"/>
          <w:vertAlign w:val="baseline"/>
        </w:rPr>
        <w:t> </w:t>
      </w:r>
      <w:r>
        <w:rPr>
          <w:vertAlign w:val="baseline"/>
        </w:rPr>
        <w:t>a</w:t>
      </w:r>
      <w:r>
        <w:rPr>
          <w:spacing w:val="-2"/>
          <w:vertAlign w:val="baseline"/>
        </w:rPr>
        <w:t> </w:t>
      </w:r>
      <w:r>
        <w:rPr>
          <w:vertAlign w:val="baseline"/>
        </w:rPr>
        <w:t>body</w:t>
      </w:r>
      <w:r>
        <w:rPr>
          <w:spacing w:val="-2"/>
          <w:vertAlign w:val="baseline"/>
        </w:rPr>
        <w:t> </w:t>
      </w:r>
      <w:r>
        <w:rPr>
          <w:vertAlign w:val="baseline"/>
        </w:rPr>
        <w:t>to</w:t>
      </w:r>
      <w:r>
        <w:rPr>
          <w:spacing w:val="-2"/>
          <w:vertAlign w:val="baseline"/>
        </w:rPr>
        <w:t> </w:t>
      </w:r>
      <w:r>
        <w:rPr>
          <w:vertAlign w:val="baseline"/>
        </w:rPr>
        <w:t>rely</w:t>
      </w:r>
      <w:r>
        <w:rPr>
          <w:spacing w:val="-2"/>
          <w:vertAlign w:val="baseline"/>
        </w:rPr>
        <w:t> </w:t>
      </w:r>
      <w:r>
        <w:rPr>
          <w:vertAlign w:val="baseline"/>
        </w:rPr>
        <w:t>on</w:t>
      </w:r>
      <w:r>
        <w:rPr>
          <w:spacing w:val="-2"/>
          <w:vertAlign w:val="baseline"/>
        </w:rPr>
        <w:t> </w:t>
      </w:r>
      <w:r>
        <w:rPr>
          <w:vertAlign w:val="baseline"/>
        </w:rPr>
        <w:t>its</w:t>
      </w:r>
      <w:r>
        <w:rPr>
          <w:spacing w:val="-2"/>
          <w:vertAlign w:val="baseline"/>
        </w:rPr>
        <w:t> </w:t>
      </w:r>
      <w:r>
        <w:rPr>
          <w:vertAlign w:val="baseline"/>
        </w:rPr>
        <w:t>own</w:t>
      </w:r>
      <w:r>
        <w:rPr>
          <w:spacing w:val="-2"/>
          <w:vertAlign w:val="baseline"/>
        </w:rPr>
        <w:t> </w:t>
      </w:r>
      <w:r>
        <w:rPr>
          <w:vertAlign w:val="baseline"/>
        </w:rPr>
        <w:t>irrationality</w:t>
      </w:r>
      <w:r>
        <w:rPr>
          <w:spacing w:val="-2"/>
          <w:vertAlign w:val="baseline"/>
        </w:rPr>
        <w:t> </w:t>
      </w:r>
      <w:r>
        <w:rPr>
          <w:vertAlign w:val="baseline"/>
        </w:rPr>
        <w:t>“to</w:t>
      </w:r>
      <w:r>
        <w:rPr>
          <w:spacing w:val="-2"/>
          <w:vertAlign w:val="baseline"/>
        </w:rPr>
        <w:t> </w:t>
      </w:r>
      <w:r>
        <w:rPr>
          <w:vertAlign w:val="baseline"/>
        </w:rPr>
        <w:t>escape</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coils</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contractual</w:t>
      </w:r>
      <w:r>
        <w:rPr>
          <w:spacing w:val="-2"/>
          <w:vertAlign w:val="baseline"/>
        </w:rPr>
        <w:t> </w:t>
      </w:r>
      <w:r>
        <w:rPr>
          <w:vertAlign w:val="baseline"/>
        </w:rPr>
        <w:t>obligation</w:t>
      </w:r>
      <w:r>
        <w:rPr>
          <w:spacing w:val="-2"/>
          <w:vertAlign w:val="baseline"/>
        </w:rPr>
        <w:t> </w:t>
      </w:r>
      <w:r>
        <w:rPr>
          <w:vertAlign w:val="baseline"/>
        </w:rPr>
        <w:t>by suggesting that it could not rationally have signed up to it”; and they have given effect to this </w:t>
      </w:r>
      <w:bookmarkStart w:name="_bookmark131" w:id="133"/>
      <w:bookmarkEnd w:id="133"/>
      <w:r>
        <w:rPr>
          <w:vertAlign w:val="baseline"/>
        </w:rPr>
        <w:t>reluctance</w:t>
      </w:r>
      <w:r>
        <w:rPr>
          <w:vertAlign w:val="baseline"/>
        </w:rPr>
        <w:t> by insisting, not only that the burden on the issue of irrationality rests on the authority, but also that this burden is “a heavy one indeed.” </w:t>
      </w:r>
      <w:r>
        <w:rPr>
          <w:color w:val="005DA1"/>
          <w:u w:val="single" w:color="005DA1"/>
          <w:vertAlign w:val="superscript"/>
        </w:rPr>
        <w:t>76</w:t>
      </w:r>
    </w:p>
    <w:p>
      <w:pPr>
        <w:pStyle w:val="BodyText"/>
        <w:spacing w:before="204"/>
      </w:pPr>
    </w:p>
    <w:p>
      <w:pPr>
        <w:pStyle w:val="BodyText"/>
        <w:spacing w:line="235" w:lineRule="auto"/>
        <w:ind w:left="165" w:right="167"/>
        <w:jc w:val="both"/>
      </w:pPr>
      <w:r>
        <w:rPr>
          <w:position w:val="-2"/>
        </w:rPr>
        <w:drawing>
          <wp:inline distT="0" distB="0" distL="0" distR="0">
            <wp:extent cx="107988" cy="107988"/>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w:t>
      </w:r>
      <w:r>
        <w:rPr>
          <w:spacing w:val="-1"/>
        </w:rPr>
        <w:t> </w:t>
      </w:r>
      <w:r>
        <w:rPr/>
        <w:t>principle</w:t>
      </w:r>
      <w:r>
        <w:rPr>
          <w:spacing w:val="-1"/>
        </w:rPr>
        <w:t> </w:t>
      </w:r>
      <w:r>
        <w:rPr/>
        <w:t>that</w:t>
      </w:r>
      <w:r>
        <w:rPr>
          <w:spacing w:val="-1"/>
        </w:rPr>
        <w:t> </w:t>
      </w:r>
      <w:r>
        <w:rPr/>
        <w:t>the</w:t>
      </w:r>
      <w:r>
        <w:rPr>
          <w:spacing w:val="-1"/>
        </w:rPr>
        <w:t> </w:t>
      </w:r>
      <w:r>
        <w:rPr/>
        <w:t>courts</w:t>
      </w:r>
      <w:r>
        <w:rPr>
          <w:spacing w:val="-1"/>
        </w:rPr>
        <w:t> </w:t>
      </w:r>
      <w:r>
        <w:rPr/>
        <w:t>are</w:t>
      </w:r>
      <w:r>
        <w:rPr>
          <w:spacing w:val="-1"/>
        </w:rPr>
        <w:t> </w:t>
      </w:r>
      <w:r>
        <w:rPr/>
        <w:t>not</w:t>
      </w:r>
      <w:r>
        <w:rPr>
          <w:spacing w:val="-1"/>
        </w:rPr>
        <w:t> </w:t>
      </w:r>
      <w:r>
        <w:rPr/>
        <w:t>generally</w:t>
      </w:r>
      <w:r>
        <w:rPr>
          <w:spacing w:val="-1"/>
        </w:rPr>
        <w:t> </w:t>
      </w:r>
      <w:r>
        <w:rPr/>
        <w:t>concerned</w:t>
      </w:r>
      <w:r>
        <w:rPr>
          <w:spacing w:val="-1"/>
        </w:rPr>
        <w:t> </w:t>
      </w:r>
      <w:r>
        <w:rPr/>
        <w:t>with</w:t>
      </w:r>
      <w:r>
        <w:rPr>
          <w:spacing w:val="-1"/>
        </w:rPr>
        <w:t> </w:t>
      </w:r>
      <w:r>
        <w:rPr/>
        <w:t>the</w:t>
      </w:r>
      <w:r>
        <w:rPr>
          <w:spacing w:val="-1"/>
        </w:rPr>
        <w:t> </w:t>
      </w:r>
      <w:r>
        <w:rPr/>
        <w:t>adequacy</w:t>
      </w:r>
      <w:r>
        <w:rPr>
          <w:spacing w:val="-1"/>
        </w:rPr>
        <w:t> </w:t>
      </w:r>
      <w:r>
        <w:rPr/>
        <w:t>of</w:t>
      </w:r>
      <w:r>
        <w:rPr>
          <w:spacing w:val="-1"/>
        </w:rPr>
        <w:t> </w:t>
      </w:r>
      <w:r>
        <w:rPr/>
        <w:t>consideration</w:t>
      </w:r>
      <w:r>
        <w:rPr>
          <w:spacing w:val="-1"/>
        </w:rPr>
        <w:t> </w:t>
      </w:r>
      <w:r>
        <w:rPr/>
        <w:t>is</w:t>
      </w:r>
      <w:r>
        <w:rPr>
          <w:spacing w:val="-1"/>
        </w:rPr>
        <w:t> </w:t>
      </w:r>
      <w:r>
        <w:rPr/>
        <w:t>also </w:t>
      </w:r>
      <w:bookmarkStart w:name="_bookmark132" w:id="134"/>
      <w:bookmarkEnd w:id="134"/>
      <w:r>
        <w:rPr/>
        <w:t>recognised</w:t>
      </w:r>
      <w:r>
        <w:rPr/>
        <w:t> by the Consumer Rights Act 2015, by s.62(1) of which “unfair terms” in a “consumer </w:t>
      </w:r>
      <w:bookmarkStart w:name="_bookmark133" w:id="135"/>
      <w:bookmarkEnd w:id="135"/>
      <w:r>
        <w:rPr/>
        <w:t>contract”,</w:t>
      </w:r>
      <w:r>
        <w:rPr/>
        <w:t> </w:t>
      </w:r>
      <w:r>
        <w:rPr>
          <w:color w:val="005DA1"/>
          <w:u w:val="single" w:color="005DA1"/>
          <w:vertAlign w:val="superscript"/>
        </w:rPr>
        <w:t>77</w:t>
      </w:r>
      <w:r>
        <w:rPr>
          <w:color w:val="005DA1"/>
          <w:vertAlign w:val="baseline"/>
        </w:rPr>
        <w:t> </w:t>
      </w:r>
      <w:r>
        <w:rPr>
          <w:vertAlign w:val="baseline"/>
        </w:rPr>
        <w:t>i.e. to one between a “trader” and a “consumer” </w:t>
      </w:r>
      <w:r>
        <w:rPr>
          <w:color w:val="005DA1"/>
          <w:u w:val="single" w:color="005DA1"/>
          <w:vertAlign w:val="superscript"/>
        </w:rPr>
        <w:t>78</w:t>
      </w:r>
      <w:r>
        <w:rPr>
          <w:color w:val="005DA1"/>
          <w:vertAlign w:val="baseline"/>
        </w:rPr>
        <w:t> </w:t>
      </w:r>
      <w:r>
        <w:rPr>
          <w:vertAlign w:val="baseline"/>
        </w:rPr>
        <w:t>is “not binding” on the consumer.” </w:t>
      </w:r>
      <w:r>
        <w:rPr>
          <w:color w:val="005DA1"/>
          <w:u w:val="single" w:color="005DA1"/>
          <w:vertAlign w:val="superscript"/>
        </w:rPr>
        <w:t>79</w:t>
      </w:r>
      <w:r>
        <w:rPr>
          <w:color w:val="005DA1"/>
          <w:vertAlign w:val="baseline"/>
        </w:rPr>
        <w:t> </w:t>
      </w:r>
      <w:r>
        <w:rPr>
          <w:vertAlign w:val="baseline"/>
        </w:rPr>
        <w:t>Our present concern is with s.64(1)(b) </w:t>
      </w:r>
      <w:r>
        <w:rPr>
          <w:color w:val="005DA1"/>
          <w:u w:val="single" w:color="005DA1"/>
          <w:vertAlign w:val="superscript"/>
        </w:rPr>
        <w:t>80</w:t>
      </w:r>
      <w:r>
        <w:rPr>
          <w:color w:val="005DA1"/>
          <w:vertAlign w:val="baseline"/>
        </w:rPr>
        <w:t> </w:t>
      </w:r>
      <w:r>
        <w:rPr>
          <w:vertAlign w:val="baseline"/>
        </w:rPr>
        <w:t>by which a term “may not be assessed for fairness under section 62 to the extent that … the assessment is of the appropriateness of the price payable under </w:t>
      </w:r>
      <w:bookmarkStart w:name="_bookmark134" w:id="136"/>
      <w:bookmarkEnd w:id="136"/>
      <w:r>
        <w:rPr>
          <w:vertAlign w:val="baseline"/>
        </w:rPr>
        <w:t>the</w:t>
      </w:r>
      <w:r>
        <w:rPr>
          <w:spacing w:val="-1"/>
          <w:vertAlign w:val="baseline"/>
        </w:rPr>
        <w:t> </w:t>
      </w:r>
      <w:r>
        <w:rPr>
          <w:vertAlign w:val="baseline"/>
        </w:rPr>
        <w:t>contract</w:t>
      </w:r>
      <w:r>
        <w:rPr>
          <w:spacing w:val="-1"/>
          <w:vertAlign w:val="baseline"/>
        </w:rPr>
        <w:t> </w:t>
      </w:r>
      <w:r>
        <w:rPr>
          <w:vertAlign w:val="baseline"/>
        </w:rPr>
        <w:t>by</w:t>
      </w:r>
      <w:r>
        <w:rPr>
          <w:spacing w:val="-1"/>
          <w:vertAlign w:val="baseline"/>
        </w:rPr>
        <w:t> </w:t>
      </w:r>
      <w:r>
        <w:rPr>
          <w:vertAlign w:val="baseline"/>
        </w:rPr>
        <w:t>comparison</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goods,</w:t>
      </w:r>
      <w:r>
        <w:rPr>
          <w:spacing w:val="-1"/>
          <w:vertAlign w:val="baseline"/>
        </w:rPr>
        <w:t> </w:t>
      </w:r>
      <w:r>
        <w:rPr>
          <w:vertAlign w:val="baseline"/>
        </w:rPr>
        <w:t>digital</w:t>
      </w:r>
      <w:r>
        <w:rPr>
          <w:spacing w:val="-1"/>
          <w:vertAlign w:val="baseline"/>
        </w:rPr>
        <w:t> </w:t>
      </w:r>
      <w:r>
        <w:rPr>
          <w:vertAlign w:val="baseline"/>
        </w:rPr>
        <w:t>content</w:t>
      </w:r>
      <w:r>
        <w:rPr>
          <w:spacing w:val="-1"/>
          <w:vertAlign w:val="baseline"/>
        </w:rPr>
        <w:t> </w:t>
      </w:r>
      <w:r>
        <w:rPr>
          <w:vertAlign w:val="baseline"/>
        </w:rPr>
        <w:t>or</w:t>
      </w:r>
      <w:r>
        <w:rPr>
          <w:spacing w:val="-1"/>
          <w:vertAlign w:val="baseline"/>
        </w:rPr>
        <w:t> </w:t>
      </w:r>
      <w:r>
        <w:rPr>
          <w:vertAlign w:val="baseline"/>
        </w:rPr>
        <w:t>services</w:t>
      </w:r>
      <w:r>
        <w:rPr>
          <w:spacing w:val="-1"/>
          <w:vertAlign w:val="baseline"/>
        </w:rPr>
        <w:t> </w:t>
      </w:r>
      <w:r>
        <w:rPr>
          <w:vertAlign w:val="baseline"/>
        </w:rPr>
        <w:t>supplied</w:t>
      </w:r>
      <w:r>
        <w:rPr>
          <w:spacing w:val="-1"/>
          <w:vertAlign w:val="baseline"/>
        </w:rPr>
        <w:t> </w:t>
      </w:r>
      <w:r>
        <w:rPr>
          <w:vertAlign w:val="baseline"/>
        </w:rPr>
        <w:t>under</w:t>
      </w:r>
      <w:r>
        <w:rPr>
          <w:spacing w:val="-1"/>
          <w:vertAlign w:val="baseline"/>
        </w:rPr>
        <w:t> </w:t>
      </w:r>
      <w:r>
        <w:rPr>
          <w:vertAlign w:val="baseline"/>
        </w:rPr>
        <w:t>it.”</w:t>
      </w:r>
      <w:r>
        <w:rPr>
          <w:spacing w:val="-1"/>
          <w:vertAlign w:val="baseline"/>
        </w:rPr>
        <w:t> </w:t>
      </w:r>
      <w:r>
        <w:rPr>
          <w:vertAlign w:val="baseline"/>
        </w:rPr>
        <w:t>For</w:t>
      </w:r>
      <w:r>
        <w:rPr>
          <w:spacing w:val="-1"/>
          <w:vertAlign w:val="baseline"/>
        </w:rPr>
        <w:t> </w:t>
      </w:r>
      <w:r>
        <w:rPr>
          <w:vertAlign w:val="baseline"/>
        </w:rPr>
        <w:t>contracts </w:t>
      </w:r>
      <w:bookmarkStart w:name="_bookmark135" w:id="137"/>
      <w:bookmarkEnd w:id="137"/>
      <w:r>
        <w:rPr>
          <w:vertAlign w:val="baseline"/>
        </w:rPr>
        <w:t>made</w:t>
      </w:r>
      <w:r>
        <w:rPr>
          <w:spacing w:val="35"/>
          <w:vertAlign w:val="baseline"/>
        </w:rPr>
        <w:t> </w:t>
      </w:r>
      <w:r>
        <w:rPr>
          <w:vertAlign w:val="baseline"/>
        </w:rPr>
        <w:t>on</w:t>
      </w:r>
      <w:r>
        <w:rPr>
          <w:spacing w:val="35"/>
          <w:vertAlign w:val="baseline"/>
        </w:rPr>
        <w:t> </w:t>
      </w:r>
      <w:r>
        <w:rPr>
          <w:vertAlign w:val="baseline"/>
        </w:rPr>
        <w:t>or</w:t>
      </w:r>
      <w:r>
        <w:rPr>
          <w:spacing w:val="35"/>
          <w:vertAlign w:val="baseline"/>
        </w:rPr>
        <w:t> </w:t>
      </w:r>
      <w:r>
        <w:rPr>
          <w:vertAlign w:val="baseline"/>
        </w:rPr>
        <w:t>after</w:t>
      </w:r>
      <w:r>
        <w:rPr>
          <w:spacing w:val="36"/>
          <w:vertAlign w:val="baseline"/>
        </w:rPr>
        <w:t> </w:t>
      </w:r>
      <w:r>
        <w:rPr>
          <w:vertAlign w:val="baseline"/>
        </w:rPr>
        <w:t>October</w:t>
      </w:r>
      <w:r>
        <w:rPr>
          <w:spacing w:val="35"/>
          <w:vertAlign w:val="baseline"/>
        </w:rPr>
        <w:t> </w:t>
      </w:r>
      <w:r>
        <w:rPr>
          <w:vertAlign w:val="baseline"/>
        </w:rPr>
        <w:t>1,</w:t>
      </w:r>
      <w:r>
        <w:rPr>
          <w:spacing w:val="35"/>
          <w:vertAlign w:val="baseline"/>
        </w:rPr>
        <w:t> </w:t>
      </w:r>
      <w:r>
        <w:rPr>
          <w:vertAlign w:val="baseline"/>
        </w:rPr>
        <w:t>2015</w:t>
      </w:r>
      <w:r>
        <w:rPr>
          <w:spacing w:val="35"/>
          <w:vertAlign w:val="baseline"/>
        </w:rPr>
        <w:t> </w:t>
      </w:r>
      <w:r>
        <w:rPr>
          <w:color w:val="005DA1"/>
          <w:u w:val="single" w:color="005DA1"/>
          <w:vertAlign w:val="superscript"/>
        </w:rPr>
        <w:t>81</w:t>
      </w:r>
      <w:r>
        <w:rPr>
          <w:color w:val="005DA1"/>
          <w:spacing w:val="35"/>
          <w:vertAlign w:val="baseline"/>
        </w:rPr>
        <w:t> </w:t>
      </w:r>
      <w:r>
        <w:rPr>
          <w:vertAlign w:val="baseline"/>
        </w:rPr>
        <w:t>this</w:t>
      </w:r>
      <w:r>
        <w:rPr>
          <w:spacing w:val="35"/>
          <w:vertAlign w:val="baseline"/>
        </w:rPr>
        <w:t> </w:t>
      </w:r>
      <w:r>
        <w:rPr>
          <w:vertAlign w:val="baseline"/>
        </w:rPr>
        <w:t>provision</w:t>
      </w:r>
      <w:r>
        <w:rPr>
          <w:spacing w:val="36"/>
          <w:vertAlign w:val="baseline"/>
        </w:rPr>
        <w:t> </w:t>
      </w:r>
      <w:r>
        <w:rPr>
          <w:vertAlign w:val="baseline"/>
        </w:rPr>
        <w:t>will</w:t>
      </w:r>
      <w:r>
        <w:rPr>
          <w:spacing w:val="35"/>
          <w:vertAlign w:val="baseline"/>
        </w:rPr>
        <w:t> </w:t>
      </w:r>
      <w:r>
        <w:rPr>
          <w:vertAlign w:val="baseline"/>
        </w:rPr>
        <w:t>replace</w:t>
      </w:r>
      <w:r>
        <w:rPr>
          <w:spacing w:val="35"/>
          <w:vertAlign w:val="baseline"/>
        </w:rPr>
        <w:t> </w:t>
      </w:r>
      <w:r>
        <w:rPr>
          <w:vertAlign w:val="baseline"/>
        </w:rPr>
        <w:t>reg.6(2)(b)</w:t>
      </w:r>
      <w:r>
        <w:rPr>
          <w:spacing w:val="36"/>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Unfair</w:t>
      </w:r>
      <w:r>
        <w:rPr>
          <w:spacing w:val="36"/>
          <w:vertAlign w:val="baseline"/>
        </w:rPr>
        <w:t> </w:t>
      </w:r>
      <w:r>
        <w:rPr>
          <w:vertAlign w:val="baseline"/>
        </w:rPr>
        <w:t>Terms</w:t>
      </w:r>
      <w:r>
        <w:rPr>
          <w:spacing w:val="35"/>
          <w:vertAlign w:val="baseline"/>
        </w:rPr>
        <w:t> </w:t>
      </w:r>
      <w:r>
        <w:rPr>
          <w:spacing w:val="-5"/>
          <w:vertAlign w:val="baseline"/>
        </w:rPr>
        <w:t>in</w:t>
      </w:r>
    </w:p>
    <w:p>
      <w:pPr>
        <w:pStyle w:val="BodyText"/>
        <w:spacing w:line="235" w:lineRule="auto" w:before="117"/>
        <w:ind w:left="164" w:right="167"/>
        <w:jc w:val="both"/>
      </w:pPr>
      <w:r>
        <w:rPr/>
        <w:t>Consumer Contracts Regulations 1999, </w:t>
      </w:r>
      <w:r>
        <w:rPr>
          <w:color w:val="005DA1"/>
          <w:u w:val="single" w:color="005DA1"/>
          <w:vertAlign w:val="superscript"/>
        </w:rPr>
        <w:t>82</w:t>
      </w:r>
      <w:r>
        <w:rPr>
          <w:color w:val="005DA1"/>
          <w:spacing w:val="80"/>
          <w:vertAlign w:val="baseline"/>
        </w:rPr>
        <w:t> </w:t>
      </w:r>
      <w:r>
        <w:rPr>
          <w:color w:val="005DA1"/>
          <w:spacing w:val="26"/>
          <w:position w:val="-2"/>
          <w:vertAlign w:val="baseline"/>
        </w:rPr>
        <w:drawing>
          <wp:inline distT="0" distB="0" distL="0" distR="0">
            <wp:extent cx="107988" cy="107988"/>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hAnsi="Times New Roman"/>
          <w:color w:val="005DA1"/>
          <w:spacing w:val="-13"/>
          <w:vertAlign w:val="baseline"/>
        </w:rPr>
        <w:t> </w:t>
      </w:r>
      <w:r>
        <w:rPr>
          <w:vertAlign w:val="baseline"/>
        </w:rPr>
        <w:t>though the wording of s.64(1)(b) differs in a number of respects from that of reg.6(2)(b) of the 1999 Regulations: in particular reg.6(2)(b) uses the </w:t>
      </w:r>
      <w:r>
        <w:rPr>
          <w:vertAlign w:val="baseline"/>
        </w:rPr>
        <w:t>phrase</w:t>
      </w:r>
      <w:r>
        <w:rPr>
          <w:spacing w:val="80"/>
          <w:vertAlign w:val="baseline"/>
        </w:rPr>
        <w:t> </w:t>
      </w:r>
      <w:r>
        <w:rPr>
          <w:vertAlign w:val="baseline"/>
        </w:rPr>
        <w:t>“the adequacy of the price” where s.64(1)(b) refers to “the appropriateness of the price.” The Act is thus less clearly linked (than the Regulations are) to the present discussion of adequacy of consideration; but it is arguable that “adequacy” is an aspect, even if it is not the sole aspect, of “appropriateness.” To this extent, it remains arguable that a term would not be “unfair” within the Act </w:t>
      </w:r>
      <w:bookmarkStart w:name="_bookmark136" w:id="138"/>
      <w:bookmarkEnd w:id="138"/>
      <w:r>
        <w:rPr>
          <w:vertAlign w:val="baseline"/>
        </w:rPr>
        <w:t>merely</w:t>
      </w:r>
      <w:r>
        <w:rPr>
          <w:vertAlign w:val="baseline"/>
        </w:rPr>
        <w:t> because it required the consumer to pay “too much” for what had been supplied to him under the contract; and that judicial discussions of this point under reg.6(2)(b) </w:t>
      </w:r>
      <w:r>
        <w:rPr>
          <w:color w:val="005DA1"/>
          <w:u w:val="single" w:color="005DA1"/>
          <w:vertAlign w:val="superscript"/>
        </w:rPr>
        <w:t>83</w:t>
      </w:r>
      <w:r>
        <w:rPr>
          <w:color w:val="005DA1"/>
          <w:vertAlign w:val="baseline"/>
        </w:rPr>
        <w:t> </w:t>
      </w:r>
      <w:r>
        <w:rPr>
          <w:vertAlign w:val="baseline"/>
        </w:rPr>
        <w:t>can be taken into account</w:t>
      </w:r>
      <w:r>
        <w:rPr>
          <w:spacing w:val="40"/>
          <w:vertAlign w:val="baseline"/>
        </w:rPr>
        <w:t> </w:t>
      </w:r>
      <w:bookmarkStart w:name="_bookmark137" w:id="139"/>
      <w:bookmarkEnd w:id="139"/>
      <w:r>
        <w:rPr>
          <w:vertAlign w:val="baseline"/>
        </w:rPr>
        <w:t>in</w:t>
      </w:r>
      <w:r>
        <w:rPr>
          <w:vertAlign w:val="baseline"/>
        </w:rPr>
        <w:t> cases concerned with the scope of s.64(1)(b). For example, in </w:t>
      </w:r>
      <w:r>
        <w:rPr>
          <w:rFonts w:ascii="Arial" w:hAnsi="Arial"/>
          <w:i/>
          <w:vertAlign w:val="baseline"/>
        </w:rPr>
        <w:t>Office of Fair Trading v Abbey National plc </w:t>
      </w:r>
      <w:r>
        <w:rPr>
          <w:color w:val="005DA1"/>
          <w:u w:val="single" w:color="005DA1"/>
          <w:vertAlign w:val="superscript"/>
        </w:rPr>
        <w:t>84</w:t>
      </w:r>
      <w:r>
        <w:rPr>
          <w:color w:val="005DA1"/>
          <w:vertAlign w:val="baseline"/>
        </w:rPr>
        <w:t> </w:t>
      </w:r>
      <w:r>
        <w:rPr>
          <w:vertAlign w:val="baseline"/>
        </w:rPr>
        <w:t>terms in contracts between banks and consumers who were current account holders specified the level of charges payable in respect of unauthorised overdrafts. It was held that these terms were protected from challenge under the 1999 Regulations by reg.6(2)(b); and it seems that they could similarly be protected by s.64(1)(b) of the Act from challenge under its s.62(1). The case is also of interest in the context of the </w:t>
      </w:r>
      <w:r>
        <w:rPr>
          <w:rFonts w:ascii="Arial" w:hAnsi="Arial"/>
          <w:i/>
          <w:vertAlign w:val="baseline"/>
        </w:rPr>
        <w:t>common law </w:t>
      </w:r>
      <w:r>
        <w:rPr>
          <w:vertAlign w:val="baseline"/>
        </w:rPr>
        <w:t>principle that the law does not normally concern</w:t>
      </w:r>
      <w:r>
        <w:rPr>
          <w:spacing w:val="40"/>
          <w:vertAlign w:val="baseline"/>
        </w:rPr>
        <w:t> </w:t>
      </w:r>
      <w:r>
        <w:rPr>
          <w:vertAlign w:val="baseline"/>
        </w:rPr>
        <w:t>itself with the “adequacy” of consideration. Lord Walker S.C.J. said that “the most important element</w:t>
      </w:r>
      <w:r>
        <w:rPr>
          <w:spacing w:val="40"/>
          <w:vertAlign w:val="baseline"/>
        </w:rPr>
        <w:t> </w:t>
      </w:r>
      <w:bookmarkStart w:name="_bookmark138" w:id="140"/>
      <w:bookmarkEnd w:id="140"/>
      <w:r>
        <w:rPr>
          <w:vertAlign w:val="baseline"/>
        </w:rPr>
        <w:t>of</w:t>
      </w:r>
      <w:r>
        <w:rPr>
          <w:vertAlign w:val="baseline"/>
        </w:rPr>
        <w:t> the consideration” that was “received by the bank” was “the interest foregone by customers whose accounts</w:t>
      </w:r>
      <w:r>
        <w:rPr>
          <w:spacing w:val="12"/>
          <w:vertAlign w:val="baseline"/>
        </w:rPr>
        <w:t> </w:t>
      </w:r>
      <w:r>
        <w:rPr>
          <w:vertAlign w:val="baseline"/>
        </w:rPr>
        <w:t>are</w:t>
      </w:r>
      <w:r>
        <w:rPr>
          <w:spacing w:val="12"/>
          <w:vertAlign w:val="baseline"/>
        </w:rPr>
        <w:t> </w:t>
      </w:r>
      <w:r>
        <w:rPr>
          <w:vertAlign w:val="baseline"/>
        </w:rPr>
        <w:t>in</w:t>
      </w:r>
      <w:r>
        <w:rPr>
          <w:spacing w:val="13"/>
          <w:vertAlign w:val="baseline"/>
        </w:rPr>
        <w:t> </w:t>
      </w:r>
      <w:r>
        <w:rPr>
          <w:vertAlign w:val="baseline"/>
        </w:rPr>
        <w:t>credit</w:t>
      </w:r>
      <w:r>
        <w:rPr>
          <w:spacing w:val="12"/>
          <w:vertAlign w:val="baseline"/>
        </w:rPr>
        <w:t> </w:t>
      </w:r>
      <w:r>
        <w:rPr>
          <w:vertAlign w:val="baseline"/>
        </w:rPr>
        <w:t>since</w:t>
      </w:r>
      <w:r>
        <w:rPr>
          <w:spacing w:val="12"/>
          <w:vertAlign w:val="baseline"/>
        </w:rPr>
        <w:t> </w:t>
      </w:r>
      <w:r>
        <w:rPr>
          <w:vertAlign w:val="baseline"/>
        </w:rPr>
        <w:t>…</w:t>
      </w:r>
      <w:r>
        <w:rPr>
          <w:spacing w:val="13"/>
          <w:vertAlign w:val="baseline"/>
        </w:rPr>
        <w:t> </w:t>
      </w:r>
      <w:r>
        <w:rPr>
          <w:vertAlign w:val="baseline"/>
        </w:rPr>
        <w:t>they</w:t>
      </w:r>
      <w:r>
        <w:rPr>
          <w:spacing w:val="12"/>
          <w:vertAlign w:val="baseline"/>
        </w:rPr>
        <w:t> </w:t>
      </w:r>
      <w:r>
        <w:rPr>
          <w:vertAlign w:val="baseline"/>
        </w:rPr>
        <w:t>will</w:t>
      </w:r>
      <w:r>
        <w:rPr>
          <w:spacing w:val="12"/>
          <w:vertAlign w:val="baseline"/>
        </w:rPr>
        <w:t> </w:t>
      </w:r>
      <w:r>
        <w:rPr>
          <w:vertAlign w:val="baseline"/>
        </w:rPr>
        <w:t>be</w:t>
      </w:r>
      <w:r>
        <w:rPr>
          <w:spacing w:val="13"/>
          <w:vertAlign w:val="baseline"/>
        </w:rPr>
        <w:t> </w:t>
      </w:r>
      <w:r>
        <w:rPr>
          <w:vertAlign w:val="baseline"/>
        </w:rPr>
        <w:t>receiving</w:t>
      </w:r>
      <w:r>
        <w:rPr>
          <w:spacing w:val="11"/>
          <w:vertAlign w:val="baseline"/>
        </w:rPr>
        <w:t> </w:t>
      </w:r>
      <w:r>
        <w:rPr>
          <w:rFonts w:ascii="Arial" w:hAnsi="Arial"/>
          <w:i/>
          <w:vertAlign w:val="baseline"/>
        </w:rPr>
        <w:t>a</w:t>
      </w:r>
      <w:r>
        <w:rPr>
          <w:rFonts w:ascii="Arial" w:hAnsi="Arial"/>
          <w:i/>
          <w:spacing w:val="13"/>
          <w:vertAlign w:val="baseline"/>
        </w:rPr>
        <w:t> </w:t>
      </w:r>
      <w:r>
        <w:rPr>
          <w:rFonts w:ascii="Arial" w:hAnsi="Arial"/>
          <w:i/>
          <w:vertAlign w:val="baseline"/>
        </w:rPr>
        <w:t>relatively</w:t>
      </w:r>
      <w:r>
        <w:rPr>
          <w:rFonts w:ascii="Arial" w:hAnsi="Arial"/>
          <w:i/>
          <w:spacing w:val="12"/>
          <w:vertAlign w:val="baseline"/>
        </w:rPr>
        <w:t> </w:t>
      </w:r>
      <w:r>
        <w:rPr>
          <w:rFonts w:ascii="Arial" w:hAnsi="Arial"/>
          <w:i/>
          <w:vertAlign w:val="baseline"/>
        </w:rPr>
        <w:t>low</w:t>
      </w:r>
      <w:r>
        <w:rPr>
          <w:rFonts w:ascii="Arial" w:hAnsi="Arial"/>
          <w:i/>
          <w:spacing w:val="12"/>
          <w:vertAlign w:val="baseline"/>
        </w:rPr>
        <w:t> </w:t>
      </w:r>
      <w:r>
        <w:rPr>
          <w:rFonts w:ascii="Arial" w:hAnsi="Arial"/>
          <w:i/>
          <w:vertAlign w:val="baseline"/>
        </w:rPr>
        <w:t>rate</w:t>
      </w:r>
      <w:r>
        <w:rPr>
          <w:rFonts w:ascii="Arial" w:hAnsi="Arial"/>
          <w:i/>
          <w:spacing w:val="13"/>
          <w:vertAlign w:val="baseline"/>
        </w:rPr>
        <w:t> </w:t>
      </w:r>
      <w:r>
        <w:rPr>
          <w:rFonts w:ascii="Arial" w:hAnsi="Arial"/>
          <w:i/>
          <w:vertAlign w:val="baseline"/>
        </w:rPr>
        <w:t>of</w:t>
      </w:r>
      <w:r>
        <w:rPr>
          <w:rFonts w:ascii="Arial" w:hAnsi="Arial"/>
          <w:i/>
          <w:spacing w:val="12"/>
          <w:vertAlign w:val="baseline"/>
        </w:rPr>
        <w:t> </w:t>
      </w:r>
      <w:r>
        <w:rPr>
          <w:rFonts w:ascii="Arial" w:hAnsi="Arial"/>
          <w:i/>
          <w:vertAlign w:val="baseline"/>
        </w:rPr>
        <w:t>interest</w:t>
      </w:r>
      <w:r>
        <w:rPr>
          <w:rFonts w:ascii="Arial" w:hAnsi="Arial"/>
          <w:i/>
          <w:spacing w:val="11"/>
          <w:vertAlign w:val="baseline"/>
        </w:rPr>
        <w:t> </w:t>
      </w:r>
      <w:r>
        <w:rPr>
          <w:vertAlign w:val="baseline"/>
        </w:rPr>
        <w:t>…</w:t>
      </w:r>
      <w:r>
        <w:rPr>
          <w:spacing w:val="13"/>
          <w:vertAlign w:val="baseline"/>
        </w:rPr>
        <w:t> </w:t>
      </w:r>
      <w:r>
        <w:rPr>
          <w:vertAlign w:val="baseline"/>
        </w:rPr>
        <w:t>”</w:t>
      </w:r>
      <w:r>
        <w:rPr>
          <w:spacing w:val="12"/>
          <w:vertAlign w:val="baseline"/>
        </w:rPr>
        <w:t> </w:t>
      </w:r>
      <w:r>
        <w:rPr>
          <w:color w:val="005DA1"/>
          <w:u w:val="single" w:color="005DA1"/>
          <w:vertAlign w:val="superscript"/>
        </w:rPr>
        <w:t>85</w:t>
      </w:r>
      <w:r>
        <w:rPr>
          <w:vertAlign w:val="baseline"/>
        </w:rPr>
        <w:t>;</w:t>
      </w:r>
      <w:r>
        <w:rPr>
          <w:spacing w:val="13"/>
          <w:vertAlign w:val="baseline"/>
        </w:rPr>
        <w:t> </w:t>
      </w:r>
      <w:r>
        <w:rPr>
          <w:vertAlign w:val="baseline"/>
        </w:rPr>
        <w:t>and</w:t>
      </w:r>
      <w:r>
        <w:rPr>
          <w:spacing w:val="12"/>
          <w:vertAlign w:val="baseline"/>
        </w:rPr>
        <w:t> </w:t>
      </w:r>
      <w:r>
        <w:rPr>
          <w:spacing w:val="-4"/>
          <w:vertAlign w:val="baseline"/>
        </w:rPr>
        <w:t>Lord</w:t>
      </w:r>
    </w:p>
    <w:p>
      <w:pPr>
        <w:pStyle w:val="BodyText"/>
        <w:spacing w:after="0" w:line="235" w:lineRule="auto"/>
        <w:jc w:val="both"/>
        <w:sectPr>
          <w:headerReference w:type="default" r:id="rId10"/>
          <w:headerReference w:type="even" r:id="rId11"/>
          <w:pgSz w:w="11900" w:h="16840"/>
          <w:pgMar w:header="971" w:footer="0" w:top="1160" w:bottom="280" w:left="1275" w:right="1275"/>
          <w:pgNumType w:start="1"/>
        </w:sectPr>
      </w:pPr>
    </w:p>
    <w:p>
      <w:pPr>
        <w:pStyle w:val="BodyText"/>
        <w:spacing w:before="84"/>
      </w:pPr>
    </w:p>
    <w:p>
      <w:pPr>
        <w:pStyle w:val="BodyText"/>
        <w:spacing w:line="235" w:lineRule="auto" w:before="1"/>
        <w:ind w:left="165" w:right="167"/>
        <w:jc w:val="both"/>
      </w:pPr>
      <w:bookmarkStart w:name="_bookmark139" w:id="141"/>
      <w:bookmarkEnd w:id="141"/>
      <w:r>
        <w:rPr/>
      </w:r>
      <w:r>
        <w:rPr/>
        <w:t>Phillips P. similarly said that such customers “reward the bank by allowing it to use the funds standing to their credit without paying interest </w:t>
      </w:r>
      <w:r>
        <w:rPr>
          <w:rFonts w:ascii="Arial" w:hAnsi="Arial"/>
          <w:i/>
        </w:rPr>
        <w:t>at the market </w:t>
      </w:r>
      <w:r>
        <w:rPr/>
        <w:t>rate.” </w:t>
      </w:r>
      <w:r>
        <w:rPr>
          <w:color w:val="005DA1"/>
          <w:u w:val="single" w:color="005DA1"/>
          <w:vertAlign w:val="superscript"/>
        </w:rPr>
        <w:t>86</w:t>
      </w:r>
      <w:r>
        <w:rPr>
          <w:color w:val="005DA1"/>
          <w:vertAlign w:val="baseline"/>
        </w:rPr>
        <w:t> </w:t>
      </w:r>
      <w:r>
        <w:rPr>
          <w:vertAlign w:val="baseline"/>
        </w:rPr>
        <w:t>The phrases here italicised appear to indicate that, where a term was </w:t>
      </w:r>
      <w:r>
        <w:rPr>
          <w:rFonts w:ascii="Arial" w:hAnsi="Arial"/>
          <w:i/>
          <w:vertAlign w:val="baseline"/>
        </w:rPr>
        <w:t>not </w:t>
      </w:r>
      <w:r>
        <w:rPr>
          <w:vertAlign w:val="baseline"/>
        </w:rPr>
        <w:t>immune from scrutiny by virtue of reg.6(2)(b), then the court could have taken questions of adequacy of consideration into account in assessing the fairness of a </w:t>
      </w:r>
      <w:r>
        <w:rPr>
          <w:vertAlign w:val="baseline"/>
        </w:rPr>
        <w:t>term under the 1999 Regulations; and it is submitted that the position is the same under s.64(1)(b) of the </w:t>
      </w:r>
      <w:bookmarkStart w:name="_bookmark140" w:id="142"/>
      <w:bookmarkEnd w:id="142"/>
      <w:r>
        <w:rPr>
          <w:vertAlign w:val="baseline"/>
        </w:rPr>
        <w:t>2015</w:t>
      </w:r>
      <w:r>
        <w:rPr>
          <w:vertAlign w:val="baseline"/>
        </w:rPr>
        <w:t> Act. The point is important because, as Lord Walker S.C.J. said, “not every term that is in some </w:t>
      </w:r>
      <w:bookmarkStart w:name="_bookmark141" w:id="143"/>
      <w:bookmarkEnd w:id="143"/>
      <w:r>
        <w:rPr>
          <w:vertAlign w:val="baseline"/>
        </w:rPr>
        <w:t>way</w:t>
      </w:r>
      <w:r>
        <w:rPr>
          <w:vertAlign w:val="baseline"/>
        </w:rPr>
        <w:t> linked to monetary consideration falls within reg.6(2)(b)” </w:t>
      </w:r>
      <w:r>
        <w:rPr>
          <w:color w:val="005DA1"/>
          <w:u w:val="single" w:color="005DA1"/>
          <w:vertAlign w:val="superscript"/>
        </w:rPr>
        <w:t>87</w:t>
      </w:r>
      <w:r>
        <w:rPr>
          <w:vertAlign w:val="baseline"/>
        </w:rPr>
        <w:t>: this has, for example, held to be the position where the term in question was “ancillary” to the consumer’s principal obligation. </w:t>
      </w:r>
      <w:r>
        <w:rPr>
          <w:color w:val="005DA1"/>
          <w:u w:val="single" w:color="005DA1"/>
          <w:vertAlign w:val="superscript"/>
        </w:rPr>
        <w:t>88</w:t>
      </w:r>
    </w:p>
    <w:p>
      <w:pPr>
        <w:pStyle w:val="BodyText"/>
        <w:spacing w:before="86"/>
      </w:pPr>
    </w:p>
    <w:p>
      <w:pPr>
        <w:pStyle w:val="BodyText"/>
        <w:spacing w:line="235" w:lineRule="auto" w:before="1"/>
        <w:ind w:left="165" w:right="167"/>
        <w:jc w:val="both"/>
      </w:pPr>
      <w:bookmarkStart w:name="_bookmark142" w:id="144"/>
      <w:bookmarkEnd w:id="144"/>
      <w:r>
        <w:rPr/>
      </w:r>
      <w:bookmarkStart w:name="_bookmark143" w:id="145"/>
      <w:bookmarkEnd w:id="145"/>
      <w:r>
        <w:rPr/>
      </w:r>
      <w:r>
        <w:rPr/>
        <w:t>The general common law rule stated above </w:t>
      </w:r>
      <w:r>
        <w:rPr>
          <w:color w:val="005DA1"/>
          <w:u w:val="single" w:color="005DA1"/>
          <w:vertAlign w:val="superscript"/>
        </w:rPr>
        <w:t>89</w:t>
      </w:r>
      <w:r>
        <w:rPr>
          <w:color w:val="005DA1"/>
          <w:vertAlign w:val="baseline"/>
        </w:rPr>
        <w:t> </w:t>
      </w:r>
      <w:r>
        <w:rPr>
          <w:vertAlign w:val="baseline"/>
        </w:rPr>
        <w:t>is subject to a number of exceptions discussed elsewhere in this book. </w:t>
      </w:r>
      <w:r>
        <w:rPr>
          <w:color w:val="005DA1"/>
          <w:u w:val="single" w:color="005DA1"/>
          <w:vertAlign w:val="superscript"/>
        </w:rPr>
        <w:t>90</w:t>
      </w:r>
      <w:r>
        <w:rPr>
          <w:color w:val="005DA1"/>
          <w:vertAlign w:val="baseline"/>
        </w:rPr>
        <w:t> </w:t>
      </w:r>
      <w:r>
        <w:rPr>
          <w:vertAlign w:val="baseline"/>
        </w:rPr>
        <w:t>These indicate that the courts are (even where legislation has </w:t>
      </w:r>
      <w:r>
        <w:rPr>
          <w:vertAlign w:val="baseline"/>
        </w:rPr>
        <w:t>not intervened) by no means insensitive to the problems raised by unequal or unfair bargains; but in none of them is a promise held invalid merely because adequate value for it has not been given. Some additional factor is required to bring a case within one of the exceptions: for example, the existence of a relationship in which one party is able to take an unfair advantage of the other. In the absence of some such factor, the general rule applies that the courts will enforce a promise so long as </w:t>
      </w:r>
      <w:r>
        <w:rPr>
          <w:rFonts w:ascii="Arial" w:hAnsi="Arial"/>
          <w:i/>
          <w:vertAlign w:val="baseline"/>
        </w:rPr>
        <w:t>some </w:t>
      </w:r>
      <w:bookmarkStart w:name="_bookmark144" w:id="146"/>
      <w:bookmarkEnd w:id="146"/>
      <w:r>
        <w:rPr>
          <w:rFonts w:ascii="Arial" w:hAnsi="Arial"/>
          <w:i/>
          <w:vertAlign w:val="baseline"/>
        </w:rPr>
      </w:r>
      <w:r>
        <w:rPr>
          <w:vertAlign w:val="baseline"/>
        </w:rPr>
        <w:t>value for it has been given: “no bargain will be upset which is the result of the ordinary interplay of forces.” </w:t>
      </w:r>
      <w:r>
        <w:rPr>
          <w:color w:val="005DA1"/>
          <w:u w:val="single" w:color="005DA1"/>
          <w:vertAlign w:val="superscript"/>
        </w:rPr>
        <w:t>91</w:t>
      </w:r>
    </w:p>
    <w:p>
      <w:pPr>
        <w:pStyle w:val="BodyText"/>
      </w:pPr>
    </w:p>
    <w:p>
      <w:pPr>
        <w:pStyle w:val="BodyText"/>
        <w:spacing w:before="35"/>
      </w:pPr>
    </w:p>
    <w:p>
      <w:pPr>
        <w:spacing w:before="0"/>
        <w:ind w:left="165" w:right="0" w:firstLine="0"/>
        <w:jc w:val="left"/>
        <w:rPr>
          <w:rFonts w:ascii="Arial"/>
          <w:b/>
          <w:sz w:val="18"/>
        </w:rPr>
      </w:pPr>
      <w:r>
        <w:rPr>
          <w:rFonts w:ascii="Arial"/>
          <w:b/>
          <w:spacing w:val="-2"/>
          <w:sz w:val="18"/>
        </w:rPr>
        <w:t>Illustrations</w:t>
      </w:r>
    </w:p>
    <w:p>
      <w:pPr>
        <w:pStyle w:val="BodyText"/>
        <w:spacing w:before="41"/>
        <w:rPr>
          <w:rFonts w:ascii="Arial"/>
          <w:b/>
          <w:sz w:val="18"/>
        </w:rPr>
      </w:pPr>
    </w:p>
    <w:p>
      <w:pPr>
        <w:pStyle w:val="Heading2"/>
      </w:pPr>
      <w:r>
        <w:rPr/>
        <w:t>4-</w:t>
      </w:r>
      <w:r>
        <w:rPr>
          <w:spacing w:val="-5"/>
        </w:rPr>
        <w:t>015</w:t>
      </w:r>
    </w:p>
    <w:p>
      <w:pPr>
        <w:pStyle w:val="BodyText"/>
        <w:spacing w:line="235" w:lineRule="auto" w:before="203"/>
        <w:ind w:left="164" w:right="167"/>
        <w:jc w:val="both"/>
      </w:pPr>
      <w:r>
        <w:rPr/>
        <w:t>It follows from the general common law rule stated in para.4-014 above that acts or omissions of very </w:t>
      </w:r>
      <w:bookmarkStart w:name="_bookmark145" w:id="147"/>
      <w:bookmarkEnd w:id="147"/>
      <w:r>
        <w:rPr/>
        <w:t>small</w:t>
      </w:r>
      <w:r>
        <w:rPr/>
        <w:t> value can be consideration. Thus it has been said that there was consideration for a promise to </w:t>
      </w:r>
      <w:bookmarkStart w:name="_bookmark146" w:id="148"/>
      <w:bookmarkEnd w:id="148"/>
      <w:r>
        <w:rPr/>
        <w:t>give</w:t>
      </w:r>
      <w:r>
        <w:rPr/>
        <w:t> a man £50 “if you will come to my house” </w:t>
      </w:r>
      <w:r>
        <w:rPr>
          <w:color w:val="005DA1"/>
          <w:u w:val="single" w:color="005DA1"/>
          <w:vertAlign w:val="superscript"/>
        </w:rPr>
        <w:t>92</w:t>
      </w:r>
      <w:r>
        <w:rPr>
          <w:vertAlign w:val="baseline"/>
        </w:rPr>
        <w:t>; that the act of executing a deed could </w:t>
      </w:r>
      <w:r>
        <w:rPr>
          <w:vertAlign w:val="baseline"/>
        </w:rPr>
        <w:t>be </w:t>
      </w:r>
      <w:bookmarkStart w:name="_bookmark147" w:id="149"/>
      <w:bookmarkEnd w:id="149"/>
      <w:r>
        <w:rPr>
          <w:vertAlign w:val="baseline"/>
        </w:rPr>
        <w:t>consideration</w:t>
      </w:r>
      <w:r>
        <w:rPr>
          <w:vertAlign w:val="baseline"/>
        </w:rPr>
        <w:t> for a promise to pay money although the deed was void </w:t>
      </w:r>
      <w:r>
        <w:rPr>
          <w:color w:val="005DA1"/>
          <w:u w:val="single" w:color="005DA1"/>
          <w:vertAlign w:val="superscript"/>
        </w:rPr>
        <w:t>93</w:t>
      </w:r>
      <w:r>
        <w:rPr>
          <w:vertAlign w:val="baseline"/>
        </w:rPr>
        <w:t>; that the execution of a will </w:t>
      </w:r>
      <w:bookmarkStart w:name="_bookmark148" w:id="150"/>
      <w:bookmarkEnd w:id="150"/>
      <w:r>
        <w:rPr>
          <w:vertAlign w:val="baseline"/>
        </w:rPr>
        <w:t>can</w:t>
      </w:r>
      <w:r>
        <w:rPr>
          <w:vertAlign w:val="baseline"/>
        </w:rPr>
        <w:t> be consideration (for a promise to make, and not to revoke, a similar will </w:t>
      </w:r>
      <w:r>
        <w:rPr>
          <w:color w:val="005DA1"/>
          <w:u w:val="single" w:color="005DA1"/>
          <w:vertAlign w:val="superscript"/>
        </w:rPr>
        <w:t>94</w:t>
      </w:r>
      <w:r>
        <w:rPr>
          <w:vertAlign w:val="baseline"/>
        </w:rPr>
        <w:t>) even though the will</w:t>
      </w:r>
      <w:r>
        <w:rPr>
          <w:spacing w:val="40"/>
          <w:vertAlign w:val="baseline"/>
        </w:rPr>
        <w:t> </w:t>
      </w:r>
      <w:bookmarkStart w:name="_bookmark149" w:id="151"/>
      <w:bookmarkEnd w:id="151"/>
      <w:r>
        <w:rPr>
          <w:vertAlign w:val="baseline"/>
        </w:rPr>
        <w:t>is</w:t>
      </w:r>
      <w:r>
        <w:rPr>
          <w:vertAlign w:val="baseline"/>
        </w:rPr>
        <w:t> in its nature revocable </w:t>
      </w:r>
      <w:r>
        <w:rPr>
          <w:color w:val="005DA1"/>
          <w:u w:val="single" w:color="005DA1"/>
          <w:vertAlign w:val="superscript"/>
        </w:rPr>
        <w:t>95</w:t>
      </w:r>
      <w:r>
        <w:rPr>
          <w:vertAlign w:val="baseline"/>
        </w:rPr>
        <w:t>; that to give up a piece of paper without reference to its contents was consideration, </w:t>
      </w:r>
      <w:r>
        <w:rPr>
          <w:color w:val="005DA1"/>
          <w:u w:val="single" w:color="005DA1"/>
          <w:vertAlign w:val="superscript"/>
        </w:rPr>
        <w:t>96</w:t>
      </w:r>
      <w:r>
        <w:rPr>
          <w:color w:val="005DA1"/>
          <w:vertAlign w:val="baseline"/>
        </w:rPr>
        <w:t> </w:t>
      </w:r>
      <w:r>
        <w:rPr>
          <w:vertAlign w:val="baseline"/>
        </w:rPr>
        <w:t>and even that to show a person a document was consideration. </w:t>
      </w:r>
      <w:r>
        <w:rPr>
          <w:color w:val="005DA1"/>
          <w:u w:val="single" w:color="005DA1"/>
          <w:vertAlign w:val="superscript"/>
        </w:rPr>
        <w:t>97</w:t>
      </w:r>
      <w:r>
        <w:rPr>
          <w:color w:val="005DA1"/>
          <w:vertAlign w:val="baseline"/>
        </w:rPr>
        <w:t> </w:t>
      </w:r>
      <w:r>
        <w:rPr>
          <w:vertAlign w:val="baseline"/>
        </w:rPr>
        <w:t>The mere act of </w:t>
      </w:r>
      <w:bookmarkStart w:name="_bookmark150" w:id="152"/>
      <w:bookmarkEnd w:id="152"/>
      <w:r>
        <w:rPr>
          <w:vertAlign w:val="baseline"/>
        </w:rPr>
        <w:t>conducting</w:t>
      </w:r>
      <w:r>
        <w:rPr>
          <w:vertAlign w:val="baseline"/>
        </w:rPr>
        <w:t> negotiations can similarly satisfy the requirement of consideration, even though the act does not commit the promisee to bringing the negotiations to a successful conclusion. </w:t>
      </w:r>
      <w:r>
        <w:rPr>
          <w:color w:val="005DA1"/>
          <w:u w:val="single" w:color="005DA1"/>
          <w:vertAlign w:val="superscript"/>
        </w:rPr>
        <w:t>98</w:t>
      </w:r>
      <w:r>
        <w:rPr>
          <w:color w:val="005DA1"/>
          <w:vertAlign w:val="baseline"/>
        </w:rPr>
        <w:t> </w:t>
      </w:r>
      <w:r>
        <w:rPr>
          <w:vertAlign w:val="baseline"/>
        </w:rPr>
        <w:t>Further </w:t>
      </w:r>
      <w:bookmarkStart w:name="_bookmark151" w:id="153"/>
      <w:bookmarkEnd w:id="153"/>
      <w:r>
        <w:rPr>
          <w:vertAlign w:val="baseline"/>
        </w:rPr>
        <w:t>illustrations</w:t>
      </w:r>
      <w:r>
        <w:rPr>
          <w:vertAlign w:val="baseline"/>
        </w:rPr>
        <w:t> of the principle are provided by a case in which a promise to cut back undergrowth was regarded as consideration for the grant of a contractual licence to occupy land </w:t>
      </w:r>
      <w:r>
        <w:rPr>
          <w:color w:val="005DA1"/>
          <w:u w:val="single" w:color="005DA1"/>
          <w:vertAlign w:val="superscript"/>
        </w:rPr>
        <w:t>99</w:t>
      </w:r>
      <w:r>
        <w:rPr>
          <w:color w:val="005DA1"/>
          <w:vertAlign w:val="baseline"/>
        </w:rPr>
        <w:t> </w:t>
      </w:r>
      <w:r>
        <w:rPr>
          <w:vertAlign w:val="baseline"/>
        </w:rPr>
        <w:t>and by one in which an employee’s agreement to submit to a temporary change of workplace and to take part in an </w:t>
      </w:r>
      <w:bookmarkStart w:name="_bookmark152" w:id="154"/>
      <w:bookmarkEnd w:id="154"/>
      <w:r>
        <w:rPr>
          <w:vertAlign w:val="baseline"/>
        </w:rPr>
        <w:t>assessment</w:t>
      </w:r>
      <w:r>
        <w:rPr>
          <w:vertAlign w:val="baseline"/>
        </w:rPr>
        <w:t> of his professional competence was held (though it had no easily quantifiable value) to amount</w:t>
      </w:r>
      <w:r>
        <w:rPr>
          <w:spacing w:val="13"/>
          <w:vertAlign w:val="baseline"/>
        </w:rPr>
        <w:t> </w:t>
      </w:r>
      <w:r>
        <w:rPr>
          <w:vertAlign w:val="baseline"/>
        </w:rPr>
        <w:t>to</w:t>
      </w:r>
      <w:r>
        <w:rPr>
          <w:spacing w:val="13"/>
          <w:vertAlign w:val="baseline"/>
        </w:rPr>
        <w:t> </w:t>
      </w:r>
      <w:r>
        <w:rPr>
          <w:vertAlign w:val="baseline"/>
        </w:rPr>
        <w:t>consideration</w:t>
      </w:r>
      <w:r>
        <w:rPr>
          <w:spacing w:val="13"/>
          <w:vertAlign w:val="baseline"/>
        </w:rPr>
        <w:t> </w:t>
      </w:r>
      <w:r>
        <w:rPr>
          <w:vertAlign w:val="baseline"/>
        </w:rPr>
        <w:t>for</w:t>
      </w:r>
      <w:r>
        <w:rPr>
          <w:spacing w:val="13"/>
          <w:vertAlign w:val="baseline"/>
        </w:rPr>
        <w:t> </w:t>
      </w:r>
      <w:r>
        <w:rPr>
          <w:vertAlign w:val="baseline"/>
        </w:rPr>
        <w:t>his</w:t>
      </w:r>
      <w:r>
        <w:rPr>
          <w:spacing w:val="13"/>
          <w:vertAlign w:val="baseline"/>
        </w:rPr>
        <w:t> </w:t>
      </w:r>
      <w:r>
        <w:rPr>
          <w:vertAlign w:val="baseline"/>
        </w:rPr>
        <w:t>employer’s</w:t>
      </w:r>
      <w:r>
        <w:rPr>
          <w:spacing w:val="13"/>
          <w:vertAlign w:val="baseline"/>
        </w:rPr>
        <w:t> </w:t>
      </w:r>
      <w:r>
        <w:rPr>
          <w:vertAlign w:val="baseline"/>
        </w:rPr>
        <w:t>promise</w:t>
      </w:r>
      <w:r>
        <w:rPr>
          <w:spacing w:val="13"/>
          <w:vertAlign w:val="baseline"/>
        </w:rPr>
        <w:t> </w:t>
      </w:r>
      <w:r>
        <w:rPr>
          <w:vertAlign w:val="baseline"/>
        </w:rPr>
        <w:t>not</w:t>
      </w:r>
      <w:r>
        <w:rPr>
          <w:spacing w:val="13"/>
          <w:vertAlign w:val="baseline"/>
        </w:rPr>
        <w:t> </w:t>
      </w:r>
      <w:r>
        <w:rPr>
          <w:vertAlign w:val="baseline"/>
        </w:rPr>
        <w:t>to</w:t>
      </w:r>
      <w:r>
        <w:rPr>
          <w:spacing w:val="13"/>
          <w:vertAlign w:val="baseline"/>
        </w:rPr>
        <w:t> </w:t>
      </w:r>
      <w:r>
        <w:rPr>
          <w:vertAlign w:val="baseline"/>
        </w:rPr>
        <w:t>take</w:t>
      </w:r>
      <w:r>
        <w:rPr>
          <w:spacing w:val="13"/>
          <w:vertAlign w:val="baseline"/>
        </w:rPr>
        <w:t> </w:t>
      </w:r>
      <w:r>
        <w:rPr>
          <w:vertAlign w:val="baseline"/>
        </w:rPr>
        <w:t>disciplinary</w:t>
      </w:r>
      <w:r>
        <w:rPr>
          <w:spacing w:val="13"/>
          <w:vertAlign w:val="baseline"/>
        </w:rPr>
        <w:t> </w:t>
      </w:r>
      <w:r>
        <w:rPr>
          <w:vertAlign w:val="baseline"/>
        </w:rPr>
        <w:t>proceedings</w:t>
      </w:r>
      <w:r>
        <w:rPr>
          <w:spacing w:val="13"/>
          <w:vertAlign w:val="baseline"/>
        </w:rPr>
        <w:t> </w:t>
      </w:r>
      <w:r>
        <w:rPr>
          <w:vertAlign w:val="baseline"/>
        </w:rPr>
        <w:t>against</w:t>
      </w:r>
      <w:r>
        <w:rPr>
          <w:spacing w:val="13"/>
          <w:vertAlign w:val="baseline"/>
        </w:rPr>
        <w:t> </w:t>
      </w:r>
      <w:r>
        <w:rPr>
          <w:spacing w:val="-4"/>
          <w:vertAlign w:val="baseline"/>
        </w:rPr>
        <w:t>him.</w:t>
      </w:r>
    </w:p>
    <w:p>
      <w:pPr>
        <w:spacing w:line="108" w:lineRule="exact" w:before="0"/>
        <w:ind w:left="165" w:right="0" w:firstLine="0"/>
        <w:jc w:val="left"/>
        <w:rPr>
          <w:sz w:val="12"/>
        </w:rPr>
      </w:pPr>
      <w:r>
        <w:rPr>
          <w:color w:val="005DA1"/>
          <w:spacing w:val="-5"/>
          <w:sz w:val="12"/>
          <w:u w:val="single" w:color="005DA1"/>
        </w:rPr>
        <w:t>100</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Objects of trifling </w:t>
      </w:r>
      <w:r>
        <w:rPr>
          <w:rFonts w:ascii="Arial"/>
          <w:b/>
          <w:spacing w:val="-2"/>
          <w:sz w:val="18"/>
        </w:rPr>
        <w:t>value</w:t>
      </w:r>
    </w:p>
    <w:p>
      <w:pPr>
        <w:pStyle w:val="BodyText"/>
        <w:spacing w:before="41"/>
        <w:rPr>
          <w:rFonts w:ascii="Arial"/>
          <w:b/>
          <w:sz w:val="18"/>
        </w:rPr>
      </w:pPr>
    </w:p>
    <w:p>
      <w:pPr>
        <w:pStyle w:val="Heading2"/>
      </w:pPr>
      <w:r>
        <w:rPr/>
        <w:t>4-</w:t>
      </w:r>
      <w:r>
        <w:rPr>
          <w:spacing w:val="-5"/>
        </w:rPr>
        <w:t>016</w:t>
      </w:r>
    </w:p>
    <w:p>
      <w:pPr>
        <w:pStyle w:val="BodyText"/>
        <w:spacing w:line="235" w:lineRule="auto" w:before="203"/>
        <w:ind w:left="164" w:right="167"/>
        <w:jc w:val="both"/>
      </w:pPr>
      <w:bookmarkStart w:name="_bookmark153" w:id="155"/>
      <w:bookmarkEnd w:id="155"/>
      <w:r>
        <w:rPr/>
      </w:r>
      <w:r>
        <w:rPr/>
        <w:t>In </w:t>
      </w:r>
      <w:r>
        <w:rPr>
          <w:rFonts w:ascii="Arial" w:hAnsi="Arial"/>
          <w:i/>
        </w:rPr>
        <w:t>Chappell &amp; Co Ltd v Nestlé Co Ltd</w:t>
      </w:r>
      <w:r>
        <w:rPr/>
        <w:t>, </w:t>
      </w:r>
      <w:r>
        <w:rPr>
          <w:color w:val="005DA1"/>
          <w:u w:val="single" w:color="005DA1"/>
          <w:vertAlign w:val="superscript"/>
        </w:rPr>
        <w:t>101</w:t>
      </w:r>
      <w:r>
        <w:rPr>
          <w:color w:val="005DA1"/>
          <w:vertAlign w:val="baseline"/>
        </w:rPr>
        <w:t> </w:t>
      </w:r>
      <w:r>
        <w:rPr>
          <w:vertAlign w:val="baseline"/>
        </w:rPr>
        <w:t>chocolate manufacturers sold gramophone records for 1s. 6d. plus three wrappers of their 6d. bars of chocolate. It was held that the delivery of the wrappers formed</w:t>
      </w:r>
      <w:r>
        <w:rPr>
          <w:spacing w:val="-1"/>
          <w:vertAlign w:val="baseline"/>
        </w:rPr>
        <w:t> </w:t>
      </w:r>
      <w:r>
        <w:rPr>
          <w:vertAlign w:val="baseline"/>
        </w:rPr>
        <w:t>part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consideration,</w:t>
      </w:r>
      <w:r>
        <w:rPr>
          <w:spacing w:val="-1"/>
          <w:vertAlign w:val="baseline"/>
        </w:rPr>
        <w:t> </w:t>
      </w:r>
      <w:r>
        <w:rPr>
          <w:vertAlign w:val="baseline"/>
        </w:rPr>
        <w:t>though</w:t>
      </w:r>
      <w:r>
        <w:rPr>
          <w:spacing w:val="-1"/>
          <w:vertAlign w:val="baseline"/>
        </w:rPr>
        <w:t> </w:t>
      </w:r>
      <w:r>
        <w:rPr>
          <w:vertAlign w:val="baseline"/>
        </w:rPr>
        <w:t>the</w:t>
      </w:r>
      <w:r>
        <w:rPr>
          <w:spacing w:val="-1"/>
          <w:vertAlign w:val="baseline"/>
        </w:rPr>
        <w:t> </w:t>
      </w:r>
      <w:r>
        <w:rPr>
          <w:vertAlign w:val="baseline"/>
        </w:rPr>
        <w:t>wrappers</w:t>
      </w:r>
      <w:r>
        <w:rPr>
          <w:spacing w:val="-1"/>
          <w:vertAlign w:val="baseline"/>
        </w:rPr>
        <w:t> </w:t>
      </w:r>
      <w:r>
        <w:rPr>
          <w:vertAlign w:val="baseline"/>
        </w:rPr>
        <w:t>were</w:t>
      </w:r>
      <w:r>
        <w:rPr>
          <w:spacing w:val="-1"/>
          <w:vertAlign w:val="baseline"/>
        </w:rPr>
        <w:t> </w:t>
      </w:r>
      <w:r>
        <w:rPr>
          <w:vertAlign w:val="baseline"/>
        </w:rPr>
        <w:t>of</w:t>
      </w:r>
      <w:r>
        <w:rPr>
          <w:spacing w:val="-1"/>
          <w:vertAlign w:val="baseline"/>
        </w:rPr>
        <w:t> </w:t>
      </w:r>
      <w:r>
        <w:rPr>
          <w:vertAlign w:val="baseline"/>
        </w:rPr>
        <w:t>little</w:t>
      </w:r>
      <w:r>
        <w:rPr>
          <w:spacing w:val="-1"/>
          <w:vertAlign w:val="baseline"/>
        </w:rPr>
        <w:t> </w:t>
      </w:r>
      <w:r>
        <w:rPr>
          <w:vertAlign w:val="baseline"/>
        </w:rPr>
        <w:t>value</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buyer</w:t>
      </w:r>
      <w:r>
        <w:rPr>
          <w:spacing w:val="-1"/>
          <w:vertAlign w:val="baseline"/>
        </w:rPr>
        <w:t> </w:t>
      </w:r>
      <w:r>
        <w:rPr>
          <w:vertAlign w:val="baseline"/>
        </w:rPr>
        <w:t>and</w:t>
      </w:r>
      <w:r>
        <w:rPr>
          <w:spacing w:val="-1"/>
          <w:vertAlign w:val="baseline"/>
        </w:rPr>
        <w:t> </w:t>
      </w:r>
      <w:r>
        <w:rPr>
          <w:vertAlign w:val="baseline"/>
        </w:rPr>
        <w:t>were</w:t>
      </w:r>
      <w:r>
        <w:rPr>
          <w:spacing w:val="-1"/>
          <w:vertAlign w:val="baseline"/>
        </w:rPr>
        <w:t> </w:t>
      </w:r>
      <w:r>
        <w:rPr>
          <w:vertAlign w:val="baseline"/>
        </w:rPr>
        <w:t>in</w:t>
      </w:r>
      <w:r>
        <w:rPr>
          <w:spacing w:val="-1"/>
          <w:vertAlign w:val="baseline"/>
        </w:rPr>
        <w:t> </w:t>
      </w:r>
      <w:r>
        <w:rPr>
          <w:vertAlign w:val="baseline"/>
        </w:rPr>
        <w:t>fact thrown away by the seller. If the delivery of the wrappers formed part of the consideration it could, presumably, have formed the whole of the consideration, so that a promise to deliver records for </w:t>
      </w:r>
      <w:bookmarkStart w:name="_bookmark154" w:id="156"/>
      <w:bookmarkEnd w:id="156"/>
      <w:r>
        <w:rPr>
          <w:vertAlign w:val="baseline"/>
        </w:rPr>
        <w:t>wrappers</w:t>
      </w:r>
      <w:r>
        <w:rPr>
          <w:vertAlign w:val="baseline"/>
        </w:rPr>
        <w:t> alone would have been binding. This case should be contrasted with </w:t>
      </w:r>
      <w:r>
        <w:rPr>
          <w:rFonts w:ascii="Arial" w:hAnsi="Arial"/>
          <w:i/>
          <w:vertAlign w:val="baseline"/>
        </w:rPr>
        <w:t>Lipkin Gorman v Karpnale Ltd</w:t>
      </w:r>
      <w:r>
        <w:rPr>
          <w:vertAlign w:val="baseline"/>
        </w:rPr>
        <w:t>, </w:t>
      </w:r>
      <w:r>
        <w:rPr>
          <w:color w:val="005DA1"/>
          <w:u w:val="single" w:color="005DA1"/>
          <w:vertAlign w:val="superscript"/>
        </w:rPr>
        <w:t>102</w:t>
      </w:r>
      <w:r>
        <w:rPr>
          <w:color w:val="005DA1"/>
          <w:vertAlign w:val="baseline"/>
        </w:rPr>
        <w:t> </w:t>
      </w:r>
      <w:r>
        <w:rPr>
          <w:vertAlign w:val="baseline"/>
        </w:rPr>
        <w:t>where gaming chips supplied by a gaming club to one of its members (and then lost by the member in the course of the gaming) were held not to constitute consideration for the money </w:t>
      </w:r>
      <w:bookmarkStart w:name="_bookmark155" w:id="157"/>
      <w:bookmarkEnd w:id="157"/>
      <w:r>
        <w:rPr>
          <w:vertAlign w:val="baseline"/>
        </w:rPr>
        <w:t>which</w:t>
      </w:r>
      <w:r>
        <w:rPr>
          <w:vertAlign w:val="baseline"/>
        </w:rPr>
        <w:t> the member had paid for them. One reason for this view appears to have been that “the chips </w:t>
      </w:r>
      <w:bookmarkStart w:name="_bookmark156" w:id="158"/>
      <w:bookmarkEnd w:id="158"/>
      <w:r>
        <w:rPr>
          <w:vertAlign w:val="baseline"/>
        </w:rPr>
        <w:t>themselves</w:t>
      </w:r>
      <w:r>
        <w:rPr>
          <w:vertAlign w:val="baseline"/>
        </w:rPr>
        <w:t> were worthless” </w:t>
      </w:r>
      <w:r>
        <w:rPr>
          <w:color w:val="005DA1"/>
          <w:u w:val="single" w:color="005DA1"/>
          <w:vertAlign w:val="superscript"/>
        </w:rPr>
        <w:t>103</w:t>
      </w:r>
      <w:r>
        <w:rPr>
          <w:vertAlign w:val="baseline"/>
        </w:rPr>
        <w:t>; but this is equally true of the wrappers in the </w:t>
      </w:r>
      <w:r>
        <w:rPr>
          <w:rFonts w:ascii="Arial" w:hAnsi="Arial"/>
          <w:i/>
          <w:vertAlign w:val="baseline"/>
        </w:rPr>
        <w:t>Chappell </w:t>
      </w:r>
      <w:r>
        <w:rPr>
          <w:vertAlign w:val="baseline"/>
        </w:rPr>
        <w:t>case. Another seems to have been that the chips “remained the property of the club” </w:t>
      </w:r>
      <w:r>
        <w:rPr>
          <w:color w:val="005DA1"/>
          <w:u w:val="single" w:color="005DA1"/>
          <w:vertAlign w:val="superscript"/>
        </w:rPr>
        <w:t>104</w:t>
      </w:r>
      <w:r>
        <w:rPr>
          <w:vertAlign w:val="baseline"/>
        </w:rPr>
        <w:t>; but this again would not of </w:t>
      </w:r>
      <w:bookmarkStart w:name="_bookmark157" w:id="159"/>
      <w:bookmarkEnd w:id="159"/>
      <w:r>
        <w:rPr>
          <w:vertAlign w:val="baseline"/>
        </w:rPr>
        <w:t>itself</w:t>
      </w:r>
      <w:r>
        <w:rPr>
          <w:vertAlign w:val="baseline"/>
        </w:rPr>
        <w:t> be decisive, since it is settled that a transfer of the possession of a thing (no less than that of the ownership of it) can constitute consideration. </w:t>
      </w:r>
      <w:r>
        <w:rPr>
          <w:color w:val="005DA1"/>
          <w:u w:val="single" w:color="005DA1"/>
          <w:vertAlign w:val="superscript"/>
        </w:rPr>
        <w:t>105</w:t>
      </w:r>
      <w:r>
        <w:rPr>
          <w:color w:val="005DA1"/>
          <w:vertAlign w:val="baseline"/>
        </w:rPr>
        <w:t> </w:t>
      </w:r>
      <w:r>
        <w:rPr>
          <w:vertAlign w:val="baseline"/>
        </w:rPr>
        <w:t>A third reason for the view that the chips were not </w:t>
      </w:r>
      <w:bookmarkStart w:name="_bookmark158" w:id="160"/>
      <w:bookmarkEnd w:id="160"/>
      <w:r>
        <w:rPr>
          <w:vertAlign w:val="baseline"/>
        </w:rPr>
        <w:t>consideration</w:t>
      </w:r>
      <w:r>
        <w:rPr>
          <w:vertAlign w:val="baseline"/>
        </w:rPr>
        <w:t> for the money may be that the parties did not so regard the transaction: they regarded the</w:t>
      </w:r>
      <w:r>
        <w:rPr>
          <w:spacing w:val="9"/>
          <w:vertAlign w:val="baseline"/>
        </w:rPr>
        <w:t> </w:t>
      </w:r>
      <w:r>
        <w:rPr>
          <w:vertAlign w:val="baseline"/>
        </w:rPr>
        <w:t>chips</w:t>
      </w:r>
      <w:r>
        <w:rPr>
          <w:spacing w:val="10"/>
          <w:vertAlign w:val="baseline"/>
        </w:rPr>
        <w:t> </w:t>
      </w:r>
      <w:r>
        <w:rPr>
          <w:vertAlign w:val="baseline"/>
        </w:rPr>
        <w:t>as</w:t>
      </w:r>
      <w:r>
        <w:rPr>
          <w:spacing w:val="10"/>
          <w:vertAlign w:val="baseline"/>
        </w:rPr>
        <w:t> </w:t>
      </w:r>
      <w:r>
        <w:rPr>
          <w:vertAlign w:val="baseline"/>
        </w:rPr>
        <w:t>merely</w:t>
      </w:r>
      <w:r>
        <w:rPr>
          <w:spacing w:val="10"/>
          <w:vertAlign w:val="baseline"/>
        </w:rPr>
        <w:t> </w:t>
      </w:r>
      <w:r>
        <w:rPr>
          <w:vertAlign w:val="baseline"/>
        </w:rPr>
        <w:t>“a</w:t>
      </w:r>
      <w:r>
        <w:rPr>
          <w:spacing w:val="10"/>
          <w:vertAlign w:val="baseline"/>
        </w:rPr>
        <w:t> </w:t>
      </w:r>
      <w:r>
        <w:rPr>
          <w:vertAlign w:val="baseline"/>
        </w:rPr>
        <w:t>convenient</w:t>
      </w:r>
      <w:r>
        <w:rPr>
          <w:spacing w:val="10"/>
          <w:vertAlign w:val="baseline"/>
        </w:rPr>
        <w:t> </w:t>
      </w:r>
      <w:r>
        <w:rPr>
          <w:vertAlign w:val="baseline"/>
        </w:rPr>
        <w:t>mechanism</w:t>
      </w:r>
      <w:r>
        <w:rPr>
          <w:spacing w:val="10"/>
          <w:vertAlign w:val="baseline"/>
        </w:rPr>
        <w:t> </w:t>
      </w:r>
      <w:r>
        <w:rPr>
          <w:vertAlign w:val="baseline"/>
        </w:rPr>
        <w:t>for</w:t>
      </w:r>
      <w:r>
        <w:rPr>
          <w:spacing w:val="10"/>
          <w:vertAlign w:val="baseline"/>
        </w:rPr>
        <w:t> </w:t>
      </w:r>
      <w:r>
        <w:rPr>
          <w:vertAlign w:val="baseline"/>
        </w:rPr>
        <w:t>facilitating</w:t>
      </w:r>
      <w:r>
        <w:rPr>
          <w:spacing w:val="10"/>
          <w:vertAlign w:val="baseline"/>
        </w:rPr>
        <w:t> </w:t>
      </w:r>
      <w:r>
        <w:rPr>
          <w:vertAlign w:val="baseline"/>
        </w:rPr>
        <w:t>gambling,”</w:t>
      </w:r>
      <w:r>
        <w:rPr>
          <w:spacing w:val="9"/>
          <w:vertAlign w:val="baseline"/>
        </w:rPr>
        <w:t> </w:t>
      </w:r>
      <w:r>
        <w:rPr>
          <w:color w:val="005DA1"/>
          <w:u w:val="single" w:color="005DA1"/>
          <w:vertAlign w:val="superscript"/>
        </w:rPr>
        <w:t>106</w:t>
      </w:r>
      <w:r>
        <w:rPr>
          <w:color w:val="005DA1"/>
          <w:spacing w:val="10"/>
          <w:vertAlign w:val="baseline"/>
        </w:rPr>
        <w:t> </w:t>
      </w:r>
      <w:r>
        <w:rPr>
          <w:vertAlign w:val="baseline"/>
        </w:rPr>
        <w:t>and</w:t>
      </w:r>
      <w:r>
        <w:rPr>
          <w:spacing w:val="10"/>
          <w:vertAlign w:val="baseline"/>
        </w:rPr>
        <w:t> </w:t>
      </w:r>
      <w:r>
        <w:rPr>
          <w:vertAlign w:val="baseline"/>
        </w:rPr>
        <w:t>the</w:t>
      </w:r>
      <w:r>
        <w:rPr>
          <w:spacing w:val="9"/>
          <w:vertAlign w:val="baseline"/>
        </w:rPr>
        <w:t> </w:t>
      </w:r>
      <w:r>
        <w:rPr>
          <w:vertAlign w:val="baseline"/>
        </w:rPr>
        <w:t>case</w:t>
      </w:r>
      <w:r>
        <w:rPr>
          <w:spacing w:val="10"/>
          <w:vertAlign w:val="baseline"/>
        </w:rPr>
        <w:t> </w:t>
      </w:r>
      <w:r>
        <w:rPr>
          <w:vertAlign w:val="baseline"/>
        </w:rPr>
        <w:t>may</w:t>
      </w:r>
      <w:r>
        <w:rPr>
          <w:spacing w:val="10"/>
          <w:vertAlign w:val="baseline"/>
        </w:rPr>
        <w:t> </w:t>
      </w:r>
      <w:r>
        <w:rPr>
          <w:vertAlign w:val="baseline"/>
        </w:rPr>
        <w:t>be</w:t>
      </w:r>
      <w:r>
        <w:rPr>
          <w:spacing w:val="10"/>
          <w:vertAlign w:val="baseline"/>
        </w:rPr>
        <w:t> </w:t>
      </w:r>
      <w:r>
        <w:rPr>
          <w:spacing w:val="-5"/>
          <w:vertAlign w:val="baseline"/>
        </w:rPr>
        <w:t>one</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bookmarkStart w:name="_bookmark159" w:id="161"/>
      <w:bookmarkEnd w:id="161"/>
      <w:r>
        <w:rPr/>
      </w:r>
      <w:r>
        <w:rPr/>
        <w:t>in which the court refused to “invent” consideration </w:t>
      </w:r>
      <w:r>
        <w:rPr>
          <w:color w:val="005DA1"/>
          <w:u w:val="single" w:color="005DA1"/>
          <w:vertAlign w:val="superscript"/>
        </w:rPr>
        <w:t>107</w:t>
      </w:r>
      <w:r>
        <w:rPr>
          <w:color w:val="005DA1"/>
          <w:vertAlign w:val="baseline"/>
        </w:rPr>
        <w:t> </w:t>
      </w:r>
      <w:r>
        <w:rPr>
          <w:vertAlign w:val="baseline"/>
        </w:rPr>
        <w:t>(by regarding something as </w:t>
      </w:r>
      <w:r>
        <w:rPr>
          <w:vertAlign w:val="baseline"/>
        </w:rPr>
        <w:t>consideration</w:t>
      </w:r>
      <w:r>
        <w:rPr>
          <w:spacing w:val="40"/>
          <w:vertAlign w:val="baseline"/>
        </w:rPr>
        <w:t> </w:t>
      </w:r>
      <w:r>
        <w:rPr>
          <w:vertAlign w:val="baseline"/>
        </w:rPr>
        <w:t>which was not so regarded by the parties) even though this course was technically open to it. This refusal appears to have been based on the context in which the question arose. The issue was not whether the club could sue the member on any promise made by him: it arose because the money paid by the member to the club had been stolen; and the club, which had received the money in good faith, argued that it had given valuable consideration for it, so as to defeat the true owner’s claim for the return of the money. This explanation of the case derives some support from Lord Goff’s discussion of a hypothetical case of tokens supplied by a department store in exchange for cash: he </w:t>
      </w:r>
      <w:bookmarkStart w:name="_bookmark160" w:id="162"/>
      <w:bookmarkEnd w:id="162"/>
      <w:r>
        <w:rPr>
          <w:vertAlign w:val="baseline"/>
        </w:rPr>
        <w:t>said</w:t>
      </w:r>
      <w:r>
        <w:rPr>
          <w:spacing w:val="-1"/>
          <w:vertAlign w:val="baseline"/>
        </w:rPr>
        <w:t> </w:t>
      </w:r>
      <w:r>
        <w:rPr>
          <w:vertAlign w:val="baseline"/>
        </w:rPr>
        <w:t>that</w:t>
      </w:r>
      <w:r>
        <w:rPr>
          <w:spacing w:val="-1"/>
          <w:vertAlign w:val="baseline"/>
        </w:rPr>
        <w:t> </w:t>
      </w:r>
      <w:r>
        <w:rPr>
          <w:vertAlign w:val="baseline"/>
        </w:rPr>
        <w:t>“by</w:t>
      </w:r>
      <w:r>
        <w:rPr>
          <w:spacing w:val="-1"/>
          <w:vertAlign w:val="baseline"/>
        </w:rPr>
        <w:t> </w:t>
      </w:r>
      <w:r>
        <w:rPr>
          <w:vertAlign w:val="baseline"/>
        </w:rPr>
        <w:t>receiving</w:t>
      </w:r>
      <w:r>
        <w:rPr>
          <w:spacing w:val="-1"/>
          <w:vertAlign w:val="baseline"/>
        </w:rPr>
        <w:t> </w:t>
      </w:r>
      <w:r>
        <w:rPr>
          <w:vertAlign w:val="baseline"/>
        </w:rPr>
        <w:t>the</w:t>
      </w:r>
      <w:r>
        <w:rPr>
          <w:spacing w:val="-1"/>
          <w:vertAlign w:val="baseline"/>
        </w:rPr>
        <w:t> </w:t>
      </w:r>
      <w:r>
        <w:rPr>
          <w:vertAlign w:val="baseline"/>
        </w:rPr>
        <w:t>money</w:t>
      </w:r>
      <w:r>
        <w:rPr>
          <w:spacing w:val="-1"/>
          <w:vertAlign w:val="baseline"/>
        </w:rPr>
        <w:t> </w:t>
      </w:r>
      <w:r>
        <w:rPr>
          <w:vertAlign w:val="baseline"/>
        </w:rPr>
        <w:t>in</w:t>
      </w:r>
      <w:r>
        <w:rPr>
          <w:spacing w:val="-1"/>
          <w:vertAlign w:val="baseline"/>
        </w:rPr>
        <w:t> </w:t>
      </w:r>
      <w:r>
        <w:rPr>
          <w:vertAlign w:val="baseline"/>
        </w:rPr>
        <w:t>these</w:t>
      </w:r>
      <w:r>
        <w:rPr>
          <w:spacing w:val="-1"/>
          <w:vertAlign w:val="baseline"/>
        </w:rPr>
        <w:t> </w:t>
      </w:r>
      <w:r>
        <w:rPr>
          <w:vertAlign w:val="baseline"/>
        </w:rPr>
        <w:t>circumstances</w:t>
      </w:r>
      <w:r>
        <w:rPr>
          <w:spacing w:val="-1"/>
          <w:vertAlign w:val="baseline"/>
        </w:rPr>
        <w:t> </w:t>
      </w:r>
      <w:r>
        <w:rPr>
          <w:vertAlign w:val="baseline"/>
        </w:rPr>
        <w:t>the</w:t>
      </w:r>
      <w:r>
        <w:rPr>
          <w:spacing w:val="-1"/>
          <w:vertAlign w:val="baseline"/>
        </w:rPr>
        <w:t> </w:t>
      </w:r>
      <w:r>
        <w:rPr>
          <w:vertAlign w:val="baseline"/>
        </w:rPr>
        <w:t>store</w:t>
      </w:r>
      <w:r>
        <w:rPr>
          <w:spacing w:val="-1"/>
          <w:vertAlign w:val="baseline"/>
        </w:rPr>
        <w:t> </w:t>
      </w:r>
      <w:r>
        <w:rPr>
          <w:vertAlign w:val="baseline"/>
        </w:rPr>
        <w:t>does</w:t>
      </w:r>
      <w:r>
        <w:rPr>
          <w:spacing w:val="-1"/>
          <w:vertAlign w:val="baseline"/>
        </w:rPr>
        <w:t> </w:t>
      </w:r>
      <w:r>
        <w:rPr>
          <w:vertAlign w:val="baseline"/>
        </w:rPr>
        <w:t>not</w:t>
      </w:r>
      <w:r>
        <w:rPr>
          <w:spacing w:val="-2"/>
          <w:vertAlign w:val="baseline"/>
        </w:rPr>
        <w:t> </w:t>
      </w:r>
      <w:r>
        <w:rPr>
          <w:rFonts w:ascii="Arial" w:hAnsi="Arial"/>
          <w:i/>
          <w:vertAlign w:val="baseline"/>
        </w:rPr>
        <w:t>for</w:t>
      </w:r>
      <w:r>
        <w:rPr>
          <w:rFonts w:ascii="Arial" w:hAnsi="Arial"/>
          <w:i/>
          <w:spacing w:val="-1"/>
          <w:vertAlign w:val="baseline"/>
        </w:rPr>
        <w:t> </w:t>
      </w:r>
      <w:r>
        <w:rPr>
          <w:rFonts w:ascii="Arial" w:hAnsi="Arial"/>
          <w:i/>
          <w:vertAlign w:val="baseline"/>
        </w:rPr>
        <w:t>present</w:t>
      </w:r>
      <w:r>
        <w:rPr>
          <w:rFonts w:ascii="Arial" w:hAnsi="Arial"/>
          <w:i/>
          <w:spacing w:val="-1"/>
          <w:vertAlign w:val="baseline"/>
        </w:rPr>
        <w:t> </w:t>
      </w:r>
      <w:r>
        <w:rPr>
          <w:rFonts w:ascii="Arial" w:hAnsi="Arial"/>
          <w:i/>
          <w:vertAlign w:val="baseline"/>
        </w:rPr>
        <w:t>purposes</w:t>
      </w:r>
      <w:r>
        <w:rPr>
          <w:rFonts w:ascii="Arial" w:hAnsi="Arial"/>
          <w:i/>
          <w:spacing w:val="-1"/>
          <w:vertAlign w:val="baseline"/>
        </w:rPr>
        <w:t> </w:t>
      </w:r>
      <w:r>
        <w:rPr>
          <w:vertAlign w:val="baseline"/>
        </w:rPr>
        <w:t>give </w:t>
      </w:r>
      <w:bookmarkStart w:name="_bookmark161" w:id="163"/>
      <w:bookmarkEnd w:id="163"/>
      <w:r>
        <w:rPr>
          <w:vertAlign w:val="baseline"/>
        </w:rPr>
        <w:t>valuable</w:t>
      </w:r>
      <w:r>
        <w:rPr>
          <w:vertAlign w:val="baseline"/>
        </w:rPr>
        <w:t> consideration for it.” </w:t>
      </w:r>
      <w:r>
        <w:rPr>
          <w:color w:val="005DA1"/>
          <w:u w:val="single" w:color="005DA1"/>
          <w:vertAlign w:val="superscript"/>
        </w:rPr>
        <w:t>108</w:t>
      </w:r>
      <w:r>
        <w:rPr>
          <w:color w:val="005DA1"/>
          <w:vertAlign w:val="baseline"/>
        </w:rPr>
        <w:t> </w:t>
      </w:r>
      <w:r>
        <w:rPr>
          <w:vertAlign w:val="baseline"/>
        </w:rPr>
        <w:t>Yet he also accepted that (in the store example) “an independent contract is made for the chips when the customer originally obtains them at the cash desk.” </w:t>
      </w:r>
      <w:r>
        <w:rPr>
          <w:color w:val="005DA1"/>
          <w:u w:val="single" w:color="005DA1"/>
          <w:vertAlign w:val="superscript"/>
        </w:rPr>
        <w:t>109</w:t>
      </w:r>
      <w:r>
        <w:rPr>
          <w:color w:val="005DA1"/>
          <w:vertAlign w:val="baseline"/>
        </w:rPr>
        <w:t> </w:t>
      </w:r>
      <w:r>
        <w:rPr>
          <w:vertAlign w:val="baseline"/>
        </w:rPr>
        <w:t>The question whether a party has provided consideration may thus receive one answer when it arises for the purpose of determining the enforceability of a promise, and a different and narrower one when it </w:t>
      </w:r>
      <w:bookmarkStart w:name="_bookmark162" w:id="164"/>
      <w:bookmarkEnd w:id="164"/>
      <w:r>
        <w:rPr>
          <w:vertAlign w:val="baseline"/>
        </w:rPr>
        <w:t>arises</w:t>
      </w:r>
      <w:r>
        <w:rPr>
          <w:vertAlign w:val="baseline"/>
        </w:rPr>
        <w:t> for the purpose of determining whether a transaction has adversely affected the rights of an innocent third party. </w:t>
      </w:r>
      <w:r>
        <w:rPr>
          <w:color w:val="005DA1"/>
          <w:u w:val="single" w:color="005DA1"/>
          <w:vertAlign w:val="superscript"/>
        </w:rPr>
        <w:t>110</w:t>
      </w:r>
      <w:r>
        <w:rPr>
          <w:color w:val="005DA1"/>
          <w:vertAlign w:val="baseline"/>
        </w:rPr>
        <w:t> </w:t>
      </w:r>
      <w:r>
        <w:rPr>
          <w:vertAlign w:val="baseline"/>
        </w:rPr>
        <w:t>It was the desire to protect the victim of the theft which led the House of Lords in the </w:t>
      </w:r>
      <w:r>
        <w:rPr>
          <w:rFonts w:ascii="Arial" w:hAnsi="Arial"/>
          <w:i/>
          <w:vertAlign w:val="baseline"/>
        </w:rPr>
        <w:t>Lipkin Gorman </w:t>
      </w:r>
      <w:r>
        <w:rPr>
          <w:vertAlign w:val="baseline"/>
        </w:rPr>
        <w:t>case to reject the, no doubt somewhat technical, argument that the chips constituted consideration for the receipt of the money.</w:t>
      </w:r>
    </w:p>
    <w:p>
      <w:pPr>
        <w:pStyle w:val="BodyText"/>
        <w:spacing w:before="74"/>
      </w:pPr>
    </w:p>
    <w:p>
      <w:pPr>
        <w:pStyle w:val="Heading2"/>
        <w:spacing w:before="1"/>
        <w:ind w:left="164"/>
      </w:pPr>
      <w:r>
        <w:rPr/>
        <w:t>4-</w:t>
      </w:r>
      <w:r>
        <w:rPr>
          <w:spacing w:val="-5"/>
        </w:rPr>
        <w:t>017</w:t>
      </w:r>
    </w:p>
    <w:p>
      <w:pPr>
        <w:pStyle w:val="BodyText"/>
        <w:spacing w:line="235" w:lineRule="auto" w:before="202"/>
        <w:ind w:left="164" w:right="167"/>
        <w:jc w:val="both"/>
      </w:pPr>
      <w:bookmarkStart w:name="_bookmark163" w:id="165"/>
      <w:bookmarkEnd w:id="165"/>
      <w:r>
        <w:rPr/>
      </w:r>
      <w:r>
        <w:rPr/>
        <w:t>The </w:t>
      </w:r>
      <w:r>
        <w:rPr>
          <w:rFonts w:ascii="Arial" w:hAnsi="Arial"/>
          <w:i/>
        </w:rPr>
        <w:t>Lipkin Gorman </w:t>
      </w:r>
      <w:r>
        <w:rPr>
          <w:color w:val="005DA1"/>
          <w:u w:val="single" w:color="005DA1"/>
          <w:vertAlign w:val="superscript"/>
        </w:rPr>
        <w:t>111</w:t>
      </w:r>
      <w:r>
        <w:rPr>
          <w:color w:val="005DA1"/>
          <w:vertAlign w:val="baseline"/>
        </w:rPr>
        <w:t> </w:t>
      </w:r>
      <w:r>
        <w:rPr>
          <w:vertAlign w:val="baseline"/>
        </w:rPr>
        <w:t>case gives rise to further difficulty because the chips were supplied on </w:t>
      </w:r>
      <w:r>
        <w:rPr>
          <w:vertAlign w:val="baseline"/>
        </w:rPr>
        <w:t>the </w:t>
      </w:r>
      <w:bookmarkStart w:name="_bookmark164" w:id="166"/>
      <w:bookmarkEnd w:id="166"/>
      <w:r>
        <w:rPr>
          <w:vertAlign w:val="baseline"/>
        </w:rPr>
        <w:t>terms</w:t>
      </w:r>
      <w:r>
        <w:rPr>
          <w:vertAlign w:val="baseline"/>
        </w:rPr>
        <w:t> that they could be used, not only for gaming, but also to buy refreshments at the club. There was</w:t>
      </w:r>
      <w:r>
        <w:rPr>
          <w:spacing w:val="-2"/>
          <w:vertAlign w:val="baseline"/>
        </w:rPr>
        <w:t> </w:t>
      </w:r>
      <w:r>
        <w:rPr>
          <w:vertAlign w:val="baseline"/>
        </w:rPr>
        <w:t>no</w:t>
      </w:r>
      <w:r>
        <w:rPr>
          <w:spacing w:val="-2"/>
          <w:vertAlign w:val="baseline"/>
        </w:rPr>
        <w:t> </w:t>
      </w:r>
      <w:r>
        <w:rPr>
          <w:vertAlign w:val="baseline"/>
        </w:rPr>
        <w:t>evidence</w:t>
      </w:r>
      <w:r>
        <w:rPr>
          <w:spacing w:val="-2"/>
          <w:vertAlign w:val="baseline"/>
        </w:rPr>
        <w:t> </w:t>
      </w:r>
      <w:r>
        <w:rPr>
          <w:vertAlign w:val="baseline"/>
        </w:rPr>
        <w:t>of</w:t>
      </w:r>
      <w:r>
        <w:rPr>
          <w:spacing w:val="-2"/>
          <w:vertAlign w:val="baseline"/>
        </w:rPr>
        <w:t> </w:t>
      </w:r>
      <w:r>
        <w:rPr>
          <w:vertAlign w:val="baseline"/>
        </w:rPr>
        <w:t>their</w:t>
      </w:r>
      <w:r>
        <w:rPr>
          <w:spacing w:val="-2"/>
          <w:vertAlign w:val="baseline"/>
        </w:rPr>
        <w:t> </w:t>
      </w:r>
      <w:r>
        <w:rPr>
          <w:vertAlign w:val="baseline"/>
        </w:rPr>
        <w:t>having</w:t>
      </w:r>
      <w:r>
        <w:rPr>
          <w:spacing w:val="-2"/>
          <w:vertAlign w:val="baseline"/>
        </w:rPr>
        <w:t> </w:t>
      </w:r>
      <w:r>
        <w:rPr>
          <w:vertAlign w:val="baseline"/>
        </w:rPr>
        <w:t>been</w:t>
      </w:r>
      <w:r>
        <w:rPr>
          <w:spacing w:val="-2"/>
          <w:vertAlign w:val="baseline"/>
        </w:rPr>
        <w:t> </w:t>
      </w:r>
      <w:r>
        <w:rPr>
          <w:vertAlign w:val="baseline"/>
        </w:rPr>
        <w:t>used</w:t>
      </w:r>
      <w:r>
        <w:rPr>
          <w:spacing w:val="-2"/>
          <w:vertAlign w:val="baseline"/>
        </w:rPr>
        <w:t> </w:t>
      </w:r>
      <w:r>
        <w:rPr>
          <w:vertAlign w:val="baseline"/>
        </w:rPr>
        <w:t>for</w:t>
      </w:r>
      <w:r>
        <w:rPr>
          <w:spacing w:val="-2"/>
          <w:vertAlign w:val="baseline"/>
        </w:rPr>
        <w:t> </w:t>
      </w:r>
      <w:r>
        <w:rPr>
          <w:vertAlign w:val="baseline"/>
        </w:rPr>
        <w:t>this</w:t>
      </w:r>
      <w:r>
        <w:rPr>
          <w:spacing w:val="-2"/>
          <w:vertAlign w:val="baseline"/>
        </w:rPr>
        <w:t> </w:t>
      </w:r>
      <w:r>
        <w:rPr>
          <w:vertAlign w:val="baseline"/>
        </w:rPr>
        <w:t>purpose,</w:t>
      </w:r>
      <w:r>
        <w:rPr>
          <w:spacing w:val="-2"/>
          <w:vertAlign w:val="baseline"/>
        </w:rPr>
        <w:t> </w:t>
      </w:r>
      <w:r>
        <w:rPr>
          <w:color w:val="005DA1"/>
          <w:u w:val="single" w:color="005DA1"/>
          <w:vertAlign w:val="superscript"/>
        </w:rPr>
        <w:t>112</w:t>
      </w:r>
      <w:r>
        <w:rPr>
          <w:color w:val="005DA1"/>
          <w:spacing w:val="-2"/>
          <w:vertAlign w:val="baseline"/>
        </w:rPr>
        <w:t> </w:t>
      </w:r>
      <w:r>
        <w:rPr>
          <w:vertAlign w:val="baseline"/>
        </w:rPr>
        <w:t>but</w:t>
      </w:r>
      <w:r>
        <w:rPr>
          <w:spacing w:val="-2"/>
          <w:vertAlign w:val="baseline"/>
        </w:rPr>
        <w:t> </w:t>
      </w:r>
      <w:r>
        <w:rPr>
          <w:vertAlign w:val="baseline"/>
        </w:rPr>
        <w:t>Lord</w:t>
      </w:r>
      <w:r>
        <w:rPr>
          <w:spacing w:val="-2"/>
          <w:vertAlign w:val="baseline"/>
        </w:rPr>
        <w:t> </w:t>
      </w:r>
      <w:r>
        <w:rPr>
          <w:vertAlign w:val="baseline"/>
        </w:rPr>
        <w:t>Templeman</w:t>
      </w:r>
      <w:r>
        <w:rPr>
          <w:spacing w:val="-2"/>
          <w:vertAlign w:val="baseline"/>
        </w:rPr>
        <w:t> </w:t>
      </w:r>
      <w:r>
        <w:rPr>
          <w:vertAlign w:val="baseline"/>
        </w:rPr>
        <w:t>said</w:t>
      </w:r>
      <w:r>
        <w:rPr>
          <w:spacing w:val="-2"/>
          <w:vertAlign w:val="baseline"/>
        </w:rPr>
        <w:t> </w:t>
      </w:r>
      <w:r>
        <w:rPr>
          <w:vertAlign w:val="baseline"/>
        </w:rPr>
        <w:t>that</w:t>
      </w:r>
      <w:r>
        <w:rPr>
          <w:spacing w:val="-2"/>
          <w:vertAlign w:val="baseline"/>
        </w:rPr>
        <w:t> </w:t>
      </w:r>
      <w:r>
        <w:rPr>
          <w:vertAlign w:val="baseline"/>
        </w:rPr>
        <w:t>“neither </w:t>
      </w:r>
      <w:bookmarkStart w:name="_bookmark165" w:id="167"/>
      <w:bookmarkEnd w:id="167"/>
      <w:r>
        <w:rPr>
          <w:vertAlign w:val="baseline"/>
        </w:rPr>
        <w:t>the</w:t>
      </w:r>
      <w:r>
        <w:rPr>
          <w:vertAlign w:val="baseline"/>
        </w:rPr>
        <w:t> power to buy refreshments nor the exercise of that power could constitute consideration for the receipt [by the club] of £154,693.” </w:t>
      </w:r>
      <w:r>
        <w:rPr>
          <w:color w:val="005DA1"/>
          <w:u w:val="single" w:color="005DA1"/>
          <w:vertAlign w:val="superscript"/>
        </w:rPr>
        <w:t>113</w:t>
      </w:r>
      <w:r>
        <w:rPr>
          <w:color w:val="005DA1"/>
          <w:vertAlign w:val="baseline"/>
        </w:rPr>
        <w:t> </w:t>
      </w:r>
      <w:r>
        <w:rPr>
          <w:vertAlign w:val="baseline"/>
        </w:rPr>
        <w:t>One possible interpretation of this passage is that the supply of refreshments</w:t>
      </w:r>
      <w:r>
        <w:rPr>
          <w:spacing w:val="-2"/>
          <w:vertAlign w:val="baseline"/>
        </w:rPr>
        <w:t> </w:t>
      </w:r>
      <w:r>
        <w:rPr>
          <w:vertAlign w:val="baseline"/>
        </w:rPr>
        <w:t>could</w:t>
      </w:r>
      <w:r>
        <w:rPr>
          <w:spacing w:val="-2"/>
          <w:vertAlign w:val="baseline"/>
        </w:rPr>
        <w:t> </w:t>
      </w:r>
      <w:r>
        <w:rPr>
          <w:vertAlign w:val="baseline"/>
        </w:rPr>
        <w:t>not</w:t>
      </w:r>
      <w:r>
        <w:rPr>
          <w:spacing w:val="-2"/>
          <w:vertAlign w:val="baseline"/>
        </w:rPr>
        <w:t> </w:t>
      </w:r>
      <w:r>
        <w:rPr>
          <w:vertAlign w:val="baseline"/>
        </w:rPr>
        <w:t>constitute</w:t>
      </w:r>
      <w:r>
        <w:rPr>
          <w:spacing w:val="-2"/>
          <w:vertAlign w:val="baseline"/>
        </w:rPr>
        <w:t> </w:t>
      </w:r>
      <w:r>
        <w:rPr>
          <w:vertAlign w:val="baseline"/>
        </w:rPr>
        <w:t>consideration</w:t>
      </w:r>
      <w:r>
        <w:rPr>
          <w:spacing w:val="-2"/>
          <w:vertAlign w:val="baseline"/>
        </w:rPr>
        <w:t> </w:t>
      </w:r>
      <w:r>
        <w:rPr>
          <w:vertAlign w:val="baseline"/>
        </w:rPr>
        <w:t>for</w:t>
      </w:r>
      <w:r>
        <w:rPr>
          <w:spacing w:val="-2"/>
          <w:vertAlign w:val="baseline"/>
        </w:rPr>
        <w:t> </w:t>
      </w:r>
      <w:r>
        <w:rPr>
          <w:vertAlign w:val="baseline"/>
        </w:rPr>
        <w:t>£154,693</w:t>
      </w:r>
      <w:r>
        <w:rPr>
          <w:spacing w:val="-2"/>
          <w:vertAlign w:val="baseline"/>
        </w:rPr>
        <w:t> </w:t>
      </w:r>
      <w:r>
        <w:rPr>
          <w:vertAlign w:val="baseline"/>
        </w:rPr>
        <w:t>(the</w:t>
      </w:r>
      <w:r>
        <w:rPr>
          <w:spacing w:val="-2"/>
          <w:vertAlign w:val="baseline"/>
        </w:rPr>
        <w:t> </w:t>
      </w:r>
      <w:r>
        <w:rPr>
          <w:vertAlign w:val="baseline"/>
        </w:rPr>
        <w:t>sum</w:t>
      </w:r>
      <w:r>
        <w:rPr>
          <w:spacing w:val="-2"/>
          <w:vertAlign w:val="baseline"/>
        </w:rPr>
        <w:t> </w:t>
      </w:r>
      <w:r>
        <w:rPr>
          <w:vertAlign w:val="baseline"/>
        </w:rPr>
        <w:t>lost</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member</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club) since the disparity in value was too great; but this would be inconsistent with the principle that </w:t>
      </w:r>
      <w:bookmarkStart w:name="_bookmark166" w:id="168"/>
      <w:bookmarkEnd w:id="168"/>
      <w:r>
        <w:rPr>
          <w:vertAlign w:val="baseline"/>
        </w:rPr>
        <w:t>consideration</w:t>
      </w:r>
      <w:r>
        <w:rPr>
          <w:vertAlign w:val="baseline"/>
        </w:rPr>
        <w:t> need not be adequate. It is submitted that the preferable explanation of Lord Templeman’s statement is that the chips were simply “treated as currency” </w:t>
      </w:r>
      <w:r>
        <w:rPr>
          <w:color w:val="005DA1"/>
          <w:u w:val="single" w:color="005DA1"/>
          <w:vertAlign w:val="superscript"/>
        </w:rPr>
        <w:t>114</w:t>
      </w:r>
      <w:r>
        <w:rPr>
          <w:color w:val="005DA1"/>
          <w:vertAlign w:val="baseline"/>
        </w:rPr>
        <w:t> </w:t>
      </w:r>
      <w:r>
        <w:rPr>
          <w:vertAlign w:val="baseline"/>
        </w:rPr>
        <w:t>in the club and could</w:t>
      </w:r>
      <w:r>
        <w:rPr>
          <w:spacing w:val="40"/>
          <w:vertAlign w:val="baseline"/>
        </w:rPr>
        <w:t> </w:t>
      </w:r>
      <w:r>
        <w:rPr>
          <w:vertAlign w:val="baseline"/>
        </w:rPr>
        <w:t>be used for a variety of transactions. The reason why the supply of refreshments was no</w:t>
      </w:r>
      <w:r>
        <w:rPr>
          <w:spacing w:val="40"/>
          <w:vertAlign w:val="baseline"/>
        </w:rPr>
        <w:t> </w:t>
      </w:r>
      <w:r>
        <w:rPr>
          <w:vertAlign w:val="baseline"/>
        </w:rPr>
        <w:t>consideration for the face value of the chips lost at play was simply that these transactions were entirely separate ones.</w:t>
      </w:r>
    </w:p>
    <w:p>
      <w:pPr>
        <w:pStyle w:val="BodyText"/>
      </w:pPr>
    </w:p>
    <w:p>
      <w:pPr>
        <w:pStyle w:val="BodyText"/>
        <w:spacing w:before="34"/>
      </w:pPr>
    </w:p>
    <w:p>
      <w:pPr>
        <w:spacing w:before="0"/>
        <w:ind w:left="165" w:right="0" w:firstLine="0"/>
        <w:jc w:val="left"/>
        <w:rPr>
          <w:rFonts w:ascii="Arial"/>
          <w:b/>
          <w:sz w:val="18"/>
        </w:rPr>
      </w:pPr>
      <w:r>
        <w:rPr>
          <w:rFonts w:ascii="Arial"/>
          <w:b/>
          <w:sz w:val="18"/>
        </w:rPr>
        <w:t>Nominal </w:t>
      </w:r>
      <w:r>
        <w:rPr>
          <w:rFonts w:ascii="Arial"/>
          <w:b/>
          <w:spacing w:val="-2"/>
          <w:sz w:val="18"/>
        </w:rPr>
        <w:t>consideration</w:t>
      </w:r>
    </w:p>
    <w:p>
      <w:pPr>
        <w:pStyle w:val="BodyText"/>
        <w:spacing w:before="42"/>
        <w:rPr>
          <w:rFonts w:ascii="Arial"/>
          <w:b/>
          <w:sz w:val="18"/>
        </w:rPr>
      </w:pPr>
    </w:p>
    <w:p>
      <w:pPr>
        <w:pStyle w:val="Heading2"/>
      </w:pPr>
      <w:r>
        <w:rPr/>
        <w:t>4-</w:t>
      </w:r>
      <w:r>
        <w:rPr>
          <w:spacing w:val="-5"/>
        </w:rPr>
        <w:t>018</w:t>
      </w:r>
    </w:p>
    <w:p>
      <w:pPr>
        <w:pStyle w:val="BodyText"/>
        <w:spacing w:line="235" w:lineRule="auto" w:before="202"/>
        <w:ind w:left="164" w:right="167"/>
        <w:jc w:val="both"/>
      </w:pPr>
      <w:r>
        <w:rPr/>
        <w:t>The rule that consideration need not be adequate makes it possible to evade the doctrine </w:t>
      </w:r>
      <w:r>
        <w:rPr/>
        <w:t>of consideration in the sense that a gratuitous promise can be made binding by giving a nominal consideration, e.g. £1 for the promise of valuable property, or a peppercorn for a substantial sum of </w:t>
      </w:r>
      <w:bookmarkStart w:name="_bookmark167" w:id="169"/>
      <w:bookmarkEnd w:id="169"/>
      <w:r>
        <w:rPr/>
        <w:t>money.</w:t>
      </w:r>
      <w:r>
        <w:rPr/>
        <w:t> Such cases are merely extreme examples of the rule that the courts will not judge the adequacy of consideration. </w:t>
      </w:r>
      <w:r>
        <w:rPr>
          <w:color w:val="005DA1"/>
          <w:u w:val="single" w:color="005DA1"/>
          <w:vertAlign w:val="superscript"/>
        </w:rPr>
        <w:t>115</w:t>
      </w:r>
      <w:r>
        <w:rPr>
          <w:color w:val="005DA1"/>
          <w:vertAlign w:val="baseline"/>
        </w:rPr>
        <w:t> </w:t>
      </w:r>
      <w:r>
        <w:rPr>
          <w:vertAlign w:val="baseline"/>
        </w:rPr>
        <w:t>If, however, it appears on the face of an agreement that the consideration</w:t>
      </w:r>
      <w:r>
        <w:rPr>
          <w:spacing w:val="40"/>
          <w:vertAlign w:val="baseline"/>
        </w:rPr>
        <w:t> </w:t>
      </w:r>
      <w:r>
        <w:rPr>
          <w:vertAlign w:val="baseline"/>
        </w:rPr>
        <w:t>must</w:t>
      </w:r>
      <w:r>
        <w:rPr>
          <w:spacing w:val="40"/>
          <w:vertAlign w:val="baseline"/>
        </w:rPr>
        <w:t> </w:t>
      </w:r>
      <w:r>
        <w:rPr>
          <w:vertAlign w:val="baseline"/>
        </w:rPr>
        <w:t>as</w:t>
      </w:r>
      <w:r>
        <w:rPr>
          <w:spacing w:val="40"/>
          <w:vertAlign w:val="baseline"/>
        </w:rPr>
        <w:t> </w:t>
      </w:r>
      <w:r>
        <w:rPr>
          <w:vertAlign w:val="baseline"/>
        </w:rPr>
        <w:t>a</w:t>
      </w:r>
      <w:r>
        <w:rPr>
          <w:spacing w:val="40"/>
          <w:vertAlign w:val="baseline"/>
        </w:rPr>
        <w:t> </w:t>
      </w:r>
      <w:r>
        <w:rPr>
          <w:vertAlign w:val="baseline"/>
        </w:rPr>
        <w:t>matter</w:t>
      </w:r>
      <w:r>
        <w:rPr>
          <w:spacing w:val="40"/>
          <w:vertAlign w:val="baseline"/>
        </w:rPr>
        <w:t> </w:t>
      </w:r>
      <w:r>
        <w:rPr>
          <w:vertAlign w:val="baseline"/>
        </w:rPr>
        <w:t>of</w:t>
      </w:r>
      <w:r>
        <w:rPr>
          <w:spacing w:val="40"/>
          <w:vertAlign w:val="baseline"/>
        </w:rPr>
        <w:t> </w:t>
      </w:r>
      <w:r>
        <w:rPr>
          <w:vertAlign w:val="baseline"/>
        </w:rPr>
        <w:t>arithmetic</w:t>
      </w:r>
      <w:r>
        <w:rPr>
          <w:spacing w:val="40"/>
          <w:vertAlign w:val="baseline"/>
        </w:rPr>
        <w:t> </w:t>
      </w:r>
      <w:r>
        <w:rPr>
          <w:vertAlign w:val="baseline"/>
        </w:rPr>
        <w:t>be</w:t>
      </w:r>
      <w:r>
        <w:rPr>
          <w:spacing w:val="40"/>
          <w:vertAlign w:val="baseline"/>
        </w:rPr>
        <w:t> </w:t>
      </w:r>
      <w:r>
        <w:rPr>
          <w:vertAlign w:val="baseline"/>
        </w:rPr>
        <w:t>worth</w:t>
      </w:r>
      <w:r>
        <w:rPr>
          <w:spacing w:val="40"/>
          <w:vertAlign w:val="baseline"/>
        </w:rPr>
        <w:t> </w:t>
      </w:r>
      <w:r>
        <w:rPr>
          <w:vertAlign w:val="baseline"/>
        </w:rPr>
        <w:t>less</w:t>
      </w:r>
      <w:r>
        <w:rPr>
          <w:spacing w:val="40"/>
          <w:vertAlign w:val="baseline"/>
        </w:rPr>
        <w:t> </w:t>
      </w:r>
      <w:r>
        <w:rPr>
          <w:vertAlign w:val="baseline"/>
        </w:rPr>
        <w:t>than</w:t>
      </w:r>
      <w:r>
        <w:rPr>
          <w:spacing w:val="40"/>
          <w:vertAlign w:val="baseline"/>
        </w:rPr>
        <w:t> </w:t>
      </w:r>
      <w:r>
        <w:rPr>
          <w:vertAlign w:val="baseline"/>
        </w:rPr>
        <w:t>the</w:t>
      </w:r>
      <w:r>
        <w:rPr>
          <w:spacing w:val="40"/>
          <w:vertAlign w:val="baseline"/>
        </w:rPr>
        <w:t> </w:t>
      </w:r>
      <w:r>
        <w:rPr>
          <w:vertAlign w:val="baseline"/>
        </w:rPr>
        <w:t>performance</w:t>
      </w:r>
      <w:r>
        <w:rPr>
          <w:spacing w:val="40"/>
          <w:vertAlign w:val="baseline"/>
        </w:rPr>
        <w:t> </w:t>
      </w:r>
      <w:r>
        <w:rPr>
          <w:vertAlign w:val="baseline"/>
        </w:rPr>
        <w:t>of</w:t>
      </w:r>
      <w:r>
        <w:rPr>
          <w:spacing w:val="40"/>
          <w:vertAlign w:val="baseline"/>
        </w:rPr>
        <w:t> </w:t>
      </w:r>
      <w:r>
        <w:rPr>
          <w:vertAlign w:val="baseline"/>
        </w:rPr>
        <w:t>the</w:t>
      </w:r>
      <w:r>
        <w:rPr>
          <w:spacing w:val="80"/>
          <w:w w:val="150"/>
          <w:vertAlign w:val="baseline"/>
        </w:rPr>
        <w:t> </w:t>
      </w:r>
      <w:r>
        <w:rPr>
          <w:vertAlign w:val="baseline"/>
        </w:rPr>
        <w:t>counter-promise, there would seem to be no contract: for example, if A promised to pay B £100 in </w:t>
      </w:r>
      <w:bookmarkStart w:name="_bookmark168" w:id="170"/>
      <w:bookmarkEnd w:id="170"/>
      <w:r>
        <w:rPr>
          <w:vertAlign w:val="baseline"/>
        </w:rPr>
        <w:t>return</w:t>
      </w:r>
      <w:r>
        <w:rPr>
          <w:vertAlign w:val="baseline"/>
        </w:rPr>
        <w:t> for £1 to be simultaneously paid by B to A. It has been said that, in such a case, the apparent contract would amount “in reality to a gift of £99.” </w:t>
      </w:r>
      <w:r>
        <w:rPr>
          <w:color w:val="005DA1"/>
          <w:u w:val="single" w:color="005DA1"/>
          <w:vertAlign w:val="superscript"/>
        </w:rPr>
        <w:t>116</w:t>
      </w:r>
      <w:r>
        <w:rPr>
          <w:color w:val="005DA1"/>
          <w:vertAlign w:val="baseline"/>
        </w:rPr>
        <w:t> </w:t>
      </w:r>
      <w:r>
        <w:rPr>
          <w:vertAlign w:val="baseline"/>
        </w:rPr>
        <w:t>It is assumed in the example that both sums are simply to be paid in legal tender. An agreement to exchange a specific coin or coins of a particular description for a sum of money greater than their face value (e.g. 20 shilling pieces bearing the date 1900 for £100) would be a good contract. The same would be true of an agreement to pay a sum in </w:t>
      </w:r>
      <w:bookmarkStart w:name="_bookmark169" w:id="171"/>
      <w:bookmarkEnd w:id="171"/>
      <w:r>
        <w:rPr>
          <w:vertAlign w:val="baseline"/>
        </w:rPr>
        <w:t>one</w:t>
      </w:r>
      <w:r>
        <w:rPr>
          <w:vertAlign w:val="baseline"/>
        </w:rPr>
        <w:t> currency in exchange for one payable in another, and of an agreement to pay a larger sum </w:t>
      </w:r>
      <w:bookmarkStart w:name="_bookmark170" w:id="172"/>
      <w:bookmarkEnd w:id="172"/>
      <w:r>
        <w:rPr>
          <w:vertAlign w:val="baseline"/>
        </w:rPr>
        <w:t>tomorrow</w:t>
      </w:r>
      <w:r>
        <w:rPr>
          <w:vertAlign w:val="baseline"/>
        </w:rPr>
        <w:t> in exchange for a smaller sum paid today. In </w:t>
      </w:r>
      <w:r>
        <w:rPr>
          <w:rFonts w:ascii="Arial" w:hAnsi="Arial"/>
          <w:i/>
          <w:vertAlign w:val="baseline"/>
        </w:rPr>
        <w:t>Birmingham City Council v Forde </w:t>
      </w:r>
      <w:r>
        <w:rPr>
          <w:color w:val="005DA1"/>
          <w:u w:val="single" w:color="005DA1"/>
          <w:vertAlign w:val="superscript"/>
        </w:rPr>
        <w:t>117</w:t>
      </w:r>
      <w:r>
        <w:rPr>
          <w:color w:val="005DA1"/>
          <w:vertAlign w:val="baseline"/>
        </w:rPr>
        <w:t> </w:t>
      </w:r>
      <w:r>
        <w:rPr>
          <w:vertAlign w:val="baseline"/>
        </w:rPr>
        <w:t>it was argued</w:t>
      </w:r>
      <w:r>
        <w:rPr>
          <w:spacing w:val="13"/>
          <w:vertAlign w:val="baseline"/>
        </w:rPr>
        <w:t> </w:t>
      </w:r>
      <w:r>
        <w:rPr>
          <w:vertAlign w:val="baseline"/>
        </w:rPr>
        <w:t>that</w:t>
      </w:r>
      <w:r>
        <w:rPr>
          <w:spacing w:val="14"/>
          <w:vertAlign w:val="baseline"/>
        </w:rPr>
        <w:t> </w:t>
      </w:r>
      <w:r>
        <w:rPr>
          <w:vertAlign w:val="baseline"/>
        </w:rPr>
        <w:t>the</w:t>
      </w:r>
      <w:r>
        <w:rPr>
          <w:spacing w:val="14"/>
          <w:vertAlign w:val="baseline"/>
        </w:rPr>
        <w:t> </w:t>
      </w:r>
      <w:r>
        <w:rPr>
          <w:vertAlign w:val="baseline"/>
        </w:rPr>
        <w:t>reasoning</w:t>
      </w:r>
      <w:r>
        <w:rPr>
          <w:spacing w:val="14"/>
          <w:vertAlign w:val="baseline"/>
        </w:rPr>
        <w:t> </w:t>
      </w:r>
      <w:r>
        <w:rPr>
          <w:vertAlign w:val="baseline"/>
        </w:rPr>
        <w:t>of</w:t>
      </w:r>
      <w:r>
        <w:rPr>
          <w:spacing w:val="13"/>
          <w:vertAlign w:val="baseline"/>
        </w:rPr>
        <w:t> </w:t>
      </w:r>
      <w:r>
        <w:rPr>
          <w:vertAlign w:val="baseline"/>
        </w:rPr>
        <w:t>the</w:t>
      </w:r>
      <w:r>
        <w:rPr>
          <w:spacing w:val="14"/>
          <w:vertAlign w:val="baseline"/>
        </w:rPr>
        <w:t> </w:t>
      </w:r>
      <w:r>
        <w:rPr>
          <w:vertAlign w:val="baseline"/>
        </w:rPr>
        <w:t>hypothetical</w:t>
      </w:r>
      <w:r>
        <w:rPr>
          <w:spacing w:val="14"/>
          <w:vertAlign w:val="baseline"/>
        </w:rPr>
        <w:t> </w:t>
      </w:r>
      <w:r>
        <w:rPr>
          <w:vertAlign w:val="baseline"/>
        </w:rPr>
        <w:t>case</w:t>
      </w:r>
      <w:r>
        <w:rPr>
          <w:spacing w:val="14"/>
          <w:vertAlign w:val="baseline"/>
        </w:rPr>
        <w:t> </w:t>
      </w:r>
      <w:r>
        <w:rPr>
          <w:vertAlign w:val="baseline"/>
        </w:rPr>
        <w:t>discussed</w:t>
      </w:r>
      <w:r>
        <w:rPr>
          <w:spacing w:val="13"/>
          <w:vertAlign w:val="baseline"/>
        </w:rPr>
        <w:t> </w:t>
      </w:r>
      <w:r>
        <w:rPr>
          <w:vertAlign w:val="baseline"/>
        </w:rPr>
        <w:t>above</w:t>
      </w:r>
      <w:r>
        <w:rPr>
          <w:spacing w:val="13"/>
          <w:vertAlign w:val="baseline"/>
        </w:rPr>
        <w:t> </w:t>
      </w:r>
      <w:r>
        <w:rPr>
          <w:color w:val="005DA1"/>
          <w:u w:val="single" w:color="005DA1"/>
          <w:vertAlign w:val="superscript"/>
        </w:rPr>
        <w:t>118</w:t>
      </w:r>
      <w:r>
        <w:rPr>
          <w:color w:val="005DA1"/>
          <w:spacing w:val="14"/>
          <w:vertAlign w:val="baseline"/>
        </w:rPr>
        <w:t> </w:t>
      </w:r>
      <w:r>
        <w:rPr>
          <w:vertAlign w:val="baseline"/>
        </w:rPr>
        <w:t>also</w:t>
      </w:r>
      <w:r>
        <w:rPr>
          <w:spacing w:val="14"/>
          <w:vertAlign w:val="baseline"/>
        </w:rPr>
        <w:t> </w:t>
      </w:r>
      <w:r>
        <w:rPr>
          <w:vertAlign w:val="baseline"/>
        </w:rPr>
        <w:t>applied</w:t>
      </w:r>
      <w:r>
        <w:rPr>
          <w:spacing w:val="13"/>
          <w:vertAlign w:val="baseline"/>
        </w:rPr>
        <w:t> </w:t>
      </w:r>
      <w:r>
        <w:rPr>
          <w:vertAlign w:val="baseline"/>
        </w:rPr>
        <w:t>where</w:t>
      </w:r>
      <w:r>
        <w:rPr>
          <w:spacing w:val="14"/>
          <w:vertAlign w:val="baseline"/>
        </w:rPr>
        <w:t> </w:t>
      </w:r>
      <w:r>
        <w:rPr>
          <w:spacing w:val="-2"/>
          <w:vertAlign w:val="baseline"/>
        </w:rPr>
        <w:t>solicitors</w:t>
      </w:r>
    </w:p>
    <w:p>
      <w:pPr>
        <w:pStyle w:val="BodyText"/>
        <w:spacing w:line="235" w:lineRule="auto"/>
        <w:ind w:left="165" w:right="167"/>
        <w:jc w:val="both"/>
      </w:pPr>
      <w:r>
        <w:rPr/>
        <w:t>(M) had entered into a conditional fee agreement (CFA 1) with a client (C) and then entered </w:t>
      </w:r>
      <w:r>
        <w:rPr/>
        <w:t>into another such agreement (CFA 2) with C by which C promised to pay M more than was due to M</w:t>
      </w:r>
      <w:r>
        <w:rPr>
          <w:spacing w:val="40"/>
        </w:rPr>
        <w:t> </w:t>
      </w:r>
      <w:bookmarkStart w:name="_bookmark171" w:id="173"/>
      <w:bookmarkEnd w:id="173"/>
      <w:r>
        <w:rPr/>
        <w:t>under</w:t>
      </w:r>
      <w:r>
        <w:rPr>
          <w:spacing w:val="-1"/>
        </w:rPr>
        <w:t> </w:t>
      </w:r>
      <w:r>
        <w:rPr/>
        <w:t>CFA</w:t>
      </w:r>
      <w:r>
        <w:rPr>
          <w:spacing w:val="-1"/>
        </w:rPr>
        <w:t> </w:t>
      </w:r>
      <w:r>
        <w:rPr/>
        <w:t>1.</w:t>
      </w:r>
      <w:r>
        <w:rPr>
          <w:spacing w:val="-1"/>
        </w:rPr>
        <w:t> </w:t>
      </w:r>
      <w:r>
        <w:rPr/>
        <w:t>One</w:t>
      </w:r>
      <w:r>
        <w:rPr>
          <w:spacing w:val="-1"/>
        </w:rPr>
        <w:t> </w:t>
      </w:r>
      <w:r>
        <w:rPr/>
        <w:t>reason</w:t>
      </w:r>
      <w:r>
        <w:rPr>
          <w:spacing w:val="-1"/>
        </w:rPr>
        <w:t> </w:t>
      </w:r>
      <w:r>
        <w:rPr/>
        <w:t>why</w:t>
      </w:r>
      <w:r>
        <w:rPr>
          <w:spacing w:val="-1"/>
        </w:rPr>
        <w:t> </w:t>
      </w:r>
      <w:r>
        <w:rPr/>
        <w:t>this</w:t>
      </w:r>
      <w:r>
        <w:rPr>
          <w:spacing w:val="-1"/>
        </w:rPr>
        <w:t> </w:t>
      </w:r>
      <w:r>
        <w:rPr/>
        <w:t>argument</w:t>
      </w:r>
      <w:r>
        <w:rPr>
          <w:spacing w:val="-1"/>
        </w:rPr>
        <w:t> </w:t>
      </w:r>
      <w:r>
        <w:rPr/>
        <w:t>was,</w:t>
      </w:r>
      <w:r>
        <w:rPr>
          <w:spacing w:val="-1"/>
        </w:rPr>
        <w:t> </w:t>
      </w:r>
      <w:r>
        <w:rPr/>
        <w:t>in</w:t>
      </w:r>
      <w:r>
        <w:rPr>
          <w:spacing w:val="-1"/>
        </w:rPr>
        <w:t> </w:t>
      </w:r>
      <w:r>
        <w:rPr/>
        <w:t>this</w:t>
      </w:r>
      <w:r>
        <w:rPr>
          <w:spacing w:val="-1"/>
        </w:rPr>
        <w:t> </w:t>
      </w:r>
      <w:r>
        <w:rPr/>
        <w:t>context,</w:t>
      </w:r>
      <w:r>
        <w:rPr>
          <w:spacing w:val="-1"/>
        </w:rPr>
        <w:t> </w:t>
      </w:r>
      <w:r>
        <w:rPr/>
        <w:t>rejected</w:t>
      </w:r>
      <w:r>
        <w:rPr>
          <w:spacing w:val="-1"/>
        </w:rPr>
        <w:t> </w:t>
      </w:r>
      <w:r>
        <w:rPr/>
        <w:t>was</w:t>
      </w:r>
      <w:r>
        <w:rPr>
          <w:spacing w:val="-1"/>
        </w:rPr>
        <w:t> </w:t>
      </w:r>
      <w:r>
        <w:rPr/>
        <w:t>that</w:t>
      </w:r>
      <w:r>
        <w:rPr>
          <w:spacing w:val="-1"/>
        </w:rPr>
        <w:t> </w:t>
      </w:r>
      <w:r>
        <w:rPr/>
        <w:t>there</w:t>
      </w:r>
      <w:r>
        <w:rPr>
          <w:spacing w:val="-1"/>
        </w:rPr>
        <w:t> </w:t>
      </w:r>
      <w:r>
        <w:rPr/>
        <w:t>was</w:t>
      </w:r>
      <w:r>
        <w:rPr>
          <w:spacing w:val="-1"/>
        </w:rPr>
        <w:t> </w:t>
      </w:r>
      <w:r>
        <w:rPr/>
        <w:t>a</w:t>
      </w:r>
      <w:r>
        <w:rPr>
          <w:spacing w:val="-1"/>
        </w:rPr>
        <w:t> </w:t>
      </w:r>
      <w:r>
        <w:rPr/>
        <w:t>doubt as to the validity of CFA 1. </w:t>
      </w:r>
      <w:r>
        <w:rPr>
          <w:color w:val="005DA1"/>
          <w:u w:val="single" w:color="005DA1"/>
          <w:vertAlign w:val="superscript"/>
        </w:rPr>
        <w:t>119</w:t>
      </w:r>
      <w:r>
        <w:rPr>
          <w:color w:val="005DA1"/>
          <w:vertAlign w:val="baseline"/>
        </w:rPr>
        <w:t> </w:t>
      </w:r>
      <w:r>
        <w:rPr>
          <w:vertAlign w:val="baseline"/>
        </w:rPr>
        <w:t>It should be added that the only arguable </w:t>
      </w:r>
      <w:r>
        <w:rPr>
          <w:rFonts w:ascii="Arial" w:hAnsi="Arial"/>
          <w:i/>
          <w:vertAlign w:val="baseline"/>
        </w:rPr>
        <w:t>arithmetical </w:t>
      </w:r>
      <w:r>
        <w:rPr>
          <w:vertAlign w:val="baseline"/>
        </w:rPr>
        <w:t>disparity in the </w:t>
      </w:r>
      <w:r>
        <w:rPr>
          <w:rFonts w:ascii="Arial" w:hAnsi="Arial"/>
          <w:i/>
          <w:vertAlign w:val="baseline"/>
        </w:rPr>
        <w:t>Birmingham </w:t>
      </w:r>
      <w:r>
        <w:rPr>
          <w:vertAlign w:val="baseline"/>
        </w:rPr>
        <w:t>case was between </w:t>
      </w:r>
      <w:r>
        <w:rPr>
          <w:rFonts w:ascii="Arial" w:hAnsi="Arial"/>
          <w:i/>
          <w:vertAlign w:val="baseline"/>
        </w:rPr>
        <w:t>the performances to be rendered by C </w:t>
      </w:r>
      <w:r>
        <w:rPr>
          <w:vertAlign w:val="baseline"/>
        </w:rPr>
        <w:t>under CFA 1 and CFA 2. In</w:t>
      </w:r>
      <w:r>
        <w:rPr>
          <w:spacing w:val="40"/>
          <w:vertAlign w:val="baseline"/>
        </w:rPr>
        <w:t> </w:t>
      </w:r>
      <w:r>
        <w:rPr>
          <w:vertAlign w:val="baseline"/>
        </w:rPr>
        <w:t>this respect, that case differed from our hypothetical case, in which such disparity exists between </w:t>
      </w:r>
      <w:r>
        <w:rPr>
          <w:rFonts w:ascii="Arial" w:hAnsi="Arial"/>
          <w:i/>
          <w:vertAlign w:val="baseline"/>
        </w:rPr>
        <w:t>promise and counterpromise</w:t>
      </w:r>
      <w:r>
        <w:rPr>
          <w:vertAlign w:val="baseline"/>
        </w:rPr>
        <w:t>. The question in the </w:t>
      </w:r>
      <w:r>
        <w:rPr>
          <w:rFonts w:ascii="Arial" w:hAnsi="Arial"/>
          <w:i/>
          <w:vertAlign w:val="baseline"/>
        </w:rPr>
        <w:t>Birmingham </w:t>
      </w:r>
      <w:r>
        <w:rPr>
          <w:vertAlign w:val="baseline"/>
        </w:rPr>
        <w:t>case was whether M’s promise in CFA 2</w:t>
      </w:r>
      <w:r>
        <w:rPr>
          <w:spacing w:val="20"/>
          <w:vertAlign w:val="baseline"/>
        </w:rPr>
        <w:t> </w:t>
      </w:r>
      <w:r>
        <w:rPr>
          <w:vertAlign w:val="baseline"/>
        </w:rPr>
        <w:t>to</w:t>
      </w:r>
      <w:r>
        <w:rPr>
          <w:spacing w:val="20"/>
          <w:vertAlign w:val="baseline"/>
        </w:rPr>
        <w:t> </w:t>
      </w:r>
      <w:r>
        <w:rPr>
          <w:vertAlign w:val="baseline"/>
        </w:rPr>
        <w:t>do</w:t>
      </w:r>
      <w:r>
        <w:rPr>
          <w:spacing w:val="20"/>
          <w:vertAlign w:val="baseline"/>
        </w:rPr>
        <w:t> </w:t>
      </w:r>
      <w:r>
        <w:rPr>
          <w:vertAlign w:val="baseline"/>
        </w:rPr>
        <w:t>work</w:t>
      </w:r>
      <w:r>
        <w:rPr>
          <w:spacing w:val="20"/>
          <w:vertAlign w:val="baseline"/>
        </w:rPr>
        <w:t> </w:t>
      </w:r>
      <w:r>
        <w:rPr>
          <w:vertAlign w:val="baseline"/>
        </w:rPr>
        <w:t>which</w:t>
      </w:r>
      <w:r>
        <w:rPr>
          <w:spacing w:val="20"/>
          <w:vertAlign w:val="baseline"/>
        </w:rPr>
        <w:t> </w:t>
      </w:r>
      <w:r>
        <w:rPr>
          <w:vertAlign w:val="baseline"/>
        </w:rPr>
        <w:t>M</w:t>
      </w:r>
      <w:r>
        <w:rPr>
          <w:spacing w:val="20"/>
          <w:vertAlign w:val="baseline"/>
        </w:rPr>
        <w:t> </w:t>
      </w:r>
      <w:r>
        <w:rPr>
          <w:vertAlign w:val="baseline"/>
        </w:rPr>
        <w:t>had</w:t>
      </w:r>
      <w:r>
        <w:rPr>
          <w:spacing w:val="20"/>
          <w:vertAlign w:val="baseline"/>
        </w:rPr>
        <w:t> </w:t>
      </w:r>
      <w:r>
        <w:rPr>
          <w:vertAlign w:val="baseline"/>
        </w:rPr>
        <w:t>already</w:t>
      </w:r>
      <w:r>
        <w:rPr>
          <w:spacing w:val="20"/>
          <w:vertAlign w:val="baseline"/>
        </w:rPr>
        <w:t> </w:t>
      </w:r>
      <w:r>
        <w:rPr>
          <w:vertAlign w:val="baseline"/>
        </w:rPr>
        <w:t>undertaken</w:t>
      </w:r>
      <w:r>
        <w:rPr>
          <w:spacing w:val="20"/>
          <w:vertAlign w:val="baseline"/>
        </w:rPr>
        <w:t> </w:t>
      </w:r>
      <w:r>
        <w:rPr>
          <w:vertAlign w:val="baseline"/>
        </w:rPr>
        <w:t>in</w:t>
      </w:r>
      <w:r>
        <w:rPr>
          <w:spacing w:val="20"/>
          <w:vertAlign w:val="baseline"/>
        </w:rPr>
        <w:t> </w:t>
      </w:r>
      <w:r>
        <w:rPr>
          <w:vertAlign w:val="baseline"/>
        </w:rPr>
        <w:t>CFA</w:t>
      </w:r>
      <w:r>
        <w:rPr>
          <w:spacing w:val="20"/>
          <w:vertAlign w:val="baseline"/>
        </w:rPr>
        <w:t> </w:t>
      </w:r>
      <w:r>
        <w:rPr>
          <w:vertAlign w:val="baseline"/>
        </w:rPr>
        <w:t>1</w:t>
      </w:r>
      <w:r>
        <w:rPr>
          <w:spacing w:val="20"/>
          <w:vertAlign w:val="baseline"/>
        </w:rPr>
        <w:t> </w:t>
      </w:r>
      <w:r>
        <w:rPr>
          <w:vertAlign w:val="baseline"/>
        </w:rPr>
        <w:t>was</w:t>
      </w:r>
      <w:r>
        <w:rPr>
          <w:spacing w:val="20"/>
          <w:vertAlign w:val="baseline"/>
        </w:rPr>
        <w:t> </w:t>
      </w:r>
      <w:r>
        <w:rPr>
          <w:vertAlign w:val="baseline"/>
        </w:rPr>
        <w:t>consideration</w:t>
      </w:r>
      <w:r>
        <w:rPr>
          <w:spacing w:val="20"/>
          <w:vertAlign w:val="baseline"/>
        </w:rPr>
        <w:t> </w:t>
      </w:r>
      <w:r>
        <w:rPr>
          <w:vertAlign w:val="baseline"/>
        </w:rPr>
        <w:t>for</w:t>
      </w:r>
      <w:r>
        <w:rPr>
          <w:spacing w:val="20"/>
          <w:vertAlign w:val="baseline"/>
        </w:rPr>
        <w:t> </w:t>
      </w:r>
      <w:r>
        <w:rPr>
          <w:vertAlign w:val="baseline"/>
        </w:rPr>
        <w:t>C’s</w:t>
      </w:r>
      <w:r>
        <w:rPr>
          <w:spacing w:val="20"/>
          <w:vertAlign w:val="baseline"/>
        </w:rPr>
        <w:t> </w:t>
      </w:r>
      <w:r>
        <w:rPr>
          <w:vertAlign w:val="baseline"/>
        </w:rPr>
        <w:t>promise</w:t>
      </w:r>
      <w:r>
        <w:rPr>
          <w:spacing w:val="20"/>
          <w:vertAlign w:val="baseline"/>
        </w:rPr>
        <w:t> </w:t>
      </w:r>
      <w:r>
        <w:rPr>
          <w:vertAlign w:val="baseline"/>
        </w:rPr>
        <w:t>of</w:t>
      </w:r>
      <w:r>
        <w:rPr>
          <w:spacing w:val="20"/>
          <w:vertAlign w:val="baseline"/>
        </w:rPr>
        <w:t> </w:t>
      </w:r>
      <w:r>
        <w:rPr>
          <w:spacing w:val="-2"/>
          <w:vertAlign w:val="baseline"/>
        </w:rPr>
        <w:t>extra</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pay and no precise </w:t>
      </w:r>
      <w:r>
        <w:rPr>
          <w:rFonts w:ascii="Arial" w:hAnsi="Arial"/>
          <w:i/>
        </w:rPr>
        <w:t>arithmetical </w:t>
      </w:r>
      <w:r>
        <w:rPr/>
        <w:t>value could have been placed on the former promise, even on the assumption that there was no doubt as to the validity of CFA 1; and, even if CFA 1 was assumed </w:t>
      </w:r>
      <w:r>
        <w:rPr/>
        <w:t>to </w:t>
      </w:r>
      <w:bookmarkStart w:name="_bookmark172" w:id="174"/>
      <w:bookmarkEnd w:id="174"/>
      <w:r>
        <w:rPr/>
        <w:t>have</w:t>
      </w:r>
      <w:r>
        <w:rPr/>
        <w:t> been valid, M’s actual performance of the work could have amounted to consideration if it had conferred a factual benefit on C. </w:t>
      </w:r>
      <w:r>
        <w:rPr>
          <w:color w:val="005DA1"/>
          <w:u w:val="single" w:color="005DA1"/>
          <w:vertAlign w:val="superscript"/>
        </w:rPr>
        <w:t>120</w:t>
      </w:r>
    </w:p>
    <w:p>
      <w:pPr>
        <w:pStyle w:val="BodyText"/>
        <w:spacing w:before="79"/>
      </w:pPr>
    </w:p>
    <w:p>
      <w:pPr>
        <w:pStyle w:val="Heading2"/>
        <w:spacing w:before="1"/>
      </w:pPr>
      <w:r>
        <w:rPr/>
        <w:t>4-</w:t>
      </w:r>
      <w:r>
        <w:rPr>
          <w:spacing w:val="-5"/>
        </w:rPr>
        <w:t>019</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Where an agreement is legally binding on the ground that it is supported by nominal </w:t>
      </w:r>
      <w:r>
        <w:rPr/>
        <w:t>consideration, the doctrine of consideration does not serve its main purpose, of distinguishing between gratuitous </w:t>
      </w:r>
      <w:bookmarkStart w:name="_bookmark173" w:id="175"/>
      <w:bookmarkEnd w:id="175"/>
      <w:r>
        <w:rPr/>
        <w:t>and</w:t>
      </w:r>
      <w:r>
        <w:rPr/>
        <w:t> onerous promises. But the law has no settled policy against enforcing all gratuitous promises. It refuses to enforce only </w:t>
      </w:r>
      <w:r>
        <w:rPr>
          <w:rFonts w:ascii="Arial"/>
          <w:i/>
        </w:rPr>
        <w:t>informal </w:t>
      </w:r>
      <w:r>
        <w:rPr/>
        <w:t>gratuitous promises </w:t>
      </w:r>
      <w:r>
        <w:rPr>
          <w:color w:val="005DA1"/>
          <w:u w:val="single" w:color="005DA1"/>
          <w:vertAlign w:val="superscript"/>
        </w:rPr>
        <w:t>121</w:t>
      </w:r>
      <w:r>
        <w:rPr>
          <w:vertAlign w:val="baseline"/>
        </w:rPr>
        <w:t>; and the deliberate use of a nominal consideration can be regarded as a form used with the intention of making a gratuitous promise binding. In some cases it may, indeed, be undesirable to give promises supported by nominal </w:t>
      </w:r>
      <w:bookmarkStart w:name="_bookmark174" w:id="176"/>
      <w:bookmarkEnd w:id="176"/>
      <w:r>
        <w:rPr>
          <w:vertAlign w:val="baseline"/>
        </w:rPr>
        <w:t>consideration</w:t>
      </w:r>
      <w:r>
        <w:rPr>
          <w:vertAlign w:val="baseline"/>
        </w:rPr>
        <w:t> the same legal effect as promises supported by substantial consideration; but these cases</w:t>
      </w:r>
      <w:r>
        <w:rPr>
          <w:spacing w:val="-2"/>
          <w:vertAlign w:val="baseline"/>
        </w:rPr>
        <w:t> </w:t>
      </w:r>
      <w:r>
        <w:rPr>
          <w:vertAlign w:val="baseline"/>
        </w:rPr>
        <w:t>are</w:t>
      </w:r>
      <w:r>
        <w:rPr>
          <w:spacing w:val="-2"/>
          <w:vertAlign w:val="baseline"/>
        </w:rPr>
        <w:t> </w:t>
      </w:r>
      <w:r>
        <w:rPr>
          <w:vertAlign w:val="baseline"/>
        </w:rPr>
        <w:t>best</w:t>
      </w:r>
      <w:r>
        <w:rPr>
          <w:spacing w:val="-2"/>
          <w:vertAlign w:val="baseline"/>
        </w:rPr>
        <w:t> </w:t>
      </w:r>
      <w:r>
        <w:rPr>
          <w:vertAlign w:val="baseline"/>
        </w:rPr>
        <w:t>dealt</w:t>
      </w:r>
      <w:r>
        <w:rPr>
          <w:spacing w:val="-2"/>
          <w:vertAlign w:val="baseline"/>
        </w:rPr>
        <w:t> </w:t>
      </w:r>
      <w:r>
        <w:rPr>
          <w:vertAlign w:val="baseline"/>
        </w:rPr>
        <w:t>with</w:t>
      </w:r>
      <w:r>
        <w:rPr>
          <w:spacing w:val="-2"/>
          <w:vertAlign w:val="baseline"/>
        </w:rPr>
        <w:t> </w:t>
      </w:r>
      <w:r>
        <w:rPr>
          <w:vertAlign w:val="baseline"/>
        </w:rPr>
        <w:t>by</w:t>
      </w:r>
      <w:r>
        <w:rPr>
          <w:spacing w:val="-2"/>
          <w:vertAlign w:val="baseline"/>
        </w:rPr>
        <w:t> </w:t>
      </w:r>
      <w:r>
        <w:rPr>
          <w:vertAlign w:val="baseline"/>
        </w:rPr>
        <w:t>special</w:t>
      </w:r>
      <w:r>
        <w:rPr>
          <w:spacing w:val="-2"/>
          <w:vertAlign w:val="baseline"/>
        </w:rPr>
        <w:t> </w:t>
      </w:r>
      <w:r>
        <w:rPr>
          <w:vertAlign w:val="baseline"/>
        </w:rPr>
        <w:t>rules.</w:t>
      </w:r>
      <w:r>
        <w:rPr>
          <w:spacing w:val="-3"/>
          <w:vertAlign w:val="baseline"/>
        </w:rPr>
        <w:t> </w:t>
      </w:r>
      <w:r>
        <w:rPr>
          <w:color w:val="005DA1"/>
          <w:u w:val="single" w:color="005DA1"/>
          <w:vertAlign w:val="superscript"/>
        </w:rPr>
        <w:t>122</w:t>
      </w:r>
      <w:r>
        <w:rPr>
          <w:color w:val="005DA1"/>
          <w:spacing w:val="-2"/>
          <w:vertAlign w:val="baseline"/>
        </w:rPr>
        <w:t> </w:t>
      </w:r>
      <w:r>
        <w:rPr>
          <w:vertAlign w:val="baseline"/>
        </w:rPr>
        <w:t>Such</w:t>
      </w:r>
      <w:r>
        <w:rPr>
          <w:spacing w:val="-2"/>
          <w:vertAlign w:val="baseline"/>
        </w:rPr>
        <w:t> </w:t>
      </w:r>
      <w:r>
        <w:rPr>
          <w:vertAlign w:val="baseline"/>
        </w:rPr>
        <w:t>rules</w:t>
      </w:r>
      <w:r>
        <w:rPr>
          <w:spacing w:val="-2"/>
          <w:vertAlign w:val="baseline"/>
        </w:rPr>
        <w:t> </w:t>
      </w:r>
      <w:r>
        <w:rPr>
          <w:vertAlign w:val="baseline"/>
        </w:rPr>
        <w:t>are</w:t>
      </w:r>
      <w:r>
        <w:rPr>
          <w:spacing w:val="-2"/>
          <w:vertAlign w:val="baseline"/>
        </w:rPr>
        <w:t> </w:t>
      </w:r>
      <w:r>
        <w:rPr>
          <w:vertAlign w:val="baseline"/>
        </w:rPr>
        <w:t>particularly</w:t>
      </w:r>
      <w:r>
        <w:rPr>
          <w:spacing w:val="-2"/>
          <w:vertAlign w:val="baseline"/>
        </w:rPr>
        <w:t> </w:t>
      </w:r>
      <w:r>
        <w:rPr>
          <w:vertAlign w:val="baseline"/>
        </w:rPr>
        <w:t>necessary</w:t>
      </w:r>
      <w:r>
        <w:rPr>
          <w:spacing w:val="-2"/>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promise can cause prejudice to third parties. For example, the danger that company promoters might use the </w:t>
      </w:r>
      <w:bookmarkStart w:name="_bookmark175" w:id="177"/>
      <w:bookmarkEnd w:id="177"/>
      <w:r>
        <w:rPr>
          <w:vertAlign w:val="baseline"/>
        </w:rPr>
        <w:t>device</w:t>
      </w:r>
      <w:r>
        <w:rPr>
          <w:spacing w:val="34"/>
          <w:vertAlign w:val="baseline"/>
        </w:rPr>
        <w:t> </w:t>
      </w:r>
      <w:r>
        <w:rPr>
          <w:vertAlign w:val="baseline"/>
        </w:rPr>
        <w:t>of</w:t>
      </w:r>
      <w:r>
        <w:rPr>
          <w:spacing w:val="36"/>
          <w:vertAlign w:val="baseline"/>
        </w:rPr>
        <w:t> </w:t>
      </w:r>
      <w:r>
        <w:rPr>
          <w:vertAlign w:val="baseline"/>
        </w:rPr>
        <w:t>nominal</w:t>
      </w:r>
      <w:r>
        <w:rPr>
          <w:spacing w:val="36"/>
          <w:vertAlign w:val="baseline"/>
        </w:rPr>
        <w:t> </w:t>
      </w:r>
      <w:r>
        <w:rPr>
          <w:vertAlign w:val="baseline"/>
        </w:rPr>
        <w:t>consideration</w:t>
      </w:r>
      <w:r>
        <w:rPr>
          <w:spacing w:val="36"/>
          <w:vertAlign w:val="baseline"/>
        </w:rPr>
        <w:t> </w:t>
      </w:r>
      <w:r>
        <w:rPr>
          <w:vertAlign w:val="baseline"/>
        </w:rPr>
        <w:t>to</w:t>
      </w:r>
      <w:r>
        <w:rPr>
          <w:spacing w:val="36"/>
          <w:vertAlign w:val="baseline"/>
        </w:rPr>
        <w:t> </w:t>
      </w:r>
      <w:r>
        <w:rPr>
          <w:vertAlign w:val="baseline"/>
        </w:rPr>
        <w:t>the</w:t>
      </w:r>
      <w:r>
        <w:rPr>
          <w:spacing w:val="36"/>
          <w:vertAlign w:val="baseline"/>
        </w:rPr>
        <w:t> </w:t>
      </w:r>
      <w:r>
        <w:rPr>
          <w:vertAlign w:val="baseline"/>
        </w:rPr>
        <w:t>prejudice</w:t>
      </w:r>
      <w:r>
        <w:rPr>
          <w:spacing w:val="36"/>
          <w:vertAlign w:val="baseline"/>
        </w:rPr>
        <w:t> </w:t>
      </w:r>
      <w:r>
        <w:rPr>
          <w:vertAlign w:val="baseline"/>
        </w:rPr>
        <w:t>of</w:t>
      </w:r>
      <w:r>
        <w:rPr>
          <w:spacing w:val="36"/>
          <w:vertAlign w:val="baseline"/>
        </w:rPr>
        <w:t> </w:t>
      </w:r>
      <w:r>
        <w:rPr>
          <w:vertAlign w:val="baseline"/>
        </w:rPr>
        <w:t>shareholders</w:t>
      </w:r>
      <w:r>
        <w:rPr>
          <w:spacing w:val="36"/>
          <w:vertAlign w:val="baseline"/>
        </w:rPr>
        <w:t> </w:t>
      </w:r>
      <w:r>
        <w:rPr>
          <w:vertAlign w:val="baseline"/>
        </w:rPr>
        <w:t>is</w:t>
      </w:r>
      <w:r>
        <w:rPr>
          <w:spacing w:val="36"/>
          <w:vertAlign w:val="baseline"/>
        </w:rPr>
        <w:t> </w:t>
      </w:r>
      <w:r>
        <w:rPr>
          <w:vertAlign w:val="baseline"/>
        </w:rPr>
        <w:t>avoided</w:t>
      </w:r>
      <w:r>
        <w:rPr>
          <w:spacing w:val="36"/>
          <w:vertAlign w:val="baseline"/>
        </w:rPr>
        <w:t> </w:t>
      </w:r>
      <w:r>
        <w:rPr>
          <w:vertAlign w:val="baseline"/>
        </w:rPr>
        <w:t>by</w:t>
      </w:r>
      <w:r>
        <w:rPr>
          <w:spacing w:val="36"/>
          <w:vertAlign w:val="baseline"/>
        </w:rPr>
        <w:t> </w:t>
      </w:r>
      <w:r>
        <w:rPr>
          <w:vertAlign w:val="baseline"/>
        </w:rPr>
        <w:t>imposing</w:t>
      </w:r>
      <w:r>
        <w:rPr>
          <w:spacing w:val="36"/>
          <w:vertAlign w:val="baseline"/>
        </w:rPr>
        <w:t> </w:t>
      </w:r>
      <w:r>
        <w:rPr>
          <w:spacing w:val="-2"/>
          <w:vertAlign w:val="baseline"/>
        </w:rPr>
        <w:t>fiduciary</w:t>
      </w:r>
    </w:p>
    <w:p>
      <w:pPr>
        <w:pStyle w:val="BodyText"/>
        <w:spacing w:before="113"/>
        <w:ind w:left="165"/>
        <w:jc w:val="both"/>
        <w:rPr>
          <w:position w:val="-2"/>
        </w:rPr>
      </w:pPr>
      <w:r>
        <w:rPr/>
        <w:t>duties on the promoters. </w:t>
      </w:r>
      <w:r>
        <w:rPr>
          <w:color w:val="005DA1"/>
          <w:u w:val="single" w:color="005DA1"/>
          <w:vertAlign w:val="superscript"/>
        </w:rPr>
        <w:t>123</w:t>
      </w:r>
      <w:r>
        <w:rPr>
          <w:color w:val="005DA1"/>
          <w:spacing w:val="80"/>
          <w:w w:val="150"/>
          <w:vertAlign w:val="baseline"/>
        </w:rPr>
        <w:t> </w:t>
      </w:r>
      <w:r>
        <w:rPr>
          <w:color w:val="005DA1"/>
          <w:position w:val="-2"/>
          <w:vertAlign w:val="baseline"/>
        </w:rPr>
        <w:drawing>
          <wp:inline distT="0" distB="0" distL="0" distR="0">
            <wp:extent cx="107988" cy="107988"/>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Nominal distinguished from inadequate </w:t>
      </w:r>
      <w:r>
        <w:rPr>
          <w:rFonts w:ascii="Arial"/>
          <w:b/>
          <w:spacing w:val="-2"/>
          <w:sz w:val="18"/>
        </w:rPr>
        <w:t>consideration</w:t>
      </w:r>
    </w:p>
    <w:p>
      <w:pPr>
        <w:pStyle w:val="BodyText"/>
        <w:spacing w:before="41"/>
        <w:rPr>
          <w:rFonts w:ascii="Arial"/>
          <w:b/>
          <w:sz w:val="18"/>
        </w:rPr>
      </w:pPr>
    </w:p>
    <w:p>
      <w:pPr>
        <w:pStyle w:val="Heading2"/>
      </w:pPr>
      <w:r>
        <w:rPr/>
        <w:t>4-</w:t>
      </w:r>
      <w:r>
        <w:rPr>
          <w:spacing w:val="-5"/>
        </w:rPr>
        <w:t>020</w:t>
      </w:r>
    </w:p>
    <w:p>
      <w:pPr>
        <w:pStyle w:val="BodyText"/>
        <w:spacing w:line="235" w:lineRule="auto" w:before="203"/>
        <w:ind w:left="165" w:right="167"/>
        <w:jc w:val="both"/>
      </w:pPr>
      <w:r>
        <w:rPr/>
        <w:t>It is not normally necessary to distinguish between “nominal” and “inadequate” consideration, </w:t>
      </w:r>
      <w:r>
        <w:rPr/>
        <w:t>since both equally suffice to make a promise binding. The need to draw the distinction may, however, arise where rules of law treat promises or conveyances supported only by nominal consideration differently </w:t>
      </w:r>
      <w:bookmarkStart w:name="_bookmark176" w:id="178"/>
      <w:bookmarkEnd w:id="178"/>
      <w:r>
        <w:rPr/>
        <w:t>from</w:t>
      </w:r>
      <w:r>
        <w:rPr/>
        <w:t> those supported by consideration which is substantial or “valuable” even though it may be inadequate.</w:t>
      </w:r>
      <w:r>
        <w:rPr>
          <w:spacing w:val="-1"/>
        </w:rPr>
        <w:t> </w:t>
      </w:r>
      <w:r>
        <w:rPr>
          <w:color w:val="005DA1"/>
          <w:u w:val="single" w:color="005DA1"/>
          <w:vertAlign w:val="superscript"/>
        </w:rPr>
        <w:t>124</w:t>
      </w:r>
      <w:r>
        <w:rPr>
          <w:color w:val="005DA1"/>
          <w:spacing w:val="-1"/>
          <w:vertAlign w:val="baseline"/>
        </w:rPr>
        <w:t> </w:t>
      </w:r>
      <w:r>
        <w:rPr>
          <w:vertAlign w:val="baseline"/>
        </w:rPr>
        <w:t>One</w:t>
      </w:r>
      <w:r>
        <w:rPr>
          <w:spacing w:val="-1"/>
          <w:vertAlign w:val="baseline"/>
        </w:rPr>
        <w:t> </w:t>
      </w:r>
      <w:r>
        <w:rPr>
          <w:vertAlign w:val="baseline"/>
        </w:rPr>
        <w:t>view</w:t>
      </w:r>
      <w:r>
        <w:rPr>
          <w:spacing w:val="-1"/>
          <w:vertAlign w:val="baseline"/>
        </w:rPr>
        <w:t> </w:t>
      </w:r>
      <w:r>
        <w:rPr>
          <w:vertAlign w:val="baseline"/>
        </w:rPr>
        <w:t>is</w:t>
      </w:r>
      <w:r>
        <w:rPr>
          <w:spacing w:val="-1"/>
          <w:vertAlign w:val="baseline"/>
        </w:rPr>
        <w:t> </w:t>
      </w:r>
      <w:r>
        <w:rPr>
          <w:vertAlign w:val="baseline"/>
        </w:rPr>
        <w:t>that</w:t>
      </w:r>
      <w:r>
        <w:rPr>
          <w:spacing w:val="-1"/>
          <w:vertAlign w:val="baseline"/>
        </w:rPr>
        <w:t> </w:t>
      </w:r>
      <w:r>
        <w:rPr>
          <w:vertAlign w:val="baseline"/>
        </w:rPr>
        <w:t>a</w:t>
      </w:r>
      <w:r>
        <w:rPr>
          <w:spacing w:val="-1"/>
          <w:vertAlign w:val="baseline"/>
        </w:rPr>
        <w:t> </w:t>
      </w:r>
      <w:r>
        <w:rPr>
          <w:vertAlign w:val="baseline"/>
        </w:rPr>
        <w:t>nominal</w:t>
      </w:r>
      <w:r>
        <w:rPr>
          <w:spacing w:val="-1"/>
          <w:vertAlign w:val="baseline"/>
        </w:rPr>
        <w:t> </w:t>
      </w:r>
      <w:r>
        <w:rPr>
          <w:vertAlign w:val="baseline"/>
        </w:rPr>
        <w:t>consideration</w:t>
      </w:r>
      <w:r>
        <w:rPr>
          <w:spacing w:val="-1"/>
          <w:vertAlign w:val="baseline"/>
        </w:rPr>
        <w:t> </w:t>
      </w:r>
      <w:r>
        <w:rPr>
          <w:vertAlign w:val="baseline"/>
        </w:rPr>
        <w:t>is</w:t>
      </w:r>
      <w:r>
        <w:rPr>
          <w:spacing w:val="-1"/>
          <w:vertAlign w:val="baseline"/>
        </w:rPr>
        <w:t> </w:t>
      </w:r>
      <w:r>
        <w:rPr>
          <w:vertAlign w:val="baseline"/>
        </w:rPr>
        <w:t>one</w:t>
      </w:r>
      <w:r>
        <w:rPr>
          <w:spacing w:val="-1"/>
          <w:vertAlign w:val="baseline"/>
        </w:rPr>
        <w:t> </w:t>
      </w:r>
      <w:r>
        <w:rPr>
          <w:vertAlign w:val="baseline"/>
        </w:rPr>
        <w:t>that</w:t>
      </w:r>
      <w:r>
        <w:rPr>
          <w:spacing w:val="-1"/>
          <w:vertAlign w:val="baseline"/>
        </w:rPr>
        <w:t> </w:t>
      </w:r>
      <w:r>
        <w:rPr>
          <w:vertAlign w:val="baseline"/>
        </w:rPr>
        <w:t>is</w:t>
      </w:r>
      <w:r>
        <w:rPr>
          <w:spacing w:val="-1"/>
          <w:vertAlign w:val="baseline"/>
        </w:rPr>
        <w:t> </w:t>
      </w:r>
      <w:r>
        <w:rPr>
          <w:vertAlign w:val="baseline"/>
        </w:rPr>
        <w:t>of</w:t>
      </w:r>
      <w:r>
        <w:rPr>
          <w:spacing w:val="-1"/>
          <w:vertAlign w:val="baseline"/>
        </w:rPr>
        <w:t> </w:t>
      </w:r>
      <w:r>
        <w:rPr>
          <w:vertAlign w:val="baseline"/>
        </w:rPr>
        <w:t>only</w:t>
      </w:r>
      <w:r>
        <w:rPr>
          <w:spacing w:val="-1"/>
          <w:vertAlign w:val="baseline"/>
        </w:rPr>
        <w:t> </w:t>
      </w:r>
      <w:r>
        <w:rPr>
          <w:vertAlign w:val="baseline"/>
        </w:rPr>
        <w:t>token</w:t>
      </w:r>
      <w:r>
        <w:rPr>
          <w:spacing w:val="-1"/>
          <w:vertAlign w:val="baseline"/>
        </w:rPr>
        <w:t> </w:t>
      </w:r>
      <w:r>
        <w:rPr>
          <w:vertAlign w:val="baseline"/>
        </w:rPr>
        <w:t>value,</w:t>
      </w:r>
      <w:r>
        <w:rPr>
          <w:spacing w:val="-2"/>
          <w:vertAlign w:val="baseline"/>
        </w:rPr>
        <w:t> </w:t>
      </w:r>
      <w:r>
        <w:rPr>
          <w:color w:val="005DA1"/>
          <w:u w:val="single" w:color="005DA1"/>
          <w:vertAlign w:val="superscript"/>
        </w:rPr>
        <w:t>125</w:t>
      </w:r>
      <w:r>
        <w:rPr>
          <w:color w:val="005DA1"/>
          <w:spacing w:val="-1"/>
          <w:vertAlign w:val="baseline"/>
        </w:rPr>
        <w:t> </w:t>
      </w:r>
      <w:r>
        <w:rPr>
          <w:vertAlign w:val="baseline"/>
        </w:rPr>
        <w:t>while</w:t>
      </w:r>
      <w:r>
        <w:rPr>
          <w:spacing w:val="-1"/>
          <w:vertAlign w:val="baseline"/>
        </w:rPr>
        <w:t> </w:t>
      </w:r>
      <w:r>
        <w:rPr>
          <w:vertAlign w:val="baseline"/>
        </w:rPr>
        <w:t>an inadequate consideration is one that has substantial value even though it is manifestly less than that of the performance promised or rendered in return. A second view is that “ ‘Nominal consideration’ </w:t>
      </w:r>
      <w:bookmarkStart w:name="_bookmark177" w:id="179"/>
      <w:bookmarkEnd w:id="179"/>
      <w:r>
        <w:rPr>
          <w:vertAlign w:val="baseline"/>
        </w:rPr>
        <w:t>and</w:t>
      </w:r>
      <w:r>
        <w:rPr>
          <w:vertAlign w:val="baseline"/>
        </w:rPr>
        <w:t> ‘nominal sum’ appear …, as terms of art, to refer to a sum or consideration which can be mentioned as consideration but is not necessarily paid.” </w:t>
      </w:r>
      <w:r>
        <w:rPr>
          <w:color w:val="005DA1"/>
          <w:u w:val="single" w:color="005DA1"/>
          <w:vertAlign w:val="superscript"/>
        </w:rPr>
        <w:t>126</w:t>
      </w:r>
      <w:r>
        <w:rPr>
          <w:color w:val="005DA1"/>
          <w:vertAlign w:val="baseline"/>
        </w:rPr>
        <w:t> </w:t>
      </w:r>
      <w:r>
        <w:rPr>
          <w:vertAlign w:val="baseline"/>
        </w:rPr>
        <w:t>This view was expressed by Lord </w:t>
      </w:r>
      <w:bookmarkStart w:name="_bookmark178" w:id="180"/>
      <w:bookmarkEnd w:id="180"/>
      <w:r>
        <w:rPr>
          <w:vertAlign w:val="baseline"/>
        </w:rPr>
        <w:t>Wilberforce</w:t>
      </w:r>
      <w:r>
        <w:rPr>
          <w:vertAlign w:val="baseline"/>
        </w:rPr>
        <w:t> (in a speech with which all the other members of the House of Lords concurred) in </w:t>
      </w:r>
      <w:r>
        <w:rPr>
          <w:rFonts w:ascii="Arial" w:hAnsi="Arial"/>
          <w:i/>
          <w:vertAlign w:val="baseline"/>
        </w:rPr>
        <w:t>Midland</w:t>
      </w:r>
      <w:r>
        <w:rPr>
          <w:rFonts w:ascii="Arial" w:hAnsi="Arial"/>
          <w:i/>
          <w:spacing w:val="35"/>
          <w:vertAlign w:val="baseline"/>
        </w:rPr>
        <w:t> </w:t>
      </w:r>
      <w:r>
        <w:rPr>
          <w:rFonts w:ascii="Arial" w:hAnsi="Arial"/>
          <w:i/>
          <w:vertAlign w:val="baseline"/>
        </w:rPr>
        <w:t>Bank</w:t>
      </w:r>
      <w:r>
        <w:rPr>
          <w:rFonts w:ascii="Arial" w:hAnsi="Arial"/>
          <w:i/>
          <w:spacing w:val="35"/>
          <w:vertAlign w:val="baseline"/>
        </w:rPr>
        <w:t> </w:t>
      </w:r>
      <w:r>
        <w:rPr>
          <w:rFonts w:ascii="Arial" w:hAnsi="Arial"/>
          <w:i/>
          <w:vertAlign w:val="baseline"/>
        </w:rPr>
        <w:t>&amp;</w:t>
      </w:r>
      <w:r>
        <w:rPr>
          <w:rFonts w:ascii="Arial" w:hAnsi="Arial"/>
          <w:i/>
          <w:spacing w:val="35"/>
          <w:vertAlign w:val="baseline"/>
        </w:rPr>
        <w:t> </w:t>
      </w:r>
      <w:r>
        <w:rPr>
          <w:rFonts w:ascii="Arial" w:hAnsi="Arial"/>
          <w:i/>
          <w:vertAlign w:val="baseline"/>
        </w:rPr>
        <w:t>Trust</w:t>
      </w:r>
      <w:r>
        <w:rPr>
          <w:rFonts w:ascii="Arial" w:hAnsi="Arial"/>
          <w:i/>
          <w:spacing w:val="35"/>
          <w:vertAlign w:val="baseline"/>
        </w:rPr>
        <w:t> </w:t>
      </w:r>
      <w:r>
        <w:rPr>
          <w:rFonts w:ascii="Arial" w:hAnsi="Arial"/>
          <w:i/>
          <w:vertAlign w:val="baseline"/>
        </w:rPr>
        <w:t>Co</w:t>
      </w:r>
      <w:r>
        <w:rPr>
          <w:rFonts w:ascii="Arial" w:hAnsi="Arial"/>
          <w:i/>
          <w:spacing w:val="35"/>
          <w:vertAlign w:val="baseline"/>
        </w:rPr>
        <w:t> </w:t>
      </w:r>
      <w:r>
        <w:rPr>
          <w:rFonts w:ascii="Arial" w:hAnsi="Arial"/>
          <w:i/>
          <w:vertAlign w:val="baseline"/>
        </w:rPr>
        <w:t>Ltd</w:t>
      </w:r>
      <w:r>
        <w:rPr>
          <w:rFonts w:ascii="Arial" w:hAnsi="Arial"/>
          <w:i/>
          <w:spacing w:val="35"/>
          <w:vertAlign w:val="baseline"/>
        </w:rPr>
        <w:t> </w:t>
      </w:r>
      <w:r>
        <w:rPr>
          <w:rFonts w:ascii="Arial" w:hAnsi="Arial"/>
          <w:i/>
          <w:vertAlign w:val="baseline"/>
        </w:rPr>
        <w:t>v</w:t>
      </w:r>
      <w:r>
        <w:rPr>
          <w:rFonts w:ascii="Arial" w:hAnsi="Arial"/>
          <w:i/>
          <w:spacing w:val="35"/>
          <w:vertAlign w:val="baseline"/>
        </w:rPr>
        <w:t> </w:t>
      </w:r>
      <w:r>
        <w:rPr>
          <w:rFonts w:ascii="Arial" w:hAnsi="Arial"/>
          <w:i/>
          <w:vertAlign w:val="baseline"/>
        </w:rPr>
        <w:t>Green</w:t>
      </w:r>
      <w:r>
        <w:rPr>
          <w:vertAlign w:val="baseline"/>
        </w:rPr>
        <w:t>.</w:t>
      </w:r>
      <w:r>
        <w:rPr>
          <w:spacing w:val="35"/>
          <w:vertAlign w:val="baseline"/>
        </w:rPr>
        <w:t> </w:t>
      </w:r>
      <w:r>
        <w:rPr>
          <w:color w:val="005DA1"/>
          <w:u w:val="single" w:color="005DA1"/>
          <w:vertAlign w:val="superscript"/>
        </w:rPr>
        <w:t>127</w:t>
      </w:r>
      <w:r>
        <w:rPr>
          <w:color w:val="005DA1"/>
          <w:spacing w:val="35"/>
          <w:vertAlign w:val="baseline"/>
        </w:rPr>
        <w:t> </w:t>
      </w:r>
      <w:r>
        <w:rPr>
          <w:vertAlign w:val="baseline"/>
        </w:rPr>
        <w:t>In</w:t>
      </w:r>
      <w:r>
        <w:rPr>
          <w:spacing w:val="35"/>
          <w:vertAlign w:val="baseline"/>
        </w:rPr>
        <w:t> </w:t>
      </w:r>
      <w:r>
        <w:rPr>
          <w:vertAlign w:val="baseline"/>
        </w:rPr>
        <w:t>that</w:t>
      </w:r>
      <w:r>
        <w:rPr>
          <w:spacing w:val="35"/>
          <w:vertAlign w:val="baseline"/>
        </w:rPr>
        <w:t> </w:t>
      </w:r>
      <w:r>
        <w:rPr>
          <w:vertAlign w:val="baseline"/>
        </w:rPr>
        <w:t>case</w:t>
      </w:r>
      <w:r>
        <w:rPr>
          <w:spacing w:val="35"/>
          <w:vertAlign w:val="baseline"/>
        </w:rPr>
        <w:t> </w:t>
      </w:r>
      <w:r>
        <w:rPr>
          <w:vertAlign w:val="baseline"/>
        </w:rPr>
        <w:t>a</w:t>
      </w:r>
      <w:r>
        <w:rPr>
          <w:spacing w:val="36"/>
          <w:vertAlign w:val="baseline"/>
        </w:rPr>
        <w:t> </w:t>
      </w:r>
      <w:r>
        <w:rPr>
          <w:vertAlign w:val="baseline"/>
        </w:rPr>
        <w:t>husband</w:t>
      </w:r>
      <w:r>
        <w:rPr>
          <w:spacing w:val="35"/>
          <w:vertAlign w:val="baseline"/>
        </w:rPr>
        <w:t> </w:t>
      </w:r>
      <w:r>
        <w:rPr>
          <w:vertAlign w:val="baseline"/>
        </w:rPr>
        <w:t>sold</w:t>
      </w:r>
      <w:r>
        <w:rPr>
          <w:spacing w:val="35"/>
          <w:vertAlign w:val="baseline"/>
        </w:rPr>
        <w:t> </w:t>
      </w:r>
      <w:r>
        <w:rPr>
          <w:vertAlign w:val="baseline"/>
        </w:rPr>
        <w:t>a</w:t>
      </w:r>
      <w:r>
        <w:rPr>
          <w:spacing w:val="35"/>
          <w:vertAlign w:val="baseline"/>
        </w:rPr>
        <w:t> </w:t>
      </w:r>
      <w:r>
        <w:rPr>
          <w:vertAlign w:val="baseline"/>
        </w:rPr>
        <w:t>farm,</w:t>
      </w:r>
      <w:r>
        <w:rPr>
          <w:spacing w:val="35"/>
          <w:vertAlign w:val="baseline"/>
        </w:rPr>
        <w:t> </w:t>
      </w:r>
      <w:r>
        <w:rPr>
          <w:vertAlign w:val="baseline"/>
        </w:rPr>
        <w:t>said</w:t>
      </w:r>
      <w:r>
        <w:rPr>
          <w:spacing w:val="35"/>
          <w:vertAlign w:val="baseline"/>
        </w:rPr>
        <w:t> </w:t>
      </w:r>
      <w:r>
        <w:rPr>
          <w:vertAlign w:val="baseline"/>
        </w:rPr>
        <w:t>to</w:t>
      </w:r>
      <w:r>
        <w:rPr>
          <w:spacing w:val="35"/>
          <w:vertAlign w:val="baseline"/>
        </w:rPr>
        <w:t> </w:t>
      </w:r>
      <w:r>
        <w:rPr>
          <w:vertAlign w:val="baseline"/>
        </w:rPr>
        <w:t>be</w:t>
      </w:r>
      <w:r>
        <w:rPr>
          <w:spacing w:val="35"/>
          <w:vertAlign w:val="baseline"/>
        </w:rPr>
        <w:t> </w:t>
      </w:r>
      <w:r>
        <w:rPr>
          <w:spacing w:val="-2"/>
          <w:vertAlign w:val="baseline"/>
        </w:rPr>
        <w:t>worth</w:t>
      </w:r>
    </w:p>
    <w:p>
      <w:pPr>
        <w:pStyle w:val="BodyText"/>
        <w:spacing w:line="235" w:lineRule="auto"/>
        <w:ind w:left="164" w:right="166"/>
        <w:jc w:val="both"/>
      </w:pPr>
      <w:r>
        <w:rPr/>
        <w:t>£40,000, to his wife for £500. It was held that the wife was, for the purposes of s.13(2) of the Land </w:t>
      </w:r>
      <w:bookmarkStart w:name="_bookmark179" w:id="181"/>
      <w:bookmarkEnd w:id="181"/>
      <w:r>
        <w:rPr/>
        <w:t>Charges</w:t>
      </w:r>
      <w:r>
        <w:rPr>
          <w:spacing w:val="-1"/>
        </w:rPr>
        <w:t> </w:t>
      </w:r>
      <w:r>
        <w:rPr/>
        <w:t>Act</w:t>
      </w:r>
      <w:r>
        <w:rPr>
          <w:spacing w:val="-1"/>
        </w:rPr>
        <w:t> </w:t>
      </w:r>
      <w:r>
        <w:rPr/>
        <w:t>1925,</w:t>
      </w:r>
      <w:r>
        <w:rPr>
          <w:spacing w:val="-1"/>
        </w:rPr>
        <w:t> </w:t>
      </w:r>
      <w:r>
        <w:rPr/>
        <w:t>a</w:t>
      </w:r>
      <w:r>
        <w:rPr>
          <w:spacing w:val="-1"/>
        </w:rPr>
        <w:t> </w:t>
      </w:r>
      <w:r>
        <w:rPr/>
        <w:t>“purchaser</w:t>
      </w:r>
      <w:r>
        <w:rPr>
          <w:spacing w:val="-1"/>
        </w:rPr>
        <w:t> </w:t>
      </w:r>
      <w:r>
        <w:rPr/>
        <w:t>for</w:t>
      </w:r>
      <w:r>
        <w:rPr>
          <w:spacing w:val="-1"/>
        </w:rPr>
        <w:t> </w:t>
      </w:r>
      <w:r>
        <w:rPr/>
        <w:t>money</w:t>
      </w:r>
      <w:r>
        <w:rPr>
          <w:spacing w:val="-1"/>
        </w:rPr>
        <w:t> </w:t>
      </w:r>
      <w:r>
        <w:rPr/>
        <w:t>or</w:t>
      </w:r>
      <w:r>
        <w:rPr>
          <w:spacing w:val="-1"/>
        </w:rPr>
        <w:t> </w:t>
      </w:r>
      <w:r>
        <w:rPr/>
        <w:t>money’s</w:t>
      </w:r>
      <w:r>
        <w:rPr>
          <w:spacing w:val="-1"/>
        </w:rPr>
        <w:t> </w:t>
      </w:r>
      <w:r>
        <w:rPr/>
        <w:t>worth”</w:t>
      </w:r>
      <w:r>
        <w:rPr>
          <w:spacing w:val="-1"/>
        </w:rPr>
        <w:t> </w:t>
      </w:r>
      <w:r>
        <w:rPr/>
        <w:t>so</w:t>
      </w:r>
      <w:r>
        <w:rPr>
          <w:spacing w:val="-1"/>
        </w:rPr>
        <w:t> </w:t>
      </w:r>
      <w:r>
        <w:rPr/>
        <w:t>that</w:t>
      </w:r>
      <w:r>
        <w:rPr>
          <w:spacing w:val="-1"/>
        </w:rPr>
        <w:t> </w:t>
      </w:r>
      <w:r>
        <w:rPr/>
        <w:t>the</w:t>
      </w:r>
      <w:r>
        <w:rPr>
          <w:spacing w:val="-1"/>
        </w:rPr>
        <w:t> </w:t>
      </w:r>
      <w:r>
        <w:rPr/>
        <w:t>sale</w:t>
      </w:r>
      <w:r>
        <w:rPr>
          <w:spacing w:val="-1"/>
        </w:rPr>
        <w:t> </w:t>
      </w:r>
      <w:r>
        <w:rPr/>
        <w:t>to</w:t>
      </w:r>
      <w:r>
        <w:rPr>
          <w:spacing w:val="-1"/>
        </w:rPr>
        <w:t> </w:t>
      </w:r>
      <w:r>
        <w:rPr/>
        <w:t>her</w:t>
      </w:r>
      <w:r>
        <w:rPr>
          <w:spacing w:val="-1"/>
        </w:rPr>
        <w:t> </w:t>
      </w:r>
      <w:r>
        <w:rPr/>
        <w:t>prevailed</w:t>
      </w:r>
      <w:r>
        <w:rPr>
          <w:spacing w:val="-1"/>
        </w:rPr>
        <w:t> </w:t>
      </w:r>
      <w:r>
        <w:rPr/>
        <w:t>over</w:t>
      </w:r>
      <w:r>
        <w:rPr>
          <w:spacing w:val="-1"/>
        </w:rPr>
        <w:t> </w:t>
      </w:r>
      <w:r>
        <w:rPr/>
        <w:t>an unregistered option to purchase the land, which had been granted to one of the couple’s children. </w:t>
      </w:r>
      <w:r>
        <w:rPr>
          <w:color w:val="005DA1"/>
          <w:u w:val="single" w:color="005DA1"/>
          <w:vertAlign w:val="superscript"/>
        </w:rPr>
        <w:t>128</w:t>
      </w:r>
      <w:r>
        <w:rPr>
          <w:color w:val="005DA1"/>
          <w:spacing w:val="40"/>
          <w:vertAlign w:val="baseline"/>
        </w:rPr>
        <w:t> </w:t>
      </w:r>
      <w:r>
        <w:rPr>
          <w:vertAlign w:val="baseline"/>
        </w:rPr>
        <w:t>It was not necessary to decide whether the consideration for the sale was nominal but Lord Wilberforce said that he would have had “great difficulty” in so holding; and that “To equate ‘nominal’ </w:t>
      </w:r>
      <w:bookmarkStart w:name="_bookmark180" w:id="182"/>
      <w:bookmarkEnd w:id="182"/>
      <w:r>
        <w:rPr>
          <w:vertAlign w:val="baseline"/>
        </w:rPr>
        <w:t>with</w:t>
      </w:r>
      <w:r>
        <w:rPr>
          <w:vertAlign w:val="baseline"/>
        </w:rPr>
        <w:t> ‘inadequate’ or even ‘grossly inadequate’ consideration would embark the law on inquiries which</w:t>
      </w:r>
      <w:r>
        <w:rPr>
          <w:spacing w:val="40"/>
          <w:vertAlign w:val="baseline"/>
        </w:rPr>
        <w:t> </w:t>
      </w:r>
      <w:r>
        <w:rPr>
          <w:vertAlign w:val="baseline"/>
        </w:rPr>
        <w:t>I cannot think were ever intended by Parliament.” </w:t>
      </w:r>
      <w:r>
        <w:rPr>
          <w:color w:val="005DA1"/>
          <w:u w:val="single" w:color="005DA1"/>
          <w:vertAlign w:val="superscript"/>
        </w:rPr>
        <w:t>129</w:t>
      </w:r>
      <w:r>
        <w:rPr>
          <w:color w:val="005DA1"/>
          <w:vertAlign w:val="baseline"/>
        </w:rPr>
        <w:t> </w:t>
      </w:r>
      <w:r>
        <w:rPr>
          <w:vertAlign w:val="baseline"/>
        </w:rPr>
        <w:t>On the facts of the case the £500 was paid and was more than a mere token, so that the consideration was not nominal on either of the two views stated above. But if the stated consideration had been only £1, or a peppercorn, it is submitted that it would have been nominal even if it had been paid, or delivered, in accordance with the intention of</w:t>
      </w:r>
      <w:r>
        <w:rPr>
          <w:spacing w:val="80"/>
          <w:vertAlign w:val="baseline"/>
        </w:rPr>
        <w:t> </w:t>
      </w:r>
      <w:r>
        <w:rPr>
          <w:vertAlign w:val="baseline"/>
        </w:rPr>
        <w:t>the parties. So to hold would not lead to inquiries as to the adequacy of consideration; for the distinction between a consideration that is a mere token and one that is inadequate (or even grossly </w:t>
      </w:r>
      <w:bookmarkStart w:name="_bookmark181" w:id="183"/>
      <w:bookmarkEnd w:id="183"/>
      <w:r>
        <w:rPr>
          <w:vertAlign w:val="baseline"/>
        </w:rPr>
        <w:t>inadequate)</w:t>
      </w:r>
      <w:r>
        <w:rPr>
          <w:vertAlign w:val="baseline"/>
        </w:rPr>
        <w:t> is, it is submitted, clear as a matter of common sense. Thus where the question was whether a lease amounted to a “disposition … for a nominal consideration” </w:t>
      </w:r>
      <w:r>
        <w:rPr>
          <w:color w:val="005DA1"/>
          <w:u w:val="single" w:color="005DA1"/>
          <w:vertAlign w:val="superscript"/>
        </w:rPr>
        <w:t>130</w:t>
      </w:r>
      <w:r>
        <w:rPr>
          <w:color w:val="005DA1"/>
          <w:vertAlign w:val="baseline"/>
        </w:rPr>
        <w:t> </w:t>
      </w:r>
      <w:r>
        <w:rPr>
          <w:vertAlign w:val="baseline"/>
        </w:rPr>
        <w:t>it was said that “Any </w:t>
      </w:r>
      <w:bookmarkStart w:name="_bookmark182" w:id="184"/>
      <w:bookmarkEnd w:id="184"/>
      <w:r>
        <w:rPr>
          <w:vertAlign w:val="baseline"/>
        </w:rPr>
        <w:t>substantial</w:t>
      </w:r>
      <w:r>
        <w:rPr>
          <w:vertAlign w:val="baseline"/>
        </w:rPr>
        <w:t> value—that is, a value of more than, say, £5 … will prevent [the] disposition from being for a nominal consideration.” </w:t>
      </w:r>
      <w:r>
        <w:rPr>
          <w:color w:val="005DA1"/>
          <w:u w:val="single" w:color="005DA1"/>
          <w:vertAlign w:val="superscript"/>
        </w:rPr>
        <w:t>131</w:t>
      </w:r>
      <w:r>
        <w:rPr>
          <w:color w:val="005DA1"/>
          <w:vertAlign w:val="baseline"/>
        </w:rPr>
        <w:t> </w:t>
      </w:r>
      <w:r>
        <w:rPr>
          <w:vertAlign w:val="baseline"/>
        </w:rPr>
        <w:t>Such an approach gives rise to no more difficulty than the concept of a consideration which is “mentioned as a consideration but … not necessarily paid.” This test would presumably</w:t>
      </w:r>
      <w:r>
        <w:rPr>
          <w:spacing w:val="-2"/>
          <w:vertAlign w:val="baseline"/>
        </w:rPr>
        <w:t> </w:t>
      </w:r>
      <w:r>
        <w:rPr>
          <w:vertAlign w:val="baseline"/>
        </w:rPr>
        <w:t>make</w:t>
      </w:r>
      <w:r>
        <w:rPr>
          <w:spacing w:val="-2"/>
          <w:vertAlign w:val="baseline"/>
        </w:rPr>
        <w:t> </w:t>
      </w:r>
      <w:r>
        <w:rPr>
          <w:vertAlign w:val="baseline"/>
        </w:rPr>
        <w:t>the</w:t>
      </w:r>
      <w:r>
        <w:rPr>
          <w:spacing w:val="-2"/>
          <w:vertAlign w:val="baseline"/>
        </w:rPr>
        <w:t> </w:t>
      </w:r>
      <w:r>
        <w:rPr>
          <w:vertAlign w:val="baseline"/>
        </w:rPr>
        <w:t>question</w:t>
      </w:r>
      <w:r>
        <w:rPr>
          <w:spacing w:val="-2"/>
          <w:vertAlign w:val="baseline"/>
        </w:rPr>
        <w:t> </w:t>
      </w:r>
      <w:r>
        <w:rPr>
          <w:vertAlign w:val="baseline"/>
        </w:rPr>
        <w:t>whether</w:t>
      </w:r>
      <w:r>
        <w:rPr>
          <w:spacing w:val="-2"/>
          <w:vertAlign w:val="baseline"/>
        </w:rPr>
        <w:t> </w:t>
      </w:r>
      <w:r>
        <w:rPr>
          <w:vertAlign w:val="baseline"/>
        </w:rPr>
        <w:t>consideration</w:t>
      </w:r>
      <w:r>
        <w:rPr>
          <w:spacing w:val="-2"/>
          <w:vertAlign w:val="baseline"/>
        </w:rPr>
        <w:t> </w:t>
      </w:r>
      <w:r>
        <w:rPr>
          <w:vertAlign w:val="baseline"/>
        </w:rPr>
        <w:t>was</w:t>
      </w:r>
      <w:r>
        <w:rPr>
          <w:spacing w:val="-2"/>
          <w:vertAlign w:val="baseline"/>
        </w:rPr>
        <w:t> </w:t>
      </w:r>
      <w:r>
        <w:rPr>
          <w:vertAlign w:val="baseline"/>
        </w:rPr>
        <w:t>nominal</w:t>
      </w:r>
      <w:r>
        <w:rPr>
          <w:spacing w:val="-2"/>
          <w:vertAlign w:val="baseline"/>
        </w:rPr>
        <w:t> </w:t>
      </w:r>
      <w:r>
        <w:rPr>
          <w:vertAlign w:val="baseline"/>
        </w:rPr>
        <w:t>turn</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intention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parties; and in the present context this would be an even more than usually elusive criterion since no</w:t>
      </w:r>
      <w:r>
        <w:rPr>
          <w:spacing w:val="40"/>
          <w:vertAlign w:val="baseline"/>
        </w:rPr>
        <w:t> </w:t>
      </w:r>
      <w:r>
        <w:rPr>
          <w:vertAlign w:val="baseline"/>
        </w:rPr>
        <w:t>guidance could be obtained from the terms of the contract, those terms being in cases of this kind often deliberately drafted so as to conceal the true nature of the transaction.</w:t>
      </w:r>
    </w:p>
    <w:p>
      <w:pPr>
        <w:pStyle w:val="BodyText"/>
      </w:pPr>
    </w:p>
    <w:p>
      <w:pPr>
        <w:pStyle w:val="BodyText"/>
        <w:spacing w:before="26"/>
      </w:pPr>
    </w:p>
    <w:p>
      <w:pPr>
        <w:spacing w:before="1"/>
        <w:ind w:left="165" w:right="0" w:firstLine="0"/>
        <w:jc w:val="both"/>
        <w:rPr>
          <w:rFonts w:ascii="Arial"/>
          <w:b/>
          <w:sz w:val="18"/>
        </w:rPr>
      </w:pPr>
      <w:r>
        <w:rPr>
          <w:rFonts w:ascii="Arial"/>
          <w:b/>
          <w:sz w:val="18"/>
        </w:rPr>
        <w:t>Attitude of </w:t>
      </w:r>
      <w:r>
        <w:rPr>
          <w:rFonts w:ascii="Arial"/>
          <w:b/>
          <w:spacing w:val="-2"/>
          <w:sz w:val="18"/>
        </w:rPr>
        <w:t>equity</w:t>
      </w:r>
    </w:p>
    <w:p>
      <w:pPr>
        <w:spacing w:after="0"/>
        <w:jc w:val="both"/>
        <w:rPr>
          <w:rFonts w:ascii="Arial"/>
          <w:b/>
          <w:sz w:val="18"/>
        </w:rPr>
        <w:sectPr>
          <w:pgSz w:w="11900" w:h="16840"/>
          <w:pgMar w:header="971" w:footer="0" w:top="1160" w:bottom="280" w:left="1275" w:right="1275"/>
        </w:sectPr>
      </w:pPr>
    </w:p>
    <w:p>
      <w:pPr>
        <w:pStyle w:val="BodyText"/>
        <w:spacing w:before="130"/>
        <w:rPr>
          <w:rFonts w:ascii="Arial"/>
          <w:b/>
          <w:sz w:val="24"/>
        </w:rPr>
      </w:pPr>
    </w:p>
    <w:p>
      <w:pPr>
        <w:pStyle w:val="Heading2"/>
      </w:pPr>
      <w:r>
        <w:rPr/>
        <w:t>4-</w:t>
      </w:r>
      <w:r>
        <w:rPr>
          <w:spacing w:val="-5"/>
        </w:rPr>
        <w:t>021</w:t>
      </w:r>
    </w:p>
    <w:p>
      <w:pPr>
        <w:pStyle w:val="BodyText"/>
        <w:spacing w:line="235" w:lineRule="auto" w:before="203"/>
        <w:ind w:left="164" w:right="167"/>
        <w:jc w:val="both"/>
      </w:pPr>
      <w:bookmarkStart w:name="_bookmark183" w:id="185"/>
      <w:bookmarkEnd w:id="185"/>
      <w:r>
        <w:rPr/>
      </w:r>
      <w:r>
        <w:rPr/>
        <w:t>Even in equity the validity of a contract could not generally be challenged on the ground that </w:t>
      </w:r>
      <w:r>
        <w:rPr/>
        <w:t>the </w:t>
      </w:r>
      <w:bookmarkStart w:name="_bookmark184" w:id="186"/>
      <w:bookmarkEnd w:id="186"/>
      <w:r>
        <w:rPr/>
        <w:t>consideration</w:t>
      </w:r>
      <w:r>
        <w:rPr/>
        <w:t> provided for one party’s promise was inadequate. </w:t>
      </w:r>
      <w:r>
        <w:rPr>
          <w:color w:val="005DA1"/>
          <w:u w:val="single" w:color="005DA1"/>
          <w:vertAlign w:val="superscript"/>
        </w:rPr>
        <w:t>132</w:t>
      </w:r>
      <w:r>
        <w:rPr>
          <w:color w:val="005DA1"/>
          <w:vertAlign w:val="baseline"/>
        </w:rPr>
        <w:t> </w:t>
      </w:r>
      <w:r>
        <w:rPr>
          <w:vertAlign w:val="baseline"/>
        </w:rPr>
        <w:t>But the equitable remedy of specific performance may be refused on this ground </w:t>
      </w:r>
      <w:r>
        <w:rPr>
          <w:color w:val="005DA1"/>
          <w:u w:val="single" w:color="005DA1"/>
          <w:vertAlign w:val="superscript"/>
        </w:rPr>
        <w:t>133</w:t>
      </w:r>
      <w:r>
        <w:rPr>
          <w:color w:val="005DA1"/>
          <w:vertAlign w:val="baseline"/>
        </w:rPr>
        <w:t> </w:t>
      </w:r>
      <w:r>
        <w:rPr>
          <w:vertAlign w:val="baseline"/>
        </w:rPr>
        <w:t>(at least if coupled with certain other factors); </w:t>
      </w:r>
      <w:bookmarkStart w:name="_bookmark185" w:id="187"/>
      <w:bookmarkEnd w:id="187"/>
      <w:r>
        <w:rPr>
          <w:vertAlign w:val="baseline"/>
        </w:rPr>
        <w:t>and</w:t>
      </w:r>
      <w:r>
        <w:rPr>
          <w:vertAlign w:val="baseline"/>
        </w:rPr>
        <w:t> in exceptional cases gross undervalue may even be a ground for more radical forms of equitable relief, such as setting a contract aside or reopening it. </w:t>
      </w:r>
      <w:r>
        <w:rPr>
          <w:color w:val="005DA1"/>
          <w:u w:val="single" w:color="005DA1"/>
          <w:vertAlign w:val="superscript"/>
        </w:rPr>
        <w:t>134</w:t>
      </w:r>
      <w:r>
        <w:rPr>
          <w:color w:val="005DA1"/>
          <w:vertAlign w:val="baseline"/>
        </w:rPr>
        <w:t> </w:t>
      </w:r>
      <w:r>
        <w:rPr>
          <w:vertAlign w:val="baseline"/>
        </w:rPr>
        <w:t>Equity also refuses to aid a “volunteer”—so that its remedy of specific performance is not available to a person who has given no substantial </w:t>
      </w:r>
      <w:bookmarkStart w:name="_bookmark186" w:id="188"/>
      <w:bookmarkEnd w:id="188"/>
      <w:r>
        <w:rPr>
          <w:vertAlign w:val="baseline"/>
        </w:rPr>
        <w:t>consideration</w:t>
      </w:r>
      <w:r>
        <w:rPr>
          <w:vertAlign w:val="baseline"/>
        </w:rPr>
        <w:t> but who can nevertheless bring an action on the promise because it is in a deed or </w:t>
      </w:r>
      <w:bookmarkStart w:name="_bookmark187" w:id="189"/>
      <w:bookmarkEnd w:id="189"/>
      <w:r>
        <w:rPr>
          <w:vertAlign w:val="baseline"/>
        </w:rPr>
        <w:t>supported</w:t>
      </w:r>
      <w:r>
        <w:rPr>
          <w:vertAlign w:val="baseline"/>
        </w:rPr>
        <w:t> by nominal consideration. </w:t>
      </w:r>
      <w:r>
        <w:rPr>
          <w:color w:val="005DA1"/>
          <w:u w:val="single" w:color="005DA1"/>
          <w:vertAlign w:val="superscript"/>
        </w:rPr>
        <w:t>135</w:t>
      </w:r>
      <w:r>
        <w:rPr>
          <w:color w:val="005DA1"/>
          <w:vertAlign w:val="baseline"/>
        </w:rPr>
        <w:t> </w:t>
      </w:r>
      <w:r>
        <w:rPr>
          <w:vertAlign w:val="baseline"/>
        </w:rPr>
        <w:t>But while the equitable principle restricts the enforceability of gratuitous </w:t>
      </w:r>
      <w:r>
        <w:rPr>
          <w:rFonts w:ascii="Arial" w:hAnsi="Arial"/>
          <w:i/>
          <w:vertAlign w:val="baseline"/>
        </w:rPr>
        <w:t>promises</w:t>
      </w:r>
      <w:r>
        <w:rPr>
          <w:vertAlign w:val="baseline"/>
        </w:rPr>
        <w:t>, it does not affect the validity of a </w:t>
      </w:r>
      <w:r>
        <w:rPr>
          <w:rFonts w:ascii="Arial" w:hAnsi="Arial"/>
          <w:i/>
          <w:vertAlign w:val="baseline"/>
        </w:rPr>
        <w:t>completed gift</w:t>
      </w:r>
      <w:r>
        <w:rPr>
          <w:vertAlign w:val="baseline"/>
        </w:rPr>
        <w:t>. </w:t>
      </w:r>
      <w:r>
        <w:rPr>
          <w:color w:val="005DA1"/>
          <w:u w:val="single" w:color="005DA1"/>
          <w:vertAlign w:val="superscript"/>
        </w:rPr>
        <w:t>136</w:t>
      </w:r>
    </w:p>
    <w:p>
      <w:pPr>
        <w:pStyle w:val="BodyText"/>
      </w:pPr>
    </w:p>
    <w:p>
      <w:pPr>
        <w:pStyle w:val="BodyText"/>
        <w:spacing w:before="36"/>
      </w:pPr>
      <w:r>
        <w:rPr/>
        <mc:AlternateContent>
          <mc:Choice Requires="wps">
            <w:drawing>
              <wp:anchor distT="0" distB="0" distL="0" distR="0" allowOverlap="1" layoutInCell="1" locked="0" behindDoc="1" simplePos="0" relativeHeight="487599104">
                <wp:simplePos x="0" y="0"/>
                <wp:positionH relativeFrom="page">
                  <wp:posOffset>914400</wp:posOffset>
                </wp:positionH>
                <wp:positionV relativeFrom="paragraph">
                  <wp:posOffset>184437</wp:posOffset>
                </wp:positionV>
                <wp:extent cx="572452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22621pt;width:450.75pt;height:.1pt;mso-position-horizontal-relative:page;mso-position-vertical-relative:paragraph;z-index:-15717376;mso-wrap-distance-left:0;mso-wrap-distance-right:0" id="docshape10" coordorigin="1440,290" coordsize="9015,0" path="m1440,290l10454,290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166272">
                <wp:simplePos x="0" y="0"/>
                <wp:positionH relativeFrom="page">
                  <wp:posOffset>914400</wp:posOffset>
                </wp:positionH>
                <wp:positionV relativeFrom="paragraph">
                  <wp:posOffset>97116</wp:posOffset>
                </wp:positionV>
                <wp:extent cx="4953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50208"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before="5"/>
      </w:pPr>
    </w:p>
    <w:p>
      <w:pPr>
        <w:pStyle w:val="BodyText"/>
        <w:spacing w:line="227" w:lineRule="exact"/>
        <w:ind w:left="165"/>
        <w:jc w:val="both"/>
        <w:rPr>
          <w:rFonts w:ascii="Arial"/>
          <w:i/>
        </w:rPr>
      </w:pPr>
      <w:bookmarkStart w:name="_bookmark188" w:id="190"/>
      <w:bookmarkEnd w:id="190"/>
      <w:r>
        <w:rPr/>
      </w:r>
      <w:hyperlink w:history="true" w:anchor="_bookmark127">
        <w:r>
          <w:rPr>
            <w:color w:val="005DA1"/>
            <w:position w:val="5"/>
            <w:sz w:val="14"/>
            <w:u w:val="single" w:color="005DA1"/>
          </w:rPr>
          <w:t>71</w:t>
        </w:r>
      </w:hyperlink>
      <w:r>
        <w:rPr>
          <w:position w:val="5"/>
          <w:sz w:val="14"/>
        </w:rPr>
        <w:t>.</w:t>
      </w:r>
      <w:r>
        <w:rPr>
          <w:spacing w:val="76"/>
          <w:position w:val="5"/>
          <w:sz w:val="14"/>
        </w:rPr>
        <w:t>   </w:t>
      </w:r>
      <w:r>
        <w:rPr/>
        <w:t>For</w:t>
      </w:r>
      <w:r>
        <w:rPr>
          <w:spacing w:val="49"/>
        </w:rPr>
        <w:t> </w:t>
      </w:r>
      <w:r>
        <w:rPr/>
        <w:t>exceptional</w:t>
      </w:r>
      <w:r>
        <w:rPr>
          <w:spacing w:val="49"/>
        </w:rPr>
        <w:t> </w:t>
      </w:r>
      <w:r>
        <w:rPr/>
        <w:t>cases,</w:t>
      </w:r>
      <w:r>
        <w:rPr>
          <w:spacing w:val="49"/>
        </w:rPr>
        <w:t> </w:t>
      </w:r>
      <w:r>
        <w:rPr/>
        <w:t>see</w:t>
      </w:r>
      <w:r>
        <w:rPr>
          <w:spacing w:val="49"/>
        </w:rPr>
        <w:t> </w:t>
      </w:r>
      <w:r>
        <w:rPr/>
        <w:t>below,</w:t>
      </w:r>
      <w:r>
        <w:rPr>
          <w:spacing w:val="49"/>
        </w:rPr>
        <w:t> </w:t>
      </w:r>
      <w:r>
        <w:rPr/>
        <w:t>paras</w:t>
      </w:r>
      <w:r>
        <w:rPr>
          <w:spacing w:val="49"/>
        </w:rPr>
        <w:t> </w:t>
      </w:r>
      <w:r>
        <w:rPr/>
        <w:t>4-018,</w:t>
      </w:r>
      <w:r>
        <w:rPr>
          <w:spacing w:val="49"/>
        </w:rPr>
        <w:t> </w:t>
      </w:r>
      <w:r>
        <w:rPr/>
        <w:t>8-130,</w:t>
      </w:r>
      <w:r>
        <w:rPr>
          <w:spacing w:val="49"/>
        </w:rPr>
        <w:t> </w:t>
      </w:r>
      <w:r>
        <w:rPr/>
        <w:t>8-142,</w:t>
      </w:r>
      <w:r>
        <w:rPr>
          <w:spacing w:val="49"/>
        </w:rPr>
        <w:t> </w:t>
      </w:r>
      <w:r>
        <w:rPr/>
        <w:t>27-038.</w:t>
      </w:r>
      <w:r>
        <w:rPr>
          <w:spacing w:val="49"/>
        </w:rPr>
        <w:t> </w:t>
      </w:r>
      <w:r>
        <w:rPr/>
        <w:t>See</w:t>
      </w:r>
      <w:r>
        <w:rPr>
          <w:spacing w:val="49"/>
        </w:rPr>
        <w:t> </w:t>
      </w:r>
      <w:r>
        <w:rPr/>
        <w:t>also</w:t>
      </w:r>
      <w:r>
        <w:rPr>
          <w:spacing w:val="48"/>
        </w:rPr>
        <w:t> </w:t>
      </w:r>
      <w:r>
        <w:rPr>
          <w:rFonts w:ascii="Arial"/>
          <w:i/>
          <w:spacing w:val="-2"/>
        </w:rPr>
        <w:t>Bankway</w:t>
      </w:r>
    </w:p>
    <w:p>
      <w:pPr>
        <w:spacing w:line="235" w:lineRule="auto" w:before="1"/>
        <w:ind w:left="705" w:right="167" w:firstLine="0"/>
        <w:jc w:val="both"/>
        <w:rPr>
          <w:sz w:val="20"/>
        </w:rPr>
      </w:pPr>
      <w:r>
        <w:rPr>
          <w:rFonts w:ascii="Arial"/>
          <w:i/>
          <w:sz w:val="20"/>
        </w:rPr>
        <w:t>Properties Ltd v Penfold Dunsford [2001] EWCA Civ 538; [2001] 1 W.L.R. 1369</w:t>
      </w:r>
      <w:r>
        <w:rPr>
          <w:sz w:val="20"/>
        </w:rPr>
        <w:t>, where a provision for rent increase in a shorthold tenancy far beyond the amount which (as the landlord knew) the tenant could possibly pay was held to be unenforceable as being inconsistent with</w:t>
      </w:r>
      <w:r>
        <w:rPr>
          <w:spacing w:val="40"/>
          <w:sz w:val="20"/>
        </w:rPr>
        <w:t> </w:t>
      </w:r>
      <w:r>
        <w:rPr>
          <w:sz w:val="20"/>
        </w:rPr>
        <w:t>the intention of the parties to create an assured tenancy.</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89" w:id="191"/>
      <w:bookmarkEnd w:id="191"/>
      <w:r>
        <w:rPr/>
      </w:r>
      <w:hyperlink w:history="true" w:anchor="_bookmark128">
        <w:r>
          <w:rPr>
            <w:color w:val="005DA1"/>
            <w:spacing w:val="-5"/>
            <w:position w:val="5"/>
            <w:sz w:val="14"/>
            <w:u w:val="single" w:color="005DA1"/>
          </w:rPr>
          <w:t>72</w:t>
        </w:r>
      </w:hyperlink>
      <w:r>
        <w:rPr>
          <w:spacing w:val="-5"/>
          <w:position w:val="5"/>
          <w:sz w:val="14"/>
        </w:rPr>
        <w:t>.</w:t>
      </w:r>
      <w:r>
        <w:rPr>
          <w:position w:val="5"/>
          <w:sz w:val="14"/>
        </w:rPr>
        <w:tab/>
      </w:r>
      <w:r>
        <w:rPr>
          <w:rFonts w:ascii="Arial" w:hAnsi="Arial"/>
          <w:i/>
          <w:sz w:val="20"/>
        </w:rPr>
        <w:t>Haigh</w:t>
      </w:r>
      <w:r>
        <w:rPr>
          <w:rFonts w:ascii="Arial" w:hAnsi="Arial"/>
          <w:i/>
          <w:spacing w:val="5"/>
          <w:sz w:val="20"/>
        </w:rPr>
        <w:t> </w:t>
      </w:r>
      <w:r>
        <w:rPr>
          <w:rFonts w:ascii="Arial" w:hAnsi="Arial"/>
          <w:i/>
          <w:sz w:val="20"/>
        </w:rPr>
        <w:t>v</w:t>
      </w:r>
      <w:r>
        <w:rPr>
          <w:rFonts w:ascii="Arial" w:hAnsi="Arial"/>
          <w:i/>
          <w:spacing w:val="8"/>
          <w:sz w:val="20"/>
        </w:rPr>
        <w:t> </w:t>
      </w:r>
      <w:r>
        <w:rPr>
          <w:rFonts w:ascii="Arial" w:hAnsi="Arial"/>
          <w:i/>
          <w:sz w:val="20"/>
        </w:rPr>
        <w:t>Brooks</w:t>
      </w:r>
      <w:r>
        <w:rPr>
          <w:rFonts w:ascii="Arial" w:hAnsi="Arial"/>
          <w:i/>
          <w:spacing w:val="8"/>
          <w:sz w:val="20"/>
        </w:rPr>
        <w:t> </w:t>
      </w:r>
      <w:r>
        <w:rPr>
          <w:rFonts w:ascii="Arial" w:hAnsi="Arial"/>
          <w:i/>
          <w:sz w:val="20"/>
        </w:rPr>
        <w:t>(1839)</w:t>
      </w:r>
      <w:r>
        <w:rPr>
          <w:rFonts w:ascii="Arial" w:hAnsi="Arial"/>
          <w:i/>
          <w:spacing w:val="8"/>
          <w:sz w:val="20"/>
        </w:rPr>
        <w:t> </w:t>
      </w:r>
      <w:r>
        <w:rPr>
          <w:rFonts w:ascii="Arial" w:hAnsi="Arial"/>
          <w:i/>
          <w:sz w:val="20"/>
        </w:rPr>
        <w:t>10</w:t>
      </w:r>
      <w:r>
        <w:rPr>
          <w:rFonts w:ascii="Arial" w:hAnsi="Arial"/>
          <w:i/>
          <w:spacing w:val="8"/>
          <w:sz w:val="20"/>
        </w:rPr>
        <w:t> </w:t>
      </w:r>
      <w:r>
        <w:rPr>
          <w:rFonts w:ascii="Arial" w:hAnsi="Arial"/>
          <w:i/>
          <w:sz w:val="20"/>
        </w:rPr>
        <w:t>A.</w:t>
      </w:r>
      <w:r>
        <w:rPr>
          <w:rFonts w:ascii="Arial" w:hAnsi="Arial"/>
          <w:i/>
          <w:spacing w:val="8"/>
          <w:sz w:val="20"/>
        </w:rPr>
        <w:t> </w:t>
      </w:r>
      <w:r>
        <w:rPr>
          <w:rFonts w:ascii="Arial" w:hAnsi="Arial"/>
          <w:i/>
          <w:sz w:val="20"/>
        </w:rPr>
        <w:t>&amp;</w:t>
      </w:r>
      <w:r>
        <w:rPr>
          <w:rFonts w:ascii="Arial" w:hAnsi="Arial"/>
          <w:i/>
          <w:spacing w:val="8"/>
          <w:sz w:val="20"/>
        </w:rPr>
        <w:t> </w:t>
      </w:r>
      <w:r>
        <w:rPr>
          <w:rFonts w:ascii="Arial" w:hAnsi="Arial"/>
          <w:i/>
          <w:sz w:val="20"/>
        </w:rPr>
        <w:t>E.</w:t>
      </w:r>
      <w:r>
        <w:rPr>
          <w:rFonts w:ascii="Arial" w:hAnsi="Arial"/>
          <w:i/>
          <w:spacing w:val="8"/>
          <w:sz w:val="20"/>
        </w:rPr>
        <w:t> </w:t>
      </w:r>
      <w:r>
        <w:rPr>
          <w:rFonts w:ascii="Arial" w:hAnsi="Arial"/>
          <w:i/>
          <w:sz w:val="20"/>
        </w:rPr>
        <w:t>309,</w:t>
      </w:r>
      <w:r>
        <w:rPr>
          <w:rFonts w:ascii="Arial" w:hAnsi="Arial"/>
          <w:i/>
          <w:spacing w:val="8"/>
          <w:sz w:val="20"/>
        </w:rPr>
        <w:t> </w:t>
      </w:r>
      <w:r>
        <w:rPr>
          <w:rFonts w:ascii="Arial" w:hAnsi="Arial"/>
          <w:i/>
          <w:sz w:val="20"/>
        </w:rPr>
        <w:t>320</w:t>
      </w:r>
      <w:r>
        <w:rPr>
          <w:sz w:val="20"/>
        </w:rPr>
        <w:t>;</w:t>
      </w:r>
      <w:r>
        <w:rPr>
          <w:spacing w:val="7"/>
          <w:sz w:val="20"/>
        </w:rPr>
        <w:t> </w:t>
      </w:r>
      <w:r>
        <w:rPr>
          <w:rFonts w:ascii="Arial" w:hAnsi="Arial"/>
          <w:i/>
          <w:sz w:val="20"/>
        </w:rPr>
        <w:t>Moss</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Hall</w:t>
      </w:r>
      <w:r>
        <w:rPr>
          <w:rFonts w:ascii="Arial" w:hAnsi="Arial"/>
          <w:i/>
          <w:spacing w:val="8"/>
          <w:sz w:val="20"/>
        </w:rPr>
        <w:t> </w:t>
      </w:r>
      <w:r>
        <w:rPr>
          <w:rFonts w:ascii="Arial" w:hAnsi="Arial"/>
          <w:i/>
          <w:sz w:val="20"/>
        </w:rPr>
        <w:t>(1850)</w:t>
      </w:r>
      <w:r>
        <w:rPr>
          <w:rFonts w:ascii="Arial" w:hAnsi="Arial"/>
          <w:i/>
          <w:spacing w:val="8"/>
          <w:sz w:val="20"/>
        </w:rPr>
        <w:t> </w:t>
      </w:r>
      <w:r>
        <w:rPr>
          <w:rFonts w:ascii="Arial" w:hAnsi="Arial"/>
          <w:i/>
          <w:sz w:val="20"/>
        </w:rPr>
        <w:t>5</w:t>
      </w:r>
      <w:r>
        <w:rPr>
          <w:rFonts w:ascii="Arial" w:hAnsi="Arial"/>
          <w:i/>
          <w:spacing w:val="8"/>
          <w:sz w:val="20"/>
        </w:rPr>
        <w:t> </w:t>
      </w:r>
      <w:r>
        <w:rPr>
          <w:rFonts w:ascii="Arial" w:hAnsi="Arial"/>
          <w:i/>
          <w:sz w:val="20"/>
        </w:rPr>
        <w:t>Exch.</w:t>
      </w:r>
      <w:r>
        <w:rPr>
          <w:rFonts w:ascii="Arial" w:hAnsi="Arial"/>
          <w:i/>
          <w:spacing w:val="8"/>
          <w:sz w:val="20"/>
        </w:rPr>
        <w:t> </w:t>
      </w:r>
      <w:r>
        <w:rPr>
          <w:rFonts w:ascii="Arial" w:hAnsi="Arial"/>
          <w:i/>
          <w:sz w:val="20"/>
        </w:rPr>
        <w:t>46,</w:t>
      </w:r>
      <w:r>
        <w:rPr>
          <w:rFonts w:ascii="Arial" w:hAnsi="Arial"/>
          <w:i/>
          <w:spacing w:val="8"/>
          <w:sz w:val="20"/>
        </w:rPr>
        <w:t> </w:t>
      </w:r>
      <w:r>
        <w:rPr>
          <w:rFonts w:ascii="Arial" w:hAnsi="Arial"/>
          <w:i/>
          <w:sz w:val="20"/>
        </w:rPr>
        <w:t>49–50</w:t>
      </w:r>
      <w:r>
        <w:rPr>
          <w:sz w:val="20"/>
        </w:rPr>
        <w:t>;</w:t>
      </w:r>
      <w:r>
        <w:rPr>
          <w:spacing w:val="8"/>
          <w:sz w:val="20"/>
        </w:rPr>
        <w:t> </w:t>
      </w:r>
      <w:r>
        <w:rPr>
          <w:rFonts w:ascii="Arial" w:hAnsi="Arial"/>
          <w:i/>
          <w:sz w:val="20"/>
        </w:rPr>
        <w:t>Westlake</w:t>
      </w:r>
      <w:r>
        <w:rPr>
          <w:rFonts w:ascii="Arial" w:hAnsi="Arial"/>
          <w:i/>
          <w:spacing w:val="8"/>
          <w:sz w:val="20"/>
        </w:rPr>
        <w:t> </w:t>
      </w:r>
      <w:r>
        <w:rPr>
          <w:rFonts w:ascii="Arial" w:hAnsi="Arial"/>
          <w:i/>
          <w:spacing w:val="-10"/>
          <w:sz w:val="20"/>
        </w:rPr>
        <w:t>v</w:t>
      </w:r>
    </w:p>
    <w:p>
      <w:pPr>
        <w:spacing w:line="225" w:lineRule="exact" w:before="0"/>
        <w:ind w:left="705" w:right="0" w:firstLine="0"/>
        <w:jc w:val="left"/>
        <w:rPr>
          <w:rFonts w:ascii="Arial"/>
          <w:i/>
          <w:sz w:val="20"/>
        </w:rPr>
      </w:pPr>
      <w:r>
        <w:rPr>
          <w:rFonts w:ascii="Arial"/>
          <w:i/>
          <w:sz w:val="20"/>
        </w:rPr>
        <w:t>Adams</w:t>
      </w:r>
      <w:r>
        <w:rPr>
          <w:rFonts w:ascii="Arial"/>
          <w:i/>
          <w:spacing w:val="4"/>
          <w:sz w:val="20"/>
        </w:rPr>
        <w:t> </w:t>
      </w:r>
      <w:r>
        <w:rPr>
          <w:rFonts w:ascii="Arial"/>
          <w:i/>
          <w:sz w:val="20"/>
        </w:rPr>
        <w:t>(1858)</w:t>
      </w:r>
      <w:r>
        <w:rPr>
          <w:rFonts w:ascii="Arial"/>
          <w:i/>
          <w:spacing w:val="7"/>
          <w:sz w:val="20"/>
        </w:rPr>
        <w:t> </w:t>
      </w:r>
      <w:r>
        <w:rPr>
          <w:rFonts w:ascii="Arial"/>
          <w:i/>
          <w:sz w:val="20"/>
        </w:rPr>
        <w:t>5</w:t>
      </w:r>
      <w:r>
        <w:rPr>
          <w:rFonts w:ascii="Arial"/>
          <w:i/>
          <w:spacing w:val="7"/>
          <w:sz w:val="20"/>
        </w:rPr>
        <w:t> </w:t>
      </w:r>
      <w:r>
        <w:rPr>
          <w:rFonts w:ascii="Arial"/>
          <w:i/>
          <w:sz w:val="20"/>
        </w:rPr>
        <w:t>C.B.(N.S.)</w:t>
      </w:r>
      <w:r>
        <w:rPr>
          <w:rFonts w:ascii="Arial"/>
          <w:i/>
          <w:spacing w:val="7"/>
          <w:sz w:val="20"/>
        </w:rPr>
        <w:t> </w:t>
      </w:r>
      <w:r>
        <w:rPr>
          <w:rFonts w:ascii="Arial"/>
          <w:i/>
          <w:sz w:val="20"/>
        </w:rPr>
        <w:t>248,</w:t>
      </w:r>
      <w:r>
        <w:rPr>
          <w:rFonts w:ascii="Arial"/>
          <w:i/>
          <w:spacing w:val="7"/>
          <w:sz w:val="20"/>
        </w:rPr>
        <w:t> </w:t>
      </w:r>
      <w:r>
        <w:rPr>
          <w:rFonts w:ascii="Arial"/>
          <w:i/>
          <w:sz w:val="20"/>
        </w:rPr>
        <w:t>265</w:t>
      </w:r>
      <w:r>
        <w:rPr>
          <w:sz w:val="20"/>
        </w:rPr>
        <w:t>;</w:t>
      </w:r>
      <w:r>
        <w:rPr>
          <w:spacing w:val="7"/>
          <w:sz w:val="20"/>
        </w:rPr>
        <w:t> </w:t>
      </w:r>
      <w:r>
        <w:rPr>
          <w:rFonts w:ascii="Arial"/>
          <w:i/>
          <w:sz w:val="20"/>
        </w:rPr>
        <w:t>Gravely</w:t>
      </w:r>
      <w:r>
        <w:rPr>
          <w:rFonts w:ascii="Arial"/>
          <w:i/>
          <w:spacing w:val="7"/>
          <w:sz w:val="20"/>
        </w:rPr>
        <w:t> </w:t>
      </w:r>
      <w:r>
        <w:rPr>
          <w:rFonts w:ascii="Arial"/>
          <w:i/>
          <w:sz w:val="20"/>
        </w:rPr>
        <w:t>v</w:t>
      </w:r>
      <w:r>
        <w:rPr>
          <w:rFonts w:ascii="Arial"/>
          <w:i/>
          <w:spacing w:val="7"/>
          <w:sz w:val="20"/>
        </w:rPr>
        <w:t> </w:t>
      </w:r>
      <w:r>
        <w:rPr>
          <w:rFonts w:ascii="Arial"/>
          <w:i/>
          <w:sz w:val="20"/>
        </w:rPr>
        <w:t>Barnard</w:t>
      </w:r>
      <w:r>
        <w:rPr>
          <w:rFonts w:ascii="Arial"/>
          <w:i/>
          <w:spacing w:val="6"/>
          <w:sz w:val="20"/>
        </w:rPr>
        <w:t> </w:t>
      </w:r>
      <w:r>
        <w:rPr>
          <w:rFonts w:ascii="Arial"/>
          <w:i/>
          <w:sz w:val="20"/>
        </w:rPr>
        <w:t>(1874)</w:t>
      </w:r>
      <w:r>
        <w:rPr>
          <w:rFonts w:ascii="Arial"/>
          <w:i/>
          <w:spacing w:val="7"/>
          <w:sz w:val="20"/>
        </w:rPr>
        <w:t> </w:t>
      </w:r>
      <w:r>
        <w:rPr>
          <w:rFonts w:ascii="Arial"/>
          <w:i/>
          <w:sz w:val="20"/>
        </w:rPr>
        <w:t>L.R.</w:t>
      </w:r>
      <w:r>
        <w:rPr>
          <w:rFonts w:ascii="Arial"/>
          <w:i/>
          <w:spacing w:val="7"/>
          <w:sz w:val="20"/>
        </w:rPr>
        <w:t> </w:t>
      </w:r>
      <w:r>
        <w:rPr>
          <w:rFonts w:ascii="Arial"/>
          <w:i/>
          <w:sz w:val="20"/>
        </w:rPr>
        <w:t>18</w:t>
      </w:r>
      <w:r>
        <w:rPr>
          <w:rFonts w:ascii="Arial"/>
          <w:i/>
          <w:spacing w:val="7"/>
          <w:sz w:val="20"/>
        </w:rPr>
        <w:t> </w:t>
      </w:r>
      <w:r>
        <w:rPr>
          <w:rFonts w:ascii="Arial"/>
          <w:i/>
          <w:sz w:val="20"/>
        </w:rPr>
        <w:t>Eq.</w:t>
      </w:r>
      <w:r>
        <w:rPr>
          <w:rFonts w:ascii="Arial"/>
          <w:i/>
          <w:spacing w:val="7"/>
          <w:sz w:val="20"/>
        </w:rPr>
        <w:t> </w:t>
      </w:r>
      <w:r>
        <w:rPr>
          <w:rFonts w:ascii="Arial"/>
          <w:i/>
          <w:sz w:val="20"/>
        </w:rPr>
        <w:t>518</w:t>
      </w:r>
      <w:r>
        <w:rPr>
          <w:sz w:val="20"/>
        </w:rPr>
        <w:t>;</w:t>
      </w:r>
      <w:r>
        <w:rPr>
          <w:spacing w:val="7"/>
          <w:sz w:val="20"/>
        </w:rPr>
        <w:t> </w:t>
      </w:r>
      <w:r>
        <w:rPr>
          <w:rFonts w:ascii="Arial"/>
          <w:i/>
          <w:sz w:val="20"/>
        </w:rPr>
        <w:t>Wild</w:t>
      </w:r>
      <w:r>
        <w:rPr>
          <w:rFonts w:ascii="Arial"/>
          <w:i/>
          <w:spacing w:val="7"/>
          <w:sz w:val="20"/>
        </w:rPr>
        <w:t> </w:t>
      </w:r>
      <w:r>
        <w:rPr>
          <w:rFonts w:ascii="Arial"/>
          <w:i/>
          <w:sz w:val="20"/>
        </w:rPr>
        <w:t>v</w:t>
      </w:r>
      <w:r>
        <w:rPr>
          <w:rFonts w:ascii="Arial"/>
          <w:i/>
          <w:spacing w:val="7"/>
          <w:sz w:val="20"/>
        </w:rPr>
        <w:t> </w:t>
      </w:r>
      <w:r>
        <w:rPr>
          <w:rFonts w:ascii="Arial"/>
          <w:i/>
          <w:spacing w:val="-2"/>
          <w:sz w:val="20"/>
        </w:rPr>
        <w:t>Tucker</w:t>
      </w:r>
    </w:p>
    <w:p>
      <w:pPr>
        <w:spacing w:line="225" w:lineRule="exact" w:before="0"/>
        <w:ind w:left="705" w:right="0" w:firstLine="0"/>
        <w:jc w:val="left"/>
        <w:rPr>
          <w:rFonts w:ascii="Arial"/>
          <w:i/>
          <w:sz w:val="20"/>
        </w:rPr>
      </w:pPr>
      <w:r>
        <w:rPr>
          <w:rFonts w:ascii="Arial"/>
          <w:i/>
          <w:sz w:val="20"/>
        </w:rPr>
        <w:t>[1914]</w:t>
      </w:r>
      <w:r>
        <w:rPr>
          <w:rFonts w:ascii="Arial"/>
          <w:i/>
          <w:spacing w:val="26"/>
          <w:sz w:val="20"/>
        </w:rPr>
        <w:t> </w:t>
      </w:r>
      <w:r>
        <w:rPr>
          <w:rFonts w:ascii="Arial"/>
          <w:i/>
          <w:sz w:val="20"/>
        </w:rPr>
        <w:t>3</w:t>
      </w:r>
      <w:r>
        <w:rPr>
          <w:rFonts w:ascii="Arial"/>
          <w:i/>
          <w:spacing w:val="27"/>
          <w:sz w:val="20"/>
        </w:rPr>
        <w:t> </w:t>
      </w:r>
      <w:r>
        <w:rPr>
          <w:rFonts w:ascii="Arial"/>
          <w:i/>
          <w:sz w:val="20"/>
        </w:rPr>
        <w:t>K.B.</w:t>
      </w:r>
      <w:r>
        <w:rPr>
          <w:rFonts w:ascii="Arial"/>
          <w:i/>
          <w:spacing w:val="27"/>
          <w:sz w:val="20"/>
        </w:rPr>
        <w:t> </w:t>
      </w:r>
      <w:r>
        <w:rPr>
          <w:rFonts w:ascii="Arial"/>
          <w:i/>
          <w:sz w:val="20"/>
        </w:rPr>
        <w:t>36,</w:t>
      </w:r>
      <w:r>
        <w:rPr>
          <w:rFonts w:ascii="Arial"/>
          <w:i/>
          <w:spacing w:val="27"/>
          <w:sz w:val="20"/>
        </w:rPr>
        <w:t> </w:t>
      </w:r>
      <w:r>
        <w:rPr>
          <w:rFonts w:ascii="Arial"/>
          <w:i/>
          <w:sz w:val="20"/>
        </w:rPr>
        <w:t>39</w:t>
      </w:r>
      <w:r>
        <w:rPr>
          <w:sz w:val="20"/>
        </w:rPr>
        <w:t>;</w:t>
      </w:r>
      <w:r>
        <w:rPr>
          <w:spacing w:val="27"/>
          <w:sz w:val="20"/>
        </w:rPr>
        <w:t> </w:t>
      </w:r>
      <w:r>
        <w:rPr>
          <w:rFonts w:ascii="Arial"/>
          <w:i/>
          <w:sz w:val="20"/>
        </w:rPr>
        <w:t>Midland</w:t>
      </w:r>
      <w:r>
        <w:rPr>
          <w:rFonts w:ascii="Arial"/>
          <w:i/>
          <w:spacing w:val="27"/>
          <w:sz w:val="20"/>
        </w:rPr>
        <w:t> </w:t>
      </w:r>
      <w:r>
        <w:rPr>
          <w:rFonts w:ascii="Arial"/>
          <w:i/>
          <w:sz w:val="20"/>
        </w:rPr>
        <w:t>Bank</w:t>
      </w:r>
      <w:r>
        <w:rPr>
          <w:rFonts w:ascii="Arial"/>
          <w:i/>
          <w:spacing w:val="27"/>
          <w:sz w:val="20"/>
        </w:rPr>
        <w:t> </w:t>
      </w:r>
      <w:r>
        <w:rPr>
          <w:rFonts w:ascii="Arial"/>
          <w:i/>
          <w:sz w:val="20"/>
        </w:rPr>
        <w:t>&amp;</w:t>
      </w:r>
      <w:r>
        <w:rPr>
          <w:rFonts w:ascii="Arial"/>
          <w:i/>
          <w:spacing w:val="27"/>
          <w:sz w:val="20"/>
        </w:rPr>
        <w:t> </w:t>
      </w:r>
      <w:r>
        <w:rPr>
          <w:rFonts w:ascii="Arial"/>
          <w:i/>
          <w:sz w:val="20"/>
        </w:rPr>
        <w:t>Trust</w:t>
      </w:r>
      <w:r>
        <w:rPr>
          <w:rFonts w:ascii="Arial"/>
          <w:i/>
          <w:spacing w:val="27"/>
          <w:sz w:val="20"/>
        </w:rPr>
        <w:t> </w:t>
      </w:r>
      <w:r>
        <w:rPr>
          <w:rFonts w:ascii="Arial"/>
          <w:i/>
          <w:sz w:val="20"/>
        </w:rPr>
        <w:t>Co</w:t>
      </w:r>
      <w:r>
        <w:rPr>
          <w:rFonts w:ascii="Arial"/>
          <w:i/>
          <w:spacing w:val="26"/>
          <w:sz w:val="20"/>
        </w:rPr>
        <w:t> </w:t>
      </w:r>
      <w:r>
        <w:rPr>
          <w:rFonts w:ascii="Arial"/>
          <w:i/>
          <w:sz w:val="20"/>
        </w:rPr>
        <w:t>Ltd</w:t>
      </w:r>
      <w:r>
        <w:rPr>
          <w:rFonts w:ascii="Arial"/>
          <w:i/>
          <w:spacing w:val="27"/>
          <w:sz w:val="20"/>
        </w:rPr>
        <w:t> </w:t>
      </w:r>
      <w:r>
        <w:rPr>
          <w:rFonts w:ascii="Arial"/>
          <w:i/>
          <w:sz w:val="20"/>
        </w:rPr>
        <w:t>v</w:t>
      </w:r>
      <w:r>
        <w:rPr>
          <w:rFonts w:ascii="Arial"/>
          <w:i/>
          <w:spacing w:val="27"/>
          <w:sz w:val="20"/>
        </w:rPr>
        <w:t> </w:t>
      </w:r>
      <w:r>
        <w:rPr>
          <w:rFonts w:ascii="Arial"/>
          <w:i/>
          <w:sz w:val="20"/>
        </w:rPr>
        <w:t>Green</w:t>
      </w:r>
      <w:r>
        <w:rPr>
          <w:rFonts w:ascii="Arial"/>
          <w:i/>
          <w:spacing w:val="27"/>
          <w:sz w:val="20"/>
        </w:rPr>
        <w:t> </w:t>
      </w:r>
      <w:r>
        <w:rPr>
          <w:rFonts w:ascii="Arial"/>
          <w:i/>
          <w:sz w:val="20"/>
        </w:rPr>
        <w:t>[1981]</w:t>
      </w:r>
      <w:r>
        <w:rPr>
          <w:rFonts w:ascii="Arial"/>
          <w:i/>
          <w:spacing w:val="27"/>
          <w:sz w:val="20"/>
        </w:rPr>
        <w:t> </w:t>
      </w:r>
      <w:r>
        <w:rPr>
          <w:rFonts w:ascii="Arial"/>
          <w:i/>
          <w:sz w:val="20"/>
        </w:rPr>
        <w:t>A.C.</w:t>
      </w:r>
      <w:r>
        <w:rPr>
          <w:rFonts w:ascii="Arial"/>
          <w:i/>
          <w:spacing w:val="27"/>
          <w:sz w:val="20"/>
        </w:rPr>
        <w:t> </w:t>
      </w:r>
      <w:r>
        <w:rPr>
          <w:rFonts w:ascii="Arial"/>
          <w:i/>
          <w:sz w:val="20"/>
        </w:rPr>
        <w:t>513,</w:t>
      </w:r>
      <w:r>
        <w:rPr>
          <w:rFonts w:ascii="Arial"/>
          <w:i/>
          <w:spacing w:val="27"/>
          <w:sz w:val="20"/>
        </w:rPr>
        <w:t> </w:t>
      </w:r>
      <w:r>
        <w:rPr>
          <w:rFonts w:ascii="Arial"/>
          <w:i/>
          <w:sz w:val="20"/>
        </w:rPr>
        <w:t>532</w:t>
      </w:r>
      <w:r>
        <w:rPr>
          <w:sz w:val="20"/>
        </w:rPr>
        <w:t>;</w:t>
      </w:r>
      <w:r>
        <w:rPr>
          <w:spacing w:val="27"/>
          <w:sz w:val="20"/>
        </w:rPr>
        <w:t> </w:t>
      </w:r>
      <w:r>
        <w:rPr>
          <w:sz w:val="20"/>
        </w:rPr>
        <w:t>cf.</w:t>
      </w:r>
      <w:r>
        <w:rPr>
          <w:spacing w:val="27"/>
          <w:sz w:val="20"/>
        </w:rPr>
        <w:t> </w:t>
      </w:r>
      <w:r>
        <w:rPr>
          <w:rFonts w:ascii="Arial"/>
          <w:i/>
          <w:sz w:val="20"/>
        </w:rPr>
        <w:t>Ball</w:t>
      </w:r>
      <w:r>
        <w:rPr>
          <w:rFonts w:ascii="Arial"/>
          <w:i/>
          <w:spacing w:val="27"/>
          <w:sz w:val="20"/>
        </w:rPr>
        <w:t> </w:t>
      </w:r>
      <w:r>
        <w:rPr>
          <w:rFonts w:ascii="Arial"/>
          <w:i/>
          <w:spacing w:val="-10"/>
          <w:sz w:val="20"/>
        </w:rPr>
        <w:t>v</w:t>
      </w:r>
    </w:p>
    <w:p>
      <w:pPr>
        <w:spacing w:line="235" w:lineRule="auto" w:before="1"/>
        <w:ind w:left="705" w:right="0" w:firstLine="0"/>
        <w:jc w:val="left"/>
        <w:rPr>
          <w:rFonts w:ascii="Arial" w:hAnsi="Arial"/>
          <w:i/>
          <w:sz w:val="20"/>
        </w:rPr>
      </w:pPr>
      <w:r>
        <w:rPr>
          <w:rFonts w:ascii="Arial" w:hAnsi="Arial"/>
          <w:i/>
          <w:sz w:val="20"/>
        </w:rPr>
        <w:t>National</w:t>
      </w:r>
      <w:r>
        <w:rPr>
          <w:rFonts w:ascii="Arial" w:hAnsi="Arial"/>
          <w:i/>
          <w:spacing w:val="22"/>
          <w:sz w:val="20"/>
        </w:rPr>
        <w:t> </w:t>
      </w:r>
      <w:r>
        <w:rPr>
          <w:rFonts w:ascii="Arial" w:hAnsi="Arial"/>
          <w:i/>
          <w:sz w:val="20"/>
        </w:rPr>
        <w:t>and</w:t>
      </w:r>
      <w:r>
        <w:rPr>
          <w:rFonts w:ascii="Arial" w:hAnsi="Arial"/>
          <w:i/>
          <w:spacing w:val="22"/>
          <w:sz w:val="20"/>
        </w:rPr>
        <w:t> </w:t>
      </w:r>
      <w:r>
        <w:rPr>
          <w:rFonts w:ascii="Arial" w:hAnsi="Arial"/>
          <w:i/>
          <w:sz w:val="20"/>
        </w:rPr>
        <w:t>Grindley’s</w:t>
      </w:r>
      <w:r>
        <w:rPr>
          <w:rFonts w:ascii="Arial" w:hAnsi="Arial"/>
          <w:i/>
          <w:spacing w:val="22"/>
          <w:sz w:val="20"/>
        </w:rPr>
        <w:t> </w:t>
      </w:r>
      <w:r>
        <w:rPr>
          <w:rFonts w:ascii="Arial" w:hAnsi="Arial"/>
          <w:i/>
          <w:sz w:val="20"/>
        </w:rPr>
        <w:t>Bank</w:t>
      </w:r>
      <w:r>
        <w:rPr>
          <w:rFonts w:ascii="Arial" w:hAnsi="Arial"/>
          <w:i/>
          <w:spacing w:val="22"/>
          <w:sz w:val="20"/>
        </w:rPr>
        <w:t> </w:t>
      </w:r>
      <w:r>
        <w:rPr>
          <w:rFonts w:ascii="Arial" w:hAnsi="Arial"/>
          <w:i/>
          <w:sz w:val="20"/>
        </w:rPr>
        <w:t>[1973]</w:t>
      </w:r>
      <w:r>
        <w:rPr>
          <w:rFonts w:ascii="Arial" w:hAnsi="Arial"/>
          <w:i/>
          <w:spacing w:val="22"/>
          <w:sz w:val="20"/>
        </w:rPr>
        <w:t> </w:t>
      </w:r>
      <w:r>
        <w:rPr>
          <w:rFonts w:ascii="Arial" w:hAnsi="Arial"/>
          <w:i/>
          <w:sz w:val="20"/>
        </w:rPr>
        <w:t>Ch.</w:t>
      </w:r>
      <w:r>
        <w:rPr>
          <w:rFonts w:ascii="Arial" w:hAnsi="Arial"/>
          <w:i/>
          <w:spacing w:val="22"/>
          <w:sz w:val="20"/>
        </w:rPr>
        <w:t> </w:t>
      </w:r>
      <w:r>
        <w:rPr>
          <w:rFonts w:ascii="Arial" w:hAnsi="Arial"/>
          <w:i/>
          <w:sz w:val="20"/>
        </w:rPr>
        <w:t>127,</w:t>
      </w:r>
      <w:r>
        <w:rPr>
          <w:rFonts w:ascii="Arial" w:hAnsi="Arial"/>
          <w:i/>
          <w:spacing w:val="22"/>
          <w:sz w:val="20"/>
        </w:rPr>
        <w:t> </w:t>
      </w:r>
      <w:r>
        <w:rPr>
          <w:rFonts w:ascii="Arial" w:hAnsi="Arial"/>
          <w:i/>
          <w:sz w:val="20"/>
        </w:rPr>
        <w:t>139</w:t>
      </w:r>
      <w:r>
        <w:rPr>
          <w:sz w:val="20"/>
        </w:rPr>
        <w:t>;</w:t>
      </w:r>
      <w:r>
        <w:rPr>
          <w:spacing w:val="22"/>
          <w:sz w:val="20"/>
        </w:rPr>
        <w:t> </w:t>
      </w:r>
      <w:r>
        <w:rPr>
          <w:rFonts w:ascii="Arial" w:hAnsi="Arial"/>
          <w:i/>
          <w:sz w:val="20"/>
        </w:rPr>
        <w:t>Langdale</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Danby</w:t>
      </w:r>
      <w:r>
        <w:rPr>
          <w:rFonts w:ascii="Arial" w:hAnsi="Arial"/>
          <w:i/>
          <w:spacing w:val="22"/>
          <w:sz w:val="20"/>
        </w:rPr>
        <w:t> </w:t>
      </w:r>
      <w:r>
        <w:rPr>
          <w:rFonts w:ascii="Arial" w:hAnsi="Arial"/>
          <w:i/>
          <w:sz w:val="20"/>
        </w:rPr>
        <w:t>[1982]</w:t>
      </w:r>
      <w:r>
        <w:rPr>
          <w:rFonts w:ascii="Arial" w:hAnsi="Arial"/>
          <w:i/>
          <w:spacing w:val="22"/>
          <w:sz w:val="20"/>
        </w:rPr>
        <w:t> </w:t>
      </w:r>
      <w:r>
        <w:rPr>
          <w:rFonts w:ascii="Arial" w:hAnsi="Arial"/>
          <w:i/>
          <w:sz w:val="20"/>
        </w:rPr>
        <w:t>1</w:t>
      </w:r>
      <w:r>
        <w:rPr>
          <w:rFonts w:ascii="Arial" w:hAnsi="Arial"/>
          <w:i/>
          <w:spacing w:val="22"/>
          <w:sz w:val="20"/>
        </w:rPr>
        <w:t> </w:t>
      </w:r>
      <w:r>
        <w:rPr>
          <w:rFonts w:ascii="Arial" w:hAnsi="Arial"/>
          <w:i/>
          <w:sz w:val="20"/>
        </w:rPr>
        <w:t>W.L.R.</w:t>
      </w:r>
      <w:r>
        <w:rPr>
          <w:rFonts w:ascii="Arial" w:hAnsi="Arial"/>
          <w:i/>
          <w:spacing w:val="22"/>
          <w:sz w:val="20"/>
        </w:rPr>
        <w:t> </w:t>
      </w:r>
      <w:r>
        <w:rPr>
          <w:rFonts w:ascii="Arial" w:hAnsi="Arial"/>
          <w:i/>
          <w:sz w:val="20"/>
        </w:rPr>
        <w:t>1123</w:t>
      </w:r>
      <w:r>
        <w:rPr>
          <w:sz w:val="20"/>
        </w:rPr>
        <w:t>; </w:t>
      </w:r>
      <w:r>
        <w:rPr>
          <w:rFonts w:ascii="Arial" w:hAnsi="Arial"/>
          <w:i/>
          <w:sz w:val="20"/>
        </w:rPr>
        <w:t>CCC</w:t>
      </w:r>
      <w:r>
        <w:rPr>
          <w:rFonts w:ascii="Arial" w:hAnsi="Arial"/>
          <w:i/>
          <w:spacing w:val="4"/>
          <w:sz w:val="20"/>
        </w:rPr>
        <w:t> </w:t>
      </w:r>
      <w:r>
        <w:rPr>
          <w:rFonts w:ascii="Arial" w:hAnsi="Arial"/>
          <w:i/>
          <w:sz w:val="20"/>
        </w:rPr>
        <w:t>Films</w:t>
      </w:r>
      <w:r>
        <w:rPr>
          <w:rFonts w:ascii="Arial" w:hAnsi="Arial"/>
          <w:i/>
          <w:spacing w:val="5"/>
          <w:sz w:val="20"/>
        </w:rPr>
        <w:t> </w:t>
      </w:r>
      <w:r>
        <w:rPr>
          <w:rFonts w:ascii="Arial" w:hAnsi="Arial"/>
          <w:i/>
          <w:sz w:val="20"/>
        </w:rPr>
        <w:t>(London)</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Impact</w:t>
      </w:r>
      <w:r>
        <w:rPr>
          <w:rFonts w:ascii="Arial" w:hAnsi="Arial"/>
          <w:i/>
          <w:spacing w:val="5"/>
          <w:sz w:val="20"/>
        </w:rPr>
        <w:t> </w:t>
      </w:r>
      <w:r>
        <w:rPr>
          <w:rFonts w:ascii="Arial" w:hAnsi="Arial"/>
          <w:i/>
          <w:sz w:val="20"/>
        </w:rPr>
        <w:t>Quadrant</w:t>
      </w:r>
      <w:r>
        <w:rPr>
          <w:rFonts w:ascii="Arial" w:hAnsi="Arial"/>
          <w:i/>
          <w:spacing w:val="5"/>
          <w:sz w:val="20"/>
        </w:rPr>
        <w:t> </w:t>
      </w:r>
      <w:r>
        <w:rPr>
          <w:rFonts w:ascii="Arial" w:hAnsi="Arial"/>
          <w:i/>
          <w:sz w:val="20"/>
        </w:rPr>
        <w:t>Films</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[1985]</w:t>
      </w:r>
      <w:r>
        <w:rPr>
          <w:rFonts w:ascii="Arial" w:hAnsi="Arial"/>
          <w:i/>
          <w:spacing w:val="5"/>
          <w:sz w:val="20"/>
        </w:rPr>
        <w:t> </w:t>
      </w:r>
      <w:r>
        <w:rPr>
          <w:rFonts w:ascii="Arial" w:hAnsi="Arial"/>
          <w:i/>
          <w:sz w:val="20"/>
        </w:rPr>
        <w:t>Q.B.</w:t>
      </w:r>
      <w:r>
        <w:rPr>
          <w:rFonts w:ascii="Arial" w:hAnsi="Arial"/>
          <w:i/>
          <w:spacing w:val="5"/>
          <w:sz w:val="20"/>
        </w:rPr>
        <w:t> </w:t>
      </w:r>
      <w:r>
        <w:rPr>
          <w:rFonts w:ascii="Arial" w:hAnsi="Arial"/>
          <w:i/>
          <w:sz w:val="20"/>
        </w:rPr>
        <w:t>16,</w:t>
      </w:r>
      <w:r>
        <w:rPr>
          <w:rFonts w:ascii="Arial" w:hAnsi="Arial"/>
          <w:i/>
          <w:spacing w:val="5"/>
          <w:sz w:val="20"/>
        </w:rPr>
        <w:t> </w:t>
      </w:r>
      <w:r>
        <w:rPr>
          <w:rFonts w:ascii="Arial" w:hAnsi="Arial"/>
          <w:i/>
          <w:sz w:val="20"/>
        </w:rPr>
        <w:t>27</w:t>
      </w:r>
      <w:r>
        <w:rPr>
          <w:sz w:val="20"/>
        </w:rPr>
        <w:t>;</w:t>
      </w:r>
      <w:r>
        <w:rPr>
          <w:spacing w:val="5"/>
          <w:sz w:val="20"/>
        </w:rPr>
        <w:t> </w:t>
      </w:r>
      <w:r>
        <w:rPr>
          <w:rFonts w:ascii="Arial" w:hAnsi="Arial"/>
          <w:i/>
          <w:sz w:val="20"/>
        </w:rPr>
        <w:t>Brady</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Brady</w:t>
      </w:r>
      <w:r>
        <w:rPr>
          <w:rFonts w:ascii="Arial" w:hAnsi="Arial"/>
          <w:i/>
          <w:spacing w:val="5"/>
          <w:sz w:val="20"/>
        </w:rPr>
        <w:t> </w:t>
      </w:r>
      <w:r>
        <w:rPr>
          <w:rFonts w:ascii="Arial" w:hAnsi="Arial"/>
          <w:i/>
          <w:spacing w:val="-2"/>
          <w:sz w:val="20"/>
        </w:rPr>
        <w:t>[1989]</w:t>
      </w:r>
    </w:p>
    <w:p>
      <w:pPr>
        <w:spacing w:line="223" w:lineRule="exact" w:before="0"/>
        <w:ind w:left="705" w:right="0" w:firstLine="0"/>
        <w:jc w:val="left"/>
        <w:rPr>
          <w:rFonts w:ascii="Arial" w:hAnsi="Arial"/>
          <w:i/>
          <w:sz w:val="20"/>
        </w:rPr>
      </w:pPr>
      <w:r>
        <w:rPr>
          <w:rFonts w:ascii="Arial" w:hAnsi="Arial"/>
          <w:i/>
          <w:sz w:val="20"/>
        </w:rPr>
        <w:t>A.C.</w:t>
      </w:r>
      <w:r>
        <w:rPr>
          <w:rFonts w:ascii="Arial" w:hAnsi="Arial"/>
          <w:i/>
          <w:spacing w:val="21"/>
          <w:sz w:val="20"/>
        </w:rPr>
        <w:t> </w:t>
      </w:r>
      <w:r>
        <w:rPr>
          <w:rFonts w:ascii="Arial" w:hAnsi="Arial"/>
          <w:i/>
          <w:sz w:val="20"/>
        </w:rPr>
        <w:t>755,</w:t>
      </w:r>
      <w:r>
        <w:rPr>
          <w:rFonts w:ascii="Arial" w:hAnsi="Arial"/>
          <w:i/>
          <w:spacing w:val="22"/>
          <w:sz w:val="20"/>
        </w:rPr>
        <w:t> </w:t>
      </w:r>
      <w:r>
        <w:rPr>
          <w:rFonts w:ascii="Arial" w:hAnsi="Arial"/>
          <w:i/>
          <w:sz w:val="20"/>
        </w:rPr>
        <w:t>775</w:t>
      </w:r>
      <w:r>
        <w:rPr>
          <w:sz w:val="20"/>
        </w:rPr>
        <w:t>;</w:t>
      </w:r>
      <w:r>
        <w:rPr>
          <w:spacing w:val="22"/>
          <w:sz w:val="20"/>
        </w:rPr>
        <w:t> </w:t>
      </w:r>
      <w:r>
        <w:rPr>
          <w:rFonts w:ascii="Arial" w:hAnsi="Arial"/>
          <w:i/>
          <w:sz w:val="20"/>
        </w:rPr>
        <w:t>Normid</w:t>
      </w:r>
      <w:r>
        <w:rPr>
          <w:rFonts w:ascii="Arial" w:hAnsi="Arial"/>
          <w:i/>
          <w:spacing w:val="22"/>
          <w:sz w:val="20"/>
        </w:rPr>
        <w:t> </w:t>
      </w:r>
      <w:r>
        <w:rPr>
          <w:rFonts w:ascii="Arial" w:hAnsi="Arial"/>
          <w:i/>
          <w:sz w:val="20"/>
        </w:rPr>
        <w:t>Housing</w:t>
      </w:r>
      <w:r>
        <w:rPr>
          <w:rFonts w:ascii="Arial" w:hAnsi="Arial"/>
          <w:i/>
          <w:spacing w:val="22"/>
          <w:sz w:val="20"/>
        </w:rPr>
        <w:t> </w:t>
      </w:r>
      <w:r>
        <w:rPr>
          <w:rFonts w:ascii="Arial" w:hAnsi="Arial"/>
          <w:i/>
          <w:sz w:val="20"/>
        </w:rPr>
        <w:t>Association</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R.</w:t>
      </w:r>
      <w:r>
        <w:rPr>
          <w:rFonts w:ascii="Arial" w:hAnsi="Arial"/>
          <w:i/>
          <w:spacing w:val="22"/>
          <w:sz w:val="20"/>
        </w:rPr>
        <w:t> </w:t>
      </w:r>
      <w:r>
        <w:rPr>
          <w:rFonts w:ascii="Arial" w:hAnsi="Arial"/>
          <w:i/>
          <w:sz w:val="20"/>
        </w:rPr>
        <w:t>John</w:t>
      </w:r>
      <w:r>
        <w:rPr>
          <w:rFonts w:ascii="Arial" w:hAnsi="Arial"/>
          <w:i/>
          <w:spacing w:val="22"/>
          <w:sz w:val="20"/>
        </w:rPr>
        <w:t> </w:t>
      </w:r>
      <w:r>
        <w:rPr>
          <w:rFonts w:ascii="Arial" w:hAnsi="Arial"/>
          <w:i/>
          <w:sz w:val="20"/>
        </w:rPr>
        <w:t>Ralphs</w:t>
      </w:r>
      <w:r>
        <w:rPr>
          <w:rFonts w:ascii="Arial" w:hAnsi="Arial"/>
          <w:i/>
          <w:spacing w:val="22"/>
          <w:sz w:val="20"/>
        </w:rPr>
        <w:t> </w:t>
      </w:r>
      <w:r>
        <w:rPr>
          <w:rFonts w:ascii="Arial" w:hAnsi="Arial"/>
          <w:i/>
          <w:sz w:val="20"/>
        </w:rPr>
        <w:t>[1989]</w:t>
      </w:r>
      <w:r>
        <w:rPr>
          <w:rFonts w:ascii="Arial" w:hAnsi="Arial"/>
          <w:i/>
          <w:spacing w:val="22"/>
          <w:sz w:val="20"/>
        </w:rPr>
        <w:t> </w:t>
      </w:r>
      <w:r>
        <w:rPr>
          <w:rFonts w:ascii="Arial" w:hAnsi="Arial"/>
          <w:i/>
          <w:sz w:val="20"/>
        </w:rPr>
        <w:t>1</w:t>
      </w:r>
      <w:r>
        <w:rPr>
          <w:rFonts w:ascii="Arial" w:hAnsi="Arial"/>
          <w:i/>
          <w:spacing w:val="22"/>
          <w:sz w:val="20"/>
        </w:rPr>
        <w:t> </w:t>
      </w:r>
      <w:r>
        <w:rPr>
          <w:rFonts w:ascii="Arial" w:hAnsi="Arial"/>
          <w:i/>
          <w:sz w:val="20"/>
        </w:rPr>
        <w:t>Lloyd’s</w:t>
      </w:r>
      <w:r>
        <w:rPr>
          <w:rFonts w:ascii="Arial" w:hAnsi="Arial"/>
          <w:i/>
          <w:spacing w:val="22"/>
          <w:sz w:val="20"/>
        </w:rPr>
        <w:t> </w:t>
      </w:r>
      <w:r>
        <w:rPr>
          <w:rFonts w:ascii="Arial" w:hAnsi="Arial"/>
          <w:i/>
          <w:sz w:val="20"/>
        </w:rPr>
        <w:t>Rep.</w:t>
      </w:r>
      <w:r>
        <w:rPr>
          <w:rFonts w:ascii="Arial" w:hAnsi="Arial"/>
          <w:i/>
          <w:spacing w:val="22"/>
          <w:sz w:val="20"/>
        </w:rPr>
        <w:t> </w:t>
      </w:r>
      <w:r>
        <w:rPr>
          <w:rFonts w:ascii="Arial" w:hAnsi="Arial"/>
          <w:i/>
          <w:spacing w:val="-4"/>
          <w:sz w:val="20"/>
        </w:rPr>
        <w:t>265,</w:t>
      </w:r>
    </w:p>
    <w:p>
      <w:pPr>
        <w:spacing w:line="235" w:lineRule="auto" w:before="2"/>
        <w:ind w:left="705" w:right="168" w:firstLine="0"/>
        <w:jc w:val="both"/>
        <w:rPr>
          <w:sz w:val="20"/>
        </w:rPr>
      </w:pPr>
      <w:r>
        <w:rPr>
          <w:rFonts w:ascii="Arial"/>
          <w:i/>
          <w:sz w:val="20"/>
        </w:rPr>
        <w:t>272</w:t>
      </w:r>
      <w:r>
        <w:rPr>
          <w:sz w:val="20"/>
        </w:rPr>
        <w:t>; </w:t>
      </w:r>
      <w:r>
        <w:rPr>
          <w:rFonts w:ascii="Arial"/>
          <w:i/>
          <w:sz w:val="20"/>
        </w:rPr>
        <w:t>Haines v Hill [2007] EWCA Civ 1284, [2008] Ch. 412 </w:t>
      </w:r>
      <w:r>
        <w:rPr>
          <w:sz w:val="20"/>
        </w:rPr>
        <w:t>at [79], referring to para.3-014 of this book in its 29th edition (para.4-014 in the present edition) with apparent approval; </w:t>
      </w:r>
      <w:r>
        <w:rPr>
          <w:rFonts w:ascii="Arial"/>
          <w:i/>
          <w:sz w:val="20"/>
        </w:rPr>
        <w:t>Birmingham City</w:t>
      </w:r>
      <w:r>
        <w:rPr>
          <w:rFonts w:ascii="Arial"/>
          <w:i/>
          <w:spacing w:val="4"/>
          <w:sz w:val="20"/>
        </w:rPr>
        <w:t> </w:t>
      </w:r>
      <w:r>
        <w:rPr>
          <w:rFonts w:ascii="Arial"/>
          <w:i/>
          <w:sz w:val="20"/>
        </w:rPr>
        <w:t>Council</w:t>
      </w:r>
      <w:r>
        <w:rPr>
          <w:rFonts w:ascii="Arial"/>
          <w:i/>
          <w:spacing w:val="4"/>
          <w:sz w:val="20"/>
        </w:rPr>
        <w:t> </w:t>
      </w:r>
      <w:r>
        <w:rPr>
          <w:rFonts w:ascii="Arial"/>
          <w:i/>
          <w:sz w:val="20"/>
        </w:rPr>
        <w:t>v</w:t>
      </w:r>
      <w:r>
        <w:rPr>
          <w:rFonts w:ascii="Arial"/>
          <w:i/>
          <w:spacing w:val="4"/>
          <w:sz w:val="20"/>
        </w:rPr>
        <w:t> </w:t>
      </w:r>
      <w:r>
        <w:rPr>
          <w:rFonts w:ascii="Arial"/>
          <w:i/>
          <w:sz w:val="20"/>
        </w:rPr>
        <w:t>Forde</w:t>
      </w:r>
      <w:r>
        <w:rPr>
          <w:rFonts w:ascii="Arial"/>
          <w:i/>
          <w:spacing w:val="4"/>
          <w:sz w:val="20"/>
        </w:rPr>
        <w:t> </w:t>
      </w:r>
      <w:r>
        <w:rPr>
          <w:rFonts w:ascii="Arial"/>
          <w:i/>
          <w:sz w:val="20"/>
        </w:rPr>
        <w:t>[2009]</w:t>
      </w:r>
      <w:r>
        <w:rPr>
          <w:rFonts w:ascii="Arial"/>
          <w:i/>
          <w:spacing w:val="4"/>
          <w:sz w:val="20"/>
        </w:rPr>
        <w:t> </w:t>
      </w:r>
      <w:r>
        <w:rPr>
          <w:rFonts w:ascii="Arial"/>
          <w:i/>
          <w:sz w:val="20"/>
        </w:rPr>
        <w:t>EWHC</w:t>
      </w:r>
      <w:r>
        <w:rPr>
          <w:rFonts w:ascii="Arial"/>
          <w:i/>
          <w:spacing w:val="4"/>
          <w:sz w:val="20"/>
        </w:rPr>
        <w:t> </w:t>
      </w:r>
      <w:r>
        <w:rPr>
          <w:rFonts w:ascii="Arial"/>
          <w:i/>
          <w:sz w:val="20"/>
        </w:rPr>
        <w:t>12</w:t>
      </w:r>
      <w:r>
        <w:rPr>
          <w:rFonts w:ascii="Arial"/>
          <w:i/>
          <w:spacing w:val="4"/>
          <w:sz w:val="20"/>
        </w:rPr>
        <w:t> </w:t>
      </w:r>
      <w:r>
        <w:rPr>
          <w:rFonts w:ascii="Arial"/>
          <w:i/>
          <w:sz w:val="20"/>
        </w:rPr>
        <w:t>(QB),</w:t>
      </w:r>
      <w:r>
        <w:rPr>
          <w:rFonts w:ascii="Arial"/>
          <w:i/>
          <w:spacing w:val="4"/>
          <w:sz w:val="20"/>
        </w:rPr>
        <w:t> </w:t>
      </w:r>
      <w:r>
        <w:rPr>
          <w:rFonts w:ascii="Arial"/>
          <w:i/>
          <w:sz w:val="20"/>
        </w:rPr>
        <w:t>[2009]</w:t>
      </w:r>
      <w:r>
        <w:rPr>
          <w:rFonts w:ascii="Arial"/>
          <w:i/>
          <w:spacing w:val="4"/>
          <w:sz w:val="20"/>
        </w:rPr>
        <w:t> </w:t>
      </w:r>
      <w:r>
        <w:rPr>
          <w:rFonts w:ascii="Arial"/>
          <w:i/>
          <w:sz w:val="20"/>
        </w:rPr>
        <w:t>1</w:t>
      </w:r>
      <w:r>
        <w:rPr>
          <w:rFonts w:ascii="Arial"/>
          <w:i/>
          <w:spacing w:val="4"/>
          <w:sz w:val="20"/>
        </w:rPr>
        <w:t> </w:t>
      </w:r>
      <w:r>
        <w:rPr>
          <w:rFonts w:ascii="Arial"/>
          <w:i/>
          <w:sz w:val="20"/>
        </w:rPr>
        <w:t>W.L.R.</w:t>
      </w:r>
      <w:r>
        <w:rPr>
          <w:rFonts w:ascii="Arial"/>
          <w:i/>
          <w:spacing w:val="4"/>
          <w:sz w:val="20"/>
        </w:rPr>
        <w:t> </w:t>
      </w:r>
      <w:r>
        <w:rPr>
          <w:rFonts w:ascii="Arial"/>
          <w:i/>
          <w:sz w:val="20"/>
        </w:rPr>
        <w:t>2732</w:t>
      </w:r>
      <w:r>
        <w:rPr>
          <w:rFonts w:ascii="Arial"/>
          <w:i/>
          <w:spacing w:val="4"/>
          <w:sz w:val="20"/>
        </w:rPr>
        <w:t> </w:t>
      </w:r>
      <w:r>
        <w:rPr>
          <w:sz w:val="20"/>
        </w:rPr>
        <w:t>at</w:t>
      </w:r>
      <w:r>
        <w:rPr>
          <w:spacing w:val="4"/>
          <w:sz w:val="20"/>
        </w:rPr>
        <w:t> </w:t>
      </w:r>
      <w:r>
        <w:rPr>
          <w:sz w:val="20"/>
        </w:rPr>
        <w:t>[84],</w:t>
      </w:r>
      <w:r>
        <w:rPr>
          <w:spacing w:val="4"/>
          <w:sz w:val="20"/>
        </w:rPr>
        <w:t> </w:t>
      </w:r>
      <w:r>
        <w:rPr>
          <w:sz w:val="20"/>
        </w:rPr>
        <w:t>[90]</w:t>
      </w:r>
      <w:r>
        <w:rPr>
          <w:spacing w:val="4"/>
          <w:sz w:val="20"/>
        </w:rPr>
        <w:t> </w:t>
      </w:r>
      <w:r>
        <w:rPr>
          <w:sz w:val="20"/>
        </w:rPr>
        <w:t>(as</w:t>
      </w:r>
      <w:r>
        <w:rPr>
          <w:spacing w:val="4"/>
          <w:sz w:val="20"/>
        </w:rPr>
        <w:t> </w:t>
      </w:r>
      <w:r>
        <w:rPr>
          <w:sz w:val="20"/>
        </w:rPr>
        <w:t>to</w:t>
      </w:r>
      <w:r>
        <w:rPr>
          <w:spacing w:val="4"/>
          <w:sz w:val="20"/>
        </w:rPr>
        <w:t> </w:t>
      </w:r>
      <w:r>
        <w:rPr>
          <w:sz w:val="20"/>
        </w:rPr>
        <w:t>which</w:t>
      </w:r>
      <w:r>
        <w:rPr>
          <w:spacing w:val="4"/>
          <w:sz w:val="20"/>
        </w:rPr>
        <w:t> </w:t>
      </w:r>
      <w:r>
        <w:rPr>
          <w:spacing w:val="-5"/>
          <w:sz w:val="20"/>
        </w:rPr>
        <w:t>see</w:t>
      </w:r>
    </w:p>
    <w:p>
      <w:pPr>
        <w:pStyle w:val="BodyText"/>
        <w:spacing w:line="225" w:lineRule="exact"/>
        <w:ind w:left="705"/>
        <w:jc w:val="both"/>
      </w:pPr>
      <w:r>
        <w:rPr/>
        <w:t>also below, paras 4-018 and 4-072). cf. Barton (1987) 103 L.Q.R. </w:t>
      </w:r>
      <w:r>
        <w:rPr>
          <w:spacing w:val="-4"/>
        </w:rPr>
        <w:t>118.</w:t>
      </w:r>
    </w:p>
    <w:p>
      <w:pPr>
        <w:pStyle w:val="BodyText"/>
        <w:spacing w:before="8"/>
      </w:pPr>
    </w:p>
    <w:p>
      <w:pPr>
        <w:tabs>
          <w:tab w:pos="705" w:val="left" w:leader="none"/>
        </w:tabs>
        <w:spacing w:line="235" w:lineRule="auto" w:before="0"/>
        <w:ind w:left="705" w:right="168" w:hanging="541"/>
        <w:jc w:val="left"/>
        <w:rPr>
          <w:sz w:val="20"/>
        </w:rPr>
      </w:pPr>
      <w:bookmarkStart w:name="_bookmark190" w:id="192"/>
      <w:bookmarkEnd w:id="192"/>
      <w:r>
        <w:rPr/>
      </w:r>
      <w:hyperlink w:history="true" w:anchor="_bookmark128">
        <w:r>
          <w:rPr>
            <w:color w:val="005DA1"/>
            <w:spacing w:val="-4"/>
            <w:position w:val="5"/>
            <w:sz w:val="14"/>
            <w:u w:val="single" w:color="005DA1"/>
          </w:rPr>
          <w:t>73</w:t>
        </w:r>
      </w:hyperlink>
      <w:r>
        <w:rPr>
          <w:spacing w:val="-4"/>
          <w:position w:val="5"/>
          <w:sz w:val="14"/>
        </w:rPr>
        <w:t>.</w:t>
      </w:r>
      <w:r>
        <w:rPr>
          <w:position w:val="5"/>
          <w:sz w:val="14"/>
        </w:rPr>
        <w:tab/>
      </w:r>
      <w:r>
        <w:rPr>
          <w:rFonts w:ascii="Arial" w:hAnsi="Arial"/>
          <w:i/>
          <w:sz w:val="20"/>
        </w:rPr>
        <w:t>Gaumont-British</w:t>
      </w:r>
      <w:r>
        <w:rPr>
          <w:rFonts w:ascii="Arial" w:hAnsi="Arial"/>
          <w:i/>
          <w:spacing w:val="-1"/>
          <w:sz w:val="20"/>
        </w:rPr>
        <w:t> </w:t>
      </w:r>
      <w:r>
        <w:rPr>
          <w:rFonts w:ascii="Arial" w:hAnsi="Arial"/>
          <w:i/>
          <w:sz w:val="20"/>
        </w:rPr>
        <w:t>Pictures</w:t>
      </w:r>
      <w:r>
        <w:rPr>
          <w:rFonts w:ascii="Arial" w:hAnsi="Arial"/>
          <w:i/>
          <w:spacing w:val="-1"/>
          <w:sz w:val="20"/>
        </w:rPr>
        <w:t> </w:t>
      </w:r>
      <w:r>
        <w:rPr>
          <w:rFonts w:ascii="Arial" w:hAnsi="Arial"/>
          <w:i/>
          <w:sz w:val="20"/>
        </w:rPr>
        <w:t>Corp.</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Alexander</w:t>
      </w:r>
      <w:r>
        <w:rPr>
          <w:rFonts w:ascii="Arial" w:hAnsi="Arial"/>
          <w:i/>
          <w:spacing w:val="-1"/>
          <w:sz w:val="20"/>
        </w:rPr>
        <w:t> </w:t>
      </w:r>
      <w:r>
        <w:rPr>
          <w:rFonts w:ascii="Arial" w:hAnsi="Arial"/>
          <w:i/>
          <w:sz w:val="20"/>
        </w:rPr>
        <w:t>[1936]</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All</w:t>
      </w:r>
      <w:r>
        <w:rPr>
          <w:rFonts w:ascii="Arial" w:hAnsi="Arial"/>
          <w:i/>
          <w:spacing w:val="-1"/>
          <w:sz w:val="20"/>
        </w:rPr>
        <w:t> </w:t>
      </w:r>
      <w:r>
        <w:rPr>
          <w:rFonts w:ascii="Arial" w:hAnsi="Arial"/>
          <w:i/>
          <w:sz w:val="20"/>
        </w:rPr>
        <w:t>E.R.</w:t>
      </w:r>
      <w:r>
        <w:rPr>
          <w:rFonts w:ascii="Arial" w:hAnsi="Arial"/>
          <w:i/>
          <w:spacing w:val="-1"/>
          <w:sz w:val="20"/>
        </w:rPr>
        <w:t> </w:t>
      </w:r>
      <w:r>
        <w:rPr>
          <w:rFonts w:ascii="Arial" w:hAnsi="Arial"/>
          <w:i/>
          <w:sz w:val="20"/>
        </w:rPr>
        <w:t>1686</w:t>
      </w:r>
      <w:r>
        <w:rPr>
          <w:sz w:val="20"/>
        </w:rPr>
        <w:t>.</w:t>
      </w:r>
      <w:r>
        <w:rPr>
          <w:spacing w:val="-1"/>
          <w:sz w:val="20"/>
        </w:rPr>
        <w:t> </w:t>
      </w:r>
      <w:r>
        <w:rPr>
          <w:sz w:val="20"/>
        </w:rPr>
        <w:t>On</w:t>
      </w:r>
      <w:r>
        <w:rPr>
          <w:spacing w:val="-1"/>
          <w:sz w:val="20"/>
        </w:rPr>
        <w:t> </w:t>
      </w:r>
      <w:r>
        <w:rPr>
          <w:sz w:val="20"/>
        </w:rPr>
        <w:t>such</w:t>
      </w:r>
      <w:r>
        <w:rPr>
          <w:spacing w:val="-1"/>
          <w:sz w:val="20"/>
        </w:rPr>
        <w:t> </w:t>
      </w:r>
      <w:r>
        <w:rPr>
          <w:sz w:val="20"/>
        </w:rPr>
        <w:t>facts,</w:t>
      </w:r>
      <w:r>
        <w:rPr>
          <w:spacing w:val="-1"/>
          <w:sz w:val="20"/>
        </w:rPr>
        <w:t> </w:t>
      </w:r>
      <w:r>
        <w:rPr>
          <w:sz w:val="20"/>
        </w:rPr>
        <w:t>provisions</w:t>
      </w:r>
      <w:r>
        <w:rPr>
          <w:spacing w:val="-1"/>
          <w:sz w:val="20"/>
        </w:rPr>
        <w:t> </w:t>
      </w:r>
      <w:r>
        <w:rPr>
          <w:sz w:val="20"/>
        </w:rPr>
        <w:t>of the Consumer Rights Act 2015 cited at nn.77–81 below would not apply.</w:t>
      </w:r>
    </w:p>
    <w:p>
      <w:pPr>
        <w:pStyle w:val="BodyText"/>
        <w:spacing w:before="6"/>
      </w:pPr>
    </w:p>
    <w:p>
      <w:pPr>
        <w:tabs>
          <w:tab w:pos="705" w:val="left" w:leader="none"/>
        </w:tabs>
        <w:spacing w:line="227" w:lineRule="exact" w:before="0"/>
        <w:ind w:left="165" w:right="0" w:firstLine="0"/>
        <w:jc w:val="left"/>
        <w:rPr>
          <w:sz w:val="20"/>
        </w:rPr>
      </w:pPr>
      <w:bookmarkStart w:name="_bookmark191" w:id="193"/>
      <w:bookmarkEnd w:id="193"/>
      <w:r>
        <w:rPr/>
      </w:r>
      <w:hyperlink w:history="true" w:anchor="_bookmark129">
        <w:r>
          <w:rPr>
            <w:color w:val="005DA1"/>
            <w:spacing w:val="-5"/>
            <w:position w:val="5"/>
            <w:sz w:val="14"/>
            <w:u w:val="single" w:color="005DA1"/>
          </w:rPr>
          <w:t>74</w:t>
        </w:r>
      </w:hyperlink>
      <w:r>
        <w:rPr>
          <w:spacing w:val="-5"/>
          <w:position w:val="5"/>
          <w:sz w:val="14"/>
        </w:rPr>
        <w:t>.</w:t>
      </w:r>
      <w:r>
        <w:rPr>
          <w:position w:val="5"/>
          <w:sz w:val="14"/>
        </w:rPr>
        <w:tab/>
      </w:r>
      <w:r>
        <w:rPr>
          <w:rFonts w:ascii="Arial"/>
          <w:i/>
          <w:sz w:val="20"/>
        </w:rPr>
        <w:t>Tennent</w:t>
      </w:r>
      <w:r>
        <w:rPr>
          <w:rFonts w:ascii="Arial"/>
          <w:i/>
          <w:spacing w:val="-1"/>
          <w:sz w:val="20"/>
        </w:rPr>
        <w:t> </w:t>
      </w:r>
      <w:r>
        <w:rPr>
          <w:rFonts w:ascii="Arial"/>
          <w:i/>
          <w:sz w:val="20"/>
        </w:rPr>
        <w:t>v Tennents (1870) L.R. 2 Sc. &amp; Div. 6, 9</w:t>
      </w:r>
      <w:r>
        <w:rPr>
          <w:sz w:val="20"/>
        </w:rPr>
        <w:t>. See also </w:t>
      </w:r>
      <w:r>
        <w:rPr>
          <w:rFonts w:ascii="Arial"/>
          <w:i/>
          <w:sz w:val="20"/>
        </w:rPr>
        <w:t>Rice v Gordon (1847) 11 Beav. </w:t>
      </w:r>
      <w:r>
        <w:rPr>
          <w:rFonts w:ascii="Arial"/>
          <w:i/>
          <w:spacing w:val="-4"/>
          <w:sz w:val="20"/>
        </w:rPr>
        <w:t>265</w:t>
      </w:r>
      <w:r>
        <w:rPr>
          <w:spacing w:val="-4"/>
          <w:sz w:val="20"/>
        </w:rPr>
        <w:t>;</w:t>
      </w:r>
    </w:p>
    <w:p>
      <w:pPr>
        <w:spacing w:line="227" w:lineRule="exact" w:before="0"/>
        <w:ind w:left="705" w:right="0" w:firstLine="0"/>
        <w:jc w:val="left"/>
        <w:rPr>
          <w:sz w:val="20"/>
        </w:rPr>
      </w:pPr>
      <w:r>
        <w:rPr>
          <w:rFonts w:ascii="Arial"/>
          <w:i/>
          <w:sz w:val="20"/>
        </w:rPr>
        <w:t>Cockell v Taylor (1851) 15 Beav. </w:t>
      </w:r>
      <w:r>
        <w:rPr>
          <w:rFonts w:ascii="Arial"/>
          <w:i/>
          <w:spacing w:val="-4"/>
          <w:sz w:val="20"/>
        </w:rPr>
        <w:t>103</w:t>
      </w:r>
      <w:r>
        <w:rPr>
          <w:spacing w:val="-4"/>
          <w:sz w:val="20"/>
        </w:rPr>
        <w:t>.</w:t>
      </w:r>
    </w:p>
    <w:p>
      <w:pPr>
        <w:pStyle w:val="BodyText"/>
        <w:spacing w:before="9"/>
      </w:pPr>
    </w:p>
    <w:p>
      <w:pPr>
        <w:spacing w:line="235" w:lineRule="auto" w:before="0"/>
        <w:ind w:left="705" w:right="167" w:hanging="541"/>
        <w:jc w:val="both"/>
        <w:rPr>
          <w:sz w:val="20"/>
        </w:rPr>
      </w:pPr>
      <w:bookmarkStart w:name="_bookmark192" w:id="194"/>
      <w:bookmarkEnd w:id="194"/>
      <w:r>
        <w:rPr/>
      </w:r>
      <w:hyperlink w:history="true" w:anchor="_bookmark130">
        <w:r>
          <w:rPr>
            <w:color w:val="005DA1"/>
            <w:position w:val="5"/>
            <w:sz w:val="14"/>
            <w:u w:val="single" w:color="005DA1"/>
          </w:rPr>
          <w:t>75</w:t>
        </w:r>
      </w:hyperlink>
      <w:r>
        <w:rPr>
          <w:position w:val="5"/>
          <w:sz w:val="14"/>
        </w:rPr>
        <w:t>.</w:t>
      </w:r>
      <w:r>
        <w:rPr>
          <w:spacing w:val="80"/>
          <w:w w:val="150"/>
          <w:position w:val="5"/>
          <w:sz w:val="14"/>
        </w:rPr>
        <w:t>  </w:t>
      </w:r>
      <w:r>
        <w:rPr>
          <w:rFonts w:ascii="Arial"/>
          <w:i/>
          <w:sz w:val="20"/>
        </w:rPr>
        <w:t>Gibb v Maidstone and Tunbridge Wells Health Trust [2010] EWCA Civ 678, [2010] I.R.L.R. 786 </w:t>
      </w:r>
      <w:r>
        <w:rPr>
          <w:sz w:val="20"/>
        </w:rPr>
        <w:t>at [4]; for a colourful example of such irrationality, see ibid., at [56], discussing </w:t>
      </w:r>
      <w:r>
        <w:rPr>
          <w:rFonts w:ascii="Arial"/>
          <w:i/>
          <w:sz w:val="20"/>
        </w:rPr>
        <w:t>R (Bridgeman) v Drury [1894] 2 I.R. 489</w:t>
      </w:r>
      <w:r>
        <w:rPr>
          <w:sz w:val="20"/>
        </w:rPr>
        <w:t>.</w:t>
      </w:r>
    </w:p>
    <w:p>
      <w:pPr>
        <w:pStyle w:val="BodyText"/>
        <w:spacing w:before="8"/>
      </w:pPr>
    </w:p>
    <w:p>
      <w:pPr>
        <w:spacing w:line="235" w:lineRule="auto" w:before="1"/>
        <w:ind w:left="705" w:right="168" w:hanging="541"/>
        <w:jc w:val="both"/>
        <w:rPr>
          <w:sz w:val="20"/>
        </w:rPr>
      </w:pPr>
      <w:bookmarkStart w:name="_bookmark193" w:id="195"/>
      <w:bookmarkEnd w:id="195"/>
      <w:r>
        <w:rPr/>
      </w:r>
      <w:hyperlink w:history="true" w:anchor="_bookmark131">
        <w:r>
          <w:rPr>
            <w:color w:val="005DA1"/>
            <w:position w:val="5"/>
            <w:sz w:val="14"/>
            <w:u w:val="single" w:color="005DA1"/>
          </w:rPr>
          <w:t>76</w:t>
        </w:r>
      </w:hyperlink>
      <w:r>
        <w:rPr>
          <w:position w:val="5"/>
          <w:sz w:val="14"/>
        </w:rPr>
        <w:t>.</w:t>
      </w:r>
      <w:r>
        <w:rPr>
          <w:spacing w:val="40"/>
          <w:position w:val="5"/>
          <w:sz w:val="14"/>
        </w:rPr>
        <w:t>  </w:t>
      </w:r>
      <w:r>
        <w:rPr>
          <w:rFonts w:ascii="Arial"/>
          <w:i/>
          <w:sz w:val="20"/>
        </w:rPr>
        <w:t>Newbold v Leicester CC [1999] I.C.R. 1182</w:t>
      </w:r>
      <w:r>
        <w:rPr>
          <w:sz w:val="20"/>
        </w:rPr>
        <w:t>, at [37], where the defendant authority failed to discharge the burden of showing that the generosity was irrational; cf. the </w:t>
      </w:r>
      <w:r>
        <w:rPr>
          <w:rFonts w:ascii="Arial"/>
          <w:i/>
          <w:sz w:val="20"/>
        </w:rPr>
        <w:t>Gibb </w:t>
      </w:r>
      <w:r>
        <w:rPr>
          <w:sz w:val="20"/>
        </w:rPr>
        <w:t>case, </w:t>
      </w:r>
      <w:r>
        <w:rPr>
          <w:sz w:val="20"/>
        </w:rPr>
        <w:t>above n.75, at [7].</w:t>
      </w:r>
    </w:p>
    <w:p>
      <w:pPr>
        <w:pStyle w:val="BodyText"/>
        <w:spacing w:before="5"/>
      </w:pPr>
    </w:p>
    <w:p>
      <w:pPr>
        <w:pStyle w:val="BodyText"/>
        <w:tabs>
          <w:tab w:pos="705" w:val="left" w:leader="none"/>
        </w:tabs>
        <w:ind w:left="165"/>
      </w:pPr>
      <w:bookmarkStart w:name="_bookmark194" w:id="196"/>
      <w:bookmarkEnd w:id="196"/>
      <w:r>
        <w:rPr/>
      </w:r>
      <w:hyperlink w:history="true" w:anchor="_bookmark132">
        <w:r>
          <w:rPr>
            <w:color w:val="005DA1"/>
            <w:spacing w:val="-5"/>
            <w:position w:val="5"/>
            <w:sz w:val="14"/>
            <w:u w:val="single" w:color="005DA1"/>
          </w:rPr>
          <w:t>77</w:t>
        </w:r>
      </w:hyperlink>
      <w:r>
        <w:rPr>
          <w:spacing w:val="-5"/>
          <w:position w:val="5"/>
          <w:sz w:val="14"/>
        </w:rPr>
        <w:t>.</w:t>
      </w:r>
      <w:r>
        <w:rPr>
          <w:position w:val="5"/>
          <w:sz w:val="14"/>
        </w:rPr>
        <w:tab/>
      </w:r>
      <w:r>
        <w:rPr/>
        <w:t>For the definition of this expression, see the 2015 Act, ss.61(3), </w:t>
      </w:r>
      <w:r>
        <w:rPr>
          <w:spacing w:val="-2"/>
        </w:rPr>
        <w:t>76(1).</w:t>
      </w:r>
    </w:p>
    <w:p>
      <w:pPr>
        <w:pStyle w:val="BodyText"/>
        <w:spacing w:before="5"/>
      </w:pPr>
    </w:p>
    <w:p>
      <w:pPr>
        <w:pStyle w:val="BodyText"/>
        <w:tabs>
          <w:tab w:pos="705" w:val="left" w:leader="none"/>
        </w:tabs>
        <w:ind w:left="165"/>
      </w:pPr>
      <w:bookmarkStart w:name="_bookmark195" w:id="197"/>
      <w:bookmarkEnd w:id="197"/>
      <w:r>
        <w:rPr/>
      </w:r>
      <w:hyperlink w:history="true" w:anchor="_bookmark132">
        <w:r>
          <w:rPr>
            <w:color w:val="005DA1"/>
            <w:spacing w:val="-5"/>
            <w:position w:val="5"/>
            <w:sz w:val="14"/>
            <w:u w:val="single" w:color="005DA1"/>
          </w:rPr>
          <w:t>78</w:t>
        </w:r>
      </w:hyperlink>
      <w:r>
        <w:rPr>
          <w:spacing w:val="-5"/>
          <w:position w:val="5"/>
          <w:sz w:val="14"/>
        </w:rPr>
        <w:t>.</w:t>
      </w:r>
      <w:r>
        <w:rPr>
          <w:position w:val="5"/>
          <w:sz w:val="14"/>
        </w:rPr>
        <w:tab/>
      </w:r>
      <w:r>
        <w:rPr/>
        <w:t>ibid., s.61(1); for the definitions of “trader” and “consumer”, see ibid., s.2(2) and </w:t>
      </w:r>
      <w:r>
        <w:rPr>
          <w:spacing w:val="-2"/>
        </w:rPr>
        <w:t>2(3).</w:t>
      </w:r>
    </w:p>
    <w:p>
      <w:pPr>
        <w:pStyle w:val="BodyText"/>
        <w:spacing w:before="5"/>
      </w:pPr>
    </w:p>
    <w:p>
      <w:pPr>
        <w:pStyle w:val="BodyText"/>
        <w:tabs>
          <w:tab w:pos="705" w:val="left" w:leader="none"/>
        </w:tabs>
        <w:ind w:left="165"/>
      </w:pPr>
      <w:bookmarkStart w:name="_bookmark196" w:id="198"/>
      <w:bookmarkEnd w:id="198"/>
      <w:r>
        <w:rPr/>
      </w:r>
      <w:hyperlink w:history="true" w:anchor="_bookmark132">
        <w:r>
          <w:rPr>
            <w:color w:val="005DA1"/>
            <w:spacing w:val="-5"/>
            <w:position w:val="5"/>
            <w:sz w:val="14"/>
            <w:u w:val="single" w:color="005DA1"/>
          </w:rPr>
          <w:t>79</w:t>
        </w:r>
      </w:hyperlink>
      <w:r>
        <w:rPr>
          <w:spacing w:val="-5"/>
          <w:position w:val="5"/>
          <w:sz w:val="14"/>
        </w:rPr>
        <w:t>.</w:t>
      </w:r>
      <w:r>
        <w:rPr>
          <w:position w:val="5"/>
          <w:sz w:val="14"/>
        </w:rPr>
        <w:tab/>
      </w:r>
      <w:r>
        <w:rPr/>
        <w:t>2015 Act, </w:t>
      </w:r>
      <w:r>
        <w:rPr>
          <w:spacing w:val="-2"/>
        </w:rPr>
        <w:t>s.62(1).</w:t>
      </w:r>
    </w:p>
    <w:p>
      <w:pPr>
        <w:pStyle w:val="BodyText"/>
        <w:spacing w:before="5"/>
      </w:pPr>
    </w:p>
    <w:p>
      <w:pPr>
        <w:pStyle w:val="BodyText"/>
        <w:tabs>
          <w:tab w:pos="705" w:val="left" w:leader="none"/>
        </w:tabs>
        <w:ind w:left="165"/>
      </w:pPr>
      <w:bookmarkStart w:name="_bookmark197" w:id="199"/>
      <w:bookmarkEnd w:id="199"/>
      <w:r>
        <w:rPr/>
      </w:r>
      <w:hyperlink w:history="true" w:anchor="_bookmark133">
        <w:r>
          <w:rPr>
            <w:color w:val="005DA1"/>
            <w:spacing w:val="-5"/>
            <w:position w:val="5"/>
            <w:sz w:val="14"/>
            <w:u w:val="single" w:color="005DA1"/>
          </w:rPr>
          <w:t>80</w:t>
        </w:r>
      </w:hyperlink>
      <w:r>
        <w:rPr>
          <w:spacing w:val="-5"/>
          <w:position w:val="5"/>
          <w:sz w:val="14"/>
        </w:rPr>
        <w:t>.</w:t>
      </w:r>
      <w:r>
        <w:rPr>
          <w:position w:val="5"/>
          <w:sz w:val="14"/>
        </w:rPr>
        <w:tab/>
      </w:r>
      <w:r>
        <w:rPr/>
        <w:t>This Act is fully discussed in Vol.II, Ch.38; for its s.64(1)(b) see Vol.II, para.38-</w:t>
      </w:r>
      <w:r>
        <w:rPr>
          <w:spacing w:val="-4"/>
        </w:rPr>
        <w:t>368.</w:t>
      </w:r>
    </w:p>
    <w:p>
      <w:pPr>
        <w:pStyle w:val="BodyText"/>
        <w:spacing w:before="5"/>
      </w:pPr>
    </w:p>
    <w:p>
      <w:pPr>
        <w:pStyle w:val="BodyText"/>
        <w:tabs>
          <w:tab w:pos="705" w:val="left" w:leader="none"/>
        </w:tabs>
        <w:ind w:left="165"/>
      </w:pPr>
      <w:bookmarkStart w:name="_bookmark198" w:id="200"/>
      <w:bookmarkEnd w:id="200"/>
      <w:r>
        <w:rPr/>
      </w:r>
      <w:hyperlink w:history="true" w:anchor="_bookmark134">
        <w:r>
          <w:rPr>
            <w:color w:val="005DA1"/>
            <w:spacing w:val="-5"/>
            <w:position w:val="5"/>
            <w:sz w:val="14"/>
            <w:u w:val="single" w:color="005DA1"/>
          </w:rPr>
          <w:t>81</w:t>
        </w:r>
      </w:hyperlink>
      <w:r>
        <w:rPr>
          <w:spacing w:val="-5"/>
          <w:position w:val="5"/>
          <w:sz w:val="14"/>
        </w:rPr>
        <w:t>.</w:t>
      </w:r>
      <w:r>
        <w:rPr>
          <w:position w:val="5"/>
          <w:sz w:val="14"/>
        </w:rPr>
        <w:tab/>
      </w:r>
      <w:r>
        <w:rPr/>
        <w:t>On the dates of commencement, see s.100 below, Vol.II, para.38-</w:t>
      </w:r>
      <w:r>
        <w:rPr>
          <w:spacing w:val="-4"/>
        </w:rPr>
        <w:t>197.</w:t>
      </w:r>
    </w:p>
    <w:p>
      <w:pPr>
        <w:pStyle w:val="BodyText"/>
        <w:spacing w:after="0"/>
        <w:sectPr>
          <w:pgSz w:w="11900" w:h="16840"/>
          <w:pgMar w:header="971" w:footer="0" w:top="1160" w:bottom="280" w:left="1275" w:right="1275"/>
        </w:sectPr>
      </w:pPr>
    </w:p>
    <w:p>
      <w:pPr>
        <w:pStyle w:val="BodyText"/>
        <w:spacing w:before="4"/>
        <w:rPr>
          <w:sz w:val="19"/>
        </w:rPr>
      </w:pPr>
    </w:p>
    <w:p>
      <w:pPr>
        <w:pStyle w:val="BodyText"/>
        <w:spacing w:after="0"/>
        <w:rPr>
          <w:sz w:val="19"/>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0928">
            <wp:simplePos x="0" y="0"/>
            <wp:positionH relativeFrom="page">
              <wp:posOffset>1257846</wp:posOffset>
            </wp:positionH>
            <wp:positionV relativeFrom="paragraph">
              <wp:posOffset>160485</wp:posOffset>
            </wp:positionV>
            <wp:extent cx="107988" cy="107988"/>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7" cstate="print"/>
                    <a:stretch>
                      <a:fillRect/>
                    </a:stretch>
                  </pic:blipFill>
                  <pic:spPr>
                    <a:xfrm>
                      <a:off x="0" y="0"/>
                      <a:ext cx="107988" cy="107988"/>
                    </a:xfrm>
                    <a:prstGeom prst="rect">
                      <a:avLst/>
                    </a:prstGeom>
                  </pic:spPr>
                </pic:pic>
              </a:graphicData>
            </a:graphic>
          </wp:anchor>
        </w:drawing>
      </w:r>
      <w:hyperlink w:history="true" w:anchor="_bookmark135">
        <w:r>
          <w:rPr>
            <w:color w:val="005DA1"/>
            <w:spacing w:val="-5"/>
            <w:sz w:val="14"/>
            <w:u w:val="single" w:color="005DA1"/>
          </w:rPr>
          <w:t>82</w:t>
        </w:r>
      </w:hyperlink>
      <w:r>
        <w:rPr>
          <w:spacing w:val="-5"/>
          <w:sz w:val="14"/>
        </w:rPr>
        <w:t>.</w:t>
      </w:r>
    </w:p>
    <w:p>
      <w:pPr>
        <w:pStyle w:val="BodyText"/>
        <w:spacing w:line="235" w:lineRule="auto" w:before="212"/>
        <w:ind w:left="165" w:right="167" w:firstLine="170"/>
        <w:jc w:val="both"/>
      </w:pPr>
      <w:r>
        <w:rPr/>
        <w:br w:type="column"/>
      </w:r>
      <w:r>
        <w:rPr/>
        <w:t>SI</w:t>
      </w:r>
      <w:r>
        <w:rPr>
          <w:spacing w:val="-2"/>
        </w:rPr>
        <w:t> </w:t>
      </w:r>
      <w:r>
        <w:rPr/>
        <w:t>1999/2083,</w:t>
      </w:r>
      <w:r>
        <w:rPr>
          <w:spacing w:val="-2"/>
        </w:rPr>
        <w:t> </w:t>
      </w:r>
      <w:r>
        <w:rPr/>
        <w:t>replaced</w:t>
      </w:r>
      <w:r>
        <w:rPr>
          <w:spacing w:val="-2"/>
        </w:rPr>
        <w:t> </w:t>
      </w:r>
      <w:r>
        <w:rPr/>
        <w:t>by</w:t>
      </w:r>
      <w:r>
        <w:rPr>
          <w:spacing w:val="-2"/>
        </w:rPr>
        <w:t> </w:t>
      </w:r>
      <w:r>
        <w:rPr/>
        <w:t>Consumer</w:t>
      </w:r>
      <w:r>
        <w:rPr>
          <w:spacing w:val="-2"/>
        </w:rPr>
        <w:t> </w:t>
      </w:r>
      <w:r>
        <w:rPr/>
        <w:t>Rights</w:t>
      </w:r>
      <w:r>
        <w:rPr>
          <w:spacing w:val="-2"/>
        </w:rPr>
        <w:t> </w:t>
      </w:r>
      <w:r>
        <w:rPr/>
        <w:t>Act</w:t>
      </w:r>
      <w:r>
        <w:rPr>
          <w:spacing w:val="-2"/>
        </w:rPr>
        <w:t> </w:t>
      </w:r>
      <w:r>
        <w:rPr/>
        <w:t>2015,</w:t>
      </w:r>
      <w:r>
        <w:rPr>
          <w:spacing w:val="-2"/>
        </w:rPr>
        <w:t> </w:t>
      </w:r>
      <w:r>
        <w:rPr/>
        <w:t>s.75</w:t>
      </w:r>
      <w:r>
        <w:rPr>
          <w:spacing w:val="-2"/>
        </w:rPr>
        <w:t> </w:t>
      </w:r>
      <w:r>
        <w:rPr/>
        <w:t>and</w:t>
      </w:r>
      <w:r>
        <w:rPr>
          <w:spacing w:val="-2"/>
        </w:rPr>
        <w:t> </w:t>
      </w:r>
      <w:r>
        <w:rPr/>
        <w:t>Sch.4,</w:t>
      </w:r>
      <w:r>
        <w:rPr>
          <w:spacing w:val="-2"/>
        </w:rPr>
        <w:t> </w:t>
      </w:r>
      <w:r>
        <w:rPr/>
        <w:t>para.34.</w:t>
      </w:r>
      <w:r>
        <w:rPr>
          <w:spacing w:val="-2"/>
        </w:rPr>
        <w:t> </w:t>
      </w:r>
      <w:r>
        <w:rPr/>
        <w:t>The</w:t>
      </w:r>
      <w:r>
        <w:rPr>
          <w:spacing w:val="-2"/>
        </w:rPr>
        <w:t> </w:t>
      </w:r>
      <w:r>
        <w:rPr/>
        <w:t>object</w:t>
      </w:r>
      <w:r>
        <w:rPr>
          <w:spacing w:val="-2"/>
        </w:rPr>
        <w:t> </w:t>
      </w:r>
      <w:r>
        <w:rPr/>
        <w:t>of reg.6(2)(b) was to give effect to the EC Directive on Unfair Terms in Consumer </w:t>
      </w:r>
      <w:r>
        <w:rPr/>
        <w:t>Contracts (93/13/EEC), Art.4(2). For the possible legal status, after the completion of “Brexit”, of UK legislation</w:t>
      </w:r>
      <w:r>
        <w:rPr>
          <w:spacing w:val="40"/>
        </w:rPr>
        <w:t> </w:t>
      </w:r>
      <w:r>
        <w:rPr/>
        <w:t>which</w:t>
      </w:r>
      <w:r>
        <w:rPr>
          <w:spacing w:val="40"/>
        </w:rPr>
        <w:t> </w:t>
      </w:r>
      <w:r>
        <w:rPr/>
        <w:t>has</w:t>
      </w:r>
      <w:r>
        <w:rPr>
          <w:spacing w:val="40"/>
        </w:rPr>
        <w:t> </w:t>
      </w:r>
      <w:r>
        <w:rPr/>
        <w:t>been</w:t>
      </w:r>
      <w:r>
        <w:rPr>
          <w:spacing w:val="40"/>
        </w:rPr>
        <w:t> </w:t>
      </w:r>
      <w:r>
        <w:rPr/>
        <w:t>passed</w:t>
      </w:r>
      <w:r>
        <w:rPr>
          <w:spacing w:val="40"/>
        </w:rPr>
        <w:t> </w:t>
      </w:r>
      <w:r>
        <w:rPr/>
        <w:t>to</w:t>
      </w:r>
      <w:r>
        <w:rPr>
          <w:spacing w:val="40"/>
        </w:rPr>
        <w:t> </w:t>
      </w:r>
      <w:r>
        <w:rPr/>
        <w:t>implement</w:t>
      </w:r>
      <w:r>
        <w:rPr>
          <w:spacing w:val="40"/>
        </w:rPr>
        <w:t> </w:t>
      </w:r>
      <w:r>
        <w:rPr/>
        <w:t>EU</w:t>
      </w:r>
      <w:r>
        <w:rPr>
          <w:spacing w:val="40"/>
        </w:rPr>
        <w:t> </w:t>
      </w:r>
      <w:r>
        <w:rPr/>
        <w:t>legal</w:t>
      </w:r>
      <w:r>
        <w:rPr>
          <w:spacing w:val="40"/>
        </w:rPr>
        <w:t> </w:t>
      </w:r>
      <w:r>
        <w:rPr/>
        <w:t>requirements,</w:t>
      </w:r>
      <w:r>
        <w:rPr>
          <w:spacing w:val="40"/>
        </w:rPr>
        <w:t> </w:t>
      </w:r>
      <w:r>
        <w:rPr/>
        <w:t>see</w:t>
      </w:r>
      <w:r>
        <w:rPr>
          <w:spacing w:val="40"/>
        </w:rPr>
        <w:t> </w:t>
      </w:r>
      <w:r>
        <w:rPr/>
        <w:t>above,</w:t>
      </w:r>
      <w:r>
        <w:rPr>
          <w:spacing w:val="40"/>
        </w:rPr>
        <w:t> </w:t>
      </w:r>
      <w:r>
        <w:rPr/>
        <w:t>paras </w:t>
      </w:r>
      <w:r>
        <w:rPr>
          <w:spacing w:val="-2"/>
        </w:rPr>
        <w:t>1-013A—1-013E.</w:t>
      </w:r>
    </w:p>
    <w:p>
      <w:pPr>
        <w:pStyle w:val="BodyText"/>
        <w:spacing w:after="0" w:line="235" w:lineRule="auto"/>
        <w:jc w:val="both"/>
        <w:sectPr>
          <w:type w:val="continuous"/>
          <w:pgSz w:w="11900" w:h="16840"/>
          <w:pgMar w:header="971" w:footer="0" w:top="3760" w:bottom="280" w:left="1275" w:right="1275"/>
          <w:cols w:num="2" w:equalWidth="0">
            <w:col w:w="400" w:space="141"/>
            <w:col w:w="8809"/>
          </w:cols>
        </w:sectPr>
      </w:pPr>
    </w:p>
    <w:p>
      <w:pPr>
        <w:pStyle w:val="BodyText"/>
        <w:spacing w:before="8"/>
      </w:pPr>
    </w:p>
    <w:p>
      <w:pPr>
        <w:pStyle w:val="BodyText"/>
        <w:spacing w:line="235" w:lineRule="auto"/>
        <w:ind w:left="705" w:right="167" w:hanging="541"/>
        <w:jc w:val="both"/>
      </w:pPr>
      <w:bookmarkStart w:name="_bookmark199" w:id="201"/>
      <w:bookmarkEnd w:id="201"/>
      <w:r>
        <w:rPr/>
      </w:r>
      <w:hyperlink w:history="true" w:anchor="_bookmark136">
        <w:r>
          <w:rPr>
            <w:color w:val="005DA1"/>
            <w:position w:val="5"/>
            <w:sz w:val="14"/>
            <w:u w:val="single" w:color="005DA1"/>
          </w:rPr>
          <w:t>83</w:t>
        </w:r>
      </w:hyperlink>
      <w:r>
        <w:rPr>
          <w:position w:val="5"/>
          <w:sz w:val="14"/>
        </w:rPr>
        <w:t>.</w:t>
      </w:r>
      <w:r>
        <w:rPr>
          <w:spacing w:val="80"/>
          <w:w w:val="150"/>
          <w:position w:val="5"/>
          <w:sz w:val="14"/>
        </w:rPr>
        <w:t>  </w:t>
      </w:r>
      <w:r>
        <w:rPr/>
        <w:t>See </w:t>
      </w:r>
      <w:r>
        <w:rPr>
          <w:rFonts w:ascii="Arial" w:hAnsi="Arial"/>
          <w:i/>
        </w:rPr>
        <w:t>Director General of Fair Trading v First National Bank plc [2001] UKHL 52, [2002] 1 A.C. 481 </w:t>
      </w:r>
      <w:r>
        <w:rPr/>
        <w:t>at [12], per Lord Bingham, with whose reasoning all the other members of the House of Lords expressed their agreement. Lord Rodger at [64] said that he had “no concluded view” on the present point, relying on the reference in Recital 19 of the Directive cited in n.81 above to “the price/quality ratio.” The Recital is not easy to interpret, but at least one possible view is </w:t>
      </w:r>
      <w:r>
        <w:rPr/>
        <w:t>that this ratio is </w:t>
      </w:r>
      <w:r>
        <w:rPr>
          <w:rFonts w:ascii="Arial" w:hAnsi="Arial"/>
          <w:i/>
        </w:rPr>
        <w:t>not </w:t>
      </w:r>
      <w:r>
        <w:rPr/>
        <w:t>relevant to the fairness of the </w:t>
      </w:r>
      <w:r>
        <w:rPr>
          <w:rFonts w:ascii="Arial" w:hAnsi="Arial"/>
          <w:i/>
        </w:rPr>
        <w:t>price </w:t>
      </w:r>
      <w:r>
        <w:rPr/>
        <w:t>term (first sentence), though it may be relevant to the fairness of </w:t>
      </w:r>
      <w:r>
        <w:rPr>
          <w:rFonts w:ascii="Arial" w:hAnsi="Arial"/>
          <w:i/>
        </w:rPr>
        <w:t>other </w:t>
      </w:r>
      <w:r>
        <w:rPr/>
        <w:t>terms of the contract.</w:t>
      </w:r>
    </w:p>
    <w:p>
      <w:pPr>
        <w:pStyle w:val="BodyText"/>
        <w:spacing w:before="7"/>
      </w:pPr>
    </w:p>
    <w:p>
      <w:pPr>
        <w:pStyle w:val="BodyText"/>
        <w:spacing w:line="235" w:lineRule="auto" w:before="1"/>
        <w:ind w:left="705" w:right="167" w:hanging="541"/>
        <w:jc w:val="both"/>
      </w:pPr>
      <w:bookmarkStart w:name="_bookmark200" w:id="202"/>
      <w:bookmarkEnd w:id="202"/>
      <w:r>
        <w:rPr/>
      </w:r>
      <w:hyperlink w:history="true" w:anchor="_bookmark137">
        <w:r>
          <w:rPr>
            <w:color w:val="005DA1"/>
            <w:position w:val="5"/>
            <w:sz w:val="14"/>
            <w:u w:val="single" w:color="005DA1"/>
          </w:rPr>
          <w:t>84</w:t>
        </w:r>
      </w:hyperlink>
      <w:r>
        <w:rPr>
          <w:position w:val="5"/>
          <w:sz w:val="14"/>
        </w:rPr>
        <w:t>.</w:t>
      </w:r>
      <w:r>
        <w:rPr>
          <w:spacing w:val="40"/>
          <w:position w:val="5"/>
          <w:sz w:val="14"/>
        </w:rPr>
        <w:t>  </w:t>
      </w:r>
      <w:r>
        <w:rPr>
          <w:rFonts w:ascii="Arial" w:hAnsi="Arial"/>
          <w:i/>
        </w:rPr>
        <w:t>[2009] UKSC 6, [2010] 1 A.C. 696</w:t>
      </w:r>
      <w:r>
        <w:rPr/>
        <w:t>. See also the decision of the ECJ in </w:t>
      </w:r>
      <w:r>
        <w:rPr>
          <w:rFonts w:ascii="Arial" w:hAnsi="Arial"/>
          <w:i/>
        </w:rPr>
        <w:t>Kásler v </w:t>
      </w:r>
      <w:r>
        <w:rPr>
          <w:rFonts w:ascii="Arial" w:hAnsi="Arial"/>
          <w:i/>
        </w:rPr>
        <w:t>OTP</w:t>
      </w:r>
      <w:r>
        <w:rPr>
          <w:rFonts w:ascii="Arial" w:hAnsi="Arial"/>
          <w:i/>
          <w:spacing w:val="40"/>
        </w:rPr>
        <w:t> </w:t>
      </w:r>
      <w:r>
        <w:rPr>
          <w:rFonts w:ascii="Arial" w:hAnsi="Arial"/>
          <w:i/>
        </w:rPr>
        <w:t>Jelzálogbank Zrt (C-26/13), [2014] 2 All E.R. (Comm) 443</w:t>
      </w:r>
      <w:r>
        <w:rPr/>
        <w:t>, discussing art.4(2) of the Directive referred to in n.81 above. That case does not directly deal with the point here under discussion (i.e. the “adequacy of the consideration” point), being mainly concerned (in its discussion of art.4) with the question of what constitutes the “main subject-matter of the contract” within art.4(2) (at [43] and [59]). For a full discussion of this case, see below, Vol.II, paras 38-229 to </w:t>
      </w:r>
      <w:r>
        <w:rPr>
          <w:spacing w:val="-2"/>
        </w:rPr>
        <w:t>38-233.</w:t>
      </w:r>
    </w:p>
    <w:p>
      <w:pPr>
        <w:pStyle w:val="BodyText"/>
        <w:spacing w:before="3"/>
      </w:pPr>
    </w:p>
    <w:p>
      <w:pPr>
        <w:tabs>
          <w:tab w:pos="705" w:val="left" w:leader="none"/>
        </w:tabs>
        <w:spacing w:before="0"/>
        <w:ind w:left="165" w:right="0" w:firstLine="0"/>
        <w:jc w:val="left"/>
        <w:rPr>
          <w:sz w:val="20"/>
        </w:rPr>
      </w:pPr>
      <w:bookmarkStart w:name="_bookmark201" w:id="203"/>
      <w:bookmarkEnd w:id="203"/>
      <w:r>
        <w:rPr/>
      </w:r>
      <w:hyperlink w:history="true" w:anchor="_bookmark138">
        <w:r>
          <w:rPr>
            <w:color w:val="005DA1"/>
            <w:spacing w:val="-5"/>
            <w:position w:val="5"/>
            <w:sz w:val="14"/>
            <w:u w:val="single" w:color="005DA1"/>
          </w:rPr>
          <w:t>85</w:t>
        </w:r>
      </w:hyperlink>
      <w:r>
        <w:rPr>
          <w:spacing w:val="-5"/>
          <w:position w:val="5"/>
          <w:sz w:val="14"/>
        </w:rPr>
        <w:t>.</w:t>
      </w:r>
      <w:r>
        <w:rPr>
          <w:position w:val="5"/>
          <w:sz w:val="14"/>
        </w:rPr>
        <w:tab/>
      </w:r>
      <w:r>
        <w:rPr>
          <w:rFonts w:ascii="Arial"/>
          <w:i/>
          <w:sz w:val="20"/>
        </w:rPr>
        <w:t>[2009] UKHL 6</w:t>
      </w:r>
      <w:r>
        <w:rPr>
          <w:rFonts w:ascii="Arial"/>
          <w:i/>
          <w:spacing w:val="-1"/>
          <w:sz w:val="20"/>
        </w:rPr>
        <w:t> </w:t>
      </w:r>
      <w:r>
        <w:rPr>
          <w:sz w:val="20"/>
        </w:rPr>
        <w:t>at </w:t>
      </w:r>
      <w:r>
        <w:rPr>
          <w:spacing w:val="-2"/>
          <w:sz w:val="20"/>
        </w:rPr>
        <w:t>[42].</w:t>
      </w:r>
    </w:p>
    <w:p>
      <w:pPr>
        <w:pStyle w:val="BodyText"/>
        <w:spacing w:before="5"/>
      </w:pPr>
    </w:p>
    <w:p>
      <w:pPr>
        <w:tabs>
          <w:tab w:pos="705" w:val="left" w:leader="none"/>
        </w:tabs>
        <w:spacing w:before="0"/>
        <w:ind w:left="165" w:right="0" w:firstLine="0"/>
        <w:jc w:val="left"/>
        <w:rPr>
          <w:sz w:val="20"/>
        </w:rPr>
      </w:pPr>
      <w:bookmarkStart w:name="_bookmark202" w:id="204"/>
      <w:bookmarkEnd w:id="204"/>
      <w:r>
        <w:rPr/>
      </w:r>
      <w:hyperlink w:history="true" w:anchor="_bookmark139">
        <w:r>
          <w:rPr>
            <w:color w:val="005DA1"/>
            <w:spacing w:val="-5"/>
            <w:position w:val="5"/>
            <w:sz w:val="14"/>
            <w:u w:val="single" w:color="005DA1"/>
          </w:rPr>
          <w:t>86</w:t>
        </w:r>
      </w:hyperlink>
      <w:r>
        <w:rPr>
          <w:spacing w:val="-5"/>
          <w:position w:val="5"/>
          <w:sz w:val="14"/>
        </w:rPr>
        <w:t>.</w:t>
      </w:r>
      <w:r>
        <w:rPr>
          <w:position w:val="5"/>
          <w:sz w:val="14"/>
        </w:rPr>
        <w:tab/>
      </w:r>
      <w:r>
        <w:rPr>
          <w:sz w:val="20"/>
        </w:rPr>
        <w:t>ibid., at </w:t>
      </w:r>
      <w:r>
        <w:rPr>
          <w:spacing w:val="-2"/>
          <w:sz w:val="20"/>
        </w:rPr>
        <w:t>[54].</w:t>
      </w:r>
    </w:p>
    <w:p>
      <w:pPr>
        <w:pStyle w:val="BodyText"/>
        <w:spacing w:before="5"/>
      </w:pPr>
    </w:p>
    <w:p>
      <w:pPr>
        <w:tabs>
          <w:tab w:pos="705" w:val="left" w:leader="none"/>
        </w:tabs>
        <w:spacing w:before="0"/>
        <w:ind w:left="165" w:right="0" w:firstLine="0"/>
        <w:jc w:val="left"/>
        <w:rPr>
          <w:sz w:val="20"/>
        </w:rPr>
      </w:pPr>
      <w:bookmarkStart w:name="_bookmark203" w:id="205"/>
      <w:bookmarkEnd w:id="205"/>
      <w:r>
        <w:rPr/>
      </w:r>
      <w:hyperlink w:history="true" w:anchor="_bookmark140">
        <w:r>
          <w:rPr>
            <w:color w:val="005DA1"/>
            <w:spacing w:val="-5"/>
            <w:position w:val="5"/>
            <w:sz w:val="14"/>
            <w:u w:val="single" w:color="005DA1"/>
          </w:rPr>
          <w:t>87</w:t>
        </w:r>
      </w:hyperlink>
      <w:r>
        <w:rPr>
          <w:spacing w:val="-5"/>
          <w:position w:val="5"/>
          <w:sz w:val="14"/>
        </w:rPr>
        <w:t>.</w:t>
      </w:r>
      <w:r>
        <w:rPr>
          <w:position w:val="5"/>
          <w:sz w:val="14"/>
        </w:rPr>
        <w:tab/>
      </w:r>
      <w:r>
        <w:rPr>
          <w:sz w:val="20"/>
        </w:rPr>
        <w:t>ibid., at </w:t>
      </w:r>
      <w:r>
        <w:rPr>
          <w:spacing w:val="-2"/>
          <w:sz w:val="20"/>
        </w:rPr>
        <w:t>[43].</w:t>
      </w:r>
    </w:p>
    <w:p>
      <w:pPr>
        <w:pStyle w:val="BodyText"/>
        <w:spacing w:before="9"/>
      </w:pPr>
    </w:p>
    <w:p>
      <w:pPr>
        <w:pStyle w:val="BodyText"/>
        <w:spacing w:line="235" w:lineRule="auto"/>
        <w:ind w:left="705" w:right="167" w:hanging="541"/>
        <w:jc w:val="both"/>
      </w:pPr>
      <w:bookmarkStart w:name="_bookmark204" w:id="206"/>
      <w:bookmarkEnd w:id="206"/>
      <w:r>
        <w:rPr/>
      </w:r>
      <w:hyperlink w:history="true" w:anchor="_bookmark141">
        <w:r>
          <w:rPr>
            <w:color w:val="005DA1"/>
            <w:position w:val="5"/>
            <w:sz w:val="14"/>
            <w:u w:val="single" w:color="005DA1"/>
          </w:rPr>
          <w:t>88</w:t>
        </w:r>
      </w:hyperlink>
      <w:r>
        <w:rPr>
          <w:position w:val="5"/>
          <w:sz w:val="14"/>
        </w:rPr>
        <w:t>.</w:t>
      </w:r>
      <w:r>
        <w:rPr>
          <w:spacing w:val="80"/>
          <w:position w:val="5"/>
          <w:sz w:val="14"/>
        </w:rPr>
        <w:t>  </w:t>
      </w:r>
      <w:r>
        <w:rPr/>
        <w:t>A point which Lord Walker illustrated by reference to </w:t>
      </w:r>
      <w:r>
        <w:rPr>
          <w:rFonts w:ascii="Arial"/>
          <w:i/>
        </w:rPr>
        <w:t>Director General of Fair Trading v First National Bank</w:t>
      </w:r>
      <w:r>
        <w:rPr/>
        <w:t>, above, n.82, where the term in question was one requiring the customer to pay interest on the outstanding amounts even after judgment had been given against him for </w:t>
      </w:r>
      <w:r>
        <w:rPr/>
        <w:t>this principal</w:t>
      </w:r>
      <w:r>
        <w:rPr>
          <w:spacing w:val="-1"/>
        </w:rPr>
        <w:t> </w:t>
      </w:r>
      <w:r>
        <w:rPr/>
        <w:t>sum.</w:t>
      </w:r>
      <w:r>
        <w:rPr>
          <w:spacing w:val="-1"/>
        </w:rPr>
        <w:t> </w:t>
      </w:r>
      <w:r>
        <w:rPr/>
        <w:t>It</w:t>
      </w:r>
      <w:r>
        <w:rPr>
          <w:spacing w:val="-1"/>
        </w:rPr>
        <w:t> </w:t>
      </w:r>
      <w:r>
        <w:rPr/>
        <w:t>was</w:t>
      </w:r>
      <w:r>
        <w:rPr>
          <w:spacing w:val="-1"/>
        </w:rPr>
        <w:t> </w:t>
      </w:r>
      <w:r>
        <w:rPr/>
        <w:t>held</w:t>
      </w:r>
      <w:r>
        <w:rPr>
          <w:spacing w:val="-1"/>
        </w:rPr>
        <w:t> </w:t>
      </w:r>
      <w:r>
        <w:rPr/>
        <w:t>that</w:t>
      </w:r>
      <w:r>
        <w:rPr>
          <w:spacing w:val="-1"/>
        </w:rPr>
        <w:t> </w:t>
      </w:r>
      <w:r>
        <w:rPr/>
        <w:t>this</w:t>
      </w:r>
      <w:r>
        <w:rPr>
          <w:spacing w:val="-1"/>
        </w:rPr>
        <w:t> </w:t>
      </w:r>
      <w:r>
        <w:rPr/>
        <w:t>term</w:t>
      </w:r>
      <w:r>
        <w:rPr>
          <w:spacing w:val="-1"/>
        </w:rPr>
        <w:t> </w:t>
      </w:r>
      <w:r>
        <w:rPr/>
        <w:t>was</w:t>
      </w:r>
      <w:r>
        <w:rPr>
          <w:spacing w:val="-1"/>
        </w:rPr>
        <w:t> </w:t>
      </w:r>
      <w:r>
        <w:rPr/>
        <w:t>not</w:t>
      </w:r>
      <w:r>
        <w:rPr>
          <w:spacing w:val="-1"/>
        </w:rPr>
        <w:t> </w:t>
      </w:r>
      <w:r>
        <w:rPr/>
        <w:t>protected</w:t>
      </w:r>
      <w:r>
        <w:rPr>
          <w:spacing w:val="-1"/>
        </w:rPr>
        <w:t> </w:t>
      </w:r>
      <w:r>
        <w:rPr/>
        <w:t>from</w:t>
      </w:r>
      <w:r>
        <w:rPr>
          <w:spacing w:val="-1"/>
        </w:rPr>
        <w:t> </w:t>
      </w:r>
      <w:r>
        <w:rPr/>
        <w:t>challenge</w:t>
      </w:r>
      <w:r>
        <w:rPr>
          <w:spacing w:val="-1"/>
        </w:rPr>
        <w:t> </w:t>
      </w:r>
      <w:r>
        <w:rPr/>
        <w:t>by</w:t>
      </w:r>
      <w:r>
        <w:rPr>
          <w:spacing w:val="-1"/>
        </w:rPr>
        <w:t> </w:t>
      </w:r>
      <w:r>
        <w:rPr/>
        <w:t>reg.6(2)(b),</w:t>
      </w:r>
      <w:r>
        <w:rPr>
          <w:spacing w:val="-1"/>
        </w:rPr>
        <w:t> </w:t>
      </w:r>
      <w:r>
        <w:rPr/>
        <w:t>though the challenge failed as the term was held not to be unfair.</w:t>
      </w:r>
    </w:p>
    <w:p>
      <w:pPr>
        <w:pStyle w:val="BodyText"/>
        <w:spacing w:before="4"/>
      </w:pPr>
    </w:p>
    <w:p>
      <w:pPr>
        <w:tabs>
          <w:tab w:pos="705" w:val="left" w:leader="none"/>
        </w:tabs>
        <w:spacing w:before="0"/>
        <w:ind w:left="165" w:right="0" w:firstLine="0"/>
        <w:jc w:val="left"/>
        <w:rPr>
          <w:sz w:val="20"/>
        </w:rPr>
      </w:pPr>
      <w:bookmarkStart w:name="_bookmark205" w:id="207"/>
      <w:bookmarkEnd w:id="207"/>
      <w:r>
        <w:rPr/>
      </w:r>
      <w:hyperlink w:history="true" w:anchor="_bookmark142">
        <w:r>
          <w:rPr>
            <w:color w:val="005DA1"/>
            <w:spacing w:val="-5"/>
            <w:position w:val="5"/>
            <w:sz w:val="14"/>
            <w:u w:val="single" w:color="005DA1"/>
          </w:rPr>
          <w:t>89</w:t>
        </w:r>
      </w:hyperlink>
      <w:r>
        <w:rPr>
          <w:spacing w:val="-5"/>
          <w:position w:val="5"/>
          <w:sz w:val="14"/>
        </w:rPr>
        <w:t>.</w:t>
      </w:r>
      <w:r>
        <w:rPr>
          <w:position w:val="5"/>
          <w:sz w:val="14"/>
        </w:rPr>
        <w:tab/>
      </w:r>
      <w:r>
        <w:rPr>
          <w:sz w:val="20"/>
        </w:rPr>
        <w:t>At </w:t>
      </w:r>
      <w:r>
        <w:rPr>
          <w:spacing w:val="-2"/>
          <w:sz w:val="20"/>
        </w:rPr>
        <w:t>n.72.</w:t>
      </w:r>
    </w:p>
    <w:p>
      <w:pPr>
        <w:pStyle w:val="BodyText"/>
        <w:spacing w:before="5"/>
      </w:pPr>
    </w:p>
    <w:p>
      <w:pPr>
        <w:pStyle w:val="BodyText"/>
        <w:tabs>
          <w:tab w:pos="705" w:val="left" w:leader="none"/>
        </w:tabs>
        <w:spacing w:before="1"/>
        <w:ind w:left="165"/>
      </w:pPr>
      <w:bookmarkStart w:name="_bookmark206" w:id="208"/>
      <w:bookmarkEnd w:id="208"/>
      <w:r>
        <w:rPr/>
      </w:r>
      <w:hyperlink w:history="true" w:anchor="_bookmark143">
        <w:r>
          <w:rPr>
            <w:color w:val="005DA1"/>
            <w:spacing w:val="-5"/>
            <w:position w:val="5"/>
            <w:sz w:val="14"/>
            <w:u w:val="single" w:color="005DA1"/>
          </w:rPr>
          <w:t>90</w:t>
        </w:r>
      </w:hyperlink>
      <w:r>
        <w:rPr>
          <w:spacing w:val="-5"/>
          <w:position w:val="5"/>
          <w:sz w:val="14"/>
        </w:rPr>
        <w:t>.</w:t>
      </w:r>
      <w:r>
        <w:rPr>
          <w:position w:val="5"/>
          <w:sz w:val="14"/>
        </w:rPr>
        <w:tab/>
      </w:r>
      <w:r>
        <w:rPr/>
        <w:t>See above, n.71; and Waddams (1976) 39 M.L.R. 393; Tiplady (1983) 46 M.L.R. </w:t>
      </w:r>
      <w:r>
        <w:rPr>
          <w:spacing w:val="-4"/>
        </w:rPr>
        <w:t>601.</w:t>
      </w:r>
    </w:p>
    <w:p>
      <w:pPr>
        <w:pStyle w:val="BodyText"/>
        <w:spacing w:before="4"/>
      </w:pPr>
    </w:p>
    <w:p>
      <w:pPr>
        <w:tabs>
          <w:tab w:pos="705" w:val="left" w:leader="none"/>
        </w:tabs>
        <w:spacing w:before="1"/>
        <w:ind w:left="165" w:right="0" w:firstLine="0"/>
        <w:jc w:val="left"/>
        <w:rPr>
          <w:sz w:val="20"/>
        </w:rPr>
      </w:pPr>
      <w:bookmarkStart w:name="_bookmark207" w:id="209"/>
      <w:bookmarkEnd w:id="209"/>
      <w:r>
        <w:rPr/>
      </w:r>
      <w:hyperlink w:history="true" w:anchor="_bookmark144">
        <w:r>
          <w:rPr>
            <w:color w:val="005DA1"/>
            <w:spacing w:val="-5"/>
            <w:position w:val="5"/>
            <w:sz w:val="14"/>
            <w:u w:val="single" w:color="005DA1"/>
          </w:rPr>
          <w:t>91</w:t>
        </w:r>
      </w:hyperlink>
      <w:r>
        <w:rPr>
          <w:spacing w:val="-5"/>
          <w:position w:val="5"/>
          <w:sz w:val="14"/>
        </w:rPr>
        <w:t>.</w:t>
      </w:r>
      <w:r>
        <w:rPr>
          <w:position w:val="5"/>
          <w:sz w:val="14"/>
        </w:rPr>
        <w:tab/>
      </w:r>
      <w:r>
        <w:rPr>
          <w:rFonts w:ascii="Arial" w:hAnsi="Arial"/>
          <w:i/>
          <w:sz w:val="20"/>
        </w:rPr>
        <w:t>Lloyd’s</w:t>
      </w:r>
      <w:r>
        <w:rPr>
          <w:rFonts w:ascii="Arial" w:hAnsi="Arial"/>
          <w:i/>
          <w:spacing w:val="-1"/>
          <w:sz w:val="20"/>
        </w:rPr>
        <w:t> </w:t>
      </w:r>
      <w:r>
        <w:rPr>
          <w:rFonts w:ascii="Arial" w:hAnsi="Arial"/>
          <w:i/>
          <w:sz w:val="20"/>
        </w:rPr>
        <w:t>Bank Ltd v Bundy [1975] Q.B. 326, 336</w:t>
      </w:r>
      <w:r>
        <w:rPr>
          <w:sz w:val="20"/>
        </w:rPr>
        <w:t>, per Lord Denning, </w:t>
      </w:r>
      <w:r>
        <w:rPr>
          <w:spacing w:val="-4"/>
          <w:sz w:val="20"/>
        </w:rPr>
        <w:t>M.R.</w:t>
      </w:r>
    </w:p>
    <w:p>
      <w:pPr>
        <w:pStyle w:val="BodyText"/>
        <w:spacing w:before="4"/>
      </w:pPr>
    </w:p>
    <w:p>
      <w:pPr>
        <w:tabs>
          <w:tab w:pos="705" w:val="left" w:leader="none"/>
        </w:tabs>
        <w:spacing w:before="1"/>
        <w:ind w:left="165" w:right="0" w:firstLine="0"/>
        <w:jc w:val="left"/>
        <w:rPr>
          <w:sz w:val="20"/>
        </w:rPr>
      </w:pPr>
      <w:bookmarkStart w:name="_bookmark208" w:id="210"/>
      <w:bookmarkEnd w:id="210"/>
      <w:r>
        <w:rPr/>
      </w:r>
      <w:hyperlink w:history="true" w:anchor="_bookmark145">
        <w:r>
          <w:rPr>
            <w:color w:val="005DA1"/>
            <w:spacing w:val="-5"/>
            <w:position w:val="5"/>
            <w:sz w:val="14"/>
            <w:u w:val="single" w:color="005DA1"/>
          </w:rPr>
          <w:t>92</w:t>
        </w:r>
      </w:hyperlink>
      <w:r>
        <w:rPr>
          <w:spacing w:val="-5"/>
          <w:position w:val="5"/>
          <w:sz w:val="14"/>
        </w:rPr>
        <w:t>.</w:t>
      </w:r>
      <w:r>
        <w:rPr>
          <w:position w:val="5"/>
          <w:sz w:val="14"/>
        </w:rPr>
        <w:tab/>
      </w:r>
      <w:r>
        <w:rPr>
          <w:rFonts w:ascii="Arial"/>
          <w:i/>
          <w:sz w:val="20"/>
        </w:rPr>
        <w:t>Gilbert</w:t>
      </w:r>
      <w:r>
        <w:rPr>
          <w:rFonts w:ascii="Arial"/>
          <w:i/>
          <w:spacing w:val="-1"/>
          <w:sz w:val="20"/>
        </w:rPr>
        <w:t> </w:t>
      </w:r>
      <w:r>
        <w:rPr>
          <w:rFonts w:ascii="Arial"/>
          <w:i/>
          <w:sz w:val="20"/>
        </w:rPr>
        <w:t>v Ruddeard (1608) 3 Dy. 272b (n)</w:t>
      </w:r>
      <w:r>
        <w:rPr>
          <w:sz w:val="20"/>
        </w:rPr>
        <w:t>; cf. </w:t>
      </w:r>
      <w:r>
        <w:rPr>
          <w:rFonts w:ascii="Arial"/>
          <w:i/>
          <w:sz w:val="20"/>
        </w:rPr>
        <w:t>Denton v G.N. Ry. (1856) 5 E. &amp; B. </w:t>
      </w:r>
      <w:r>
        <w:rPr>
          <w:rFonts w:ascii="Arial"/>
          <w:i/>
          <w:spacing w:val="-4"/>
          <w:sz w:val="20"/>
        </w:rPr>
        <w:t>860</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209" w:id="211"/>
      <w:bookmarkEnd w:id="211"/>
      <w:r>
        <w:rPr/>
      </w:r>
      <w:hyperlink w:history="true" w:anchor="_bookmark146">
        <w:r>
          <w:rPr>
            <w:color w:val="005DA1"/>
            <w:spacing w:val="-4"/>
            <w:position w:val="5"/>
            <w:sz w:val="14"/>
            <w:u w:val="single" w:color="005DA1"/>
          </w:rPr>
          <w:t>93</w:t>
        </w:r>
      </w:hyperlink>
      <w:r>
        <w:rPr>
          <w:spacing w:val="-4"/>
          <w:position w:val="5"/>
          <w:sz w:val="14"/>
        </w:rPr>
        <w:t>.</w:t>
      </w:r>
      <w:r>
        <w:rPr>
          <w:position w:val="5"/>
          <w:sz w:val="14"/>
        </w:rPr>
        <w:tab/>
      </w:r>
      <w:r>
        <w:rPr>
          <w:rFonts w:ascii="Arial"/>
          <w:i/>
          <w:sz w:val="20"/>
        </w:rPr>
        <w:t>Westlake v Adams (1858) 5 C.B.(N.S.) 248</w:t>
      </w:r>
      <w:r>
        <w:rPr>
          <w:sz w:val="20"/>
        </w:rPr>
        <w:t>; perhaps there was also an element of </w:t>
      </w:r>
      <w:r>
        <w:rPr>
          <w:sz w:val="20"/>
        </w:rPr>
        <w:t>compromise in this case.</w:t>
      </w:r>
    </w:p>
    <w:p>
      <w:pPr>
        <w:pStyle w:val="BodyText"/>
        <w:spacing w:before="9"/>
      </w:pPr>
    </w:p>
    <w:p>
      <w:pPr>
        <w:spacing w:line="235" w:lineRule="auto" w:before="1"/>
        <w:ind w:left="705" w:right="167" w:hanging="541"/>
        <w:jc w:val="both"/>
        <w:rPr>
          <w:sz w:val="20"/>
        </w:rPr>
      </w:pPr>
      <w:bookmarkStart w:name="_bookmark210" w:id="212"/>
      <w:bookmarkEnd w:id="212"/>
      <w:r>
        <w:rPr/>
      </w:r>
      <w:hyperlink w:history="true" w:anchor="_bookmark147">
        <w:r>
          <w:rPr>
            <w:color w:val="005DA1"/>
            <w:position w:val="5"/>
            <w:sz w:val="14"/>
            <w:u w:val="single" w:color="005DA1"/>
          </w:rPr>
          <w:t>94</w:t>
        </w:r>
      </w:hyperlink>
      <w:r>
        <w:rPr>
          <w:position w:val="5"/>
          <w:sz w:val="14"/>
        </w:rPr>
        <w:t>.</w:t>
      </w:r>
      <w:r>
        <w:rPr>
          <w:spacing w:val="80"/>
          <w:position w:val="5"/>
          <w:sz w:val="14"/>
        </w:rPr>
        <w:t>  </w:t>
      </w:r>
      <w:r>
        <w:rPr>
          <w:sz w:val="20"/>
        </w:rPr>
        <w:t>If such promises are contractually binding, they can be enforced under the doctrine of </w:t>
      </w:r>
      <w:r>
        <w:rPr>
          <w:sz w:val="20"/>
        </w:rPr>
        <w:t>mutual wills even where the promise sought to be so enforced is established by evidence extraneous</w:t>
      </w:r>
      <w:r>
        <w:rPr>
          <w:spacing w:val="40"/>
          <w:sz w:val="20"/>
        </w:rPr>
        <w:t> </w:t>
      </w:r>
      <w:r>
        <w:rPr>
          <w:sz w:val="20"/>
        </w:rPr>
        <w:t>to the will: </w:t>
      </w:r>
      <w:r>
        <w:rPr>
          <w:rFonts w:ascii="Arial"/>
          <w:i/>
          <w:sz w:val="20"/>
        </w:rPr>
        <w:t>Charles v Fraser [2010] EWHC 2154 (Ch), [2010] W.T.L.R. 1489</w:t>
      </w:r>
      <w:r>
        <w:rPr>
          <w:sz w:val="20"/>
        </w:rPr>
        <w:t>.</w:t>
      </w:r>
    </w:p>
    <w:p>
      <w:pPr>
        <w:pStyle w:val="BodyText"/>
        <w:spacing w:before="8"/>
      </w:pPr>
    </w:p>
    <w:p>
      <w:pPr>
        <w:spacing w:line="235" w:lineRule="auto" w:before="1"/>
        <w:ind w:left="705" w:right="167" w:hanging="541"/>
        <w:jc w:val="both"/>
        <w:rPr>
          <w:sz w:val="20"/>
        </w:rPr>
      </w:pPr>
      <w:bookmarkStart w:name="_bookmark211" w:id="213"/>
      <w:bookmarkEnd w:id="213"/>
      <w:r>
        <w:rPr/>
      </w:r>
      <w:hyperlink w:history="true" w:anchor="_bookmark148">
        <w:r>
          <w:rPr>
            <w:color w:val="005DA1"/>
            <w:position w:val="5"/>
            <w:sz w:val="14"/>
            <w:u w:val="single" w:color="005DA1"/>
          </w:rPr>
          <w:t>95</w:t>
        </w:r>
      </w:hyperlink>
      <w:r>
        <w:rPr>
          <w:position w:val="5"/>
          <w:sz w:val="14"/>
        </w:rPr>
        <w:t>.</w:t>
      </w:r>
      <w:r>
        <w:rPr>
          <w:spacing w:val="80"/>
          <w:position w:val="5"/>
          <w:sz w:val="14"/>
        </w:rPr>
        <w:t> </w:t>
      </w:r>
      <w:r>
        <w:rPr>
          <w:rFonts w:ascii="Arial" w:hAnsi="Arial"/>
          <w:i/>
          <w:sz w:val="20"/>
        </w:rPr>
        <w:t>Re Dale [1994] Ch. 31</w:t>
      </w:r>
      <w:r>
        <w:rPr>
          <w:sz w:val="20"/>
        </w:rPr>
        <w:t>. cf. </w:t>
      </w:r>
      <w:r>
        <w:rPr>
          <w:rFonts w:ascii="Arial" w:hAnsi="Arial"/>
          <w:i/>
          <w:sz w:val="20"/>
        </w:rPr>
        <w:t>Re Goodchild [1997] 1 W.L.R. 1216 </w:t>
      </w:r>
      <w:r>
        <w:rPr>
          <w:sz w:val="20"/>
        </w:rPr>
        <w:t>where a mere “common understanding” (as opposed to definite mutual promises) did not suffice to make B’s </w:t>
      </w:r>
      <w:r>
        <w:rPr>
          <w:sz w:val="20"/>
        </w:rPr>
        <w:t>promise irrevocable, but some effect to it was given by an order in favour of the intended beneficiary under the Inheritance (Provision for Dependants) Act 1975; </w:t>
      </w:r>
      <w:r>
        <w:rPr>
          <w:rFonts w:ascii="Arial" w:hAnsi="Arial"/>
          <w:i/>
          <w:sz w:val="20"/>
        </w:rPr>
        <w:t>Taylor v Dickens [1998] 1 F.L.R. 806</w:t>
      </w:r>
      <w:r>
        <w:rPr>
          <w:sz w:val="20"/>
        </w:rPr>
        <w:t>, the reasoning of which was doubted on other grounds in </w:t>
      </w:r>
      <w:r>
        <w:rPr>
          <w:rFonts w:ascii="Arial" w:hAnsi="Arial"/>
          <w:i/>
          <w:sz w:val="20"/>
        </w:rPr>
        <w:t>Gillett v Holt [2001] Ch. 210</w:t>
      </w:r>
      <w:r>
        <w:rPr>
          <w:sz w:val="20"/>
        </w:rPr>
        <w:t>.</w:t>
      </w:r>
    </w:p>
    <w:p>
      <w:pPr>
        <w:pStyle w:val="BodyText"/>
        <w:spacing w:before="7"/>
      </w:pPr>
    </w:p>
    <w:p>
      <w:pPr>
        <w:tabs>
          <w:tab w:pos="705" w:val="left" w:leader="none"/>
        </w:tabs>
        <w:spacing w:line="235" w:lineRule="auto" w:before="1"/>
        <w:ind w:left="705" w:right="168" w:hanging="541"/>
        <w:jc w:val="left"/>
        <w:rPr>
          <w:sz w:val="20"/>
        </w:rPr>
      </w:pPr>
      <w:bookmarkStart w:name="_bookmark212" w:id="214"/>
      <w:bookmarkEnd w:id="214"/>
      <w:r>
        <w:rPr/>
      </w:r>
      <w:hyperlink w:history="true" w:anchor="_bookmark149">
        <w:r>
          <w:rPr>
            <w:color w:val="005DA1"/>
            <w:spacing w:val="-4"/>
            <w:position w:val="5"/>
            <w:sz w:val="14"/>
            <w:u w:val="single" w:color="005DA1"/>
          </w:rPr>
          <w:t>96</w:t>
        </w:r>
      </w:hyperlink>
      <w:r>
        <w:rPr>
          <w:spacing w:val="-4"/>
          <w:position w:val="5"/>
          <w:sz w:val="14"/>
        </w:rPr>
        <w:t>.</w:t>
      </w:r>
      <w:r>
        <w:rPr>
          <w:position w:val="5"/>
          <w:sz w:val="14"/>
        </w:rPr>
        <w:tab/>
      </w:r>
      <w:r>
        <w:rPr>
          <w:rFonts w:ascii="Arial" w:hAnsi="Arial"/>
          <w:i/>
          <w:sz w:val="20"/>
        </w:rPr>
        <w:t>Haigh</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Brooks</w:t>
      </w:r>
      <w:r>
        <w:rPr>
          <w:rFonts w:ascii="Arial" w:hAnsi="Arial"/>
          <w:i/>
          <w:spacing w:val="17"/>
          <w:sz w:val="20"/>
        </w:rPr>
        <w:t> </w:t>
      </w:r>
      <w:r>
        <w:rPr>
          <w:rFonts w:ascii="Arial" w:hAnsi="Arial"/>
          <w:i/>
          <w:sz w:val="20"/>
        </w:rPr>
        <w:t>(1839)</w:t>
      </w:r>
      <w:r>
        <w:rPr>
          <w:rFonts w:ascii="Arial" w:hAnsi="Arial"/>
          <w:i/>
          <w:spacing w:val="17"/>
          <w:sz w:val="20"/>
        </w:rPr>
        <w:t> </w:t>
      </w:r>
      <w:r>
        <w:rPr>
          <w:rFonts w:ascii="Arial" w:hAnsi="Arial"/>
          <w:i/>
          <w:sz w:val="20"/>
        </w:rPr>
        <w:t>10</w:t>
      </w:r>
      <w:r>
        <w:rPr>
          <w:rFonts w:ascii="Arial" w:hAnsi="Arial"/>
          <w:i/>
          <w:spacing w:val="17"/>
          <w:sz w:val="20"/>
        </w:rPr>
        <w:t> </w:t>
      </w:r>
      <w:r>
        <w:rPr>
          <w:rFonts w:ascii="Arial" w:hAnsi="Arial"/>
          <w:i/>
          <w:sz w:val="20"/>
        </w:rPr>
        <w:t>A.</w:t>
      </w:r>
      <w:r>
        <w:rPr>
          <w:rFonts w:ascii="Arial" w:hAnsi="Arial"/>
          <w:i/>
          <w:spacing w:val="17"/>
          <w:sz w:val="20"/>
        </w:rPr>
        <w:t> </w:t>
      </w:r>
      <w:r>
        <w:rPr>
          <w:rFonts w:ascii="Arial" w:hAnsi="Arial"/>
          <w:i/>
          <w:sz w:val="20"/>
        </w:rPr>
        <w:t>&amp;</w:t>
      </w:r>
      <w:r>
        <w:rPr>
          <w:rFonts w:ascii="Arial" w:hAnsi="Arial"/>
          <w:i/>
          <w:spacing w:val="17"/>
          <w:sz w:val="20"/>
        </w:rPr>
        <w:t> </w:t>
      </w:r>
      <w:r>
        <w:rPr>
          <w:rFonts w:ascii="Arial" w:hAnsi="Arial"/>
          <w:i/>
          <w:sz w:val="20"/>
        </w:rPr>
        <w:t>E.</w:t>
      </w:r>
      <w:r>
        <w:rPr>
          <w:rFonts w:ascii="Arial" w:hAnsi="Arial"/>
          <w:i/>
          <w:spacing w:val="17"/>
          <w:sz w:val="20"/>
        </w:rPr>
        <w:t> </w:t>
      </w:r>
      <w:r>
        <w:rPr>
          <w:rFonts w:ascii="Arial" w:hAnsi="Arial"/>
          <w:i/>
          <w:sz w:val="20"/>
        </w:rPr>
        <w:t>309,</w:t>
      </w:r>
      <w:r>
        <w:rPr>
          <w:rFonts w:ascii="Arial" w:hAnsi="Arial"/>
          <w:i/>
          <w:spacing w:val="17"/>
          <w:sz w:val="20"/>
        </w:rPr>
        <w:t> </w:t>
      </w:r>
      <w:r>
        <w:rPr>
          <w:rFonts w:ascii="Arial" w:hAnsi="Arial"/>
          <w:i/>
          <w:sz w:val="20"/>
        </w:rPr>
        <w:t>334</w:t>
      </w:r>
      <w:r>
        <w:rPr>
          <w:sz w:val="20"/>
        </w:rPr>
        <w:t>;</w:t>
      </w:r>
      <w:r>
        <w:rPr>
          <w:spacing w:val="17"/>
          <w:sz w:val="20"/>
        </w:rPr>
        <w:t> </w:t>
      </w:r>
      <w:r>
        <w:rPr>
          <w:sz w:val="20"/>
        </w:rPr>
        <w:t>cf.</w:t>
      </w:r>
      <w:r>
        <w:rPr>
          <w:spacing w:val="18"/>
          <w:sz w:val="20"/>
        </w:rPr>
        <w:t> </w:t>
      </w:r>
      <w:r>
        <w:rPr>
          <w:rFonts w:ascii="Arial" w:hAnsi="Arial"/>
          <w:i/>
          <w:sz w:val="20"/>
        </w:rPr>
        <w:t>Foster</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Dawber</w:t>
      </w:r>
      <w:r>
        <w:rPr>
          <w:rFonts w:ascii="Arial" w:hAnsi="Arial"/>
          <w:i/>
          <w:spacing w:val="17"/>
          <w:sz w:val="20"/>
        </w:rPr>
        <w:t> </w:t>
      </w:r>
      <w:r>
        <w:rPr>
          <w:rFonts w:ascii="Arial" w:hAnsi="Arial"/>
          <w:i/>
          <w:sz w:val="20"/>
        </w:rPr>
        <w:t>(1861)</w:t>
      </w:r>
      <w:r>
        <w:rPr>
          <w:rFonts w:ascii="Arial" w:hAnsi="Arial"/>
          <w:i/>
          <w:spacing w:val="17"/>
          <w:sz w:val="20"/>
        </w:rPr>
        <w:t> </w:t>
      </w:r>
      <w:r>
        <w:rPr>
          <w:rFonts w:ascii="Arial" w:hAnsi="Arial"/>
          <w:i/>
          <w:sz w:val="20"/>
        </w:rPr>
        <w:t>6</w:t>
      </w:r>
      <w:r>
        <w:rPr>
          <w:rFonts w:ascii="Arial" w:hAnsi="Arial"/>
          <w:i/>
          <w:spacing w:val="17"/>
          <w:sz w:val="20"/>
        </w:rPr>
        <w:t> </w:t>
      </w:r>
      <w:r>
        <w:rPr>
          <w:rFonts w:ascii="Arial" w:hAnsi="Arial"/>
          <w:i/>
          <w:sz w:val="20"/>
        </w:rPr>
        <w:t>Ex.</w:t>
      </w:r>
      <w:r>
        <w:rPr>
          <w:rFonts w:ascii="Arial" w:hAnsi="Arial"/>
          <w:i/>
          <w:spacing w:val="17"/>
          <w:sz w:val="20"/>
        </w:rPr>
        <w:t> </w:t>
      </w:r>
      <w:r>
        <w:rPr>
          <w:rFonts w:ascii="Arial" w:hAnsi="Arial"/>
          <w:i/>
          <w:sz w:val="20"/>
        </w:rPr>
        <w:t>839</w:t>
      </w:r>
      <w:r>
        <w:rPr>
          <w:sz w:val="20"/>
        </w:rPr>
        <w:t>;</w:t>
      </w:r>
      <w:r>
        <w:rPr>
          <w:spacing w:val="17"/>
          <w:sz w:val="20"/>
        </w:rPr>
        <w:t> </w:t>
      </w:r>
      <w:r>
        <w:rPr>
          <w:rFonts w:ascii="Arial" w:hAnsi="Arial"/>
          <w:i/>
          <w:sz w:val="20"/>
        </w:rPr>
        <w:t>Aspinall’s Club Ltd v Al Zayat [2007] EWCA Civ 1001 </w:t>
      </w:r>
      <w:r>
        <w:rPr>
          <w:sz w:val="20"/>
        </w:rPr>
        <w:t>at [30].</w:t>
      </w:r>
    </w:p>
    <w:p>
      <w:pPr>
        <w:pStyle w:val="BodyText"/>
        <w:spacing w:before="9"/>
      </w:pPr>
    </w:p>
    <w:p>
      <w:pPr>
        <w:tabs>
          <w:tab w:pos="705" w:val="left" w:leader="none"/>
        </w:tabs>
        <w:spacing w:line="235" w:lineRule="auto" w:before="0"/>
        <w:ind w:left="705" w:right="168" w:hanging="541"/>
        <w:jc w:val="left"/>
        <w:rPr>
          <w:sz w:val="20"/>
        </w:rPr>
      </w:pPr>
      <w:bookmarkStart w:name="_bookmark213" w:id="215"/>
      <w:bookmarkEnd w:id="215"/>
      <w:r>
        <w:rPr/>
      </w:r>
      <w:hyperlink w:history="true" w:anchor="_bookmark149">
        <w:r>
          <w:rPr>
            <w:color w:val="005DA1"/>
            <w:spacing w:val="-4"/>
            <w:position w:val="5"/>
            <w:sz w:val="14"/>
            <w:u w:val="single" w:color="005DA1"/>
          </w:rPr>
          <w:t>97</w:t>
        </w:r>
      </w:hyperlink>
      <w:r>
        <w:rPr>
          <w:spacing w:val="-4"/>
          <w:position w:val="5"/>
          <w:sz w:val="14"/>
        </w:rPr>
        <w:t>.</w:t>
      </w:r>
      <w:r>
        <w:rPr>
          <w:position w:val="5"/>
          <w:sz w:val="14"/>
        </w:rPr>
        <w:tab/>
      </w:r>
      <w:r>
        <w:rPr>
          <w:rFonts w:ascii="Arial"/>
          <w:i/>
          <w:sz w:val="20"/>
        </w:rPr>
        <w:t>Sturlyn</w:t>
      </w:r>
      <w:r>
        <w:rPr>
          <w:rFonts w:ascii="Arial"/>
          <w:i/>
          <w:spacing w:val="40"/>
          <w:sz w:val="20"/>
        </w:rPr>
        <w:t> </w:t>
      </w:r>
      <w:r>
        <w:rPr>
          <w:rFonts w:ascii="Arial"/>
          <w:i/>
          <w:sz w:val="20"/>
        </w:rPr>
        <w:t>v</w:t>
      </w:r>
      <w:r>
        <w:rPr>
          <w:rFonts w:ascii="Arial"/>
          <w:i/>
          <w:spacing w:val="40"/>
          <w:sz w:val="20"/>
        </w:rPr>
        <w:t> </w:t>
      </w:r>
      <w:r>
        <w:rPr>
          <w:rFonts w:ascii="Arial"/>
          <w:i/>
          <w:sz w:val="20"/>
        </w:rPr>
        <w:t>Albany</w:t>
      </w:r>
      <w:r>
        <w:rPr>
          <w:rFonts w:ascii="Arial"/>
          <w:i/>
          <w:spacing w:val="40"/>
          <w:sz w:val="20"/>
        </w:rPr>
        <w:t> </w:t>
      </w:r>
      <w:r>
        <w:rPr>
          <w:rFonts w:ascii="Arial"/>
          <w:i/>
          <w:sz w:val="20"/>
        </w:rPr>
        <w:t>(1587)</w:t>
      </w:r>
      <w:r>
        <w:rPr>
          <w:rFonts w:ascii="Arial"/>
          <w:i/>
          <w:spacing w:val="40"/>
          <w:sz w:val="20"/>
        </w:rPr>
        <w:t> </w:t>
      </w:r>
      <w:r>
        <w:rPr>
          <w:rFonts w:ascii="Arial"/>
          <w:i/>
          <w:sz w:val="20"/>
        </w:rPr>
        <w:t>Cro.Eliz.</w:t>
      </w:r>
      <w:r>
        <w:rPr>
          <w:rFonts w:ascii="Arial"/>
          <w:i/>
          <w:spacing w:val="40"/>
          <w:sz w:val="20"/>
        </w:rPr>
        <w:t> </w:t>
      </w:r>
      <w:r>
        <w:rPr>
          <w:rFonts w:ascii="Arial"/>
          <w:i/>
          <w:sz w:val="20"/>
        </w:rPr>
        <w:t>67</w:t>
      </w:r>
      <w:r>
        <w:rPr>
          <w:sz w:val="20"/>
        </w:rPr>
        <w:t>;</w:t>
      </w:r>
      <w:r>
        <w:rPr>
          <w:spacing w:val="40"/>
          <w:sz w:val="20"/>
        </w:rPr>
        <w:t> </w:t>
      </w:r>
      <w:r>
        <w:rPr>
          <w:rFonts w:ascii="Arial"/>
          <w:i/>
          <w:sz w:val="20"/>
        </w:rPr>
        <w:t>March</w:t>
      </w:r>
      <w:r>
        <w:rPr>
          <w:rFonts w:ascii="Arial"/>
          <w:i/>
          <w:spacing w:val="40"/>
          <w:sz w:val="20"/>
        </w:rPr>
        <w:t> </w:t>
      </w:r>
      <w:r>
        <w:rPr>
          <w:rFonts w:ascii="Arial"/>
          <w:i/>
          <w:sz w:val="20"/>
        </w:rPr>
        <w:t>v</w:t>
      </w:r>
      <w:r>
        <w:rPr>
          <w:rFonts w:ascii="Arial"/>
          <w:i/>
          <w:spacing w:val="40"/>
          <w:sz w:val="20"/>
        </w:rPr>
        <w:t> </w:t>
      </w:r>
      <w:r>
        <w:rPr>
          <w:rFonts w:ascii="Arial"/>
          <w:i/>
          <w:sz w:val="20"/>
        </w:rPr>
        <w:t>Culpepper</w:t>
      </w:r>
      <w:r>
        <w:rPr>
          <w:rFonts w:ascii="Arial"/>
          <w:i/>
          <w:spacing w:val="40"/>
          <w:sz w:val="20"/>
        </w:rPr>
        <w:t> </w:t>
      </w:r>
      <w:r>
        <w:rPr>
          <w:rFonts w:ascii="Arial"/>
          <w:i/>
          <w:sz w:val="20"/>
        </w:rPr>
        <w:t>(1628)</w:t>
      </w:r>
      <w:r>
        <w:rPr>
          <w:rFonts w:ascii="Arial"/>
          <w:i/>
          <w:spacing w:val="40"/>
          <w:sz w:val="20"/>
        </w:rPr>
        <w:t> </w:t>
      </w:r>
      <w:r>
        <w:rPr>
          <w:rFonts w:ascii="Arial"/>
          <w:i/>
          <w:sz w:val="20"/>
        </w:rPr>
        <w:t>Cro.Car.70</w:t>
      </w:r>
      <w:r>
        <w:rPr>
          <w:sz w:val="20"/>
        </w:rPr>
        <w:t>;</w:t>
      </w:r>
      <w:r>
        <w:rPr>
          <w:spacing w:val="40"/>
          <w:sz w:val="20"/>
        </w:rPr>
        <w:t> </w:t>
      </w:r>
      <w:r>
        <w:rPr>
          <w:sz w:val="20"/>
        </w:rPr>
        <w:t>contrast</w:t>
      </w:r>
      <w:r>
        <w:rPr>
          <w:spacing w:val="40"/>
          <w:sz w:val="20"/>
        </w:rPr>
        <w:t> </w:t>
      </w:r>
      <w:r>
        <w:rPr>
          <w:rFonts w:ascii="Arial"/>
          <w:i/>
          <w:sz w:val="20"/>
        </w:rPr>
        <w:t>Re Charge</w:t>
      </w:r>
      <w:r>
        <w:rPr>
          <w:rFonts w:ascii="Arial"/>
          <w:i/>
          <w:spacing w:val="7"/>
          <w:sz w:val="20"/>
        </w:rPr>
        <w:t> </w:t>
      </w:r>
      <w:r>
        <w:rPr>
          <w:rFonts w:ascii="Arial"/>
          <w:i/>
          <w:sz w:val="20"/>
        </w:rPr>
        <w:t>Card</w:t>
      </w:r>
      <w:r>
        <w:rPr>
          <w:rFonts w:ascii="Arial"/>
          <w:i/>
          <w:spacing w:val="7"/>
          <w:sz w:val="20"/>
        </w:rPr>
        <w:t> </w:t>
      </w:r>
      <w:r>
        <w:rPr>
          <w:rFonts w:ascii="Arial"/>
          <w:i/>
          <w:sz w:val="20"/>
        </w:rPr>
        <w:t>Services</w:t>
      </w:r>
      <w:r>
        <w:rPr>
          <w:rFonts w:ascii="Arial"/>
          <w:i/>
          <w:spacing w:val="7"/>
          <w:sz w:val="20"/>
        </w:rPr>
        <w:t> </w:t>
      </w:r>
      <w:r>
        <w:rPr>
          <w:rFonts w:ascii="Arial"/>
          <w:i/>
          <w:sz w:val="20"/>
        </w:rPr>
        <w:t>[1987]</w:t>
      </w:r>
      <w:r>
        <w:rPr>
          <w:rFonts w:ascii="Arial"/>
          <w:i/>
          <w:spacing w:val="7"/>
          <w:sz w:val="20"/>
        </w:rPr>
        <w:t> </w:t>
      </w:r>
      <w:r>
        <w:rPr>
          <w:rFonts w:ascii="Arial"/>
          <w:i/>
          <w:sz w:val="20"/>
        </w:rPr>
        <w:t>Ch.</w:t>
      </w:r>
      <w:r>
        <w:rPr>
          <w:rFonts w:ascii="Arial"/>
          <w:i/>
          <w:spacing w:val="7"/>
          <w:sz w:val="20"/>
        </w:rPr>
        <w:t> </w:t>
      </w:r>
      <w:r>
        <w:rPr>
          <w:rFonts w:ascii="Arial"/>
          <w:i/>
          <w:sz w:val="20"/>
        </w:rPr>
        <w:t>150,</w:t>
      </w:r>
      <w:r>
        <w:rPr>
          <w:rFonts w:ascii="Arial"/>
          <w:i/>
          <w:spacing w:val="7"/>
          <w:sz w:val="20"/>
        </w:rPr>
        <w:t> </w:t>
      </w:r>
      <w:r>
        <w:rPr>
          <w:rFonts w:ascii="Arial"/>
          <w:i/>
          <w:sz w:val="20"/>
        </w:rPr>
        <w:t>164,</w:t>
      </w:r>
      <w:r>
        <w:rPr>
          <w:rFonts w:ascii="Arial"/>
          <w:i/>
          <w:spacing w:val="7"/>
          <w:sz w:val="20"/>
        </w:rPr>
        <w:t> </w:t>
      </w:r>
      <w:r>
        <w:rPr>
          <w:rFonts w:ascii="Arial"/>
          <w:i/>
          <w:sz w:val="20"/>
        </w:rPr>
        <w:t>affirmed</w:t>
      </w:r>
      <w:r>
        <w:rPr>
          <w:rFonts w:ascii="Arial"/>
          <w:i/>
          <w:spacing w:val="7"/>
          <w:sz w:val="20"/>
        </w:rPr>
        <w:t> </w:t>
      </w:r>
      <w:r>
        <w:rPr>
          <w:rFonts w:ascii="Arial"/>
          <w:i/>
          <w:sz w:val="20"/>
        </w:rPr>
        <w:t>[1989]</w:t>
      </w:r>
      <w:r>
        <w:rPr>
          <w:rFonts w:ascii="Arial"/>
          <w:i/>
          <w:spacing w:val="7"/>
          <w:sz w:val="20"/>
        </w:rPr>
        <w:t> </w:t>
      </w:r>
      <w:r>
        <w:rPr>
          <w:rFonts w:ascii="Arial"/>
          <w:i/>
          <w:sz w:val="20"/>
        </w:rPr>
        <w:t>Ch.</w:t>
      </w:r>
      <w:r>
        <w:rPr>
          <w:rFonts w:ascii="Arial"/>
          <w:i/>
          <w:spacing w:val="7"/>
          <w:sz w:val="20"/>
        </w:rPr>
        <w:t> </w:t>
      </w:r>
      <w:r>
        <w:rPr>
          <w:rFonts w:ascii="Arial"/>
          <w:i/>
          <w:sz w:val="20"/>
        </w:rPr>
        <w:t>487</w:t>
      </w:r>
      <w:r>
        <w:rPr>
          <w:rFonts w:ascii="Arial"/>
          <w:i/>
          <w:spacing w:val="6"/>
          <w:sz w:val="20"/>
        </w:rPr>
        <w:t> </w:t>
      </w:r>
      <w:r>
        <w:rPr>
          <w:sz w:val="20"/>
        </w:rPr>
        <w:t>(production</w:t>
      </w:r>
      <w:r>
        <w:rPr>
          <w:spacing w:val="7"/>
          <w:sz w:val="20"/>
        </w:rPr>
        <w:t> </w:t>
      </w:r>
      <w:r>
        <w:rPr>
          <w:sz w:val="20"/>
        </w:rPr>
        <w:t>of</w:t>
      </w:r>
      <w:r>
        <w:rPr>
          <w:spacing w:val="7"/>
          <w:sz w:val="20"/>
        </w:rPr>
        <w:t> </w:t>
      </w:r>
      <w:r>
        <w:rPr>
          <w:sz w:val="20"/>
        </w:rPr>
        <w:t>charge</w:t>
      </w:r>
      <w:r>
        <w:rPr>
          <w:spacing w:val="7"/>
          <w:sz w:val="20"/>
        </w:rPr>
        <w:t> </w:t>
      </w:r>
      <w:r>
        <w:rPr>
          <w:spacing w:val="-4"/>
          <w:sz w:val="20"/>
        </w:rPr>
        <w:t>card</w:t>
      </w:r>
    </w:p>
    <w:p>
      <w:pPr>
        <w:spacing w:after="0" w:line="235" w:lineRule="auto"/>
        <w:jc w:val="left"/>
        <w:rPr>
          <w:sz w:val="20"/>
        </w:rPr>
        <w:sectPr>
          <w:type w:val="continuous"/>
          <w:pgSz w:w="11900" w:h="16840"/>
          <w:pgMar w:header="971" w:footer="0" w:top="3760" w:bottom="280" w:left="1275" w:right="1275"/>
        </w:sectPr>
      </w:pPr>
    </w:p>
    <w:p>
      <w:pPr>
        <w:pStyle w:val="BodyText"/>
        <w:spacing w:before="24"/>
      </w:pPr>
    </w:p>
    <w:p>
      <w:pPr>
        <w:pStyle w:val="BodyText"/>
        <w:spacing w:line="235" w:lineRule="auto" w:before="1"/>
        <w:ind w:left="705"/>
      </w:pPr>
      <w:r>
        <w:rPr/>
        <w:t>and</w:t>
      </w:r>
      <w:r>
        <w:rPr>
          <w:spacing w:val="40"/>
        </w:rPr>
        <w:t> </w:t>
      </w:r>
      <w:r>
        <w:rPr/>
        <w:t>signature</w:t>
      </w:r>
      <w:r>
        <w:rPr>
          <w:spacing w:val="40"/>
        </w:rPr>
        <w:t> </w:t>
      </w:r>
      <w:r>
        <w:rPr/>
        <w:t>of</w:t>
      </w:r>
      <w:r>
        <w:rPr>
          <w:spacing w:val="40"/>
        </w:rPr>
        <w:t> </w:t>
      </w:r>
      <w:r>
        <w:rPr/>
        <w:t>voucher</w:t>
      </w:r>
      <w:r>
        <w:rPr>
          <w:spacing w:val="40"/>
        </w:rPr>
        <w:t> </w:t>
      </w:r>
      <w:r>
        <w:rPr/>
        <w:t>not</w:t>
      </w:r>
      <w:r>
        <w:rPr>
          <w:spacing w:val="40"/>
        </w:rPr>
        <w:t> </w:t>
      </w:r>
      <w:r>
        <w:rPr/>
        <w:t>consideration</w:t>
      </w:r>
      <w:r>
        <w:rPr>
          <w:spacing w:val="40"/>
        </w:rPr>
        <w:t> </w:t>
      </w:r>
      <w:r>
        <w:rPr/>
        <w:t>for</w:t>
      </w:r>
      <w:r>
        <w:rPr>
          <w:spacing w:val="40"/>
        </w:rPr>
        <w:t> </w:t>
      </w:r>
      <w:r>
        <w:rPr/>
        <w:t>a</w:t>
      </w:r>
      <w:r>
        <w:rPr>
          <w:spacing w:val="40"/>
        </w:rPr>
        <w:t> </w:t>
      </w:r>
      <w:r>
        <w:rPr/>
        <w:t>supply</w:t>
      </w:r>
      <w:r>
        <w:rPr>
          <w:spacing w:val="40"/>
        </w:rPr>
        <w:t> </w:t>
      </w:r>
      <w:r>
        <w:rPr/>
        <w:t>of</w:t>
      </w:r>
      <w:r>
        <w:rPr>
          <w:spacing w:val="40"/>
        </w:rPr>
        <w:t> </w:t>
      </w:r>
      <w:r>
        <w:rPr/>
        <w:t>goods,</w:t>
      </w:r>
      <w:r>
        <w:rPr>
          <w:spacing w:val="40"/>
        </w:rPr>
        <w:t> </w:t>
      </w:r>
      <w:r>
        <w:rPr/>
        <w:t>evidently</w:t>
      </w:r>
      <w:r>
        <w:rPr>
          <w:spacing w:val="40"/>
        </w:rPr>
        <w:t> </w:t>
      </w:r>
      <w:r>
        <w:rPr/>
        <w:t>because</w:t>
      </w:r>
      <w:r>
        <w:rPr>
          <w:spacing w:val="40"/>
        </w:rPr>
        <w:t> </w:t>
      </w:r>
      <w:r>
        <w:rPr/>
        <w:t>such “consideration” would be blatantly “invented”: cf. above, para.4-010).</w:t>
      </w:r>
    </w:p>
    <w:p>
      <w:pPr>
        <w:pStyle w:val="BodyText"/>
        <w:spacing w:before="9"/>
      </w:pPr>
    </w:p>
    <w:p>
      <w:pPr>
        <w:tabs>
          <w:tab w:pos="705" w:val="left" w:leader="none"/>
        </w:tabs>
        <w:spacing w:line="235" w:lineRule="auto" w:before="0"/>
        <w:ind w:left="705" w:right="168" w:hanging="541"/>
        <w:jc w:val="left"/>
        <w:rPr>
          <w:sz w:val="20"/>
        </w:rPr>
      </w:pPr>
      <w:bookmarkStart w:name="_bookmark214" w:id="216"/>
      <w:bookmarkEnd w:id="216"/>
      <w:r>
        <w:rPr/>
      </w:r>
      <w:hyperlink w:history="true" w:anchor="_bookmark150">
        <w:r>
          <w:rPr>
            <w:color w:val="005DA1"/>
            <w:spacing w:val="-4"/>
            <w:position w:val="5"/>
            <w:sz w:val="14"/>
            <w:u w:val="single" w:color="005DA1"/>
          </w:rPr>
          <w:t>98</w:t>
        </w:r>
      </w:hyperlink>
      <w:r>
        <w:rPr>
          <w:spacing w:val="-4"/>
          <w:position w:val="5"/>
          <w:sz w:val="14"/>
        </w:rPr>
        <w:t>.</w:t>
      </w:r>
      <w:r>
        <w:rPr>
          <w:position w:val="5"/>
          <w:sz w:val="14"/>
        </w:rPr>
        <w:tab/>
      </w:r>
      <w:r>
        <w:rPr>
          <w:rFonts w:ascii="Arial" w:hAnsi="Arial"/>
          <w:i/>
          <w:sz w:val="20"/>
        </w:rPr>
        <w:t>Sepoong</w:t>
      </w:r>
      <w:r>
        <w:rPr>
          <w:rFonts w:ascii="Arial" w:hAnsi="Arial"/>
          <w:i/>
          <w:spacing w:val="24"/>
          <w:sz w:val="20"/>
        </w:rPr>
        <w:t> </w:t>
      </w:r>
      <w:r>
        <w:rPr>
          <w:rFonts w:ascii="Arial" w:hAnsi="Arial"/>
          <w:i/>
          <w:sz w:val="20"/>
        </w:rPr>
        <w:t>Engineering</w:t>
      </w:r>
      <w:r>
        <w:rPr>
          <w:rFonts w:ascii="Arial" w:hAnsi="Arial"/>
          <w:i/>
          <w:spacing w:val="24"/>
          <w:sz w:val="20"/>
        </w:rPr>
        <w:t> </w:t>
      </w:r>
      <w:r>
        <w:rPr>
          <w:rFonts w:ascii="Arial" w:hAnsi="Arial"/>
          <w:i/>
          <w:sz w:val="20"/>
        </w:rPr>
        <w:t>Construction</w:t>
      </w:r>
      <w:r>
        <w:rPr>
          <w:rFonts w:ascii="Arial" w:hAnsi="Arial"/>
          <w:i/>
          <w:spacing w:val="24"/>
          <w:sz w:val="20"/>
        </w:rPr>
        <w:t> </w:t>
      </w:r>
      <w:r>
        <w:rPr>
          <w:rFonts w:ascii="Arial" w:hAnsi="Arial"/>
          <w:i/>
          <w:sz w:val="20"/>
        </w:rPr>
        <w:t>Co</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Formula</w:t>
      </w:r>
      <w:r>
        <w:rPr>
          <w:rFonts w:ascii="Arial" w:hAnsi="Arial"/>
          <w:i/>
          <w:spacing w:val="24"/>
          <w:sz w:val="20"/>
        </w:rPr>
        <w:t> </w:t>
      </w:r>
      <w:r>
        <w:rPr>
          <w:rFonts w:ascii="Arial" w:hAnsi="Arial"/>
          <w:i/>
          <w:sz w:val="20"/>
        </w:rPr>
        <w:t>One</w:t>
      </w:r>
      <w:r>
        <w:rPr>
          <w:rFonts w:ascii="Arial" w:hAnsi="Arial"/>
          <w:i/>
          <w:spacing w:val="24"/>
          <w:sz w:val="20"/>
        </w:rPr>
        <w:t> </w:t>
      </w:r>
      <w:r>
        <w:rPr>
          <w:rFonts w:ascii="Arial" w:hAnsi="Arial"/>
          <w:i/>
          <w:sz w:val="20"/>
        </w:rPr>
        <w:t>Management</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z w:val="20"/>
        </w:rPr>
        <w:t>[2000]</w:t>
      </w:r>
      <w:r>
        <w:rPr>
          <w:rFonts w:ascii="Arial" w:hAnsi="Arial"/>
          <w:i/>
          <w:spacing w:val="24"/>
          <w:sz w:val="20"/>
        </w:rPr>
        <w:t> </w:t>
      </w:r>
      <w:r>
        <w:rPr>
          <w:rFonts w:ascii="Arial" w:hAnsi="Arial"/>
          <w:i/>
          <w:sz w:val="20"/>
        </w:rPr>
        <w:t>1</w:t>
      </w:r>
      <w:r>
        <w:rPr>
          <w:rFonts w:ascii="Arial" w:hAnsi="Arial"/>
          <w:i/>
          <w:spacing w:val="24"/>
          <w:sz w:val="20"/>
        </w:rPr>
        <w:t> </w:t>
      </w:r>
      <w:r>
        <w:rPr>
          <w:rFonts w:ascii="Arial" w:hAnsi="Arial"/>
          <w:i/>
          <w:sz w:val="20"/>
        </w:rPr>
        <w:t>Lloyd’s Rep. 602, 611</w:t>
      </w:r>
      <w:r>
        <w:rPr>
          <w:sz w:val="20"/>
        </w:rPr>
        <w:t>.</w:t>
      </w:r>
    </w:p>
    <w:p>
      <w:pPr>
        <w:pStyle w:val="BodyText"/>
        <w:spacing w:before="5"/>
      </w:pPr>
    </w:p>
    <w:p>
      <w:pPr>
        <w:tabs>
          <w:tab w:pos="705" w:val="left" w:leader="none"/>
        </w:tabs>
        <w:spacing w:before="0"/>
        <w:ind w:left="165" w:right="0" w:firstLine="0"/>
        <w:jc w:val="left"/>
        <w:rPr>
          <w:sz w:val="20"/>
        </w:rPr>
      </w:pPr>
      <w:bookmarkStart w:name="_bookmark215" w:id="217"/>
      <w:bookmarkEnd w:id="217"/>
      <w:r>
        <w:rPr/>
      </w:r>
      <w:hyperlink w:history="true" w:anchor="_bookmark151">
        <w:r>
          <w:rPr>
            <w:color w:val="005DA1"/>
            <w:spacing w:val="-5"/>
            <w:position w:val="5"/>
            <w:sz w:val="14"/>
            <w:u w:val="single" w:color="005DA1"/>
          </w:rPr>
          <w:t>99</w:t>
        </w:r>
      </w:hyperlink>
      <w:r>
        <w:rPr>
          <w:spacing w:val="-5"/>
          <w:position w:val="5"/>
          <w:sz w:val="14"/>
        </w:rPr>
        <w:t>.</w:t>
      </w:r>
      <w:r>
        <w:rPr>
          <w:position w:val="5"/>
          <w:sz w:val="14"/>
        </w:rPr>
        <w:tab/>
      </w:r>
      <w:r>
        <w:rPr>
          <w:rFonts w:ascii="Arial"/>
          <w:i/>
          <w:sz w:val="20"/>
        </w:rPr>
        <w:t>Well Barn Farming Ltd v Backhouse [2005] EWHC 1520, [2005] 3 E.G.L.R. 109</w:t>
      </w:r>
      <w:r>
        <w:rPr>
          <w:rFonts w:ascii="Arial"/>
          <w:i/>
          <w:spacing w:val="-1"/>
          <w:sz w:val="20"/>
        </w:rPr>
        <w:t> </w:t>
      </w:r>
      <w:r>
        <w:rPr>
          <w:sz w:val="20"/>
        </w:rPr>
        <w:t>at </w:t>
      </w:r>
      <w:r>
        <w:rPr>
          <w:spacing w:val="-2"/>
          <w:sz w:val="20"/>
        </w:rPr>
        <w:t>[45].</w:t>
      </w:r>
    </w:p>
    <w:p>
      <w:pPr>
        <w:pStyle w:val="BodyText"/>
        <w:spacing w:before="9"/>
      </w:pPr>
    </w:p>
    <w:p>
      <w:pPr>
        <w:tabs>
          <w:tab w:pos="705" w:val="left" w:leader="none"/>
        </w:tabs>
        <w:spacing w:line="235" w:lineRule="auto" w:before="0"/>
        <w:ind w:left="705" w:right="168" w:hanging="541"/>
        <w:jc w:val="left"/>
        <w:rPr>
          <w:sz w:val="20"/>
        </w:rPr>
      </w:pPr>
      <w:bookmarkStart w:name="_bookmark216" w:id="218"/>
      <w:bookmarkEnd w:id="218"/>
      <w:r>
        <w:rPr/>
      </w:r>
      <w:hyperlink w:history="true" w:anchor="_bookmark152">
        <w:r>
          <w:rPr>
            <w:color w:val="005DA1"/>
            <w:spacing w:val="-4"/>
            <w:position w:val="5"/>
            <w:sz w:val="14"/>
            <w:u w:val="single" w:color="005DA1"/>
          </w:rPr>
          <w:t>100</w:t>
        </w:r>
      </w:hyperlink>
      <w:r>
        <w:rPr>
          <w:spacing w:val="-4"/>
          <w:position w:val="5"/>
          <w:sz w:val="14"/>
        </w:rPr>
        <w:t>.</w:t>
      </w:r>
      <w:r>
        <w:rPr>
          <w:position w:val="5"/>
          <w:sz w:val="14"/>
        </w:rPr>
        <w:tab/>
      </w:r>
      <w:r>
        <w:rPr>
          <w:rFonts w:ascii="Arial" w:hAnsi="Arial"/>
          <w:i/>
          <w:sz w:val="20"/>
        </w:rPr>
        <w:t>Palmer v East &amp; North Herefordshire NHS Trust [2006] EWHC 1997, [2006] Lloyd’s Rep. Med </w:t>
      </w:r>
      <w:r>
        <w:rPr>
          <w:rFonts w:ascii="Arial" w:hAnsi="Arial"/>
          <w:i/>
          <w:spacing w:val="-4"/>
          <w:sz w:val="20"/>
        </w:rPr>
        <w:t>472</w:t>
      </w:r>
      <w:r>
        <w:rPr>
          <w:spacing w:val="-4"/>
          <w:sz w:val="20"/>
        </w:rPr>
        <w:t>.</w:t>
      </w:r>
    </w:p>
    <w:p>
      <w:pPr>
        <w:pStyle w:val="BodyText"/>
        <w:spacing w:before="6"/>
      </w:pPr>
    </w:p>
    <w:p>
      <w:pPr>
        <w:tabs>
          <w:tab w:pos="705" w:val="left" w:leader="none"/>
        </w:tabs>
        <w:spacing w:before="0"/>
        <w:ind w:left="165" w:right="0" w:firstLine="0"/>
        <w:jc w:val="left"/>
        <w:rPr>
          <w:sz w:val="20"/>
        </w:rPr>
      </w:pPr>
      <w:bookmarkStart w:name="_bookmark217" w:id="219"/>
      <w:bookmarkEnd w:id="219"/>
      <w:r>
        <w:rPr/>
      </w:r>
      <w:hyperlink w:history="true" w:anchor="_bookmark153">
        <w:r>
          <w:rPr>
            <w:color w:val="005DA1"/>
            <w:spacing w:val="-4"/>
            <w:position w:val="5"/>
            <w:sz w:val="14"/>
            <w:u w:val="single" w:color="005DA1"/>
          </w:rPr>
          <w:t>101</w:t>
        </w:r>
      </w:hyperlink>
      <w:r>
        <w:rPr>
          <w:spacing w:val="-4"/>
          <w:position w:val="5"/>
          <w:sz w:val="14"/>
        </w:rPr>
        <w:t>.</w:t>
      </w:r>
      <w:r>
        <w:rPr>
          <w:position w:val="5"/>
          <w:sz w:val="14"/>
        </w:rPr>
        <w:tab/>
      </w:r>
      <w:r>
        <w:rPr>
          <w:rFonts w:ascii="Arial"/>
          <w:i/>
          <w:sz w:val="20"/>
        </w:rPr>
        <w:t>[1960] A.C. </w:t>
      </w:r>
      <w:r>
        <w:rPr>
          <w:rFonts w:ascii="Arial"/>
          <w:i/>
          <w:spacing w:val="-5"/>
          <w:sz w:val="20"/>
        </w:rPr>
        <w:t>87</w:t>
      </w:r>
      <w:r>
        <w:rPr>
          <w:spacing w:val="-5"/>
          <w:sz w:val="20"/>
        </w:rPr>
        <w:t>.</w:t>
      </w:r>
    </w:p>
    <w:p>
      <w:pPr>
        <w:pStyle w:val="BodyText"/>
        <w:spacing w:before="8"/>
      </w:pPr>
    </w:p>
    <w:p>
      <w:pPr>
        <w:pStyle w:val="BodyText"/>
        <w:spacing w:line="235" w:lineRule="auto" w:before="1"/>
        <w:ind w:left="705" w:right="167" w:hanging="541"/>
        <w:jc w:val="both"/>
      </w:pPr>
      <w:bookmarkStart w:name="_bookmark218" w:id="220"/>
      <w:bookmarkEnd w:id="220"/>
      <w:r>
        <w:rPr/>
      </w:r>
      <w:hyperlink w:history="true" w:anchor="_bookmark154">
        <w:r>
          <w:rPr>
            <w:color w:val="005DA1"/>
            <w:position w:val="5"/>
            <w:sz w:val="14"/>
            <w:u w:val="single" w:color="005DA1"/>
          </w:rPr>
          <w:t>102</w:t>
        </w:r>
      </w:hyperlink>
      <w:r>
        <w:rPr>
          <w:position w:val="5"/>
          <w:sz w:val="14"/>
        </w:rPr>
        <w:t>.</w:t>
      </w:r>
      <w:r>
        <w:rPr>
          <w:spacing w:val="40"/>
          <w:position w:val="5"/>
          <w:sz w:val="14"/>
        </w:rPr>
        <w:t>  </w:t>
      </w:r>
      <w:r>
        <w:rPr>
          <w:rFonts w:ascii="Arial" w:hAnsi="Arial"/>
          <w:i/>
        </w:rPr>
        <w:t>[1991] 2 A.C. 548</w:t>
      </w:r>
      <w:r>
        <w:rPr/>
        <w:t>. On facts such as those of this case, consideration for the money paid by </w:t>
      </w:r>
      <w:r>
        <w:rPr/>
        <w:t>the member to the club would now be provided by reason of the fact that the club’s promise to the member would be legally enforceable by virtue of s.335(1) of the Gambling Act 2005: Vol.II, para.41-011. But the question whether tokens of very small intrinsic value can constitute consideration can still arise in other contexts, not connected with gambling: see below at n.107.</w:t>
      </w:r>
    </w:p>
    <w:p>
      <w:pPr>
        <w:pStyle w:val="BodyText"/>
        <w:spacing w:before="4"/>
      </w:pPr>
    </w:p>
    <w:p>
      <w:pPr>
        <w:tabs>
          <w:tab w:pos="705" w:val="left" w:leader="none"/>
        </w:tabs>
        <w:spacing w:before="0"/>
        <w:ind w:left="165" w:right="0" w:firstLine="0"/>
        <w:jc w:val="left"/>
        <w:rPr>
          <w:sz w:val="20"/>
        </w:rPr>
      </w:pPr>
      <w:bookmarkStart w:name="_bookmark219" w:id="221"/>
      <w:bookmarkEnd w:id="221"/>
      <w:r>
        <w:rPr/>
      </w:r>
      <w:hyperlink w:history="true" w:anchor="_bookmark155">
        <w:r>
          <w:rPr>
            <w:color w:val="005DA1"/>
            <w:spacing w:val="-4"/>
            <w:position w:val="5"/>
            <w:sz w:val="14"/>
            <w:u w:val="single" w:color="005DA1"/>
          </w:rPr>
          <w:t>103</w:t>
        </w:r>
      </w:hyperlink>
      <w:r>
        <w:rPr>
          <w:spacing w:val="-4"/>
          <w:position w:val="5"/>
          <w:sz w:val="14"/>
        </w:rPr>
        <w:t>.</w:t>
      </w:r>
      <w:r>
        <w:rPr>
          <w:position w:val="5"/>
          <w:sz w:val="14"/>
        </w:rPr>
        <w:tab/>
      </w:r>
      <w:r>
        <w:rPr>
          <w:rFonts w:ascii="Arial"/>
          <w:i/>
          <w:sz w:val="20"/>
        </w:rPr>
        <w:t>[1991]</w:t>
      </w:r>
      <w:r>
        <w:rPr>
          <w:rFonts w:ascii="Arial"/>
          <w:i/>
          <w:spacing w:val="-2"/>
          <w:sz w:val="20"/>
        </w:rPr>
        <w:t> </w:t>
      </w:r>
      <w:r>
        <w:rPr>
          <w:rFonts w:ascii="Arial"/>
          <w:i/>
          <w:sz w:val="20"/>
        </w:rPr>
        <w:t>2 A.C. 548</w:t>
      </w:r>
      <w:r>
        <w:rPr>
          <w:rFonts w:ascii="Arial"/>
          <w:i/>
          <w:spacing w:val="-1"/>
          <w:sz w:val="20"/>
        </w:rPr>
        <w:t> </w:t>
      </w:r>
      <w:r>
        <w:rPr>
          <w:sz w:val="20"/>
        </w:rPr>
        <w:t>at </w:t>
      </w:r>
      <w:r>
        <w:rPr>
          <w:spacing w:val="-4"/>
          <w:sz w:val="20"/>
        </w:rPr>
        <w:t>561.</w:t>
      </w:r>
    </w:p>
    <w:p>
      <w:pPr>
        <w:pStyle w:val="BodyText"/>
        <w:spacing w:before="5"/>
      </w:pPr>
    </w:p>
    <w:p>
      <w:pPr>
        <w:tabs>
          <w:tab w:pos="705" w:val="left" w:leader="none"/>
        </w:tabs>
        <w:spacing w:before="0"/>
        <w:ind w:left="165" w:right="0" w:firstLine="0"/>
        <w:jc w:val="left"/>
        <w:rPr>
          <w:sz w:val="20"/>
        </w:rPr>
      </w:pPr>
      <w:bookmarkStart w:name="_bookmark220" w:id="222"/>
      <w:bookmarkEnd w:id="222"/>
      <w:r>
        <w:rPr/>
      </w:r>
      <w:hyperlink w:history="true" w:anchor="_bookmark156">
        <w:r>
          <w:rPr>
            <w:color w:val="005DA1"/>
            <w:spacing w:val="-4"/>
            <w:position w:val="5"/>
            <w:sz w:val="14"/>
            <w:u w:val="single" w:color="005DA1"/>
          </w:rPr>
          <w:t>104</w:t>
        </w:r>
      </w:hyperlink>
      <w:r>
        <w:rPr>
          <w:spacing w:val="-4"/>
          <w:position w:val="5"/>
          <w:sz w:val="14"/>
        </w:rPr>
        <w:t>.</w:t>
      </w:r>
      <w:r>
        <w:rPr>
          <w:position w:val="5"/>
          <w:sz w:val="14"/>
        </w:rPr>
        <w:tab/>
      </w:r>
      <w:r>
        <w:rPr>
          <w:sz w:val="20"/>
        </w:rPr>
        <w:t>ibid.; and see </w:t>
      </w:r>
      <w:r>
        <w:rPr>
          <w:spacing w:val="-4"/>
          <w:sz w:val="20"/>
        </w:rPr>
        <w:t>575.</w:t>
      </w:r>
    </w:p>
    <w:p>
      <w:pPr>
        <w:pStyle w:val="BodyText"/>
        <w:spacing w:before="5"/>
      </w:pPr>
    </w:p>
    <w:p>
      <w:pPr>
        <w:tabs>
          <w:tab w:pos="705" w:val="left" w:leader="none"/>
        </w:tabs>
        <w:spacing w:before="0"/>
        <w:ind w:left="165" w:right="0" w:firstLine="0"/>
        <w:jc w:val="left"/>
        <w:rPr>
          <w:sz w:val="20"/>
        </w:rPr>
      </w:pPr>
      <w:bookmarkStart w:name="_bookmark221" w:id="223"/>
      <w:bookmarkEnd w:id="223"/>
      <w:r>
        <w:rPr/>
      </w:r>
      <w:hyperlink w:history="true" w:anchor="_bookmark157">
        <w:r>
          <w:rPr>
            <w:color w:val="005DA1"/>
            <w:spacing w:val="-4"/>
            <w:position w:val="5"/>
            <w:sz w:val="14"/>
            <w:u w:val="single" w:color="005DA1"/>
          </w:rPr>
          <w:t>105</w:t>
        </w:r>
      </w:hyperlink>
      <w:r>
        <w:rPr>
          <w:spacing w:val="-4"/>
          <w:position w:val="5"/>
          <w:sz w:val="14"/>
        </w:rPr>
        <w:t>.</w:t>
      </w:r>
      <w:r>
        <w:rPr>
          <w:position w:val="5"/>
          <w:sz w:val="14"/>
        </w:rPr>
        <w:tab/>
      </w:r>
      <w:r>
        <w:rPr>
          <w:rFonts w:ascii="Arial"/>
          <w:i/>
          <w:sz w:val="20"/>
        </w:rPr>
        <w:t>Bainbridge</w:t>
      </w:r>
      <w:r>
        <w:rPr>
          <w:rFonts w:ascii="Arial"/>
          <w:i/>
          <w:spacing w:val="-1"/>
          <w:sz w:val="20"/>
        </w:rPr>
        <w:t> </w:t>
      </w:r>
      <w:r>
        <w:rPr>
          <w:rFonts w:ascii="Arial"/>
          <w:i/>
          <w:sz w:val="20"/>
        </w:rPr>
        <w:t>v Firmstone (1838) 8 A. &amp; E. 743</w:t>
      </w:r>
      <w:r>
        <w:rPr>
          <w:sz w:val="20"/>
        </w:rPr>
        <w:t>; below, para.4-</w:t>
      </w:r>
      <w:r>
        <w:rPr>
          <w:spacing w:val="-4"/>
          <w:sz w:val="20"/>
        </w:rPr>
        <w:t>198.</w:t>
      </w:r>
    </w:p>
    <w:p>
      <w:pPr>
        <w:pStyle w:val="BodyText"/>
        <w:spacing w:before="9"/>
      </w:pPr>
    </w:p>
    <w:p>
      <w:pPr>
        <w:spacing w:line="235" w:lineRule="auto" w:before="0"/>
        <w:ind w:left="705" w:right="168" w:hanging="541"/>
        <w:jc w:val="both"/>
        <w:rPr>
          <w:sz w:val="20"/>
        </w:rPr>
      </w:pPr>
      <w:bookmarkStart w:name="_bookmark222" w:id="224"/>
      <w:bookmarkEnd w:id="224"/>
      <w:r>
        <w:rPr/>
      </w:r>
      <w:hyperlink w:history="true" w:anchor="_bookmark158">
        <w:r>
          <w:rPr>
            <w:color w:val="005DA1"/>
            <w:position w:val="5"/>
            <w:sz w:val="14"/>
            <w:u w:val="single" w:color="005DA1"/>
          </w:rPr>
          <w:t>106</w:t>
        </w:r>
      </w:hyperlink>
      <w:r>
        <w:rPr>
          <w:position w:val="5"/>
          <w:sz w:val="14"/>
        </w:rPr>
        <w:t>.</w:t>
      </w:r>
      <w:r>
        <w:rPr>
          <w:spacing w:val="80"/>
          <w:position w:val="5"/>
          <w:sz w:val="14"/>
        </w:rPr>
        <w:t>  </w:t>
      </w:r>
      <w:r>
        <w:rPr>
          <w:rFonts w:ascii="Arial" w:hAnsi="Arial"/>
          <w:i/>
          <w:sz w:val="20"/>
        </w:rPr>
        <w:t>Lipkin</w:t>
      </w:r>
      <w:r>
        <w:rPr>
          <w:rFonts w:ascii="Arial" w:hAnsi="Arial"/>
          <w:i/>
          <w:spacing w:val="27"/>
          <w:sz w:val="20"/>
        </w:rPr>
        <w:t> </w:t>
      </w:r>
      <w:r>
        <w:rPr>
          <w:rFonts w:ascii="Arial" w:hAnsi="Arial"/>
          <w:i/>
          <w:sz w:val="20"/>
        </w:rPr>
        <w:t>Gorman</w:t>
      </w:r>
      <w:r>
        <w:rPr>
          <w:rFonts w:ascii="Arial" w:hAnsi="Arial"/>
          <w:i/>
          <w:spacing w:val="27"/>
          <w:sz w:val="20"/>
        </w:rPr>
        <w:t> </w:t>
      </w:r>
      <w:r>
        <w:rPr>
          <w:sz w:val="20"/>
        </w:rPr>
        <w:t>case</w:t>
      </w:r>
      <w:r>
        <w:rPr>
          <w:spacing w:val="27"/>
          <w:sz w:val="20"/>
        </w:rPr>
        <w:t> </w:t>
      </w:r>
      <w:r>
        <w:rPr>
          <w:sz w:val="20"/>
        </w:rPr>
        <w:t>above,</w:t>
      </w:r>
      <w:r>
        <w:rPr>
          <w:spacing w:val="27"/>
          <w:sz w:val="20"/>
        </w:rPr>
        <w:t> </w:t>
      </w:r>
      <w:r>
        <w:rPr>
          <w:sz w:val="20"/>
        </w:rPr>
        <w:t>n.101</w:t>
      </w:r>
      <w:r>
        <w:rPr>
          <w:spacing w:val="27"/>
          <w:sz w:val="20"/>
        </w:rPr>
        <w:t> </w:t>
      </w:r>
      <w:r>
        <w:rPr>
          <w:sz w:val="20"/>
        </w:rPr>
        <w:t>at</w:t>
      </w:r>
      <w:r>
        <w:rPr>
          <w:spacing w:val="27"/>
          <w:sz w:val="20"/>
        </w:rPr>
        <w:t> </w:t>
      </w:r>
      <w:r>
        <w:rPr>
          <w:sz w:val="20"/>
        </w:rPr>
        <w:t>575.</w:t>
      </w:r>
      <w:r>
        <w:rPr>
          <w:spacing w:val="27"/>
          <w:sz w:val="20"/>
        </w:rPr>
        <w:t> </w:t>
      </w:r>
      <w:r>
        <w:rPr>
          <w:sz w:val="20"/>
        </w:rPr>
        <w:t>The</w:t>
      </w:r>
      <w:r>
        <w:rPr>
          <w:spacing w:val="27"/>
          <w:sz w:val="20"/>
        </w:rPr>
        <w:t> </w:t>
      </w:r>
      <w:r>
        <w:rPr>
          <w:sz w:val="20"/>
        </w:rPr>
        <w:t>reasoning</w:t>
      </w:r>
      <w:r>
        <w:rPr>
          <w:spacing w:val="27"/>
          <w:sz w:val="20"/>
        </w:rPr>
        <w:t> </w:t>
      </w:r>
      <w:r>
        <w:rPr>
          <w:sz w:val="20"/>
        </w:rPr>
        <w:t>of</w:t>
      </w:r>
      <w:r>
        <w:rPr>
          <w:spacing w:val="27"/>
          <w:sz w:val="20"/>
        </w:rPr>
        <w:t> </w:t>
      </w:r>
      <w:r>
        <w:rPr>
          <w:sz w:val="20"/>
        </w:rPr>
        <w:t>the </w:t>
      </w:r>
      <w:r>
        <w:rPr>
          <w:rFonts w:ascii="Arial" w:hAnsi="Arial"/>
          <w:i/>
          <w:sz w:val="20"/>
        </w:rPr>
        <w:t>Lipkin</w:t>
      </w:r>
      <w:r>
        <w:rPr>
          <w:rFonts w:ascii="Arial" w:hAnsi="Arial"/>
          <w:i/>
          <w:spacing w:val="27"/>
          <w:sz w:val="20"/>
        </w:rPr>
        <w:t> </w:t>
      </w:r>
      <w:r>
        <w:rPr>
          <w:rFonts w:ascii="Arial" w:hAnsi="Arial"/>
          <w:i/>
          <w:sz w:val="20"/>
        </w:rPr>
        <w:t>Gorman</w:t>
      </w:r>
      <w:r>
        <w:rPr>
          <w:rFonts w:ascii="Arial" w:hAnsi="Arial"/>
          <w:i/>
          <w:spacing w:val="27"/>
          <w:sz w:val="20"/>
        </w:rPr>
        <w:t> </w:t>
      </w:r>
      <w:r>
        <w:rPr>
          <w:sz w:val="20"/>
        </w:rPr>
        <w:t>case</w:t>
      </w:r>
      <w:r>
        <w:rPr>
          <w:spacing w:val="27"/>
          <w:sz w:val="20"/>
        </w:rPr>
        <w:t> </w:t>
      </w:r>
      <w:r>
        <w:rPr>
          <w:sz w:val="20"/>
        </w:rPr>
        <w:t>on</w:t>
      </w:r>
      <w:r>
        <w:rPr>
          <w:spacing w:val="27"/>
          <w:sz w:val="20"/>
        </w:rPr>
        <w:t> </w:t>
      </w:r>
      <w:r>
        <w:rPr>
          <w:sz w:val="20"/>
        </w:rPr>
        <w:t>this point continues to apply after the coming into force of the Gambling Act 2005: see </w:t>
      </w:r>
      <w:r>
        <w:rPr>
          <w:rFonts w:ascii="Arial" w:hAnsi="Arial"/>
          <w:i/>
          <w:sz w:val="20"/>
        </w:rPr>
        <w:t>Ritz Hotel Casino Ltd v Al Daher [2014] EWHC 2847 (QB) </w:t>
      </w:r>
      <w:r>
        <w:rPr>
          <w:sz w:val="20"/>
        </w:rPr>
        <w:t>at [31]–[32], below, Vol.II, para.41-042 at</w:t>
      </w:r>
      <w:r>
        <w:rPr>
          <w:spacing w:val="80"/>
          <w:sz w:val="20"/>
        </w:rPr>
        <w:t> </w:t>
      </w:r>
      <w:r>
        <w:rPr>
          <w:spacing w:val="-2"/>
          <w:sz w:val="20"/>
        </w:rPr>
        <w:t>n.255.</w:t>
      </w:r>
    </w:p>
    <w:p>
      <w:pPr>
        <w:pStyle w:val="BodyText"/>
        <w:spacing w:before="4"/>
      </w:pPr>
    </w:p>
    <w:p>
      <w:pPr>
        <w:tabs>
          <w:tab w:pos="705" w:val="left" w:leader="none"/>
        </w:tabs>
        <w:spacing w:before="1"/>
        <w:ind w:left="165" w:right="0" w:firstLine="0"/>
        <w:jc w:val="left"/>
        <w:rPr>
          <w:sz w:val="20"/>
        </w:rPr>
      </w:pPr>
      <w:bookmarkStart w:name="_bookmark223" w:id="225"/>
      <w:bookmarkEnd w:id="225"/>
      <w:r>
        <w:rPr/>
      </w:r>
      <w:hyperlink w:history="true" w:anchor="_bookmark159">
        <w:r>
          <w:rPr>
            <w:color w:val="005DA1"/>
            <w:spacing w:val="-4"/>
            <w:position w:val="5"/>
            <w:sz w:val="14"/>
            <w:u w:val="single" w:color="005DA1"/>
          </w:rPr>
          <w:t>107</w:t>
        </w:r>
      </w:hyperlink>
      <w:r>
        <w:rPr>
          <w:spacing w:val="-4"/>
          <w:position w:val="5"/>
          <w:sz w:val="14"/>
        </w:rPr>
        <w:t>.</w:t>
      </w:r>
      <w:r>
        <w:rPr>
          <w:position w:val="5"/>
          <w:sz w:val="14"/>
        </w:rPr>
        <w:tab/>
      </w:r>
      <w:r>
        <w:rPr>
          <w:sz w:val="20"/>
        </w:rPr>
        <w:t>Above, para.4-</w:t>
      </w:r>
      <w:r>
        <w:rPr>
          <w:spacing w:val="-4"/>
          <w:sz w:val="20"/>
        </w:rPr>
        <w:t>010.</w:t>
      </w:r>
    </w:p>
    <w:p>
      <w:pPr>
        <w:pStyle w:val="BodyText"/>
        <w:spacing w:before="4"/>
      </w:pPr>
    </w:p>
    <w:p>
      <w:pPr>
        <w:tabs>
          <w:tab w:pos="705" w:val="left" w:leader="none"/>
        </w:tabs>
        <w:spacing w:before="1"/>
        <w:ind w:left="165" w:right="0" w:firstLine="0"/>
        <w:jc w:val="left"/>
        <w:rPr>
          <w:sz w:val="20"/>
        </w:rPr>
      </w:pPr>
      <w:bookmarkStart w:name="_bookmark224" w:id="226"/>
      <w:bookmarkEnd w:id="226"/>
      <w:r>
        <w:rPr/>
      </w:r>
      <w:hyperlink w:history="true" w:anchor="_bookmark160">
        <w:r>
          <w:rPr>
            <w:color w:val="005DA1"/>
            <w:spacing w:val="-4"/>
            <w:position w:val="5"/>
            <w:sz w:val="14"/>
            <w:u w:val="single" w:color="005DA1"/>
          </w:rPr>
          <w:t>108</w:t>
        </w:r>
      </w:hyperlink>
      <w:r>
        <w:rPr>
          <w:spacing w:val="-4"/>
          <w:position w:val="5"/>
          <w:sz w:val="14"/>
        </w:rPr>
        <w:t>.</w:t>
      </w:r>
      <w:r>
        <w:rPr>
          <w:position w:val="5"/>
          <w:sz w:val="14"/>
        </w:rPr>
        <w:tab/>
      </w:r>
      <w:r>
        <w:rPr>
          <w:rFonts w:ascii="Arial"/>
          <w:i/>
          <w:sz w:val="20"/>
        </w:rPr>
        <w:t>Lipkin Gorman</w:t>
      </w:r>
      <w:r>
        <w:rPr>
          <w:rFonts w:ascii="Arial"/>
          <w:i/>
          <w:spacing w:val="-1"/>
          <w:sz w:val="20"/>
        </w:rPr>
        <w:t> </w:t>
      </w:r>
      <w:r>
        <w:rPr>
          <w:sz w:val="20"/>
        </w:rPr>
        <w:t>case above, n.101 at 577; italics supplied; cf. below, para.4-</w:t>
      </w:r>
      <w:r>
        <w:rPr>
          <w:spacing w:val="-4"/>
          <w:sz w:val="20"/>
        </w:rPr>
        <w:t>032.</w:t>
      </w:r>
    </w:p>
    <w:p>
      <w:pPr>
        <w:pStyle w:val="BodyText"/>
        <w:spacing w:before="4"/>
      </w:pPr>
    </w:p>
    <w:p>
      <w:pPr>
        <w:tabs>
          <w:tab w:pos="705" w:val="left" w:leader="none"/>
        </w:tabs>
        <w:spacing w:before="1"/>
        <w:ind w:left="165" w:right="0" w:firstLine="0"/>
        <w:jc w:val="left"/>
        <w:rPr>
          <w:sz w:val="20"/>
        </w:rPr>
      </w:pPr>
      <w:bookmarkStart w:name="_bookmark225" w:id="227"/>
      <w:bookmarkEnd w:id="227"/>
      <w:r>
        <w:rPr/>
      </w:r>
      <w:hyperlink w:history="true" w:anchor="_bookmark161">
        <w:r>
          <w:rPr>
            <w:color w:val="005DA1"/>
            <w:spacing w:val="-4"/>
            <w:position w:val="5"/>
            <w:sz w:val="14"/>
            <w:u w:val="single" w:color="005DA1"/>
          </w:rPr>
          <w:t>109</w:t>
        </w:r>
      </w:hyperlink>
      <w:r>
        <w:rPr>
          <w:spacing w:val="-4"/>
          <w:position w:val="5"/>
          <w:sz w:val="14"/>
        </w:rPr>
        <w:t>.</w:t>
      </w:r>
      <w:r>
        <w:rPr>
          <w:position w:val="5"/>
          <w:sz w:val="14"/>
        </w:rPr>
        <w:tab/>
      </w:r>
      <w:r>
        <w:rPr>
          <w:rFonts w:ascii="Arial"/>
          <w:i/>
          <w:sz w:val="20"/>
        </w:rPr>
        <w:t>Lipkin Gorman</w:t>
      </w:r>
      <w:r>
        <w:rPr>
          <w:rFonts w:ascii="Arial"/>
          <w:i/>
          <w:spacing w:val="-1"/>
          <w:sz w:val="20"/>
        </w:rPr>
        <w:t> </w:t>
      </w:r>
      <w:r>
        <w:rPr>
          <w:sz w:val="20"/>
        </w:rPr>
        <w:t>case above, n.101 at </w:t>
      </w:r>
      <w:r>
        <w:rPr>
          <w:spacing w:val="-4"/>
          <w:sz w:val="20"/>
        </w:rPr>
        <w:t>576.</w:t>
      </w:r>
    </w:p>
    <w:p>
      <w:pPr>
        <w:pStyle w:val="BodyText"/>
        <w:spacing w:before="4"/>
      </w:pPr>
    </w:p>
    <w:p>
      <w:pPr>
        <w:tabs>
          <w:tab w:pos="705" w:val="left" w:leader="none"/>
        </w:tabs>
        <w:spacing w:before="1"/>
        <w:ind w:left="165" w:right="0" w:firstLine="0"/>
        <w:jc w:val="left"/>
        <w:rPr>
          <w:sz w:val="20"/>
        </w:rPr>
      </w:pPr>
      <w:bookmarkStart w:name="_bookmark226" w:id="228"/>
      <w:bookmarkEnd w:id="228"/>
      <w:r>
        <w:rPr/>
      </w:r>
      <w:hyperlink w:history="true" w:anchor="_bookmark162">
        <w:r>
          <w:rPr>
            <w:color w:val="005DA1"/>
            <w:spacing w:val="-4"/>
            <w:position w:val="5"/>
            <w:sz w:val="14"/>
            <w:u w:val="single" w:color="005DA1"/>
          </w:rPr>
          <w:t>110</w:t>
        </w:r>
      </w:hyperlink>
      <w:r>
        <w:rPr>
          <w:spacing w:val="-4"/>
          <w:position w:val="5"/>
          <w:sz w:val="14"/>
        </w:rPr>
        <w:t>.</w:t>
      </w:r>
      <w:r>
        <w:rPr>
          <w:position w:val="5"/>
          <w:sz w:val="14"/>
        </w:rPr>
        <w:tab/>
      </w:r>
      <w:r>
        <w:rPr>
          <w:sz w:val="20"/>
        </w:rPr>
        <w:t>Above, para.4-</w:t>
      </w:r>
      <w:r>
        <w:rPr>
          <w:spacing w:val="-4"/>
          <w:sz w:val="20"/>
        </w:rPr>
        <w:t>002.</w:t>
      </w:r>
    </w:p>
    <w:p>
      <w:pPr>
        <w:pStyle w:val="BodyText"/>
        <w:spacing w:before="4"/>
      </w:pPr>
    </w:p>
    <w:p>
      <w:pPr>
        <w:tabs>
          <w:tab w:pos="705" w:val="left" w:leader="none"/>
        </w:tabs>
        <w:spacing w:before="1"/>
        <w:ind w:left="165" w:right="0" w:firstLine="0"/>
        <w:jc w:val="left"/>
        <w:rPr>
          <w:sz w:val="20"/>
        </w:rPr>
      </w:pPr>
      <w:bookmarkStart w:name="_bookmark227" w:id="229"/>
      <w:bookmarkEnd w:id="229"/>
      <w:r>
        <w:rPr/>
      </w:r>
      <w:hyperlink w:history="true" w:anchor="_bookmark163">
        <w:r>
          <w:rPr>
            <w:color w:val="005DA1"/>
            <w:spacing w:val="-4"/>
            <w:position w:val="5"/>
            <w:sz w:val="14"/>
            <w:u w:val="single" w:color="005DA1"/>
          </w:rPr>
          <w:t>111</w:t>
        </w:r>
      </w:hyperlink>
      <w:r>
        <w:rPr>
          <w:spacing w:val="-4"/>
          <w:position w:val="5"/>
          <w:sz w:val="14"/>
        </w:rPr>
        <w:t>.</w:t>
      </w:r>
      <w:r>
        <w:rPr>
          <w:position w:val="5"/>
          <w:sz w:val="14"/>
        </w:rPr>
        <w:tab/>
      </w:r>
      <w:r>
        <w:rPr>
          <w:rFonts w:ascii="Arial"/>
          <w:i/>
          <w:sz w:val="20"/>
        </w:rPr>
        <w:t>[1991]</w:t>
      </w:r>
      <w:r>
        <w:rPr>
          <w:rFonts w:ascii="Arial"/>
          <w:i/>
          <w:spacing w:val="-2"/>
          <w:sz w:val="20"/>
        </w:rPr>
        <w:t> </w:t>
      </w:r>
      <w:r>
        <w:rPr>
          <w:rFonts w:ascii="Arial"/>
          <w:i/>
          <w:sz w:val="20"/>
        </w:rPr>
        <w:t>2 A.C. </w:t>
      </w:r>
      <w:r>
        <w:rPr>
          <w:rFonts w:ascii="Arial"/>
          <w:i/>
          <w:spacing w:val="-4"/>
          <w:sz w:val="20"/>
        </w:rPr>
        <w:t>548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28" w:id="230"/>
      <w:bookmarkEnd w:id="230"/>
      <w:r>
        <w:rPr/>
      </w:r>
      <w:hyperlink w:history="true" w:anchor="_bookmark164">
        <w:r>
          <w:rPr>
            <w:color w:val="005DA1"/>
            <w:spacing w:val="-4"/>
            <w:position w:val="5"/>
            <w:sz w:val="14"/>
            <w:u w:val="single" w:color="005DA1"/>
          </w:rPr>
          <w:t>112</w:t>
        </w:r>
      </w:hyperlink>
      <w:r>
        <w:rPr>
          <w:spacing w:val="-4"/>
          <w:position w:val="5"/>
          <w:sz w:val="14"/>
        </w:rPr>
        <w:t>.</w:t>
      </w:r>
      <w:r>
        <w:rPr>
          <w:position w:val="5"/>
          <w:sz w:val="14"/>
        </w:rPr>
        <w:tab/>
      </w:r>
      <w:r>
        <w:rPr>
          <w:rFonts w:ascii="Arial"/>
          <w:i/>
          <w:sz w:val="20"/>
        </w:rPr>
        <w:t>Lipkin Gorman</w:t>
      </w:r>
      <w:r>
        <w:rPr>
          <w:rFonts w:ascii="Arial"/>
          <w:i/>
          <w:spacing w:val="-1"/>
          <w:sz w:val="20"/>
        </w:rPr>
        <w:t> </w:t>
      </w:r>
      <w:r>
        <w:rPr>
          <w:sz w:val="20"/>
        </w:rPr>
        <w:t>case above, n.110 at </w:t>
      </w:r>
      <w:r>
        <w:rPr>
          <w:spacing w:val="-4"/>
          <w:sz w:val="20"/>
        </w:rPr>
        <w:t>569.</w:t>
      </w:r>
    </w:p>
    <w:p>
      <w:pPr>
        <w:pStyle w:val="BodyText"/>
        <w:spacing w:before="8"/>
      </w:pPr>
    </w:p>
    <w:p>
      <w:pPr>
        <w:pStyle w:val="BodyText"/>
        <w:tabs>
          <w:tab w:pos="705" w:val="left" w:leader="none"/>
        </w:tabs>
        <w:spacing w:line="235" w:lineRule="auto" w:before="1"/>
        <w:ind w:left="705" w:right="168" w:hanging="541"/>
      </w:pPr>
      <w:bookmarkStart w:name="_bookmark229" w:id="231"/>
      <w:bookmarkEnd w:id="231"/>
      <w:r>
        <w:rPr/>
      </w:r>
      <w:hyperlink w:history="true" w:anchor="_bookmark165">
        <w:r>
          <w:rPr>
            <w:color w:val="005DA1"/>
            <w:spacing w:val="-4"/>
            <w:position w:val="5"/>
            <w:sz w:val="14"/>
            <w:u w:val="single" w:color="005DA1"/>
          </w:rPr>
          <w:t>113</w:t>
        </w:r>
      </w:hyperlink>
      <w:r>
        <w:rPr>
          <w:spacing w:val="-4"/>
          <w:position w:val="5"/>
          <w:sz w:val="14"/>
        </w:rPr>
        <w:t>.</w:t>
      </w:r>
      <w:r>
        <w:rPr>
          <w:position w:val="5"/>
          <w:sz w:val="14"/>
        </w:rPr>
        <w:tab/>
      </w:r>
      <w:r>
        <w:rPr/>
        <w:t>ibid. at 567. For the effect of s.335(1) of the Gambling Act 2005 on the reasoning of the </w:t>
      </w:r>
      <w:r>
        <w:rPr>
          <w:rFonts w:ascii="Arial"/>
          <w:i/>
        </w:rPr>
        <w:t>Lipkin Gorman </w:t>
      </w:r>
      <w:r>
        <w:rPr/>
        <w:t>case, see above, para.4-016 n.101.</w:t>
      </w:r>
    </w:p>
    <w:p>
      <w:pPr>
        <w:pStyle w:val="BodyText"/>
        <w:spacing w:before="5"/>
      </w:pPr>
    </w:p>
    <w:p>
      <w:pPr>
        <w:tabs>
          <w:tab w:pos="705" w:val="left" w:leader="none"/>
        </w:tabs>
        <w:spacing w:before="0"/>
        <w:ind w:left="165" w:right="0" w:firstLine="0"/>
        <w:jc w:val="left"/>
        <w:rPr>
          <w:sz w:val="20"/>
        </w:rPr>
      </w:pPr>
      <w:bookmarkStart w:name="_bookmark230" w:id="232"/>
      <w:bookmarkEnd w:id="232"/>
      <w:r>
        <w:rPr/>
      </w:r>
      <w:hyperlink w:history="true" w:anchor="_bookmark166">
        <w:r>
          <w:rPr>
            <w:color w:val="005DA1"/>
            <w:spacing w:val="-4"/>
            <w:position w:val="5"/>
            <w:sz w:val="14"/>
            <w:u w:val="single" w:color="005DA1"/>
          </w:rPr>
          <w:t>114</w:t>
        </w:r>
      </w:hyperlink>
      <w:r>
        <w:rPr>
          <w:spacing w:val="-4"/>
          <w:position w:val="5"/>
          <w:sz w:val="14"/>
        </w:rPr>
        <w:t>.</w:t>
      </w:r>
      <w:r>
        <w:rPr>
          <w:position w:val="5"/>
          <w:sz w:val="14"/>
        </w:rPr>
        <w:tab/>
      </w:r>
      <w:r>
        <w:rPr>
          <w:rFonts w:ascii="Arial"/>
          <w:i/>
          <w:sz w:val="20"/>
        </w:rPr>
        <w:t>Lipkin Gorman</w:t>
      </w:r>
      <w:r>
        <w:rPr>
          <w:rFonts w:ascii="Arial"/>
          <w:i/>
          <w:spacing w:val="-1"/>
          <w:sz w:val="20"/>
        </w:rPr>
        <w:t> </w:t>
      </w:r>
      <w:r>
        <w:rPr>
          <w:sz w:val="20"/>
        </w:rPr>
        <w:t>case above, n.110 at </w:t>
      </w:r>
      <w:r>
        <w:rPr>
          <w:spacing w:val="-4"/>
          <w:sz w:val="20"/>
        </w:rPr>
        <w:t>561.</w:t>
      </w:r>
    </w:p>
    <w:p>
      <w:pPr>
        <w:pStyle w:val="BodyText"/>
        <w:spacing w:before="9"/>
      </w:pPr>
    </w:p>
    <w:p>
      <w:pPr>
        <w:pStyle w:val="BodyText"/>
        <w:spacing w:line="235" w:lineRule="auto"/>
        <w:ind w:left="705" w:right="167" w:hanging="541"/>
        <w:jc w:val="both"/>
      </w:pPr>
      <w:bookmarkStart w:name="_bookmark231" w:id="233"/>
      <w:bookmarkEnd w:id="233"/>
      <w:r>
        <w:rPr/>
      </w:r>
      <w:hyperlink w:history="true" w:anchor="_bookmark167">
        <w:r>
          <w:rPr>
            <w:color w:val="005DA1"/>
            <w:position w:val="5"/>
            <w:sz w:val="14"/>
            <w:u w:val="single" w:color="005DA1"/>
          </w:rPr>
          <w:t>115</w:t>
        </w:r>
      </w:hyperlink>
      <w:r>
        <w:rPr>
          <w:position w:val="5"/>
          <w:sz w:val="14"/>
        </w:rPr>
        <w:t>.</w:t>
      </w:r>
      <w:r>
        <w:rPr>
          <w:spacing w:val="80"/>
          <w:w w:val="150"/>
          <w:position w:val="5"/>
          <w:sz w:val="14"/>
        </w:rPr>
        <w:t> </w:t>
      </w:r>
      <w:r>
        <w:rPr/>
        <w:t>Atiyah, </w:t>
      </w:r>
      <w:r>
        <w:rPr>
          <w:rFonts w:ascii="Arial" w:hAnsi="Arial"/>
          <w:i/>
        </w:rPr>
        <w:t>Essays on Contracts</w:t>
      </w:r>
      <w:r>
        <w:rPr/>
        <w:t>, p.194 argues that there is no logical connection between the two rules,</w:t>
      </w:r>
      <w:r>
        <w:rPr>
          <w:spacing w:val="-2"/>
        </w:rPr>
        <w:t> </w:t>
      </w:r>
      <w:r>
        <w:rPr/>
        <w:t>relying</w:t>
      </w:r>
      <w:r>
        <w:rPr>
          <w:spacing w:val="-2"/>
        </w:rPr>
        <w:t> </w:t>
      </w:r>
      <w:r>
        <w:rPr/>
        <w:t>on</w:t>
      </w:r>
      <w:r>
        <w:rPr>
          <w:spacing w:val="-2"/>
        </w:rPr>
        <w:t> </w:t>
      </w:r>
      <w:r>
        <w:rPr/>
        <w:t>the</w:t>
      </w:r>
      <w:r>
        <w:rPr>
          <w:spacing w:val="-2"/>
        </w:rPr>
        <w:t> </w:t>
      </w:r>
      <w:r>
        <w:rPr/>
        <w:t>fact</w:t>
      </w:r>
      <w:r>
        <w:rPr>
          <w:spacing w:val="-2"/>
        </w:rPr>
        <w:t> </w:t>
      </w:r>
      <w:r>
        <w:rPr/>
        <w:t>that</w:t>
      </w:r>
      <w:r>
        <w:rPr>
          <w:spacing w:val="-2"/>
        </w:rPr>
        <w:t> </w:t>
      </w:r>
      <w:r>
        <w:rPr/>
        <w:t>in</w:t>
      </w:r>
      <w:r>
        <w:rPr>
          <w:spacing w:val="-2"/>
        </w:rPr>
        <w:t> </w:t>
      </w:r>
      <w:r>
        <w:rPr/>
        <w:t>many</w:t>
      </w:r>
      <w:r>
        <w:rPr>
          <w:spacing w:val="-2"/>
        </w:rPr>
        <w:t> </w:t>
      </w:r>
      <w:r>
        <w:rPr/>
        <w:t>of</w:t>
      </w:r>
      <w:r>
        <w:rPr>
          <w:spacing w:val="-2"/>
        </w:rPr>
        <w:t> </w:t>
      </w:r>
      <w:r>
        <w:rPr/>
        <w:t>the</w:t>
      </w:r>
      <w:r>
        <w:rPr>
          <w:spacing w:val="-2"/>
        </w:rPr>
        <w:t> </w:t>
      </w:r>
      <w:r>
        <w:rPr/>
        <w:t>United</w:t>
      </w:r>
      <w:r>
        <w:rPr>
          <w:spacing w:val="-2"/>
        </w:rPr>
        <w:t> </w:t>
      </w:r>
      <w:r>
        <w:rPr/>
        <w:t>States</w:t>
      </w:r>
      <w:r>
        <w:rPr>
          <w:spacing w:val="-2"/>
        </w:rPr>
        <w:t> </w:t>
      </w:r>
      <w:r>
        <w:rPr/>
        <w:t>the</w:t>
      </w:r>
      <w:r>
        <w:rPr>
          <w:spacing w:val="-2"/>
        </w:rPr>
        <w:t> </w:t>
      </w:r>
      <w:r>
        <w:rPr/>
        <w:t>courts</w:t>
      </w:r>
      <w:r>
        <w:rPr>
          <w:spacing w:val="-2"/>
        </w:rPr>
        <w:t> </w:t>
      </w:r>
      <w:r>
        <w:rPr/>
        <w:t>recognise</w:t>
      </w:r>
      <w:r>
        <w:rPr>
          <w:spacing w:val="-2"/>
        </w:rPr>
        <w:t> </w:t>
      </w:r>
      <w:r>
        <w:rPr/>
        <w:t>the</w:t>
      </w:r>
      <w:r>
        <w:rPr>
          <w:spacing w:val="-2"/>
        </w:rPr>
        <w:t> </w:t>
      </w:r>
      <w:r>
        <w:rPr/>
        <w:t>principle</w:t>
      </w:r>
      <w:r>
        <w:rPr>
          <w:spacing w:val="-2"/>
        </w:rPr>
        <w:t> </w:t>
      </w:r>
      <w:r>
        <w:rPr/>
        <w:t>that consideration need not be adequate, while rejecting the device of nominal consideration. </w:t>
      </w:r>
      <w:r>
        <w:rPr/>
        <w:t>The answer to this argument lies in Holmes’ aphorism (The Common Law, p.1) that “life of the law has not been logic: it has been experience:” American courts which reject the device of nominal consideration do so on policy grounds which have nothing to do with logic.</w:t>
      </w:r>
    </w:p>
    <w:p>
      <w:pPr>
        <w:pStyle w:val="BodyText"/>
        <w:spacing w:before="4"/>
      </w:pPr>
    </w:p>
    <w:p>
      <w:pPr>
        <w:tabs>
          <w:tab w:pos="705" w:val="left" w:leader="none"/>
        </w:tabs>
        <w:spacing w:before="0"/>
        <w:ind w:left="165" w:right="0" w:firstLine="0"/>
        <w:jc w:val="left"/>
        <w:rPr>
          <w:sz w:val="20"/>
        </w:rPr>
      </w:pPr>
      <w:bookmarkStart w:name="_bookmark232" w:id="234"/>
      <w:bookmarkEnd w:id="234"/>
      <w:r>
        <w:rPr/>
      </w:r>
      <w:hyperlink w:history="true" w:anchor="_bookmark168">
        <w:r>
          <w:rPr>
            <w:color w:val="005DA1"/>
            <w:spacing w:val="-4"/>
            <w:position w:val="5"/>
            <w:sz w:val="14"/>
            <w:u w:val="single" w:color="005DA1"/>
          </w:rPr>
          <w:t>116</w:t>
        </w:r>
      </w:hyperlink>
      <w:r>
        <w:rPr>
          <w:spacing w:val="-4"/>
          <w:position w:val="5"/>
          <w:sz w:val="14"/>
        </w:rPr>
        <w:t>.</w:t>
      </w:r>
      <w:r>
        <w:rPr>
          <w:position w:val="5"/>
          <w:sz w:val="14"/>
        </w:rPr>
        <w:tab/>
      </w:r>
      <w:r>
        <w:rPr>
          <w:rFonts w:ascii="Arial"/>
          <w:i/>
          <w:sz w:val="20"/>
        </w:rPr>
        <w:t>Birmingham City Council v Forde [2009] EWHC 12, [2009] 1 W.L.R. 3732</w:t>
      </w:r>
      <w:r>
        <w:rPr>
          <w:rFonts w:ascii="Arial"/>
          <w:i/>
          <w:spacing w:val="-1"/>
          <w:sz w:val="20"/>
        </w:rPr>
        <w:t> </w:t>
      </w:r>
      <w:r>
        <w:rPr>
          <w:sz w:val="20"/>
        </w:rPr>
        <w:t>at </w:t>
      </w:r>
      <w:r>
        <w:rPr>
          <w:spacing w:val="-2"/>
          <w:sz w:val="20"/>
        </w:rPr>
        <w:t>[90].</w:t>
      </w:r>
    </w:p>
    <w:p>
      <w:pPr>
        <w:pStyle w:val="BodyText"/>
        <w:spacing w:before="5"/>
      </w:pPr>
    </w:p>
    <w:p>
      <w:pPr>
        <w:tabs>
          <w:tab w:pos="705" w:val="left" w:leader="none"/>
        </w:tabs>
        <w:spacing w:before="0"/>
        <w:ind w:left="165" w:right="0" w:firstLine="0"/>
        <w:jc w:val="left"/>
        <w:rPr>
          <w:sz w:val="20"/>
        </w:rPr>
      </w:pPr>
      <w:bookmarkStart w:name="_bookmark233" w:id="235"/>
      <w:bookmarkEnd w:id="235"/>
      <w:r>
        <w:rPr/>
      </w:r>
      <w:hyperlink w:history="true" w:anchor="_bookmark169">
        <w:r>
          <w:rPr>
            <w:color w:val="005DA1"/>
            <w:spacing w:val="-4"/>
            <w:position w:val="5"/>
            <w:sz w:val="14"/>
            <w:u w:val="single" w:color="005DA1"/>
          </w:rPr>
          <w:t>117</w:t>
        </w:r>
      </w:hyperlink>
      <w:r>
        <w:rPr>
          <w:spacing w:val="-4"/>
          <w:position w:val="5"/>
          <w:sz w:val="14"/>
        </w:rPr>
        <w:t>.</w:t>
      </w:r>
      <w:r>
        <w:rPr>
          <w:position w:val="5"/>
          <w:sz w:val="14"/>
        </w:rPr>
        <w:tab/>
      </w:r>
      <w:r>
        <w:rPr>
          <w:sz w:val="20"/>
        </w:rPr>
        <w:t>Above, </w:t>
      </w:r>
      <w:r>
        <w:rPr>
          <w:spacing w:val="-2"/>
          <w:sz w:val="20"/>
        </w:rPr>
        <w:t>n.115.</w:t>
      </w:r>
    </w:p>
    <w:p>
      <w:pPr>
        <w:pStyle w:val="BodyText"/>
        <w:spacing w:before="5"/>
      </w:pPr>
    </w:p>
    <w:p>
      <w:pPr>
        <w:tabs>
          <w:tab w:pos="705" w:val="left" w:leader="none"/>
        </w:tabs>
        <w:spacing w:before="0"/>
        <w:ind w:left="165" w:right="0" w:firstLine="0"/>
        <w:jc w:val="left"/>
        <w:rPr>
          <w:sz w:val="20"/>
        </w:rPr>
      </w:pPr>
      <w:bookmarkStart w:name="_bookmark234" w:id="236"/>
      <w:bookmarkEnd w:id="236"/>
      <w:r>
        <w:rPr/>
      </w:r>
      <w:hyperlink w:history="true" w:anchor="_bookmark170">
        <w:r>
          <w:rPr>
            <w:color w:val="005DA1"/>
            <w:spacing w:val="-4"/>
            <w:position w:val="5"/>
            <w:sz w:val="14"/>
            <w:u w:val="single" w:color="005DA1"/>
          </w:rPr>
          <w:t>118</w:t>
        </w:r>
      </w:hyperlink>
      <w:r>
        <w:rPr>
          <w:spacing w:val="-4"/>
          <w:position w:val="5"/>
          <w:sz w:val="14"/>
        </w:rPr>
        <w:t>.</w:t>
      </w:r>
      <w:r>
        <w:rPr>
          <w:position w:val="5"/>
          <w:sz w:val="14"/>
        </w:rPr>
        <w:tab/>
      </w:r>
      <w:r>
        <w:rPr>
          <w:sz w:val="20"/>
        </w:rPr>
        <w:t>After n.114, </w:t>
      </w:r>
      <w:r>
        <w:rPr>
          <w:spacing w:val="-2"/>
          <w:sz w:val="20"/>
        </w:rPr>
        <w:t>above.</w:t>
      </w:r>
    </w:p>
    <w:p>
      <w:pPr>
        <w:spacing w:after="0"/>
        <w:jc w:val="left"/>
        <w:rPr>
          <w:sz w:val="20"/>
        </w:rPr>
        <w:sectPr>
          <w:pgSz w:w="11900" w:h="16840"/>
          <w:pgMar w:header="971" w:footer="0" w:top="1160" w:bottom="280" w:left="1275" w:right="1275"/>
        </w:sectPr>
      </w:pPr>
    </w:p>
    <w:p>
      <w:pPr>
        <w:pStyle w:val="BodyText"/>
        <w:spacing w:before="81"/>
      </w:pPr>
    </w:p>
    <w:p>
      <w:pPr>
        <w:pStyle w:val="BodyText"/>
        <w:tabs>
          <w:tab w:pos="705" w:val="left" w:leader="none"/>
        </w:tabs>
        <w:ind w:left="165"/>
      </w:pPr>
      <w:hyperlink w:history="true" w:anchor="_bookmark171">
        <w:r>
          <w:rPr>
            <w:color w:val="005DA1"/>
            <w:spacing w:val="-4"/>
            <w:position w:val="5"/>
            <w:sz w:val="14"/>
            <w:u w:val="single" w:color="005DA1"/>
          </w:rPr>
          <w:t>119</w:t>
        </w:r>
      </w:hyperlink>
      <w:r>
        <w:rPr>
          <w:spacing w:val="-4"/>
          <w:position w:val="5"/>
          <w:sz w:val="14"/>
        </w:rPr>
        <w:t>.</w:t>
      </w:r>
      <w:r>
        <w:rPr>
          <w:position w:val="5"/>
          <w:sz w:val="14"/>
        </w:rPr>
        <w:tab/>
      </w:r>
      <w:r>
        <w:rPr/>
        <w:t>See para.4-072 </w:t>
      </w:r>
      <w:r>
        <w:rPr>
          <w:spacing w:val="-2"/>
        </w:rPr>
        <w:t>below.</w:t>
      </w:r>
    </w:p>
    <w:p>
      <w:pPr>
        <w:pStyle w:val="BodyText"/>
        <w:spacing w:before="5"/>
      </w:pPr>
    </w:p>
    <w:p>
      <w:pPr>
        <w:pStyle w:val="BodyText"/>
        <w:tabs>
          <w:tab w:pos="705" w:val="left" w:leader="none"/>
        </w:tabs>
        <w:ind w:left="165"/>
      </w:pPr>
      <w:bookmarkStart w:name="_bookmark235" w:id="237"/>
      <w:bookmarkEnd w:id="237"/>
      <w:r>
        <w:rPr/>
      </w:r>
      <w:hyperlink w:history="true" w:anchor="_bookmark172">
        <w:r>
          <w:rPr>
            <w:color w:val="005DA1"/>
            <w:spacing w:val="-4"/>
            <w:position w:val="5"/>
            <w:sz w:val="14"/>
            <w:u w:val="single" w:color="005DA1"/>
          </w:rPr>
          <w:t>120</w:t>
        </w:r>
      </w:hyperlink>
      <w:r>
        <w:rPr>
          <w:spacing w:val="-4"/>
          <w:position w:val="5"/>
          <w:sz w:val="14"/>
        </w:rPr>
        <w:t>.</w:t>
      </w:r>
      <w:r>
        <w:rPr>
          <w:position w:val="5"/>
          <w:sz w:val="14"/>
        </w:rPr>
        <w:tab/>
      </w:r>
      <w:r>
        <w:rPr/>
        <w:t>See para.4-069 </w:t>
      </w:r>
      <w:r>
        <w:rPr>
          <w:spacing w:val="-2"/>
        </w:rPr>
        <w:t>below.</w:t>
      </w:r>
    </w:p>
    <w:p>
      <w:pPr>
        <w:pStyle w:val="BodyText"/>
        <w:spacing w:before="5"/>
      </w:pPr>
    </w:p>
    <w:p>
      <w:pPr>
        <w:pStyle w:val="BodyText"/>
        <w:tabs>
          <w:tab w:pos="705" w:val="left" w:leader="none"/>
        </w:tabs>
        <w:ind w:left="165"/>
      </w:pPr>
      <w:bookmarkStart w:name="_bookmark236" w:id="238"/>
      <w:bookmarkEnd w:id="238"/>
      <w:r>
        <w:rPr/>
      </w:r>
      <w:hyperlink w:history="true" w:anchor="_bookmark173">
        <w:r>
          <w:rPr>
            <w:color w:val="005DA1"/>
            <w:spacing w:val="-4"/>
            <w:position w:val="5"/>
            <w:sz w:val="14"/>
            <w:u w:val="single" w:color="005DA1"/>
          </w:rPr>
          <w:t>121</w:t>
        </w:r>
      </w:hyperlink>
      <w:r>
        <w:rPr>
          <w:spacing w:val="-4"/>
          <w:position w:val="5"/>
          <w:sz w:val="14"/>
        </w:rPr>
        <w:t>.</w:t>
      </w:r>
      <w:r>
        <w:rPr>
          <w:position w:val="5"/>
          <w:sz w:val="14"/>
        </w:rPr>
        <w:tab/>
      </w:r>
      <w:r>
        <w:rPr/>
        <w:t>See</w:t>
      </w:r>
      <w:r>
        <w:rPr>
          <w:spacing w:val="-2"/>
        </w:rPr>
        <w:t> </w:t>
      </w:r>
      <w:r>
        <w:rPr/>
        <w:t>above, para.4-</w:t>
      </w:r>
      <w:r>
        <w:rPr>
          <w:spacing w:val="-4"/>
        </w:rPr>
        <w:t>002.</w:t>
      </w:r>
    </w:p>
    <w:p>
      <w:pPr>
        <w:pStyle w:val="BodyText"/>
        <w:spacing w:before="9"/>
      </w:pPr>
    </w:p>
    <w:p>
      <w:pPr>
        <w:pStyle w:val="BodyText"/>
        <w:spacing w:line="235" w:lineRule="auto"/>
        <w:ind w:left="705" w:right="167" w:hanging="541"/>
        <w:jc w:val="both"/>
      </w:pPr>
      <w:bookmarkStart w:name="_bookmark237" w:id="239"/>
      <w:bookmarkEnd w:id="239"/>
      <w:r>
        <w:rPr/>
      </w:r>
      <w:hyperlink w:history="true" w:anchor="_bookmark174">
        <w:r>
          <w:rPr>
            <w:color w:val="005DA1"/>
            <w:position w:val="5"/>
            <w:sz w:val="14"/>
            <w:u w:val="single" w:color="005DA1"/>
          </w:rPr>
          <w:t>122</w:t>
        </w:r>
      </w:hyperlink>
      <w:r>
        <w:rPr>
          <w:position w:val="5"/>
          <w:sz w:val="14"/>
        </w:rPr>
        <w:t>.</w:t>
      </w:r>
      <w:r>
        <w:rPr>
          <w:spacing w:val="80"/>
          <w:w w:val="150"/>
          <w:position w:val="5"/>
          <w:sz w:val="14"/>
        </w:rPr>
        <w:t> </w:t>
      </w:r>
      <w:r>
        <w:rPr/>
        <w:t>Thus a nominal consideration was disregarded in </w:t>
      </w:r>
      <w:r>
        <w:rPr>
          <w:rFonts w:ascii="Arial" w:hAnsi="Arial"/>
          <w:i/>
        </w:rPr>
        <w:t>Milroy v Lord (1862) 4 D.F. &amp; J. </w:t>
      </w:r>
      <w:r>
        <w:rPr>
          <w:rFonts w:ascii="Arial" w:hAnsi="Arial"/>
          <w:i/>
        </w:rPr>
        <w:t>264</w:t>
      </w:r>
      <w:r>
        <w:rPr/>
        <w:t>,</w:t>
      </w:r>
      <w:r>
        <w:rPr>
          <w:spacing w:val="80"/>
        </w:rPr>
        <w:t> </w:t>
      </w:r>
      <w:r>
        <w:rPr/>
        <w:t>discussed below, para.19-035; specific performance will not be ordered of a promise supported by</w:t>
      </w:r>
      <w:r>
        <w:rPr>
          <w:spacing w:val="-1"/>
        </w:rPr>
        <w:t> </w:t>
      </w:r>
      <w:r>
        <w:rPr/>
        <w:t>only</w:t>
      </w:r>
      <w:r>
        <w:rPr>
          <w:spacing w:val="-1"/>
        </w:rPr>
        <w:t> </w:t>
      </w:r>
      <w:r>
        <w:rPr/>
        <w:t>nominal</w:t>
      </w:r>
      <w:r>
        <w:rPr>
          <w:spacing w:val="-1"/>
        </w:rPr>
        <w:t> </w:t>
      </w:r>
      <w:r>
        <w:rPr/>
        <w:t>consideration</w:t>
      </w:r>
      <w:r>
        <w:rPr>
          <w:spacing w:val="-1"/>
        </w:rPr>
        <w:t> </w:t>
      </w:r>
      <w:r>
        <w:rPr/>
        <w:t>(below,</w:t>
      </w:r>
      <w:r>
        <w:rPr>
          <w:spacing w:val="-1"/>
        </w:rPr>
        <w:t> </w:t>
      </w:r>
      <w:r>
        <w:rPr/>
        <w:t>para.27-039)</w:t>
      </w:r>
      <w:r>
        <w:rPr>
          <w:spacing w:val="-1"/>
        </w:rPr>
        <w:t> </w:t>
      </w:r>
      <w:r>
        <w:rPr/>
        <w:t>and</w:t>
      </w:r>
      <w:r>
        <w:rPr>
          <w:spacing w:val="-1"/>
        </w:rPr>
        <w:t> </w:t>
      </w:r>
      <w:r>
        <w:rPr/>
        <w:t>for</w:t>
      </w:r>
      <w:r>
        <w:rPr>
          <w:spacing w:val="-1"/>
        </w:rPr>
        <w:t> </w:t>
      </w:r>
      <w:r>
        <w:rPr/>
        <w:t>the</w:t>
      </w:r>
      <w:r>
        <w:rPr>
          <w:spacing w:val="-1"/>
        </w:rPr>
        <w:t> </w:t>
      </w:r>
      <w:r>
        <w:rPr/>
        <w:t>purposes</w:t>
      </w:r>
      <w:r>
        <w:rPr>
          <w:spacing w:val="-1"/>
        </w:rPr>
        <w:t> </w:t>
      </w:r>
      <w:r>
        <w:rPr/>
        <w:t>of</w:t>
      </w:r>
      <w:r>
        <w:rPr>
          <w:spacing w:val="-1"/>
        </w:rPr>
        <w:t> </w:t>
      </w:r>
      <w:r>
        <w:rPr/>
        <w:t>the</w:t>
      </w:r>
      <w:r>
        <w:rPr>
          <w:spacing w:val="-1"/>
        </w:rPr>
        <w:t> </w:t>
      </w:r>
      <w:r>
        <w:rPr/>
        <w:t>Law</w:t>
      </w:r>
      <w:r>
        <w:rPr>
          <w:spacing w:val="-1"/>
        </w:rPr>
        <w:t> </w:t>
      </w:r>
      <w:r>
        <w:rPr/>
        <w:t>of</w:t>
      </w:r>
      <w:r>
        <w:rPr>
          <w:spacing w:val="-1"/>
        </w:rPr>
        <w:t> </w:t>
      </w:r>
      <w:r>
        <w:rPr/>
        <w:t>Property Act 1925, “valuable consideration does not include a nominal consideration in money”: </w:t>
      </w:r>
      <w:r>
        <w:rPr>
          <w:spacing w:val="-2"/>
        </w:rPr>
        <w:t>s.205(1)(xxi).</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bookmarkStart w:name="_bookmark238" w:id="240"/>
      <w:bookmarkEnd w:id="240"/>
      <w:r>
        <w:rPr/>
      </w:r>
      <w:hyperlink w:history="true" w:anchor="_bookmark175">
        <w:r>
          <w:rPr>
            <w:color w:val="005DA1"/>
            <w:spacing w:val="-4"/>
            <w:sz w:val="14"/>
            <w:u w:val="single" w:color="005DA1"/>
          </w:rPr>
          <w:t>123</w:t>
        </w:r>
      </w:hyperlink>
      <w:r>
        <w:rPr>
          <w:spacing w:val="-4"/>
          <w:sz w:val="14"/>
        </w:rPr>
        <w:t>.</w:t>
      </w:r>
    </w:p>
    <w:p>
      <w:pPr>
        <w:spacing w:line="235" w:lineRule="auto" w:before="212"/>
        <w:ind w:left="165" w:right="167" w:firstLine="170"/>
        <w:jc w:val="both"/>
        <w:rPr>
          <w:rFonts w:ascii="Arial" w:hAnsi="Arial"/>
          <w:i/>
          <w:sz w:val="20"/>
        </w:rPr>
      </w:pPr>
      <w:r>
        <w:rPr/>
        <w:br w:type="column"/>
      </w:r>
      <w:r>
        <w:rPr>
          <w:sz w:val="20"/>
        </w:rPr>
        <w:t>Below, para.10-054. For other ways of protecting third parties from being prejudiced </w:t>
      </w:r>
      <w:r>
        <w:rPr>
          <w:sz w:val="20"/>
        </w:rPr>
        <w:t>by promises made for inadequate consideration, see Trustee Act 1925, s.13; Law of Property Act 1925, ss.172, 173; Local Government Act 1972, s.123, considered in </w:t>
      </w:r>
      <w:r>
        <w:rPr>
          <w:rFonts w:ascii="Arial" w:hAnsi="Arial"/>
          <w:i/>
          <w:sz w:val="20"/>
        </w:rPr>
        <w:t>R. v Pembrokeshire CC Ex p. Coker [1999] 4 All E.R. 1007</w:t>
      </w:r>
      <w:r>
        <w:rPr>
          <w:sz w:val="20"/>
        </w:rPr>
        <w:t>, </w:t>
      </w:r>
      <w:r>
        <w:rPr>
          <w:rFonts w:ascii="Arial" w:hAnsi="Arial"/>
          <w:i/>
          <w:sz w:val="20"/>
        </w:rPr>
        <w:t>Structadene Ltd v Hackney LBC [2001] 2 All E.R. 225</w:t>
      </w:r>
      <w:r>
        <w:rPr>
          <w:sz w:val="20"/>
        </w:rPr>
        <w:t>, discussing</w:t>
      </w:r>
      <w:r>
        <w:rPr>
          <w:spacing w:val="-3"/>
          <w:sz w:val="20"/>
        </w:rPr>
        <w:t> </w:t>
      </w:r>
      <w:r>
        <w:rPr>
          <w:sz w:val="20"/>
        </w:rPr>
        <w:t>s.123(2)</w:t>
      </w:r>
      <w:r>
        <w:rPr>
          <w:spacing w:val="-3"/>
          <w:sz w:val="20"/>
        </w:rPr>
        <w:t> </w:t>
      </w:r>
      <w:r>
        <w:rPr>
          <w:sz w:val="20"/>
        </w:rPr>
        <w:t>of</w:t>
      </w:r>
      <w:r>
        <w:rPr>
          <w:spacing w:val="-3"/>
          <w:sz w:val="20"/>
        </w:rPr>
        <w:t> </w:t>
      </w:r>
      <w:r>
        <w:rPr>
          <w:sz w:val="20"/>
        </w:rPr>
        <w:t>the</w:t>
      </w:r>
      <w:r>
        <w:rPr>
          <w:spacing w:val="-3"/>
          <w:sz w:val="20"/>
        </w:rPr>
        <w:t> </w:t>
      </w:r>
      <w:r>
        <w:rPr>
          <w:sz w:val="20"/>
        </w:rPr>
        <w:t>1972</w:t>
      </w:r>
      <w:r>
        <w:rPr>
          <w:spacing w:val="-3"/>
          <w:sz w:val="20"/>
        </w:rPr>
        <w:t> </w:t>
      </w:r>
      <w:r>
        <w:rPr>
          <w:sz w:val="20"/>
        </w:rPr>
        <w:t>Act,</w:t>
      </w:r>
      <w:r>
        <w:rPr>
          <w:spacing w:val="-3"/>
          <w:sz w:val="20"/>
        </w:rPr>
        <w:t> </w:t>
      </w:r>
      <w:r>
        <w:rPr>
          <w:sz w:val="20"/>
        </w:rPr>
        <w:t>restricting</w:t>
      </w:r>
      <w:r>
        <w:rPr>
          <w:spacing w:val="-3"/>
          <w:sz w:val="20"/>
        </w:rPr>
        <w:t> </w:t>
      </w:r>
      <w:r>
        <w:rPr>
          <w:sz w:val="20"/>
        </w:rPr>
        <w:t>disposals</w:t>
      </w:r>
      <w:r>
        <w:rPr>
          <w:spacing w:val="-3"/>
          <w:sz w:val="20"/>
        </w:rPr>
        <w:t> </w:t>
      </w:r>
      <w:r>
        <w:rPr>
          <w:sz w:val="20"/>
        </w:rPr>
        <w:t>by</w:t>
      </w:r>
      <w:r>
        <w:rPr>
          <w:spacing w:val="-3"/>
          <w:sz w:val="20"/>
        </w:rPr>
        <w:t> </w:t>
      </w:r>
      <w:r>
        <w:rPr>
          <w:sz w:val="20"/>
        </w:rPr>
        <w:t>local</w:t>
      </w:r>
      <w:r>
        <w:rPr>
          <w:spacing w:val="-3"/>
          <w:sz w:val="20"/>
        </w:rPr>
        <w:t> </w:t>
      </w:r>
      <w:r>
        <w:rPr>
          <w:sz w:val="20"/>
        </w:rPr>
        <w:t>authorities</w:t>
      </w:r>
      <w:r>
        <w:rPr>
          <w:spacing w:val="-3"/>
          <w:sz w:val="20"/>
        </w:rPr>
        <w:t> </w:t>
      </w:r>
      <w:r>
        <w:rPr>
          <w:sz w:val="20"/>
        </w:rPr>
        <w:t>“for</w:t>
      </w:r>
      <w:r>
        <w:rPr>
          <w:spacing w:val="-3"/>
          <w:sz w:val="20"/>
        </w:rPr>
        <w:t> </w:t>
      </w:r>
      <w:r>
        <w:rPr>
          <w:sz w:val="20"/>
        </w:rPr>
        <w:t>a</w:t>
      </w:r>
      <w:r>
        <w:rPr>
          <w:spacing w:val="-3"/>
          <w:sz w:val="20"/>
        </w:rPr>
        <w:t> </w:t>
      </w:r>
      <w:r>
        <w:rPr>
          <w:sz w:val="20"/>
        </w:rPr>
        <w:t>consideration less than the best that can reasonably be obtained” and </w:t>
      </w:r>
      <w:r>
        <w:rPr>
          <w:rFonts w:ascii="Arial" w:hAnsi="Arial"/>
          <w:i/>
          <w:sz w:val="20"/>
        </w:rPr>
        <w:t>R. (On the application of Salford Estates) v Salford City Council [2011] EWHC 2135 (Admin), [2011] B.L.G.R. 982</w:t>
      </w:r>
      <w:r>
        <w:rPr>
          <w:sz w:val="20"/>
        </w:rPr>
        <w:t>, discussing</w:t>
      </w:r>
      <w:r>
        <w:rPr>
          <w:spacing w:val="40"/>
          <w:sz w:val="20"/>
        </w:rPr>
        <w:t> </w:t>
      </w:r>
      <w:r>
        <w:rPr>
          <w:sz w:val="20"/>
        </w:rPr>
        <w:t>the</w:t>
      </w:r>
      <w:r>
        <w:rPr>
          <w:spacing w:val="-3"/>
          <w:sz w:val="20"/>
        </w:rPr>
        <w:t> </w:t>
      </w:r>
      <w:r>
        <w:rPr>
          <w:sz w:val="20"/>
        </w:rPr>
        <w:t>scope</w:t>
      </w:r>
      <w:r>
        <w:rPr>
          <w:spacing w:val="-3"/>
          <w:sz w:val="20"/>
        </w:rPr>
        <w:t> </w:t>
      </w:r>
      <w:r>
        <w:rPr>
          <w:sz w:val="20"/>
        </w:rPr>
        <w:t>of</w:t>
      </w:r>
      <w:r>
        <w:rPr>
          <w:spacing w:val="-3"/>
          <w:sz w:val="20"/>
        </w:rPr>
        <w:t> </w:t>
      </w:r>
      <w:r>
        <w:rPr>
          <w:sz w:val="20"/>
        </w:rPr>
        <w:t>the</w:t>
      </w:r>
      <w:r>
        <w:rPr>
          <w:spacing w:val="-3"/>
          <w:sz w:val="20"/>
        </w:rPr>
        <w:t> </w:t>
      </w:r>
      <w:r>
        <w:rPr>
          <w:sz w:val="20"/>
        </w:rPr>
        <w:t>local</w:t>
      </w:r>
      <w:r>
        <w:rPr>
          <w:spacing w:val="-3"/>
          <w:sz w:val="20"/>
        </w:rPr>
        <w:t> </w:t>
      </w:r>
      <w:r>
        <w:rPr>
          <w:sz w:val="20"/>
        </w:rPr>
        <w:t>authority’s</w:t>
      </w:r>
      <w:r>
        <w:rPr>
          <w:spacing w:val="-3"/>
          <w:sz w:val="20"/>
        </w:rPr>
        <w:t> </w:t>
      </w:r>
      <w:r>
        <w:rPr>
          <w:sz w:val="20"/>
        </w:rPr>
        <w:t>duty</w:t>
      </w:r>
      <w:r>
        <w:rPr>
          <w:spacing w:val="-3"/>
          <w:sz w:val="20"/>
        </w:rPr>
        <w:t> </w:t>
      </w:r>
      <w:r>
        <w:rPr>
          <w:sz w:val="20"/>
        </w:rPr>
        <w:t>under</w:t>
      </w:r>
      <w:r>
        <w:rPr>
          <w:spacing w:val="-3"/>
          <w:sz w:val="20"/>
        </w:rPr>
        <w:t> </w:t>
      </w:r>
      <w:r>
        <w:rPr>
          <w:sz w:val="20"/>
        </w:rPr>
        <w:t>that</w:t>
      </w:r>
      <w:r>
        <w:rPr>
          <w:spacing w:val="-3"/>
          <w:sz w:val="20"/>
        </w:rPr>
        <w:t> </w:t>
      </w:r>
      <w:r>
        <w:rPr>
          <w:sz w:val="20"/>
        </w:rPr>
        <w:t>provision;</w:t>
      </w:r>
      <w:r>
        <w:rPr>
          <w:spacing w:val="-3"/>
          <w:sz w:val="20"/>
        </w:rPr>
        <w:t> </w:t>
      </w:r>
      <w:r>
        <w:rPr>
          <w:sz w:val="20"/>
        </w:rPr>
        <w:t>Inheritance</w:t>
      </w:r>
      <w:r>
        <w:rPr>
          <w:spacing w:val="-3"/>
          <w:sz w:val="20"/>
        </w:rPr>
        <w:t> </w:t>
      </w:r>
      <w:r>
        <w:rPr>
          <w:sz w:val="20"/>
        </w:rPr>
        <w:t>(Provision</w:t>
      </w:r>
      <w:r>
        <w:rPr>
          <w:spacing w:val="-3"/>
          <w:sz w:val="20"/>
        </w:rPr>
        <w:t> </w:t>
      </w:r>
      <w:r>
        <w:rPr>
          <w:sz w:val="20"/>
        </w:rPr>
        <w:t>for</w:t>
      </w:r>
      <w:r>
        <w:rPr>
          <w:spacing w:val="-3"/>
          <w:sz w:val="20"/>
        </w:rPr>
        <w:t> </w:t>
      </w:r>
      <w:r>
        <w:rPr>
          <w:sz w:val="20"/>
        </w:rPr>
        <w:t>Family</w:t>
      </w:r>
      <w:r>
        <w:rPr>
          <w:spacing w:val="-3"/>
          <w:sz w:val="20"/>
        </w:rPr>
        <w:t> </w:t>
      </w:r>
      <w:r>
        <w:rPr>
          <w:sz w:val="20"/>
        </w:rPr>
        <w:t>and Dependants) Act 1975, ss.10(2)(b), 10(5)(b), 11(2)(c); Insolvency Act 1986, ss.238, 239, 423 (applied in </w:t>
      </w:r>
      <w:r>
        <w:rPr>
          <w:rFonts w:ascii="Arial" w:hAnsi="Arial"/>
          <w:i/>
          <w:sz w:val="20"/>
        </w:rPr>
        <w:t>Barclays Bank plc v Eustice [1995] 1 W.L.R. 1238</w:t>
      </w:r>
      <w:r>
        <w:rPr>
          <w:sz w:val="20"/>
        </w:rPr>
        <w:t>; </w:t>
      </w:r>
      <w:r>
        <w:rPr>
          <w:rFonts w:ascii="Arial" w:hAnsi="Arial"/>
          <w:i/>
          <w:sz w:val="20"/>
        </w:rPr>
        <w:t>Agricultural Mortgage Corp. plc v Woodward</w:t>
      </w:r>
      <w:r>
        <w:rPr>
          <w:rFonts w:ascii="Arial" w:hAnsi="Arial"/>
          <w:i/>
          <w:spacing w:val="10"/>
          <w:sz w:val="20"/>
        </w:rPr>
        <w:t> </w:t>
      </w:r>
      <w:r>
        <w:rPr>
          <w:rFonts w:ascii="Arial" w:hAnsi="Arial"/>
          <w:i/>
          <w:sz w:val="20"/>
        </w:rPr>
        <w:t>[1995]</w:t>
      </w:r>
      <w:r>
        <w:rPr>
          <w:rFonts w:ascii="Arial" w:hAnsi="Arial"/>
          <w:i/>
          <w:spacing w:val="11"/>
          <w:sz w:val="20"/>
        </w:rPr>
        <w:t> </w:t>
      </w:r>
      <w:r>
        <w:rPr>
          <w:rFonts w:ascii="Arial" w:hAnsi="Arial"/>
          <w:i/>
          <w:sz w:val="20"/>
        </w:rPr>
        <w:t>B.C.L.C.</w:t>
      </w:r>
      <w:r>
        <w:rPr>
          <w:rFonts w:ascii="Arial" w:hAnsi="Arial"/>
          <w:i/>
          <w:spacing w:val="11"/>
          <w:sz w:val="20"/>
        </w:rPr>
        <w:t> </w:t>
      </w:r>
      <w:r>
        <w:rPr>
          <w:rFonts w:ascii="Arial" w:hAnsi="Arial"/>
          <w:i/>
          <w:sz w:val="20"/>
        </w:rPr>
        <w:t>1</w:t>
      </w:r>
      <w:r>
        <w:rPr>
          <w:sz w:val="20"/>
        </w:rPr>
        <w:t>);</w:t>
      </w:r>
      <w:r>
        <w:rPr>
          <w:spacing w:val="11"/>
          <w:sz w:val="20"/>
        </w:rPr>
        <w:t> </w:t>
      </w:r>
      <w:r>
        <w:rPr>
          <w:rFonts w:ascii="Arial" w:hAnsi="Arial"/>
          <w:i/>
          <w:sz w:val="20"/>
        </w:rPr>
        <w:t>Phillips</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Brewin</w:t>
      </w:r>
      <w:r>
        <w:rPr>
          <w:rFonts w:ascii="Arial" w:hAnsi="Arial"/>
          <w:i/>
          <w:spacing w:val="11"/>
          <w:sz w:val="20"/>
        </w:rPr>
        <w:t> </w:t>
      </w:r>
      <w:r>
        <w:rPr>
          <w:rFonts w:ascii="Arial" w:hAnsi="Arial"/>
          <w:i/>
          <w:sz w:val="20"/>
        </w:rPr>
        <w:t>Dolphin</w:t>
      </w:r>
      <w:r>
        <w:rPr>
          <w:rFonts w:ascii="Arial" w:hAnsi="Arial"/>
          <w:i/>
          <w:spacing w:val="11"/>
          <w:sz w:val="20"/>
        </w:rPr>
        <w:t> </w:t>
      </w:r>
      <w:r>
        <w:rPr>
          <w:rFonts w:ascii="Arial" w:hAnsi="Arial"/>
          <w:i/>
          <w:sz w:val="20"/>
        </w:rPr>
        <w:t>Bell</w:t>
      </w:r>
      <w:r>
        <w:rPr>
          <w:rFonts w:ascii="Arial" w:hAnsi="Arial"/>
          <w:i/>
          <w:spacing w:val="11"/>
          <w:sz w:val="20"/>
        </w:rPr>
        <w:t> </w:t>
      </w:r>
      <w:r>
        <w:rPr>
          <w:rFonts w:ascii="Arial" w:hAnsi="Arial"/>
          <w:i/>
          <w:sz w:val="20"/>
        </w:rPr>
        <w:t>Lawrie</w:t>
      </w:r>
      <w:r>
        <w:rPr>
          <w:rFonts w:ascii="Arial" w:hAnsi="Arial"/>
          <w:i/>
          <w:spacing w:val="11"/>
          <w:sz w:val="20"/>
        </w:rPr>
        <w:t> </w:t>
      </w:r>
      <w:r>
        <w:rPr>
          <w:rFonts w:ascii="Arial" w:hAnsi="Arial"/>
          <w:i/>
          <w:sz w:val="20"/>
        </w:rPr>
        <w:t>Ltd</w:t>
      </w:r>
      <w:r>
        <w:rPr>
          <w:rFonts w:ascii="Arial" w:hAnsi="Arial"/>
          <w:i/>
          <w:spacing w:val="11"/>
          <w:sz w:val="20"/>
        </w:rPr>
        <w:t> </w:t>
      </w:r>
      <w:r>
        <w:rPr>
          <w:rFonts w:ascii="Arial" w:hAnsi="Arial"/>
          <w:i/>
          <w:sz w:val="20"/>
        </w:rPr>
        <w:t>[2001]</w:t>
      </w:r>
      <w:r>
        <w:rPr>
          <w:rFonts w:ascii="Arial" w:hAnsi="Arial"/>
          <w:i/>
          <w:spacing w:val="11"/>
          <w:sz w:val="20"/>
        </w:rPr>
        <w:t> </w:t>
      </w:r>
      <w:r>
        <w:rPr>
          <w:rFonts w:ascii="Arial" w:hAnsi="Arial"/>
          <w:i/>
          <w:sz w:val="20"/>
        </w:rPr>
        <w:t>UKHL</w:t>
      </w:r>
      <w:r>
        <w:rPr>
          <w:rFonts w:ascii="Arial" w:hAnsi="Arial"/>
          <w:i/>
          <w:spacing w:val="11"/>
          <w:sz w:val="20"/>
        </w:rPr>
        <w:t> </w:t>
      </w:r>
      <w:r>
        <w:rPr>
          <w:rFonts w:ascii="Arial" w:hAnsi="Arial"/>
          <w:i/>
          <w:sz w:val="20"/>
        </w:rPr>
        <w:t>2,</w:t>
      </w:r>
      <w:r>
        <w:rPr>
          <w:rFonts w:ascii="Arial" w:hAnsi="Arial"/>
          <w:i/>
          <w:spacing w:val="11"/>
          <w:sz w:val="20"/>
        </w:rPr>
        <w:t> </w:t>
      </w:r>
      <w:r>
        <w:rPr>
          <w:rFonts w:ascii="Arial" w:hAnsi="Arial"/>
          <w:i/>
          <w:spacing w:val="-2"/>
          <w:sz w:val="20"/>
        </w:rPr>
        <w:t>[2001]</w:t>
      </w:r>
    </w:p>
    <w:p>
      <w:pPr>
        <w:spacing w:line="235" w:lineRule="auto" w:before="0"/>
        <w:ind w:left="165" w:right="167" w:firstLine="0"/>
        <w:jc w:val="both"/>
        <w:rPr>
          <w:sz w:val="20"/>
        </w:rPr>
      </w:pPr>
      <w:r>
        <w:rPr>
          <w:sz w:val="20"/>
        </w:rPr>
        <w:drawing>
          <wp:anchor distT="0" distB="0" distL="0" distR="0" allowOverlap="1" layoutInCell="1" locked="0" behindDoc="0" simplePos="0" relativeHeight="15741440">
            <wp:simplePos x="0" y="0"/>
            <wp:positionH relativeFrom="page">
              <wp:posOffset>1257846</wp:posOffset>
            </wp:positionH>
            <wp:positionV relativeFrom="paragraph">
              <wp:posOffset>-1548594</wp:posOffset>
            </wp:positionV>
            <wp:extent cx="107988" cy="107988"/>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sz w:val="20"/>
        </w:rPr>
        <w:t>1 W.L.R. 143</w:t>
      </w:r>
      <w:r>
        <w:rPr>
          <w:sz w:val="20"/>
        </w:rPr>
        <w:t>; </w:t>
      </w:r>
      <w:r>
        <w:rPr>
          <w:rFonts w:ascii="Arial" w:hAnsi="Arial"/>
          <w:i/>
          <w:sz w:val="20"/>
        </w:rPr>
        <w:t>Bataillon v Shone [2016] EWHC 1174 (QB), [2016] B.P.I.R. 829 </w:t>
      </w:r>
      <w:r>
        <w:rPr>
          <w:sz w:val="20"/>
        </w:rPr>
        <w:t>(transfers </w:t>
      </w:r>
      <w:r>
        <w:rPr>
          <w:sz w:val="20"/>
        </w:rPr>
        <w:t>from husband to wife at an undervalue set aside as having been made for “no consideration” within s.429(1)(a) of the Insolvency Act 1986). cf. Companies Act 2006, ss.190, 593. See also Charities Act 2011, ss.197(2)(a) and 218(3), requiring “full consideration in money or money’s worth” (a similar requirement, previously contained in s.65(1)(a) of the Charities Act 1993, now repealed by s.354 and Sch.10 of Charities Act 2011, was held not to have been satisfied </w:t>
      </w:r>
      <w:r>
        <w:rPr>
          <w:sz w:val="20"/>
        </w:rPr>
        <w:t>in </w:t>
      </w:r>
      <w:r>
        <w:rPr>
          <w:rFonts w:ascii="Arial" w:hAnsi="Arial"/>
          <w:i/>
          <w:sz w:val="20"/>
        </w:rPr>
        <w:t>Bayoumi</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Women’s</w:t>
      </w:r>
      <w:r>
        <w:rPr>
          <w:rFonts w:ascii="Arial" w:hAnsi="Arial"/>
          <w:i/>
          <w:spacing w:val="-3"/>
          <w:sz w:val="20"/>
        </w:rPr>
        <w:t> </w:t>
      </w:r>
      <w:r>
        <w:rPr>
          <w:rFonts w:ascii="Arial" w:hAnsi="Arial"/>
          <w:i/>
          <w:sz w:val="20"/>
        </w:rPr>
        <w:t>Total</w:t>
      </w:r>
      <w:r>
        <w:rPr>
          <w:rFonts w:ascii="Arial" w:hAnsi="Arial"/>
          <w:i/>
          <w:spacing w:val="-3"/>
          <w:sz w:val="20"/>
        </w:rPr>
        <w:t> </w:t>
      </w:r>
      <w:r>
        <w:rPr>
          <w:rFonts w:ascii="Arial" w:hAnsi="Arial"/>
          <w:i/>
          <w:sz w:val="20"/>
        </w:rPr>
        <w:t>Abstinence</w:t>
      </w:r>
      <w:r>
        <w:rPr>
          <w:rFonts w:ascii="Arial" w:hAnsi="Arial"/>
          <w:i/>
          <w:spacing w:val="-3"/>
          <w:sz w:val="20"/>
        </w:rPr>
        <w:t> </w:t>
      </w:r>
      <w:r>
        <w:rPr>
          <w:rFonts w:ascii="Arial" w:hAnsi="Arial"/>
          <w:i/>
          <w:sz w:val="20"/>
        </w:rPr>
        <w:t>Educational</w:t>
      </w:r>
      <w:r>
        <w:rPr>
          <w:rFonts w:ascii="Arial" w:hAnsi="Arial"/>
          <w:i/>
          <w:spacing w:val="-3"/>
          <w:sz w:val="20"/>
        </w:rPr>
        <w:t> </w:t>
      </w:r>
      <w:r>
        <w:rPr>
          <w:rFonts w:ascii="Arial" w:hAnsi="Arial"/>
          <w:i/>
          <w:sz w:val="20"/>
        </w:rPr>
        <w:t>Union</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[2003]</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1548</w:t>
      </w:r>
      <w:r>
        <w:rPr>
          <w:rFonts w:ascii="Arial" w:hAnsi="Arial"/>
          <w:i/>
          <w:spacing w:val="-3"/>
          <w:sz w:val="20"/>
        </w:rPr>
        <w:t> </w:t>
      </w:r>
      <w:r>
        <w:rPr>
          <w:rFonts w:ascii="Arial" w:hAnsi="Arial"/>
          <w:i/>
          <w:sz w:val="20"/>
        </w:rPr>
        <w:t>[2004]</w:t>
      </w:r>
      <w:r>
        <w:rPr>
          <w:rFonts w:ascii="Arial" w:hAnsi="Arial"/>
          <w:i/>
          <w:spacing w:val="-3"/>
          <w:sz w:val="20"/>
        </w:rPr>
        <w:t> </w:t>
      </w:r>
      <w:r>
        <w:rPr>
          <w:rFonts w:ascii="Arial" w:hAnsi="Arial"/>
          <w:i/>
          <w:sz w:val="20"/>
        </w:rPr>
        <w:t>Ch. 40 </w:t>
      </w:r>
      <w:r>
        <w:rPr>
          <w:sz w:val="20"/>
        </w:rPr>
        <w:t>at [46]–[47]).</w:t>
      </w:r>
    </w:p>
    <w:p>
      <w:pPr>
        <w:spacing w:after="0" w:line="235" w:lineRule="auto"/>
        <w:jc w:val="both"/>
        <w:rPr>
          <w:sz w:val="20"/>
        </w:rPr>
        <w:sectPr>
          <w:type w:val="continuous"/>
          <w:pgSz w:w="11900" w:h="16840"/>
          <w:pgMar w:header="971" w:footer="0" w:top="3760" w:bottom="280" w:left="1275" w:right="1275"/>
          <w:cols w:num="2" w:equalWidth="0">
            <w:col w:w="478" w:space="63"/>
            <w:col w:w="8809"/>
          </w:cols>
        </w:sectPr>
      </w:pPr>
    </w:p>
    <w:p>
      <w:pPr>
        <w:pStyle w:val="BodyText"/>
        <w:tabs>
          <w:tab w:pos="705" w:val="left" w:leader="none"/>
        </w:tabs>
        <w:spacing w:before="229"/>
        <w:ind w:left="165"/>
      </w:pPr>
      <w:bookmarkStart w:name="_bookmark239" w:id="241"/>
      <w:bookmarkEnd w:id="241"/>
      <w:r>
        <w:rPr/>
      </w:r>
      <w:hyperlink w:history="true" w:anchor="_bookmark176">
        <w:r>
          <w:rPr>
            <w:color w:val="005DA1"/>
            <w:spacing w:val="-4"/>
            <w:position w:val="5"/>
            <w:sz w:val="14"/>
            <w:u w:val="single" w:color="005DA1"/>
          </w:rPr>
          <w:t>124</w:t>
        </w:r>
      </w:hyperlink>
      <w:r>
        <w:rPr>
          <w:spacing w:val="-4"/>
          <w:position w:val="5"/>
          <w:sz w:val="14"/>
        </w:rPr>
        <w:t>.</w:t>
      </w:r>
      <w:r>
        <w:rPr>
          <w:position w:val="5"/>
          <w:sz w:val="14"/>
        </w:rPr>
        <w:tab/>
      </w:r>
      <w:r>
        <w:rPr/>
        <w:t>Above, para.4-018 at nn.121 and </w:t>
      </w:r>
      <w:r>
        <w:rPr>
          <w:spacing w:val="-4"/>
        </w:rPr>
        <w:t>122.</w:t>
      </w:r>
    </w:p>
    <w:p>
      <w:pPr>
        <w:pStyle w:val="BodyText"/>
        <w:spacing w:before="9"/>
      </w:pPr>
    </w:p>
    <w:p>
      <w:pPr>
        <w:tabs>
          <w:tab w:pos="705" w:val="left" w:leader="none"/>
        </w:tabs>
        <w:spacing w:line="235" w:lineRule="auto" w:before="0"/>
        <w:ind w:left="705" w:right="168" w:hanging="541"/>
        <w:jc w:val="left"/>
        <w:rPr>
          <w:sz w:val="20"/>
        </w:rPr>
      </w:pPr>
      <w:bookmarkStart w:name="_bookmark240" w:id="242"/>
      <w:bookmarkEnd w:id="242"/>
      <w:r>
        <w:rPr/>
      </w:r>
      <w:hyperlink w:history="true" w:anchor="_bookmark176">
        <w:r>
          <w:rPr>
            <w:color w:val="005DA1"/>
            <w:spacing w:val="-4"/>
            <w:position w:val="5"/>
            <w:sz w:val="14"/>
            <w:u w:val="single" w:color="005DA1"/>
          </w:rPr>
          <w:t>125</w:t>
        </w:r>
      </w:hyperlink>
      <w:r>
        <w:rPr>
          <w:spacing w:val="-4"/>
          <w:position w:val="5"/>
          <w:sz w:val="14"/>
        </w:rPr>
        <w:t>.</w:t>
      </w:r>
      <w:r>
        <w:rPr>
          <w:position w:val="5"/>
          <w:sz w:val="14"/>
        </w:rPr>
        <w:tab/>
      </w:r>
      <w:r>
        <w:rPr>
          <w:sz w:val="20"/>
        </w:rPr>
        <w:t>This seems to be the sense in which 10 shillings was described as “nominal” consideration (for the assignment of a debt) in </w:t>
      </w:r>
      <w:r>
        <w:rPr>
          <w:rFonts w:ascii="Arial" w:hAnsi="Arial"/>
          <w:i/>
          <w:sz w:val="20"/>
        </w:rPr>
        <w:t>Turner v Forwood [1951] 1 All E.R. 746</w:t>
      </w:r>
      <w:r>
        <w:rPr>
          <w:sz w:val="20"/>
        </w:rPr>
        <w:t>.</w:t>
      </w:r>
    </w:p>
    <w:p>
      <w:pPr>
        <w:pStyle w:val="BodyText"/>
        <w:spacing w:before="5"/>
      </w:pPr>
    </w:p>
    <w:p>
      <w:pPr>
        <w:tabs>
          <w:tab w:pos="705" w:val="left" w:leader="none"/>
        </w:tabs>
        <w:spacing w:before="0"/>
        <w:ind w:left="165" w:right="0" w:firstLine="0"/>
        <w:jc w:val="left"/>
        <w:rPr>
          <w:sz w:val="20"/>
        </w:rPr>
      </w:pPr>
      <w:bookmarkStart w:name="_bookmark241" w:id="243"/>
      <w:bookmarkEnd w:id="243"/>
      <w:r>
        <w:rPr/>
      </w:r>
      <w:hyperlink w:history="true" w:anchor="_bookmark177">
        <w:r>
          <w:rPr>
            <w:color w:val="005DA1"/>
            <w:spacing w:val="-4"/>
            <w:position w:val="5"/>
            <w:sz w:val="14"/>
            <w:u w:val="single" w:color="005DA1"/>
          </w:rPr>
          <w:t>126</w:t>
        </w:r>
      </w:hyperlink>
      <w:r>
        <w:rPr>
          <w:spacing w:val="-4"/>
          <w:position w:val="5"/>
          <w:sz w:val="14"/>
        </w:rPr>
        <w:t>.</w:t>
      </w:r>
      <w:r>
        <w:rPr>
          <w:position w:val="5"/>
          <w:sz w:val="14"/>
        </w:rPr>
        <w:tab/>
      </w:r>
      <w:r>
        <w:rPr>
          <w:rFonts w:ascii="Arial"/>
          <w:i/>
          <w:sz w:val="20"/>
        </w:rPr>
        <w:t>Midland Bank &amp; Trustee Co Ltd v Green [1981] A.C. 513, </w:t>
      </w:r>
      <w:r>
        <w:rPr>
          <w:rFonts w:ascii="Arial"/>
          <w:i/>
          <w:spacing w:val="-4"/>
          <w:sz w:val="20"/>
        </w:rPr>
        <w:t>532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42" w:id="244"/>
      <w:bookmarkEnd w:id="244"/>
      <w:r>
        <w:rPr/>
      </w:r>
      <w:hyperlink w:history="true" w:anchor="_bookmark178">
        <w:r>
          <w:rPr>
            <w:color w:val="005DA1"/>
            <w:spacing w:val="-4"/>
            <w:position w:val="5"/>
            <w:sz w:val="14"/>
            <w:u w:val="single" w:color="005DA1"/>
          </w:rPr>
          <w:t>127</w:t>
        </w:r>
      </w:hyperlink>
      <w:r>
        <w:rPr>
          <w:spacing w:val="-4"/>
          <w:position w:val="5"/>
          <w:sz w:val="14"/>
        </w:rPr>
        <w:t>.</w:t>
      </w:r>
      <w:r>
        <w:rPr>
          <w:position w:val="5"/>
          <w:sz w:val="14"/>
        </w:rPr>
        <w:tab/>
      </w:r>
      <w:r>
        <w:rPr>
          <w:sz w:val="20"/>
        </w:rPr>
        <w:t>above </w:t>
      </w:r>
      <w:r>
        <w:rPr>
          <w:spacing w:val="-2"/>
          <w:sz w:val="20"/>
        </w:rPr>
        <w:t>n.125.</w:t>
      </w:r>
    </w:p>
    <w:p>
      <w:pPr>
        <w:pStyle w:val="BodyText"/>
        <w:spacing w:before="9"/>
      </w:pPr>
    </w:p>
    <w:p>
      <w:pPr>
        <w:pStyle w:val="BodyText"/>
        <w:tabs>
          <w:tab w:pos="705" w:val="left" w:leader="none"/>
        </w:tabs>
        <w:spacing w:line="235" w:lineRule="auto"/>
        <w:ind w:left="705" w:right="168" w:hanging="541"/>
      </w:pPr>
      <w:bookmarkStart w:name="_bookmark243" w:id="245"/>
      <w:bookmarkEnd w:id="245"/>
      <w:r>
        <w:rPr/>
      </w:r>
      <w:hyperlink w:history="true" w:anchor="_bookmark179">
        <w:r>
          <w:rPr>
            <w:color w:val="005DA1"/>
            <w:spacing w:val="-4"/>
            <w:position w:val="5"/>
            <w:sz w:val="14"/>
            <w:u w:val="single" w:color="005DA1"/>
          </w:rPr>
          <w:t>128</w:t>
        </w:r>
      </w:hyperlink>
      <w:r>
        <w:rPr>
          <w:spacing w:val="-4"/>
          <w:position w:val="5"/>
          <w:sz w:val="14"/>
        </w:rPr>
        <w:t>.</w:t>
      </w:r>
      <w:r>
        <w:rPr>
          <w:position w:val="5"/>
          <w:sz w:val="14"/>
        </w:rPr>
        <w:tab/>
      </w:r>
      <w:r>
        <w:rPr/>
        <w:t>For</w:t>
      </w:r>
      <w:r>
        <w:rPr>
          <w:spacing w:val="-3"/>
        </w:rPr>
        <w:t> </w:t>
      </w:r>
      <w:r>
        <w:rPr/>
        <w:t>later</w:t>
      </w:r>
      <w:r>
        <w:rPr>
          <w:spacing w:val="-3"/>
        </w:rPr>
        <w:t> </w:t>
      </w:r>
      <w:r>
        <w:rPr/>
        <w:t>successful</w:t>
      </w:r>
      <w:r>
        <w:rPr>
          <w:spacing w:val="-3"/>
        </w:rPr>
        <w:t> </w:t>
      </w:r>
      <w:r>
        <w:rPr/>
        <w:t>proceedings</w:t>
      </w:r>
      <w:r>
        <w:rPr>
          <w:spacing w:val="-3"/>
        </w:rPr>
        <w:t> </w:t>
      </w:r>
      <w:r>
        <w:rPr/>
        <w:t>by</w:t>
      </w:r>
      <w:r>
        <w:rPr>
          <w:spacing w:val="-3"/>
        </w:rPr>
        <w:t> </w:t>
      </w:r>
      <w:r>
        <w:rPr/>
        <w:t>that</w:t>
      </w:r>
      <w:r>
        <w:rPr>
          <w:spacing w:val="-3"/>
        </w:rPr>
        <w:t> </w:t>
      </w:r>
      <w:r>
        <w:rPr/>
        <w:t>child</w:t>
      </w:r>
      <w:r>
        <w:rPr>
          <w:spacing w:val="-3"/>
        </w:rPr>
        <w:t> </w:t>
      </w:r>
      <w:r>
        <w:rPr/>
        <w:t>against</w:t>
      </w:r>
      <w:r>
        <w:rPr>
          <w:spacing w:val="-3"/>
        </w:rPr>
        <w:t> </w:t>
      </w:r>
      <w:r>
        <w:rPr/>
        <w:t>the</w:t>
      </w:r>
      <w:r>
        <w:rPr>
          <w:spacing w:val="-3"/>
        </w:rPr>
        <w:t> </w:t>
      </w:r>
      <w:r>
        <w:rPr/>
        <w:t>parents</w:t>
      </w:r>
      <w:r>
        <w:rPr>
          <w:spacing w:val="-3"/>
        </w:rPr>
        <w:t> </w:t>
      </w:r>
      <w:r>
        <w:rPr/>
        <w:t>for</w:t>
      </w:r>
      <w:r>
        <w:rPr>
          <w:spacing w:val="-3"/>
        </w:rPr>
        <w:t> </w:t>
      </w:r>
      <w:r>
        <w:rPr/>
        <w:t>conspiracy,</w:t>
      </w:r>
      <w:r>
        <w:rPr>
          <w:spacing w:val="-3"/>
        </w:rPr>
        <w:t> </w:t>
      </w:r>
      <w:r>
        <w:rPr/>
        <w:t>see</w:t>
      </w:r>
      <w:r>
        <w:rPr>
          <w:spacing w:val="-3"/>
        </w:rPr>
        <w:t> </w:t>
      </w:r>
      <w:r>
        <w:rPr/>
        <w:t>[1982]</w:t>
      </w:r>
      <w:r>
        <w:rPr>
          <w:spacing w:val="-3"/>
        </w:rPr>
        <w:t> </w:t>
      </w:r>
      <w:r>
        <w:rPr/>
        <w:t>Ch. </w:t>
      </w:r>
      <w:r>
        <w:rPr>
          <w:spacing w:val="-4"/>
        </w:rPr>
        <w:t>529.</w:t>
      </w:r>
    </w:p>
    <w:p>
      <w:pPr>
        <w:pStyle w:val="BodyText"/>
        <w:spacing w:before="9"/>
      </w:pPr>
    </w:p>
    <w:p>
      <w:pPr>
        <w:pStyle w:val="BodyText"/>
        <w:spacing w:line="235" w:lineRule="auto"/>
        <w:ind w:left="705" w:right="167" w:hanging="541"/>
        <w:jc w:val="both"/>
      </w:pPr>
      <w:bookmarkStart w:name="_bookmark244" w:id="246"/>
      <w:bookmarkEnd w:id="246"/>
      <w:r>
        <w:rPr/>
      </w:r>
      <w:hyperlink w:history="true" w:anchor="_bookmark180">
        <w:r>
          <w:rPr>
            <w:color w:val="005DA1"/>
            <w:position w:val="5"/>
            <w:sz w:val="14"/>
            <w:u w:val="single" w:color="005DA1"/>
          </w:rPr>
          <w:t>129</w:t>
        </w:r>
      </w:hyperlink>
      <w:r>
        <w:rPr>
          <w:position w:val="5"/>
          <w:sz w:val="14"/>
        </w:rPr>
        <w:t>.</w:t>
      </w:r>
      <w:r>
        <w:rPr>
          <w:spacing w:val="80"/>
          <w:position w:val="5"/>
          <w:sz w:val="14"/>
        </w:rPr>
        <w:t>  </w:t>
      </w:r>
      <w:r>
        <w:rPr>
          <w:rFonts w:ascii="Arial" w:hAnsi="Arial"/>
          <w:i/>
        </w:rPr>
        <w:t>[1981] A.C. 513, 532</w:t>
      </w:r>
      <w:r>
        <w:rPr/>
        <w:t>. In other legislative contexts such an inquiry may be intended: e.g. by use of the phrase “full and valuable consideration” in the Inheritance (Provisions for Family and Dependants) Act 1975, s.1(3); cf. Charities Act 2011, ss.197(2)(a) and 218(3), above n.122.</w:t>
      </w:r>
    </w:p>
    <w:p>
      <w:pPr>
        <w:pStyle w:val="BodyText"/>
        <w:spacing w:before="5"/>
      </w:pPr>
    </w:p>
    <w:p>
      <w:pPr>
        <w:pStyle w:val="BodyText"/>
        <w:tabs>
          <w:tab w:pos="705" w:val="left" w:leader="none"/>
        </w:tabs>
        <w:ind w:left="165"/>
      </w:pPr>
      <w:bookmarkStart w:name="_bookmark245" w:id="247"/>
      <w:bookmarkEnd w:id="247"/>
      <w:r>
        <w:rPr/>
      </w:r>
      <w:hyperlink w:history="true" w:anchor="_bookmark181">
        <w:r>
          <w:rPr>
            <w:color w:val="005DA1"/>
            <w:spacing w:val="-4"/>
            <w:position w:val="5"/>
            <w:sz w:val="14"/>
            <w:u w:val="single" w:color="005DA1"/>
          </w:rPr>
          <w:t>130</w:t>
        </w:r>
      </w:hyperlink>
      <w:r>
        <w:rPr>
          <w:spacing w:val="-4"/>
          <w:position w:val="5"/>
          <w:sz w:val="14"/>
        </w:rPr>
        <w:t>.</w:t>
      </w:r>
      <w:r>
        <w:rPr>
          <w:position w:val="5"/>
          <w:sz w:val="14"/>
        </w:rPr>
        <w:tab/>
      </w:r>
      <w:r>
        <w:rPr/>
        <w:t>Within Law of Property Act 1925, </w:t>
      </w:r>
      <w:r>
        <w:rPr>
          <w:spacing w:val="-2"/>
        </w:rPr>
        <w:t>s.84(7).</w:t>
      </w:r>
    </w:p>
    <w:p>
      <w:pPr>
        <w:pStyle w:val="BodyText"/>
        <w:spacing w:before="9"/>
      </w:pPr>
    </w:p>
    <w:p>
      <w:pPr>
        <w:tabs>
          <w:tab w:pos="705" w:val="left" w:leader="none"/>
        </w:tabs>
        <w:spacing w:line="235" w:lineRule="auto" w:before="0"/>
        <w:ind w:left="705" w:right="168" w:hanging="541"/>
        <w:jc w:val="left"/>
        <w:rPr>
          <w:sz w:val="20"/>
        </w:rPr>
      </w:pPr>
      <w:bookmarkStart w:name="_bookmark246" w:id="248"/>
      <w:bookmarkEnd w:id="248"/>
      <w:r>
        <w:rPr/>
      </w:r>
      <w:hyperlink w:history="true" w:anchor="_bookmark182">
        <w:r>
          <w:rPr>
            <w:color w:val="005DA1"/>
            <w:spacing w:val="-4"/>
            <w:position w:val="5"/>
            <w:sz w:val="14"/>
            <w:u w:val="single" w:color="005DA1"/>
          </w:rPr>
          <w:t>131</w:t>
        </w:r>
      </w:hyperlink>
      <w:r>
        <w:rPr>
          <w:spacing w:val="-4"/>
          <w:position w:val="5"/>
          <w:sz w:val="14"/>
        </w:rPr>
        <w:t>.</w:t>
      </w:r>
      <w:r>
        <w:rPr>
          <w:position w:val="5"/>
          <w:sz w:val="14"/>
        </w:rPr>
        <w:tab/>
      </w:r>
      <w:r>
        <w:rPr>
          <w:rFonts w:ascii="Arial"/>
          <w:i/>
          <w:sz w:val="20"/>
        </w:rPr>
        <w:t>Westminster City Council v Duke of Westminster [1991] 4 All E.R. 136, 146 (reversed in part </w:t>
      </w:r>
      <w:r>
        <w:rPr>
          <w:rFonts w:ascii="Arial"/>
          <w:i/>
          <w:sz w:val="20"/>
        </w:rPr>
        <w:t>on another ground (1992) 24 H.L.R. 572)</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247" w:id="249"/>
      <w:bookmarkEnd w:id="249"/>
      <w:r>
        <w:rPr/>
      </w:r>
      <w:hyperlink w:history="true" w:anchor="_bookmark183">
        <w:r>
          <w:rPr>
            <w:color w:val="005DA1"/>
            <w:spacing w:val="-4"/>
            <w:position w:val="5"/>
            <w:sz w:val="14"/>
            <w:u w:val="single" w:color="005DA1"/>
          </w:rPr>
          <w:t>132</w:t>
        </w:r>
      </w:hyperlink>
      <w:r>
        <w:rPr>
          <w:spacing w:val="-4"/>
          <w:position w:val="5"/>
          <w:sz w:val="14"/>
        </w:rPr>
        <w:t>.</w:t>
      </w:r>
      <w:r>
        <w:rPr>
          <w:position w:val="5"/>
          <w:sz w:val="14"/>
        </w:rPr>
        <w:tab/>
      </w:r>
      <w:r>
        <w:rPr>
          <w:sz w:val="20"/>
        </w:rPr>
        <w:t>See, e.g. </w:t>
      </w:r>
      <w:r>
        <w:rPr>
          <w:rFonts w:ascii="Arial"/>
          <w:i/>
          <w:sz w:val="20"/>
        </w:rPr>
        <w:t>Cheale v Kenward (1858) 3 De G. &amp; J. 27</w:t>
      </w:r>
      <w:r>
        <w:rPr>
          <w:sz w:val="20"/>
        </w:rPr>
        <w:t>; </w:t>
      </w:r>
      <w:r>
        <w:rPr>
          <w:rFonts w:ascii="Arial"/>
          <w:i/>
          <w:sz w:val="20"/>
        </w:rPr>
        <w:t>Townsend v Toker (1866) L.R. 1 Ch. </w:t>
      </w:r>
      <w:r>
        <w:rPr>
          <w:rFonts w:ascii="Arial"/>
          <w:i/>
          <w:sz w:val="20"/>
        </w:rPr>
        <w:t>App. </w:t>
      </w:r>
      <w:r>
        <w:rPr>
          <w:rFonts w:ascii="Arial"/>
          <w:i/>
          <w:spacing w:val="-4"/>
          <w:sz w:val="20"/>
        </w:rPr>
        <w:t>446</w:t>
      </w:r>
      <w:r>
        <w:rPr>
          <w:spacing w:val="-4"/>
          <w:sz w:val="20"/>
        </w:rPr>
        <w:t>.</w:t>
      </w:r>
    </w:p>
    <w:p>
      <w:pPr>
        <w:pStyle w:val="BodyText"/>
        <w:spacing w:before="6"/>
      </w:pPr>
    </w:p>
    <w:p>
      <w:pPr>
        <w:tabs>
          <w:tab w:pos="705" w:val="left" w:leader="none"/>
        </w:tabs>
        <w:spacing w:before="0"/>
        <w:ind w:left="165" w:right="0" w:firstLine="0"/>
        <w:jc w:val="left"/>
        <w:rPr>
          <w:sz w:val="20"/>
        </w:rPr>
      </w:pPr>
      <w:bookmarkStart w:name="_bookmark248" w:id="250"/>
      <w:bookmarkEnd w:id="250"/>
      <w:r>
        <w:rPr/>
      </w:r>
      <w:hyperlink w:history="true" w:anchor="_bookmark184">
        <w:r>
          <w:rPr>
            <w:color w:val="005DA1"/>
            <w:spacing w:val="-4"/>
            <w:position w:val="5"/>
            <w:sz w:val="14"/>
            <w:u w:val="single" w:color="005DA1"/>
          </w:rPr>
          <w:t>133</w:t>
        </w:r>
      </w:hyperlink>
      <w:r>
        <w:rPr>
          <w:spacing w:val="-4"/>
          <w:position w:val="5"/>
          <w:sz w:val="14"/>
        </w:rPr>
        <w:t>.</w:t>
      </w:r>
      <w:r>
        <w:rPr>
          <w:position w:val="5"/>
          <w:sz w:val="14"/>
        </w:rPr>
        <w:tab/>
      </w:r>
      <w:r>
        <w:rPr>
          <w:sz w:val="20"/>
        </w:rPr>
        <w:t>Below, para.27-</w:t>
      </w:r>
      <w:r>
        <w:rPr>
          <w:spacing w:val="-4"/>
          <w:sz w:val="20"/>
        </w:rPr>
        <w:t>038.</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249" w:id="251"/>
      <w:bookmarkEnd w:id="251"/>
      <w:r>
        <w:rPr/>
      </w:r>
      <w:hyperlink w:history="true" w:anchor="_bookmark185">
        <w:r>
          <w:rPr>
            <w:color w:val="005DA1"/>
            <w:spacing w:val="-4"/>
            <w:position w:val="5"/>
            <w:sz w:val="14"/>
            <w:u w:val="single" w:color="005DA1"/>
          </w:rPr>
          <w:t>134</w:t>
        </w:r>
      </w:hyperlink>
      <w:r>
        <w:rPr>
          <w:spacing w:val="-4"/>
          <w:position w:val="5"/>
          <w:sz w:val="14"/>
        </w:rPr>
        <w:t>.</w:t>
      </w:r>
      <w:r>
        <w:rPr>
          <w:position w:val="5"/>
          <w:sz w:val="14"/>
        </w:rPr>
        <w:tab/>
      </w:r>
      <w:r>
        <w:rPr>
          <w:sz w:val="20"/>
        </w:rPr>
        <w:t>Below;</w:t>
      </w:r>
      <w:r>
        <w:rPr>
          <w:spacing w:val="9"/>
          <w:sz w:val="20"/>
        </w:rPr>
        <w:t> </w:t>
      </w:r>
      <w:r>
        <w:rPr>
          <w:sz w:val="20"/>
        </w:rPr>
        <w:t>para.8-130;</w:t>
      </w:r>
      <w:r>
        <w:rPr>
          <w:spacing w:val="10"/>
          <w:sz w:val="20"/>
        </w:rPr>
        <w:t> </w:t>
      </w:r>
      <w:r>
        <w:rPr>
          <w:rFonts w:ascii="Arial"/>
          <w:i/>
          <w:sz w:val="20"/>
        </w:rPr>
        <w:t>Pennell</w:t>
      </w:r>
      <w:r>
        <w:rPr>
          <w:rFonts w:ascii="Arial"/>
          <w:i/>
          <w:spacing w:val="10"/>
          <w:sz w:val="20"/>
        </w:rPr>
        <w:t> </w:t>
      </w:r>
      <w:r>
        <w:rPr>
          <w:rFonts w:ascii="Arial"/>
          <w:i/>
          <w:sz w:val="20"/>
        </w:rPr>
        <w:t>v</w:t>
      </w:r>
      <w:r>
        <w:rPr>
          <w:rFonts w:ascii="Arial"/>
          <w:i/>
          <w:spacing w:val="10"/>
          <w:sz w:val="20"/>
        </w:rPr>
        <w:t> </w:t>
      </w:r>
      <w:r>
        <w:rPr>
          <w:rFonts w:ascii="Arial"/>
          <w:i/>
          <w:sz w:val="20"/>
        </w:rPr>
        <w:t>Miller</w:t>
      </w:r>
      <w:r>
        <w:rPr>
          <w:rFonts w:ascii="Arial"/>
          <w:i/>
          <w:spacing w:val="10"/>
          <w:sz w:val="20"/>
        </w:rPr>
        <w:t> </w:t>
      </w:r>
      <w:r>
        <w:rPr>
          <w:rFonts w:ascii="Arial"/>
          <w:i/>
          <w:sz w:val="20"/>
        </w:rPr>
        <w:t>(1857)</w:t>
      </w:r>
      <w:r>
        <w:rPr>
          <w:rFonts w:ascii="Arial"/>
          <w:i/>
          <w:spacing w:val="10"/>
          <w:sz w:val="20"/>
        </w:rPr>
        <w:t> </w:t>
      </w:r>
      <w:r>
        <w:rPr>
          <w:rFonts w:ascii="Arial"/>
          <w:i/>
          <w:sz w:val="20"/>
        </w:rPr>
        <w:t>23</w:t>
      </w:r>
      <w:r>
        <w:rPr>
          <w:rFonts w:ascii="Arial"/>
          <w:i/>
          <w:spacing w:val="10"/>
          <w:sz w:val="20"/>
        </w:rPr>
        <w:t> </w:t>
      </w:r>
      <w:r>
        <w:rPr>
          <w:rFonts w:ascii="Arial"/>
          <w:i/>
          <w:sz w:val="20"/>
        </w:rPr>
        <w:t>Beav.</w:t>
      </w:r>
      <w:r>
        <w:rPr>
          <w:rFonts w:ascii="Arial"/>
          <w:i/>
          <w:spacing w:val="10"/>
          <w:sz w:val="20"/>
        </w:rPr>
        <w:t> </w:t>
      </w:r>
      <w:r>
        <w:rPr>
          <w:rFonts w:ascii="Arial"/>
          <w:i/>
          <w:sz w:val="20"/>
        </w:rPr>
        <w:t>172</w:t>
      </w:r>
      <w:r>
        <w:rPr>
          <w:sz w:val="20"/>
        </w:rPr>
        <w:t>;</w:t>
      </w:r>
      <w:r>
        <w:rPr>
          <w:spacing w:val="10"/>
          <w:sz w:val="20"/>
        </w:rPr>
        <w:t> </w:t>
      </w:r>
      <w:r>
        <w:rPr>
          <w:rFonts w:ascii="Arial"/>
          <w:i/>
          <w:sz w:val="20"/>
        </w:rPr>
        <w:t>Butler</w:t>
      </w:r>
      <w:r>
        <w:rPr>
          <w:rFonts w:ascii="Arial"/>
          <w:i/>
          <w:spacing w:val="10"/>
          <w:sz w:val="20"/>
        </w:rPr>
        <w:t> </w:t>
      </w:r>
      <w:r>
        <w:rPr>
          <w:rFonts w:ascii="Arial"/>
          <w:i/>
          <w:sz w:val="20"/>
        </w:rPr>
        <w:t>v</w:t>
      </w:r>
      <w:r>
        <w:rPr>
          <w:rFonts w:ascii="Arial"/>
          <w:i/>
          <w:spacing w:val="10"/>
          <w:sz w:val="20"/>
        </w:rPr>
        <w:t> </w:t>
      </w:r>
      <w:r>
        <w:rPr>
          <w:rFonts w:ascii="Arial"/>
          <w:i/>
          <w:sz w:val="20"/>
        </w:rPr>
        <w:t>Miller</w:t>
      </w:r>
      <w:r>
        <w:rPr>
          <w:rFonts w:ascii="Arial"/>
          <w:i/>
          <w:spacing w:val="10"/>
          <w:sz w:val="20"/>
        </w:rPr>
        <w:t> </w:t>
      </w:r>
      <w:r>
        <w:rPr>
          <w:rFonts w:ascii="Arial"/>
          <w:i/>
          <w:sz w:val="20"/>
        </w:rPr>
        <w:t>(1867)</w:t>
      </w:r>
      <w:r>
        <w:rPr>
          <w:rFonts w:ascii="Arial"/>
          <w:i/>
          <w:spacing w:val="10"/>
          <w:sz w:val="20"/>
        </w:rPr>
        <w:t> </w:t>
      </w:r>
      <w:r>
        <w:rPr>
          <w:rFonts w:ascii="Arial"/>
          <w:i/>
          <w:sz w:val="20"/>
        </w:rPr>
        <w:t>L.R.</w:t>
      </w:r>
      <w:r>
        <w:rPr>
          <w:rFonts w:ascii="Arial"/>
          <w:i/>
          <w:spacing w:val="10"/>
          <w:sz w:val="20"/>
        </w:rPr>
        <w:t> </w:t>
      </w:r>
      <w:r>
        <w:rPr>
          <w:rFonts w:ascii="Arial"/>
          <w:i/>
          <w:sz w:val="20"/>
        </w:rPr>
        <w:t>1</w:t>
      </w:r>
      <w:r>
        <w:rPr>
          <w:rFonts w:ascii="Arial"/>
          <w:i/>
          <w:spacing w:val="10"/>
          <w:sz w:val="20"/>
        </w:rPr>
        <w:t> </w:t>
      </w:r>
      <w:r>
        <w:rPr>
          <w:rFonts w:ascii="Arial"/>
          <w:i/>
          <w:sz w:val="20"/>
        </w:rPr>
        <w:t>Eq.</w:t>
      </w:r>
      <w:r>
        <w:rPr>
          <w:rFonts w:ascii="Arial"/>
          <w:i/>
          <w:spacing w:val="10"/>
          <w:sz w:val="20"/>
        </w:rPr>
        <w:t> </w:t>
      </w:r>
      <w:r>
        <w:rPr>
          <w:rFonts w:ascii="Arial"/>
          <w:i/>
          <w:spacing w:val="-4"/>
          <w:sz w:val="20"/>
        </w:rPr>
        <w:t>195,</w:t>
      </w:r>
    </w:p>
    <w:p>
      <w:pPr>
        <w:spacing w:line="227" w:lineRule="exact" w:before="0"/>
        <w:ind w:left="705" w:right="0" w:firstLine="0"/>
        <w:jc w:val="left"/>
        <w:rPr>
          <w:sz w:val="20"/>
        </w:rPr>
      </w:pPr>
      <w:r>
        <w:rPr>
          <w:rFonts w:ascii="Arial"/>
          <w:i/>
          <w:sz w:val="20"/>
        </w:rPr>
        <w:t>210</w:t>
      </w:r>
      <w:r>
        <w:rPr>
          <w:sz w:val="20"/>
        </w:rPr>
        <w:t>;</w:t>
      </w:r>
      <w:r>
        <w:rPr>
          <w:spacing w:val="-1"/>
          <w:sz w:val="20"/>
        </w:rPr>
        <w:t> </w:t>
      </w:r>
      <w:r>
        <w:rPr>
          <w:rFonts w:ascii="Arial"/>
          <w:i/>
          <w:sz w:val="20"/>
        </w:rPr>
        <w:t>Tennent v Tennents (1870) L.R. 2 Sc. &amp; Div. 6, </w:t>
      </w:r>
      <w:r>
        <w:rPr>
          <w:rFonts w:ascii="Arial"/>
          <w:i/>
          <w:spacing w:val="-5"/>
          <w:sz w:val="20"/>
        </w:rPr>
        <w:t>9</w:t>
      </w:r>
      <w:r>
        <w:rPr>
          <w:spacing w:val="-5"/>
          <w:sz w:val="20"/>
        </w:rPr>
        <w:t>.</w:t>
      </w:r>
    </w:p>
    <w:p>
      <w:pPr>
        <w:spacing w:after="0" w:line="227" w:lineRule="exact"/>
        <w:jc w:val="left"/>
        <w:rPr>
          <w:sz w:val="20"/>
        </w:rPr>
        <w:sectPr>
          <w:type w:val="continuous"/>
          <w:pgSz w:w="11900" w:h="16840"/>
          <w:pgMar w:header="971" w:footer="0" w:top="37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186">
        <w:r>
          <w:rPr>
            <w:color w:val="005DA1"/>
            <w:spacing w:val="-4"/>
            <w:position w:val="5"/>
            <w:sz w:val="14"/>
            <w:u w:val="single" w:color="005DA1"/>
          </w:rPr>
          <w:t>135</w:t>
        </w:r>
      </w:hyperlink>
      <w:r>
        <w:rPr>
          <w:spacing w:val="-4"/>
          <w:position w:val="5"/>
          <w:sz w:val="14"/>
        </w:rPr>
        <w:t>.</w:t>
      </w:r>
      <w:r>
        <w:rPr>
          <w:position w:val="5"/>
          <w:sz w:val="14"/>
        </w:rPr>
        <w:tab/>
      </w:r>
      <w:r>
        <w:rPr>
          <w:rFonts w:ascii="Arial"/>
          <w:i/>
          <w:sz w:val="20"/>
        </w:rPr>
        <w:t>Jefferys</w:t>
      </w:r>
      <w:r>
        <w:rPr>
          <w:rFonts w:ascii="Arial"/>
          <w:i/>
          <w:spacing w:val="-1"/>
          <w:sz w:val="20"/>
        </w:rPr>
        <w:t> </w:t>
      </w:r>
      <w:r>
        <w:rPr>
          <w:rFonts w:ascii="Arial"/>
          <w:i/>
          <w:sz w:val="20"/>
        </w:rPr>
        <w:t>v Jefferys (1841) Cr. &amp; Ph. 138</w:t>
      </w:r>
      <w:r>
        <w:rPr>
          <w:sz w:val="20"/>
        </w:rPr>
        <w:t>; below, para.27-</w:t>
      </w:r>
      <w:r>
        <w:rPr>
          <w:spacing w:val="-4"/>
          <w:sz w:val="20"/>
        </w:rPr>
        <w:t>039.</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250" w:id="252"/>
      <w:bookmarkEnd w:id="252"/>
      <w:r>
        <w:rPr/>
      </w:r>
      <w:hyperlink w:history="true" w:anchor="_bookmark187">
        <w:r>
          <w:rPr>
            <w:color w:val="005DA1"/>
            <w:spacing w:val="-4"/>
            <w:position w:val="5"/>
            <w:sz w:val="14"/>
            <w:u w:val="single" w:color="005DA1"/>
          </w:rPr>
          <w:t>136</w:t>
        </w:r>
      </w:hyperlink>
      <w:r>
        <w:rPr>
          <w:spacing w:val="-4"/>
          <w:position w:val="5"/>
          <w:sz w:val="14"/>
        </w:rPr>
        <w:t>.</w:t>
      </w:r>
      <w:r>
        <w:rPr>
          <w:position w:val="5"/>
          <w:sz w:val="14"/>
        </w:rPr>
        <w:tab/>
      </w:r>
      <w:r>
        <w:rPr>
          <w:rFonts w:ascii="Arial"/>
          <w:i/>
          <w:sz w:val="20"/>
        </w:rPr>
        <w:t>T.</w:t>
      </w:r>
      <w:r>
        <w:rPr>
          <w:rFonts w:ascii="Arial"/>
          <w:i/>
          <w:spacing w:val="41"/>
          <w:sz w:val="20"/>
        </w:rPr>
        <w:t> </w:t>
      </w:r>
      <w:r>
        <w:rPr>
          <w:rFonts w:ascii="Arial"/>
          <w:i/>
          <w:sz w:val="20"/>
        </w:rPr>
        <w:t>Choithram</w:t>
      </w:r>
      <w:r>
        <w:rPr>
          <w:rFonts w:ascii="Arial"/>
          <w:i/>
          <w:spacing w:val="44"/>
          <w:sz w:val="20"/>
        </w:rPr>
        <w:t> </w:t>
      </w:r>
      <w:r>
        <w:rPr>
          <w:rFonts w:ascii="Arial"/>
          <w:i/>
          <w:sz w:val="20"/>
        </w:rPr>
        <w:t>International</w:t>
      </w:r>
      <w:r>
        <w:rPr>
          <w:rFonts w:ascii="Arial"/>
          <w:i/>
          <w:spacing w:val="44"/>
          <w:sz w:val="20"/>
        </w:rPr>
        <w:t> </w:t>
      </w:r>
      <w:r>
        <w:rPr>
          <w:rFonts w:ascii="Arial"/>
          <w:i/>
          <w:sz w:val="20"/>
        </w:rPr>
        <w:t>S.A.</w:t>
      </w:r>
      <w:r>
        <w:rPr>
          <w:rFonts w:ascii="Arial"/>
          <w:i/>
          <w:spacing w:val="44"/>
          <w:sz w:val="20"/>
        </w:rPr>
        <w:t> </w:t>
      </w:r>
      <w:r>
        <w:rPr>
          <w:rFonts w:ascii="Arial"/>
          <w:i/>
          <w:sz w:val="20"/>
        </w:rPr>
        <w:t>v</w:t>
      </w:r>
      <w:r>
        <w:rPr>
          <w:rFonts w:ascii="Arial"/>
          <w:i/>
          <w:spacing w:val="44"/>
          <w:sz w:val="20"/>
        </w:rPr>
        <w:t> </w:t>
      </w:r>
      <w:r>
        <w:rPr>
          <w:rFonts w:ascii="Arial"/>
          <w:i/>
          <w:sz w:val="20"/>
        </w:rPr>
        <w:t>Pagarani</w:t>
      </w:r>
      <w:r>
        <w:rPr>
          <w:rFonts w:ascii="Arial"/>
          <w:i/>
          <w:spacing w:val="44"/>
          <w:sz w:val="20"/>
        </w:rPr>
        <w:t> </w:t>
      </w:r>
      <w:r>
        <w:rPr>
          <w:rFonts w:ascii="Arial"/>
          <w:i/>
          <w:sz w:val="20"/>
        </w:rPr>
        <w:t>[2001]</w:t>
      </w:r>
      <w:r>
        <w:rPr>
          <w:rFonts w:ascii="Arial"/>
          <w:i/>
          <w:spacing w:val="44"/>
          <w:sz w:val="20"/>
        </w:rPr>
        <w:t> </w:t>
      </w:r>
      <w:r>
        <w:rPr>
          <w:rFonts w:ascii="Arial"/>
          <w:i/>
          <w:sz w:val="20"/>
        </w:rPr>
        <w:t>1</w:t>
      </w:r>
      <w:r>
        <w:rPr>
          <w:rFonts w:ascii="Arial"/>
          <w:i/>
          <w:spacing w:val="44"/>
          <w:sz w:val="20"/>
        </w:rPr>
        <w:t> </w:t>
      </w:r>
      <w:r>
        <w:rPr>
          <w:rFonts w:ascii="Arial"/>
          <w:i/>
          <w:sz w:val="20"/>
        </w:rPr>
        <w:t>W.L.R.</w:t>
      </w:r>
      <w:r>
        <w:rPr>
          <w:rFonts w:ascii="Arial"/>
          <w:i/>
          <w:spacing w:val="44"/>
          <w:sz w:val="20"/>
        </w:rPr>
        <w:t> </w:t>
      </w:r>
      <w:r>
        <w:rPr>
          <w:rFonts w:ascii="Arial"/>
          <w:i/>
          <w:sz w:val="20"/>
        </w:rPr>
        <w:t>1</w:t>
      </w:r>
      <w:r>
        <w:rPr>
          <w:sz w:val="20"/>
        </w:rPr>
        <w:t>;</w:t>
      </w:r>
      <w:r>
        <w:rPr>
          <w:spacing w:val="45"/>
          <w:sz w:val="20"/>
        </w:rPr>
        <w:t> </w:t>
      </w:r>
      <w:r>
        <w:rPr>
          <w:rFonts w:ascii="Arial"/>
          <w:i/>
          <w:sz w:val="20"/>
        </w:rPr>
        <w:t>Pennington</w:t>
      </w:r>
      <w:r>
        <w:rPr>
          <w:rFonts w:ascii="Arial"/>
          <w:i/>
          <w:spacing w:val="44"/>
          <w:sz w:val="20"/>
        </w:rPr>
        <w:t> </w:t>
      </w:r>
      <w:r>
        <w:rPr>
          <w:rFonts w:ascii="Arial"/>
          <w:i/>
          <w:sz w:val="20"/>
        </w:rPr>
        <w:t>v</w:t>
      </w:r>
      <w:r>
        <w:rPr>
          <w:rFonts w:ascii="Arial"/>
          <w:i/>
          <w:spacing w:val="44"/>
          <w:sz w:val="20"/>
        </w:rPr>
        <w:t> </w:t>
      </w:r>
      <w:r>
        <w:rPr>
          <w:rFonts w:ascii="Arial"/>
          <w:i/>
          <w:sz w:val="20"/>
        </w:rPr>
        <w:t>Waine</w:t>
      </w:r>
      <w:r>
        <w:rPr>
          <w:rFonts w:ascii="Arial"/>
          <w:i/>
          <w:spacing w:val="44"/>
          <w:sz w:val="20"/>
        </w:rPr>
        <w:t> </w:t>
      </w:r>
      <w:r>
        <w:rPr>
          <w:rFonts w:ascii="Arial"/>
          <w:i/>
          <w:spacing w:val="-2"/>
          <w:sz w:val="20"/>
        </w:rPr>
        <w:t>[2002]</w:t>
      </w:r>
    </w:p>
    <w:p>
      <w:pPr>
        <w:spacing w:line="227" w:lineRule="exact" w:before="0"/>
        <w:ind w:left="705" w:right="0" w:firstLine="0"/>
        <w:jc w:val="left"/>
        <w:rPr>
          <w:sz w:val="20"/>
        </w:rPr>
      </w:pPr>
      <w:r>
        <w:rPr>
          <w:rFonts w:ascii="Arial"/>
          <w:i/>
          <w:sz w:val="20"/>
        </w:rPr>
        <w:t>EWCA Civ 227; [2002] 1 W.L.R. </w:t>
      </w:r>
      <w:r>
        <w:rPr>
          <w:rFonts w:ascii="Arial"/>
          <w:i/>
          <w:spacing w:val="-2"/>
          <w:sz w:val="20"/>
        </w:rPr>
        <w:t>2075</w:t>
      </w:r>
      <w:r>
        <w:rPr>
          <w:spacing w:val="-2"/>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727" w:right="2730"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67808">
                <wp:simplePos x="0" y="0"/>
                <wp:positionH relativeFrom="page">
                  <wp:posOffset>4707940</wp:posOffset>
                </wp:positionH>
                <wp:positionV relativeFrom="paragraph">
                  <wp:posOffset>377436</wp:posOffset>
                </wp:positionV>
                <wp:extent cx="4254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48672" from="370.70401pt,29.719406pt" to="374.04001pt,29.719406pt" stroked="true" strokeweight=".428pt" strokecolor="#005da1">
                <v:stroke dashstyle="solid"/>
                <w10:wrap type="none"/>
              </v:line>
            </w:pict>
          </mc:Fallback>
        </mc:AlternateContent>
      </w: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4 - Consideration </w:t>
      </w:r>
      <w:r>
        <w:rPr>
          <w:rFonts w:ascii="Arial"/>
          <w:b/>
          <w:color w:val="005DA1"/>
          <w:position w:val="11"/>
          <w:sz w:val="12"/>
        </w:rPr>
        <w:t>1</w:t>
      </w:r>
    </w:p>
    <w:p>
      <w:pPr>
        <w:spacing w:before="2"/>
        <w:ind w:left="940" w:right="943" w:firstLine="0"/>
        <w:jc w:val="center"/>
        <w:rPr>
          <w:rFonts w:ascii="Arial" w:hAnsi="Arial"/>
          <w:b/>
          <w:sz w:val="24"/>
        </w:rPr>
      </w:pPr>
      <w:r>
        <w:rPr>
          <w:rFonts w:ascii="Arial" w:hAnsi="Arial"/>
          <w:b/>
          <w:sz w:val="24"/>
        </w:rPr>
        <w:t>Section 4. - The Concept of “Valuable” </w:t>
      </w:r>
      <w:r>
        <w:rPr>
          <w:rFonts w:ascii="Arial" w:hAnsi="Arial"/>
          <w:b/>
          <w:spacing w:val="-2"/>
          <w:sz w:val="24"/>
        </w:rPr>
        <w:t>Consideration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hAnsi="Arial"/>
          <w:b/>
          <w:sz w:val="18"/>
        </w:rPr>
      </w:pPr>
      <w:r>
        <w:rPr>
          <w:rFonts w:ascii="Arial" w:hAnsi="Arial"/>
          <w:b/>
          <w:sz w:val="18"/>
        </w:rPr>
        <w:t>“Value in the eye of the </w:t>
      </w:r>
      <w:r>
        <w:rPr>
          <w:rFonts w:ascii="Arial" w:hAnsi="Arial"/>
          <w:b/>
          <w:spacing w:val="-4"/>
          <w:sz w:val="18"/>
        </w:rPr>
        <w:t>law”</w:t>
      </w:r>
    </w:p>
    <w:p>
      <w:pPr>
        <w:pStyle w:val="BodyText"/>
        <w:spacing w:before="41"/>
        <w:rPr>
          <w:rFonts w:ascii="Arial"/>
          <w:b/>
          <w:sz w:val="18"/>
        </w:rPr>
      </w:pPr>
    </w:p>
    <w:p>
      <w:pPr>
        <w:pStyle w:val="Heading2"/>
      </w:pPr>
      <w:r>
        <w:rPr/>
        <w:t>4-</w:t>
      </w:r>
      <w:r>
        <w:rPr>
          <w:spacing w:val="-5"/>
        </w:rPr>
        <w:t>022</w:t>
      </w:r>
    </w:p>
    <w:p>
      <w:pPr>
        <w:pStyle w:val="BodyText"/>
        <w:spacing w:line="235" w:lineRule="auto" w:before="203"/>
        <w:ind w:left="164" w:right="167"/>
        <w:jc w:val="both"/>
      </w:pPr>
      <w:bookmarkStart w:name="_bookmark251" w:id="253"/>
      <w:bookmarkEnd w:id="253"/>
      <w:r>
        <w:rPr/>
      </w:r>
      <w:bookmarkStart w:name="_bookmark252" w:id="254"/>
      <w:bookmarkEnd w:id="254"/>
      <w:r>
        <w:rPr/>
      </w:r>
      <w:r>
        <w:rPr/>
        <w:t>Although</w:t>
      </w:r>
      <w:r>
        <w:rPr>
          <w:spacing w:val="-2"/>
        </w:rPr>
        <w:t> </w:t>
      </w:r>
      <w:r>
        <w:rPr/>
        <w:t>consideration</w:t>
      </w:r>
      <w:r>
        <w:rPr>
          <w:spacing w:val="-2"/>
        </w:rPr>
        <w:t> </w:t>
      </w:r>
      <w:r>
        <w:rPr/>
        <w:t>need</w:t>
      </w:r>
      <w:r>
        <w:rPr>
          <w:spacing w:val="-2"/>
        </w:rPr>
        <w:t> </w:t>
      </w:r>
      <w:r>
        <w:rPr/>
        <w:t>not</w:t>
      </w:r>
      <w:r>
        <w:rPr>
          <w:spacing w:val="-2"/>
        </w:rPr>
        <w:t> </w:t>
      </w:r>
      <w:r>
        <w:rPr/>
        <w:t>be</w:t>
      </w:r>
      <w:r>
        <w:rPr>
          <w:spacing w:val="-2"/>
        </w:rPr>
        <w:t> </w:t>
      </w:r>
      <w:r>
        <w:rPr/>
        <w:t>adequate,</w:t>
      </w:r>
      <w:r>
        <w:rPr>
          <w:spacing w:val="-2"/>
        </w:rPr>
        <w:t> </w:t>
      </w:r>
      <w:r>
        <w:rPr/>
        <w:t>it</w:t>
      </w:r>
      <w:r>
        <w:rPr>
          <w:spacing w:val="-2"/>
        </w:rPr>
        <w:t> </w:t>
      </w:r>
      <w:r>
        <w:rPr/>
        <w:t>must</w:t>
      </w:r>
      <w:r>
        <w:rPr>
          <w:spacing w:val="-2"/>
        </w:rPr>
        <w:t> </w:t>
      </w:r>
      <w:r>
        <w:rPr/>
        <w:t>be</w:t>
      </w:r>
      <w:r>
        <w:rPr>
          <w:spacing w:val="-2"/>
        </w:rPr>
        <w:t> </w:t>
      </w:r>
      <w:r>
        <w:rPr/>
        <w:t>“of</w:t>
      </w:r>
      <w:r>
        <w:rPr>
          <w:spacing w:val="-2"/>
        </w:rPr>
        <w:t> </w:t>
      </w:r>
      <w:r>
        <w:rPr/>
        <w:t>some</w:t>
      </w:r>
      <w:r>
        <w:rPr>
          <w:spacing w:val="-2"/>
        </w:rPr>
        <w:t> </w:t>
      </w:r>
      <w:r>
        <w:rPr/>
        <w:t>value</w:t>
      </w:r>
      <w:r>
        <w:rPr>
          <w:spacing w:val="-2"/>
        </w:rPr>
        <w:t> </w:t>
      </w:r>
      <w:r>
        <w:rPr/>
        <w:t>in</w:t>
      </w:r>
      <w:r>
        <w:rPr>
          <w:spacing w:val="-2"/>
        </w:rPr>
        <w:t> </w:t>
      </w:r>
      <w:r>
        <w:rPr/>
        <w:t>the</w:t>
      </w:r>
      <w:r>
        <w:rPr>
          <w:spacing w:val="-2"/>
        </w:rPr>
        <w:t> </w:t>
      </w:r>
      <w:r>
        <w:rPr/>
        <w:t>eye</w:t>
      </w:r>
      <w:r>
        <w:rPr>
          <w:spacing w:val="-2"/>
        </w:rPr>
        <w:t> </w:t>
      </w:r>
      <w:r>
        <w:rPr/>
        <w:t>of</w:t>
      </w:r>
      <w:r>
        <w:rPr>
          <w:spacing w:val="-2"/>
        </w:rPr>
        <w:t> </w:t>
      </w:r>
      <w:r>
        <w:rPr/>
        <w:t>the</w:t>
      </w:r>
      <w:r>
        <w:rPr>
          <w:spacing w:val="-2"/>
        </w:rPr>
        <w:t> </w:t>
      </w:r>
      <w:r>
        <w:rPr/>
        <w:t>law,”</w:t>
      </w:r>
      <w:r>
        <w:rPr>
          <w:spacing w:val="-3"/>
        </w:rPr>
        <w:t> </w:t>
      </w:r>
      <w:r>
        <w:rPr>
          <w:color w:val="005DA1"/>
          <w:u w:val="single" w:color="005DA1"/>
          <w:vertAlign w:val="superscript"/>
        </w:rPr>
        <w:t>137</w:t>
      </w:r>
      <w:r>
        <w:rPr>
          <w:color w:val="005DA1"/>
          <w:spacing w:val="-2"/>
          <w:vertAlign w:val="baseline"/>
        </w:rPr>
        <w:t> </w:t>
      </w:r>
      <w:r>
        <w:rPr>
          <w:vertAlign w:val="baseline"/>
        </w:rPr>
        <w:t>that is, it must be capable of estimation in terms of economic or monetary value, </w:t>
      </w:r>
      <w:r>
        <w:rPr>
          <w:color w:val="005DA1"/>
          <w:u w:val="single" w:color="005DA1"/>
          <w:vertAlign w:val="superscript"/>
        </w:rPr>
        <w:t>138</w:t>
      </w:r>
      <w:r>
        <w:rPr>
          <w:color w:val="005DA1"/>
          <w:vertAlign w:val="baseline"/>
        </w:rPr>
        <w:t> </w:t>
      </w:r>
      <w:r>
        <w:rPr>
          <w:vertAlign w:val="baseline"/>
        </w:rPr>
        <w:t>even though </w:t>
      </w:r>
      <w:r>
        <w:rPr>
          <w:vertAlign w:val="baseline"/>
        </w:rPr>
        <w:t>there</w:t>
      </w:r>
      <w:r>
        <w:rPr>
          <w:spacing w:val="40"/>
          <w:vertAlign w:val="baseline"/>
        </w:rPr>
        <w:t> </w:t>
      </w:r>
      <w:bookmarkStart w:name="_bookmark253" w:id="255"/>
      <w:bookmarkEnd w:id="255"/>
      <w:r>
        <w:rPr>
          <w:vertAlign w:val="baseline"/>
        </w:rPr>
        <w:t>may</w:t>
      </w:r>
      <w:r>
        <w:rPr>
          <w:vertAlign w:val="baseline"/>
        </w:rPr>
        <w:t> be no very precise way of quantifying that value. This is one reason why there is no</w:t>
      </w:r>
      <w:r>
        <w:rPr>
          <w:spacing w:val="40"/>
          <w:vertAlign w:val="baseline"/>
        </w:rPr>
        <w:t> </w:t>
      </w:r>
      <w:bookmarkStart w:name="_bookmark254" w:id="256"/>
      <w:bookmarkEnd w:id="256"/>
      <w:r>
        <w:rPr>
          <w:vertAlign w:val="baseline"/>
        </w:rPr>
        <w:t>consideration</w:t>
      </w:r>
      <w:r>
        <w:rPr>
          <w:vertAlign w:val="baseline"/>
        </w:rPr>
        <w:t> for a promise made “in consideration of natural love and affection,” </w:t>
      </w:r>
      <w:r>
        <w:rPr>
          <w:color w:val="005DA1"/>
          <w:u w:val="single" w:color="005DA1"/>
          <w:vertAlign w:val="superscript"/>
        </w:rPr>
        <w:t>139</w:t>
      </w:r>
      <w:r>
        <w:rPr>
          <w:color w:val="005DA1"/>
          <w:vertAlign w:val="baseline"/>
        </w:rPr>
        <w:t> </w:t>
      </w:r>
      <w:r>
        <w:rPr>
          <w:vertAlign w:val="baseline"/>
        </w:rPr>
        <w:t>and why in </w:t>
      </w:r>
      <w:r>
        <w:rPr>
          <w:rFonts w:ascii="Arial" w:hAnsi="Arial"/>
          <w:i/>
          <w:vertAlign w:val="baseline"/>
        </w:rPr>
        <w:t>Thomas v Thomas </w:t>
      </w:r>
      <w:r>
        <w:rPr>
          <w:color w:val="005DA1"/>
          <w:u w:val="single" w:color="005DA1"/>
          <w:vertAlign w:val="superscript"/>
        </w:rPr>
        <w:t>140</w:t>
      </w:r>
      <w:r>
        <w:rPr>
          <w:color w:val="005DA1"/>
          <w:vertAlign w:val="baseline"/>
        </w:rPr>
        <w:t> </w:t>
      </w:r>
      <w:r>
        <w:rPr>
          <w:vertAlign w:val="baseline"/>
        </w:rPr>
        <w:t>the testator’s desire that his widow should live in his house was not part of the </w:t>
      </w:r>
      <w:bookmarkStart w:name="_bookmark255" w:id="257"/>
      <w:bookmarkEnd w:id="257"/>
      <w:r>
        <w:rPr>
          <w:vertAlign w:val="baseline"/>
        </w:rPr>
        <w:t>consideration</w:t>
      </w:r>
      <w:r>
        <w:rPr>
          <w:vertAlign w:val="baseline"/>
        </w:rPr>
        <w:t> for the executors’ promise to allow her to do so. The same reasoning may explain the decision in </w:t>
      </w:r>
      <w:r>
        <w:rPr>
          <w:rFonts w:ascii="Arial" w:hAnsi="Arial"/>
          <w:i/>
          <w:vertAlign w:val="baseline"/>
        </w:rPr>
        <w:t>White v Bluett </w:t>
      </w:r>
      <w:r>
        <w:rPr>
          <w:color w:val="005DA1"/>
          <w:u w:val="single" w:color="005DA1"/>
          <w:vertAlign w:val="superscript"/>
        </w:rPr>
        <w:t>141</w:t>
      </w:r>
      <w:r>
        <w:rPr>
          <w:color w:val="005DA1"/>
          <w:vertAlign w:val="baseline"/>
        </w:rPr>
        <w:t> </w:t>
      </w:r>
      <w:r>
        <w:rPr>
          <w:vertAlign w:val="baseline"/>
        </w:rPr>
        <w:t>that a son had not provided consideration for his father’s promise not to </w:t>
      </w:r>
      <w:bookmarkStart w:name="_bookmark256" w:id="258"/>
      <w:bookmarkEnd w:id="258"/>
      <w:r>
        <w:rPr>
          <w:vertAlign w:val="baseline"/>
        </w:rPr>
        <w:t>sue</w:t>
      </w:r>
      <w:r>
        <w:rPr>
          <w:vertAlign w:val="baseline"/>
        </w:rPr>
        <w:t> him on a promissory note by promising in return not to bore his father with complaints. But in </w:t>
      </w:r>
      <w:r>
        <w:rPr>
          <w:rFonts w:ascii="Arial" w:hAnsi="Arial"/>
          <w:i/>
          <w:vertAlign w:val="baseline"/>
        </w:rPr>
        <w:t>Ward v Byham </w:t>
      </w:r>
      <w:r>
        <w:rPr>
          <w:color w:val="005DA1"/>
          <w:u w:val="single" w:color="005DA1"/>
          <w:vertAlign w:val="superscript"/>
        </w:rPr>
        <w:t>142</w:t>
      </w:r>
      <w:r>
        <w:rPr>
          <w:color w:val="005DA1"/>
          <w:vertAlign w:val="baseline"/>
        </w:rPr>
        <w:t> </w:t>
      </w:r>
      <w:r>
        <w:rPr>
          <w:vertAlign w:val="baseline"/>
        </w:rPr>
        <w:t>a promise by the mother of an illegitimate child to make it happy appears to have been</w:t>
      </w:r>
      <w:r>
        <w:rPr>
          <w:spacing w:val="-2"/>
          <w:vertAlign w:val="baseline"/>
        </w:rPr>
        <w:t> </w:t>
      </w:r>
      <w:r>
        <w:rPr>
          <w:vertAlign w:val="baseline"/>
        </w:rPr>
        <w:t>regarded</w:t>
      </w:r>
      <w:r>
        <w:rPr>
          <w:spacing w:val="-2"/>
          <w:vertAlign w:val="baseline"/>
        </w:rPr>
        <w:t> </w:t>
      </w:r>
      <w:r>
        <w:rPr>
          <w:vertAlign w:val="baseline"/>
        </w:rPr>
        <w:t>as</w:t>
      </w:r>
      <w:r>
        <w:rPr>
          <w:spacing w:val="-2"/>
          <w:vertAlign w:val="baseline"/>
        </w:rPr>
        <w:t> </w:t>
      </w:r>
      <w:r>
        <w:rPr>
          <w:vertAlign w:val="baseline"/>
        </w:rPr>
        <w:t>part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consideration</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father’s</w:t>
      </w:r>
      <w:r>
        <w:rPr>
          <w:spacing w:val="-2"/>
          <w:vertAlign w:val="baseline"/>
        </w:rPr>
        <w:t> </w:t>
      </w:r>
      <w:r>
        <w:rPr>
          <w:vertAlign w:val="baseline"/>
        </w:rPr>
        <w:t>promise</w:t>
      </w:r>
      <w:r>
        <w:rPr>
          <w:spacing w:val="-2"/>
          <w:vertAlign w:val="baseline"/>
        </w:rPr>
        <w:t> </w:t>
      </w:r>
      <w:r>
        <w:rPr>
          <w:vertAlign w:val="baseline"/>
        </w:rPr>
        <w:t>to</w:t>
      </w:r>
      <w:r>
        <w:rPr>
          <w:spacing w:val="-2"/>
          <w:vertAlign w:val="baseline"/>
        </w:rPr>
        <w:t> </w:t>
      </w:r>
      <w:r>
        <w:rPr>
          <w:vertAlign w:val="baseline"/>
        </w:rPr>
        <w:t>pay</w:t>
      </w:r>
      <w:r>
        <w:rPr>
          <w:spacing w:val="-2"/>
          <w:vertAlign w:val="baseline"/>
        </w:rPr>
        <w:t> </w:t>
      </w:r>
      <w:r>
        <w:rPr>
          <w:vertAlign w:val="baseline"/>
        </w:rPr>
        <w:t>her</w:t>
      </w:r>
      <w:r>
        <w:rPr>
          <w:spacing w:val="-2"/>
          <w:vertAlign w:val="baseline"/>
        </w:rPr>
        <w:t> </w:t>
      </w:r>
      <w:r>
        <w:rPr>
          <w:vertAlign w:val="baseline"/>
        </w:rPr>
        <w:t>an</w:t>
      </w:r>
      <w:r>
        <w:rPr>
          <w:spacing w:val="-2"/>
          <w:vertAlign w:val="baseline"/>
        </w:rPr>
        <w:t> </w:t>
      </w:r>
      <w:r>
        <w:rPr>
          <w:vertAlign w:val="baseline"/>
        </w:rPr>
        <w:t>allowance.</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by</w:t>
      </w:r>
      <w:r>
        <w:rPr>
          <w:spacing w:val="-2"/>
          <w:vertAlign w:val="baseline"/>
        </w:rPr>
        <w:t> </w:t>
      </w:r>
      <w:r>
        <w:rPr>
          <w:vertAlign w:val="baseline"/>
        </w:rPr>
        <w:t>no </w:t>
      </w:r>
      <w:bookmarkStart w:name="_bookmark257" w:id="259"/>
      <w:bookmarkEnd w:id="259"/>
      <w:r>
        <w:rPr>
          <w:vertAlign w:val="baseline"/>
        </w:rPr>
        <w:t>means</w:t>
      </w:r>
      <w:r>
        <w:rPr>
          <w:vertAlign w:val="baseline"/>
        </w:rPr>
        <w:t> clear why the mother’s promise in the latter case was, while the son’s promise in the former was not, thought to have “value in the eye of the law.” </w:t>
      </w:r>
      <w:r>
        <w:rPr>
          <w:color w:val="005DA1"/>
          <w:u w:val="single" w:color="005DA1"/>
          <w:vertAlign w:val="superscript"/>
        </w:rPr>
        <w:t>143</w:t>
      </w:r>
    </w:p>
    <w:p>
      <w:pPr>
        <w:pStyle w:val="BodyText"/>
      </w:pPr>
    </w:p>
    <w:p>
      <w:pPr>
        <w:pStyle w:val="BodyText"/>
        <w:spacing w:before="34"/>
      </w:pPr>
    </w:p>
    <w:p>
      <w:pPr>
        <w:spacing w:before="0"/>
        <w:ind w:left="164" w:right="0" w:firstLine="0"/>
        <w:jc w:val="left"/>
        <w:rPr>
          <w:rFonts w:ascii="Arial"/>
          <w:b/>
          <w:sz w:val="18"/>
        </w:rPr>
      </w:pPr>
      <w:r>
        <w:rPr>
          <w:rFonts w:ascii="Arial"/>
          <w:b/>
          <w:sz w:val="18"/>
        </w:rPr>
        <w:t>Impossible and illusory </w:t>
      </w:r>
      <w:r>
        <w:rPr>
          <w:rFonts w:ascii="Arial"/>
          <w:b/>
          <w:spacing w:val="-2"/>
          <w:sz w:val="18"/>
        </w:rPr>
        <w:t>consideration</w:t>
      </w:r>
    </w:p>
    <w:p>
      <w:pPr>
        <w:pStyle w:val="BodyText"/>
        <w:spacing w:before="41"/>
        <w:rPr>
          <w:rFonts w:ascii="Arial"/>
          <w:b/>
          <w:sz w:val="18"/>
        </w:rPr>
      </w:pPr>
    </w:p>
    <w:p>
      <w:pPr>
        <w:pStyle w:val="Heading2"/>
        <w:ind w:left="164"/>
      </w:pPr>
      <w:r>
        <w:rPr/>
        <w:t>4-</w:t>
      </w:r>
      <w:r>
        <w:rPr>
          <w:spacing w:val="-5"/>
        </w:rPr>
        <w:t>023</w:t>
      </w:r>
    </w:p>
    <w:p>
      <w:pPr>
        <w:pStyle w:val="BodyText"/>
        <w:spacing w:line="235" w:lineRule="auto" w:before="203"/>
        <w:ind w:left="164" w:right="167"/>
        <w:jc w:val="both"/>
      </w:pPr>
      <w:bookmarkStart w:name="_bookmark258" w:id="260"/>
      <w:bookmarkEnd w:id="260"/>
      <w:r>
        <w:rPr/>
      </w:r>
      <w:r>
        <w:rPr/>
        <w:t>A contract may be void for mistake if at the time of the agreement its performance is, unknown to either party, physically impossible.</w:t>
      </w:r>
      <w:r>
        <w:rPr>
          <w:spacing w:val="-1"/>
        </w:rPr>
        <w:t> </w:t>
      </w:r>
      <w:r>
        <w:rPr>
          <w:color w:val="005DA1"/>
          <w:u w:val="single" w:color="005DA1"/>
          <w:vertAlign w:val="superscript"/>
        </w:rPr>
        <w:t>144</w:t>
      </w:r>
      <w:r>
        <w:rPr>
          <w:color w:val="005DA1"/>
          <w:vertAlign w:val="baseline"/>
        </w:rPr>
        <w:t> </w:t>
      </w:r>
      <w:r>
        <w:rPr>
          <w:vertAlign w:val="baseline"/>
        </w:rPr>
        <w:t>In such a case there may nevertheless be consideration, e.g. in the mutual promises of the parties. But if the performance of one party’s promise is known by both to be impossible to perform, it is arguable that the consideration is only illusory and therefore to be </w:t>
      </w:r>
      <w:bookmarkStart w:name="_bookmark259" w:id="261"/>
      <w:bookmarkEnd w:id="261"/>
      <w:r>
        <w:rPr>
          <w:vertAlign w:val="baseline"/>
        </w:rPr>
        <w:t>disregarded.</w:t>
      </w:r>
      <w:r>
        <w:rPr>
          <w:vertAlign w:val="baseline"/>
        </w:rPr>
        <w:t> For example, a promise by A to pay B £100 for all the wine in B’s cellar would probably be regarded as gratuitous if at the time when it was made both A and B knew </w:t>
      </w:r>
      <w:r>
        <w:rPr>
          <w:color w:val="005DA1"/>
          <w:u w:val="single" w:color="005DA1"/>
          <w:vertAlign w:val="superscript"/>
        </w:rPr>
        <w:t>145</w:t>
      </w:r>
      <w:r>
        <w:rPr>
          <w:color w:val="005DA1"/>
          <w:vertAlign w:val="baseline"/>
        </w:rPr>
        <w:t> </w:t>
      </w:r>
      <w:r>
        <w:rPr>
          <w:vertAlign w:val="baseline"/>
        </w:rPr>
        <w:t>that there was no </w:t>
      </w:r>
      <w:bookmarkStart w:name="_bookmark260" w:id="262"/>
      <w:bookmarkEnd w:id="262"/>
      <w:r>
        <w:rPr>
          <w:vertAlign w:val="baseline"/>
        </w:rPr>
        <w:t>wine</w:t>
      </w:r>
      <w:r>
        <w:rPr>
          <w:vertAlign w:val="baseline"/>
        </w:rPr>
        <w:t> in the cellar. The position would be different if B’s promise was to deliver the </w:t>
      </w:r>
      <w:r>
        <w:rPr>
          <w:rFonts w:ascii="Arial" w:hAnsi="Arial"/>
          <w:i/>
          <w:vertAlign w:val="baseline"/>
        </w:rPr>
        <w:t>future </w:t>
      </w:r>
      <w:r>
        <w:rPr>
          <w:vertAlign w:val="baseline"/>
        </w:rPr>
        <w:t>contents of the</w:t>
      </w:r>
      <w:r>
        <w:rPr>
          <w:spacing w:val="-1"/>
          <w:vertAlign w:val="baseline"/>
        </w:rPr>
        <w:t> </w:t>
      </w:r>
      <w:r>
        <w:rPr>
          <w:vertAlign w:val="baseline"/>
        </w:rPr>
        <w:t>cellar.</w:t>
      </w:r>
      <w:r>
        <w:rPr>
          <w:spacing w:val="-1"/>
          <w:vertAlign w:val="baseline"/>
        </w:rPr>
        <w:t> </w:t>
      </w:r>
      <w:r>
        <w:rPr>
          <w:vertAlign w:val="baseline"/>
        </w:rPr>
        <w:t>In</w:t>
      </w:r>
      <w:r>
        <w:rPr>
          <w:spacing w:val="-1"/>
          <w:vertAlign w:val="baseline"/>
        </w:rPr>
        <w:t> </w:t>
      </w:r>
      <w:r>
        <w:rPr>
          <w:vertAlign w:val="baseline"/>
        </w:rPr>
        <w:t>that</w:t>
      </w:r>
      <w:r>
        <w:rPr>
          <w:spacing w:val="-1"/>
          <w:vertAlign w:val="baseline"/>
        </w:rPr>
        <w:t> </w:t>
      </w:r>
      <w:r>
        <w:rPr>
          <w:vertAlign w:val="baseline"/>
        </w:rPr>
        <w:t>case,</w:t>
      </w:r>
      <w:r>
        <w:rPr>
          <w:spacing w:val="-1"/>
          <w:vertAlign w:val="baseline"/>
        </w:rPr>
        <w:t> </w:t>
      </w:r>
      <w:r>
        <w:rPr>
          <w:vertAlign w:val="baseline"/>
        </w:rPr>
        <w:t>A</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buying</w:t>
      </w:r>
      <w:r>
        <w:rPr>
          <w:spacing w:val="-1"/>
          <w:vertAlign w:val="baseline"/>
        </w:rPr>
        <w:t> </w:t>
      </w:r>
      <w:r>
        <w:rPr>
          <w:vertAlign w:val="baseline"/>
        </w:rPr>
        <w:t>the</w:t>
      </w:r>
      <w:r>
        <w:rPr>
          <w:spacing w:val="-1"/>
          <w:vertAlign w:val="baseline"/>
        </w:rPr>
        <w:t> </w:t>
      </w:r>
      <w:r>
        <w:rPr>
          <w:vertAlign w:val="baseline"/>
        </w:rPr>
        <w:t>chance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cellar’s</w:t>
      </w:r>
      <w:r>
        <w:rPr>
          <w:spacing w:val="-1"/>
          <w:vertAlign w:val="baseline"/>
        </w:rPr>
        <w:t> </w:t>
      </w:r>
      <w:r>
        <w:rPr>
          <w:vertAlign w:val="baseline"/>
        </w:rPr>
        <w:t>containing</w:t>
      </w:r>
      <w:r>
        <w:rPr>
          <w:spacing w:val="-1"/>
          <w:vertAlign w:val="baseline"/>
        </w:rPr>
        <w:t> </w:t>
      </w:r>
      <w:r>
        <w:rPr>
          <w:vertAlign w:val="baseline"/>
        </w:rPr>
        <w:t>wine</w:t>
      </w:r>
      <w:r>
        <w:rPr>
          <w:spacing w:val="-2"/>
          <w:vertAlign w:val="baseline"/>
        </w:rPr>
        <w:t> </w:t>
      </w:r>
      <w:r>
        <w:rPr>
          <w:color w:val="005DA1"/>
          <w:u w:val="single" w:color="005DA1"/>
          <w:vertAlign w:val="superscript"/>
        </w:rPr>
        <w:t>146</w:t>
      </w:r>
      <w:r>
        <w:rPr>
          <w:vertAlign w:val="baseline"/>
        </w:rPr>
        <w:t>;</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value </w:t>
      </w:r>
      <w:bookmarkStart w:name="_bookmark261" w:id="263"/>
      <w:bookmarkEnd w:id="263"/>
      <w:r>
        <w:rPr>
          <w:vertAlign w:val="baseline"/>
        </w:rPr>
        <w:t>of</w:t>
      </w:r>
      <w:r>
        <w:rPr>
          <w:spacing w:val="-2"/>
          <w:vertAlign w:val="baseline"/>
        </w:rPr>
        <w:t> </w:t>
      </w:r>
      <w:r>
        <w:rPr>
          <w:vertAlign w:val="baseline"/>
        </w:rPr>
        <w:t>that</w:t>
      </w:r>
      <w:r>
        <w:rPr>
          <w:spacing w:val="-2"/>
          <w:vertAlign w:val="baseline"/>
        </w:rPr>
        <w:t> </w:t>
      </w:r>
      <w:r>
        <w:rPr>
          <w:vertAlign w:val="baseline"/>
        </w:rPr>
        <w:t>chance</w:t>
      </w:r>
      <w:r>
        <w:rPr>
          <w:spacing w:val="-2"/>
          <w:vertAlign w:val="baseline"/>
        </w:rPr>
        <w:t> </w:t>
      </w:r>
      <w:r>
        <w:rPr>
          <w:vertAlign w:val="baseline"/>
        </w:rPr>
        <w:t>would</w:t>
      </w:r>
      <w:r>
        <w:rPr>
          <w:spacing w:val="-2"/>
          <w:vertAlign w:val="baseline"/>
        </w:rPr>
        <w:t> </w:t>
      </w:r>
      <w:r>
        <w:rPr>
          <w:vertAlign w:val="baseline"/>
        </w:rPr>
        <w:t>be</w:t>
      </w:r>
      <w:r>
        <w:rPr>
          <w:spacing w:val="-2"/>
          <w:vertAlign w:val="baseline"/>
        </w:rPr>
        <w:t> </w:t>
      </w:r>
      <w:r>
        <w:rPr>
          <w:vertAlign w:val="baseline"/>
        </w:rPr>
        <w:t>illusory</w:t>
      </w:r>
      <w:r>
        <w:rPr>
          <w:spacing w:val="-2"/>
          <w:vertAlign w:val="baseline"/>
        </w:rPr>
        <w:t> </w:t>
      </w:r>
      <w:r>
        <w:rPr>
          <w:vertAlign w:val="baseline"/>
        </w:rPr>
        <w:t>only</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question</w:t>
      </w:r>
      <w:r>
        <w:rPr>
          <w:spacing w:val="-2"/>
          <w:vertAlign w:val="baseline"/>
        </w:rPr>
        <w:t> </w:t>
      </w:r>
      <w:r>
        <w:rPr>
          <w:vertAlign w:val="baseline"/>
        </w:rPr>
        <w:t>whether</w:t>
      </w:r>
      <w:r>
        <w:rPr>
          <w:spacing w:val="-2"/>
          <w:vertAlign w:val="baseline"/>
        </w:rPr>
        <w:t> </w:t>
      </w:r>
      <w:r>
        <w:rPr>
          <w:vertAlign w:val="baseline"/>
        </w:rPr>
        <w:t>any</w:t>
      </w:r>
      <w:r>
        <w:rPr>
          <w:spacing w:val="-2"/>
          <w:vertAlign w:val="baseline"/>
        </w:rPr>
        <w:t> </w:t>
      </w:r>
      <w:r>
        <w:rPr>
          <w:vertAlign w:val="baseline"/>
        </w:rPr>
        <w:t>wine</w:t>
      </w:r>
      <w:r>
        <w:rPr>
          <w:spacing w:val="-2"/>
          <w:vertAlign w:val="baseline"/>
        </w:rPr>
        <w:t> </w:t>
      </w:r>
      <w:r>
        <w:rPr>
          <w:vertAlign w:val="baseline"/>
        </w:rPr>
        <w:t>was</w:t>
      </w:r>
      <w:r>
        <w:rPr>
          <w:spacing w:val="-2"/>
          <w:vertAlign w:val="baseline"/>
        </w:rPr>
        <w:t> </w:t>
      </w:r>
      <w:r>
        <w:rPr>
          <w:vertAlign w:val="baseline"/>
        </w:rPr>
        <w:t>put</w:t>
      </w:r>
      <w:r>
        <w:rPr>
          <w:spacing w:val="-2"/>
          <w:vertAlign w:val="baseline"/>
        </w:rPr>
        <w:t> </w:t>
      </w:r>
      <w:r>
        <w:rPr>
          <w:vertAlign w:val="baseline"/>
        </w:rPr>
        <w:t>into</w:t>
      </w:r>
      <w:r>
        <w:rPr>
          <w:spacing w:val="-2"/>
          <w:vertAlign w:val="baseline"/>
        </w:rPr>
        <w:t> </w:t>
      </w:r>
      <w:r>
        <w:rPr>
          <w:vertAlign w:val="baseline"/>
        </w:rPr>
        <w:t>the</w:t>
      </w:r>
      <w:r>
        <w:rPr>
          <w:spacing w:val="-2"/>
          <w:vertAlign w:val="baseline"/>
        </w:rPr>
        <w:t> </w:t>
      </w:r>
      <w:r>
        <w:rPr>
          <w:vertAlign w:val="baseline"/>
        </w:rPr>
        <w:t>cellar</w:t>
      </w:r>
      <w:r>
        <w:rPr>
          <w:spacing w:val="-2"/>
          <w:vertAlign w:val="baseline"/>
        </w:rPr>
        <w:t> </w:t>
      </w:r>
      <w:r>
        <w:rPr>
          <w:vertAlign w:val="baseline"/>
        </w:rPr>
        <w:t>had</w:t>
      </w:r>
      <w:r>
        <w:rPr>
          <w:spacing w:val="-2"/>
          <w:vertAlign w:val="baseline"/>
        </w:rPr>
        <w:t> </w:t>
      </w:r>
      <w:r>
        <w:rPr>
          <w:vertAlign w:val="baseline"/>
        </w:rPr>
        <w:t>been left entirely to B’s discretion. </w:t>
      </w:r>
      <w:r>
        <w:rPr>
          <w:color w:val="005DA1"/>
          <w:u w:val="single" w:color="005DA1"/>
          <w:vertAlign w:val="superscript"/>
        </w:rPr>
        <w:t>147</w:t>
      </w:r>
    </w:p>
    <w:p>
      <w:pPr>
        <w:pStyle w:val="BodyText"/>
      </w:pPr>
    </w:p>
    <w:p>
      <w:pPr>
        <w:pStyle w:val="BodyText"/>
        <w:spacing w:before="34"/>
      </w:pPr>
    </w:p>
    <w:p>
      <w:pPr>
        <w:spacing w:before="1"/>
        <w:ind w:left="165" w:right="0" w:firstLine="0"/>
        <w:jc w:val="left"/>
        <w:rPr>
          <w:rFonts w:ascii="Arial"/>
          <w:b/>
          <w:sz w:val="18"/>
        </w:rPr>
      </w:pPr>
      <w:r>
        <w:rPr>
          <w:rFonts w:ascii="Arial"/>
          <w:b/>
          <w:sz w:val="18"/>
        </w:rPr>
        <w:t>Promisee would have performed </w:t>
      </w:r>
      <w:r>
        <w:rPr>
          <w:rFonts w:ascii="Arial"/>
          <w:b/>
          <w:spacing w:val="-2"/>
          <w:sz w:val="18"/>
        </w:rPr>
        <w:t>anyway</w:t>
      </w:r>
    </w:p>
    <w:p>
      <w:pPr>
        <w:pStyle w:val="BodyText"/>
        <w:spacing w:before="41"/>
        <w:rPr>
          <w:rFonts w:ascii="Arial"/>
          <w:b/>
          <w:sz w:val="18"/>
        </w:rPr>
      </w:pPr>
    </w:p>
    <w:p>
      <w:pPr>
        <w:pStyle w:val="Heading2"/>
      </w:pPr>
      <w:r>
        <w:rPr/>
        <w:t>4-</w:t>
      </w:r>
      <w:r>
        <w:rPr>
          <w:spacing w:val="-5"/>
        </w:rPr>
        <w:t>024</w:t>
      </w:r>
    </w:p>
    <w:p>
      <w:pPr>
        <w:pStyle w:val="BodyText"/>
        <w:spacing w:line="235" w:lineRule="auto" w:before="203"/>
        <w:ind w:left="165" w:right="167"/>
        <w:jc w:val="both"/>
      </w:pPr>
      <w:r>
        <w:rPr/>
        <w:t>Consideration may also be said to be illusory where it is clear that the promisee would have accomplished the act or forbearance anyway, even if the promise had not been made. This would be </w:t>
      </w:r>
      <w:bookmarkStart w:name="_bookmark262" w:id="264"/>
      <w:bookmarkEnd w:id="264"/>
      <w:r>
        <w:rPr/>
        <w:t>the</w:t>
      </w:r>
      <w:r>
        <w:rPr/>
        <w:t> position if A promised B, who had religious objections to smoking, £10 if B did not smoke for a </w:t>
      </w:r>
      <w:bookmarkStart w:name="_bookmark263" w:id="265"/>
      <w:bookmarkEnd w:id="265"/>
      <w:r>
        <w:rPr/>
        <w:t>week.</w:t>
      </w:r>
      <w:r>
        <w:rPr/>
        <w:t> Since “it is no consideration to refrain </w:t>
      </w:r>
      <w:r>
        <w:rPr>
          <w:color w:val="005DA1"/>
          <w:u w:val="single" w:color="005DA1"/>
          <w:vertAlign w:val="superscript"/>
        </w:rPr>
        <w:t>148</w:t>
      </w:r>
      <w:r>
        <w:rPr>
          <w:color w:val="005DA1"/>
          <w:vertAlign w:val="baseline"/>
        </w:rPr>
        <w:t> </w:t>
      </w:r>
      <w:r>
        <w:rPr>
          <w:vertAlign w:val="baseline"/>
        </w:rPr>
        <w:t>from a course of conduct which it was never intended </w:t>
      </w:r>
      <w:bookmarkStart w:name="_bookmark264" w:id="266"/>
      <w:bookmarkEnd w:id="266"/>
      <w:r>
        <w:rPr>
          <w:vertAlign w:val="baseline"/>
        </w:rPr>
        <w:t>to</w:t>
      </w:r>
      <w:r>
        <w:rPr>
          <w:vertAlign w:val="baseline"/>
        </w:rPr>
        <w:t> pursue,” </w:t>
      </w:r>
      <w:r>
        <w:rPr>
          <w:color w:val="005DA1"/>
          <w:u w:val="single" w:color="005DA1"/>
          <w:vertAlign w:val="superscript"/>
        </w:rPr>
        <w:t>149</w:t>
      </w:r>
      <w:r>
        <w:rPr>
          <w:color w:val="005DA1"/>
          <w:vertAlign w:val="baseline"/>
        </w:rPr>
        <w:t> </w:t>
      </w:r>
      <w:r>
        <w:rPr>
          <w:vertAlign w:val="baseline"/>
        </w:rPr>
        <w:t>B’s forbearance from smoking would not constitute consideration for A’s promise. The burden of proof on this issue is on the promisor. </w:t>
      </w:r>
      <w:r>
        <w:rPr>
          <w:color w:val="005DA1"/>
          <w:u w:val="single" w:color="005DA1"/>
          <w:vertAlign w:val="superscript"/>
        </w:rPr>
        <w:t>150</w:t>
      </w:r>
      <w:r>
        <w:rPr>
          <w:color w:val="005DA1"/>
          <w:vertAlign w:val="baseline"/>
        </w:rPr>
        <w:t> </w:t>
      </w:r>
      <w:r>
        <w:rPr>
          <w:vertAlign w:val="baseline"/>
        </w:rPr>
        <w:t>To discharge it, the promisor must show that </w:t>
      </w:r>
      <w:r>
        <w:rPr>
          <w:vertAlign w:val="baseline"/>
        </w:rPr>
        <w:t>the promisee</w:t>
      </w:r>
      <w:r>
        <w:rPr>
          <w:spacing w:val="29"/>
          <w:vertAlign w:val="baseline"/>
        </w:rPr>
        <w:t> </w:t>
      </w:r>
      <w:r>
        <w:rPr>
          <w:vertAlign w:val="baseline"/>
        </w:rPr>
        <w:t>would</w:t>
      </w:r>
      <w:r>
        <w:rPr>
          <w:spacing w:val="29"/>
          <w:vertAlign w:val="baseline"/>
        </w:rPr>
        <w:t> </w:t>
      </w:r>
      <w:r>
        <w:rPr>
          <w:vertAlign w:val="baseline"/>
        </w:rPr>
        <w:t>(even</w:t>
      </w:r>
      <w:r>
        <w:rPr>
          <w:spacing w:val="29"/>
          <w:vertAlign w:val="baseline"/>
        </w:rPr>
        <w:t> </w:t>
      </w:r>
      <w:r>
        <w:rPr>
          <w:vertAlign w:val="baseline"/>
        </w:rPr>
        <w:t>if</w:t>
      </w:r>
      <w:r>
        <w:rPr>
          <w:spacing w:val="29"/>
          <w:vertAlign w:val="baseline"/>
        </w:rPr>
        <w:t> </w:t>
      </w:r>
      <w:r>
        <w:rPr>
          <w:vertAlign w:val="baseline"/>
        </w:rPr>
        <w:t>the</w:t>
      </w:r>
      <w:r>
        <w:rPr>
          <w:spacing w:val="29"/>
          <w:vertAlign w:val="baseline"/>
        </w:rPr>
        <w:t> </w:t>
      </w:r>
      <w:r>
        <w:rPr>
          <w:vertAlign w:val="baseline"/>
        </w:rPr>
        <w:t>promise</w:t>
      </w:r>
      <w:r>
        <w:rPr>
          <w:spacing w:val="29"/>
          <w:vertAlign w:val="baseline"/>
        </w:rPr>
        <w:t> </w:t>
      </w:r>
      <w:r>
        <w:rPr>
          <w:vertAlign w:val="baseline"/>
        </w:rPr>
        <w:t>had</w:t>
      </w:r>
      <w:r>
        <w:rPr>
          <w:spacing w:val="29"/>
          <w:vertAlign w:val="baseline"/>
        </w:rPr>
        <w:t> </w:t>
      </w:r>
      <w:r>
        <w:rPr>
          <w:vertAlign w:val="baseline"/>
        </w:rPr>
        <w:t>not</w:t>
      </w:r>
      <w:r>
        <w:rPr>
          <w:spacing w:val="29"/>
          <w:vertAlign w:val="baseline"/>
        </w:rPr>
        <w:t> </w:t>
      </w:r>
      <w:r>
        <w:rPr>
          <w:vertAlign w:val="baseline"/>
        </w:rPr>
        <w:t>been</w:t>
      </w:r>
      <w:r>
        <w:rPr>
          <w:spacing w:val="29"/>
          <w:vertAlign w:val="baseline"/>
        </w:rPr>
        <w:t> </w:t>
      </w:r>
      <w:r>
        <w:rPr>
          <w:vertAlign w:val="baseline"/>
        </w:rPr>
        <w:t>made)</w:t>
      </w:r>
      <w:r>
        <w:rPr>
          <w:spacing w:val="29"/>
          <w:vertAlign w:val="baseline"/>
        </w:rPr>
        <w:t> </w:t>
      </w:r>
      <w:r>
        <w:rPr>
          <w:vertAlign w:val="baseline"/>
        </w:rPr>
        <w:t>definitely</w:t>
      </w:r>
      <w:r>
        <w:rPr>
          <w:spacing w:val="29"/>
          <w:vertAlign w:val="baseline"/>
        </w:rPr>
        <w:t> </w:t>
      </w:r>
      <w:r>
        <w:rPr>
          <w:vertAlign w:val="baseline"/>
        </w:rPr>
        <w:t>have</w:t>
      </w:r>
      <w:r>
        <w:rPr>
          <w:spacing w:val="29"/>
          <w:vertAlign w:val="baseline"/>
        </w:rPr>
        <w:t> </w:t>
      </w:r>
      <w:r>
        <w:rPr>
          <w:vertAlign w:val="baseline"/>
        </w:rPr>
        <w:t>accomplished</w:t>
      </w:r>
      <w:r>
        <w:rPr>
          <w:spacing w:val="29"/>
          <w:vertAlign w:val="baseline"/>
        </w:rPr>
        <w:t> </w:t>
      </w:r>
      <w:r>
        <w:rPr>
          <w:vertAlign w:val="baseline"/>
        </w:rPr>
        <w:t>the</w:t>
      </w:r>
      <w:r>
        <w:rPr>
          <w:spacing w:val="29"/>
          <w:vertAlign w:val="baseline"/>
        </w:rPr>
        <w:t> </w:t>
      </w:r>
      <w:r>
        <w:rPr>
          <w:vertAlign w:val="baseline"/>
        </w:rPr>
        <w:t>act</w:t>
      </w:r>
      <w:r>
        <w:rPr>
          <w:spacing w:val="29"/>
          <w:vertAlign w:val="baseline"/>
        </w:rPr>
        <w:t> </w:t>
      </w:r>
      <w:r>
        <w:rPr>
          <w:spacing w:val="-5"/>
          <w:vertAlign w:val="baseline"/>
        </w:rPr>
        <w:t>or</w:t>
      </w:r>
    </w:p>
    <w:p>
      <w:pPr>
        <w:pStyle w:val="BodyText"/>
        <w:spacing w:after="0" w:line="235" w:lineRule="auto"/>
        <w:jc w:val="both"/>
        <w:sectPr>
          <w:headerReference w:type="default" r:id="rId12"/>
          <w:headerReference w:type="even" r:id="rId13"/>
          <w:pgSz w:w="11900" w:h="16840"/>
          <w:pgMar w:header="971" w:footer="0" w:top="1160" w:bottom="280" w:left="1275" w:right="1275"/>
          <w:pgNumType w:start="1"/>
        </w:sectPr>
      </w:pPr>
    </w:p>
    <w:p>
      <w:pPr>
        <w:pStyle w:val="BodyText"/>
        <w:spacing w:before="24"/>
      </w:pPr>
    </w:p>
    <w:p>
      <w:pPr>
        <w:pStyle w:val="BodyText"/>
        <w:spacing w:line="235" w:lineRule="auto" w:before="1"/>
        <w:ind w:left="165" w:right="167"/>
        <w:jc w:val="both"/>
      </w:pPr>
      <w:bookmarkStart w:name="_bookmark265" w:id="267"/>
      <w:bookmarkEnd w:id="267"/>
      <w:r>
        <w:rPr/>
      </w:r>
      <w:r>
        <w:rPr/>
        <w:t>forbearance</w:t>
      </w:r>
      <w:r>
        <w:rPr>
          <w:spacing w:val="-1"/>
        </w:rPr>
        <w:t> </w:t>
      </w:r>
      <w:r>
        <w:rPr/>
        <w:t>in</w:t>
      </w:r>
      <w:r>
        <w:rPr>
          <w:spacing w:val="-1"/>
        </w:rPr>
        <w:t> </w:t>
      </w:r>
      <w:r>
        <w:rPr/>
        <w:t>question;</w:t>
      </w:r>
      <w:r>
        <w:rPr>
          <w:spacing w:val="-1"/>
        </w:rPr>
        <w:t> </w:t>
      </w:r>
      <w:r>
        <w:rPr/>
        <w:t>the</w:t>
      </w:r>
      <w:r>
        <w:rPr>
          <w:spacing w:val="-1"/>
        </w:rPr>
        <w:t> </w:t>
      </w:r>
      <w:r>
        <w:rPr/>
        <w:t>burden</w:t>
      </w:r>
      <w:r>
        <w:rPr>
          <w:spacing w:val="-1"/>
        </w:rPr>
        <w:t> </w:t>
      </w:r>
      <w:r>
        <w:rPr/>
        <w:t>would</w:t>
      </w:r>
      <w:r>
        <w:rPr>
          <w:spacing w:val="-1"/>
        </w:rPr>
        <w:t> </w:t>
      </w:r>
      <w:r>
        <w:rPr/>
        <w:t>not</w:t>
      </w:r>
      <w:r>
        <w:rPr>
          <w:spacing w:val="-1"/>
        </w:rPr>
        <w:t> </w:t>
      </w:r>
      <w:r>
        <w:rPr/>
        <w:t>be</w:t>
      </w:r>
      <w:r>
        <w:rPr>
          <w:spacing w:val="-1"/>
        </w:rPr>
        <w:t> </w:t>
      </w:r>
      <w:r>
        <w:rPr/>
        <w:t>discharged</w:t>
      </w:r>
      <w:r>
        <w:rPr>
          <w:spacing w:val="-1"/>
        </w:rPr>
        <w:t> </w:t>
      </w:r>
      <w:r>
        <w:rPr/>
        <w:t>by</w:t>
      </w:r>
      <w:r>
        <w:rPr>
          <w:spacing w:val="-1"/>
        </w:rPr>
        <w:t> </w:t>
      </w:r>
      <w:r>
        <w:rPr/>
        <w:t>the</w:t>
      </w:r>
      <w:r>
        <w:rPr>
          <w:spacing w:val="-1"/>
        </w:rPr>
        <w:t> </w:t>
      </w:r>
      <w:r>
        <w:rPr/>
        <w:t>promisor’s</w:t>
      </w:r>
      <w:r>
        <w:rPr>
          <w:spacing w:val="-1"/>
        </w:rPr>
        <w:t> </w:t>
      </w:r>
      <w:r>
        <w:rPr/>
        <w:t>showing</w:t>
      </w:r>
      <w:r>
        <w:rPr>
          <w:spacing w:val="-1"/>
        </w:rPr>
        <w:t> </w:t>
      </w:r>
      <w:r>
        <w:rPr/>
        <w:t>no</w:t>
      </w:r>
      <w:r>
        <w:rPr>
          <w:spacing w:val="-1"/>
        </w:rPr>
        <w:t> </w:t>
      </w:r>
      <w:r>
        <w:rPr/>
        <w:t>more</w:t>
      </w:r>
      <w:r>
        <w:rPr>
          <w:spacing w:val="-1"/>
        </w:rPr>
        <w:t> </w:t>
      </w:r>
      <w:r>
        <w:rPr/>
        <w:t>than that</w:t>
      </w:r>
      <w:r>
        <w:rPr>
          <w:spacing w:val="-1"/>
        </w:rPr>
        <w:t> </w:t>
      </w:r>
      <w:r>
        <w:rPr/>
        <w:t>the</w:t>
      </w:r>
      <w:r>
        <w:rPr>
          <w:spacing w:val="-1"/>
        </w:rPr>
        <w:t> </w:t>
      </w:r>
      <w:r>
        <w:rPr/>
        <w:t>promisee</w:t>
      </w:r>
      <w:r>
        <w:rPr>
          <w:spacing w:val="-1"/>
        </w:rPr>
        <w:t> </w:t>
      </w:r>
      <w:r>
        <w:rPr/>
        <w:t>had</w:t>
      </w:r>
      <w:r>
        <w:rPr>
          <w:spacing w:val="-1"/>
        </w:rPr>
        <w:t> </w:t>
      </w:r>
      <w:r>
        <w:rPr/>
        <w:t>simply</w:t>
      </w:r>
      <w:r>
        <w:rPr>
          <w:spacing w:val="-1"/>
        </w:rPr>
        <w:t> </w:t>
      </w:r>
      <w:r>
        <w:rPr/>
        <w:t>not</w:t>
      </w:r>
      <w:r>
        <w:rPr>
          <w:spacing w:val="-1"/>
        </w:rPr>
        <w:t> </w:t>
      </w:r>
      <w:r>
        <w:rPr/>
        <w:t>given</w:t>
      </w:r>
      <w:r>
        <w:rPr>
          <w:spacing w:val="-1"/>
        </w:rPr>
        <w:t> </w:t>
      </w:r>
      <w:r>
        <w:rPr/>
        <w:t>any</w:t>
      </w:r>
      <w:r>
        <w:rPr>
          <w:spacing w:val="-1"/>
        </w:rPr>
        <w:t> </w:t>
      </w:r>
      <w:r>
        <w:rPr/>
        <w:t>thought</w:t>
      </w:r>
      <w:r>
        <w:rPr>
          <w:spacing w:val="-1"/>
        </w:rPr>
        <w:t> </w:t>
      </w:r>
      <w:r>
        <w:rPr/>
        <w:t>to</w:t>
      </w:r>
      <w:r>
        <w:rPr>
          <w:spacing w:val="-1"/>
        </w:rPr>
        <w:t> </w:t>
      </w:r>
      <w:r>
        <w:rPr/>
        <w:t>the</w:t>
      </w:r>
      <w:r>
        <w:rPr>
          <w:spacing w:val="-1"/>
        </w:rPr>
        <w:t> </w:t>
      </w:r>
      <w:r>
        <w:rPr/>
        <w:t>question</w:t>
      </w:r>
      <w:r>
        <w:rPr>
          <w:spacing w:val="-1"/>
        </w:rPr>
        <w:t> </w:t>
      </w:r>
      <w:r>
        <w:rPr/>
        <w:t>whether</w:t>
      </w:r>
      <w:r>
        <w:rPr>
          <w:spacing w:val="-1"/>
        </w:rPr>
        <w:t> </w:t>
      </w:r>
      <w:r>
        <w:rPr/>
        <w:t>or</w:t>
      </w:r>
      <w:r>
        <w:rPr>
          <w:spacing w:val="-1"/>
        </w:rPr>
        <w:t> </w:t>
      </w:r>
      <w:r>
        <w:rPr/>
        <w:t>not</w:t>
      </w:r>
      <w:r>
        <w:rPr>
          <w:spacing w:val="-1"/>
        </w:rPr>
        <w:t> </w:t>
      </w:r>
      <w:r>
        <w:rPr/>
        <w:t>to</w:t>
      </w:r>
      <w:r>
        <w:rPr>
          <w:spacing w:val="-1"/>
        </w:rPr>
        <w:t> </w:t>
      </w:r>
      <w:r>
        <w:rPr/>
        <w:t>accomplish</w:t>
      </w:r>
      <w:r>
        <w:rPr>
          <w:spacing w:val="-1"/>
        </w:rPr>
        <w:t> </w:t>
      </w:r>
      <w:r>
        <w:rPr/>
        <w:t>it.</w:t>
      </w:r>
      <w:r>
        <w:rPr>
          <w:spacing w:val="-2"/>
        </w:rPr>
        <w:t> </w:t>
      </w:r>
      <w:r>
        <w:rPr>
          <w:color w:val="005DA1"/>
          <w:u w:val="single" w:color="005DA1"/>
          <w:vertAlign w:val="superscript"/>
        </w:rPr>
        <w:t>151</w:t>
      </w:r>
      <w:r>
        <w:rPr>
          <w:color w:val="005DA1"/>
          <w:vertAlign w:val="baseline"/>
        </w:rPr>
        <w:t> </w:t>
      </w:r>
      <w:r>
        <w:rPr>
          <w:vertAlign w:val="baseline"/>
        </w:rPr>
        <w:t>Moreover, where the promise provided </w:t>
      </w:r>
      <w:r>
        <w:rPr>
          <w:rFonts w:ascii="Arial" w:hAnsi="Arial"/>
          <w:i/>
          <w:vertAlign w:val="baseline"/>
        </w:rPr>
        <w:t>an </w:t>
      </w:r>
      <w:r>
        <w:rPr>
          <w:vertAlign w:val="baseline"/>
        </w:rPr>
        <w:t>inducement for the act or forbearance, the requirement of </w:t>
      </w:r>
      <w:bookmarkStart w:name="_bookmark266" w:id="268"/>
      <w:bookmarkEnd w:id="268"/>
      <w:r>
        <w:rPr>
          <w:vertAlign w:val="baseline"/>
        </w:rPr>
        <w:t>consideration</w:t>
      </w:r>
      <w:r>
        <w:rPr>
          <w:spacing w:val="-1"/>
          <w:vertAlign w:val="baseline"/>
        </w:rPr>
        <w:t> </w:t>
      </w:r>
      <w:r>
        <w:rPr>
          <w:vertAlign w:val="baseline"/>
        </w:rPr>
        <w:t>is</w:t>
      </w:r>
      <w:r>
        <w:rPr>
          <w:spacing w:val="-1"/>
          <w:vertAlign w:val="baseline"/>
        </w:rPr>
        <w:t> </w:t>
      </w:r>
      <w:r>
        <w:rPr>
          <w:vertAlign w:val="baseline"/>
        </w:rPr>
        <w:t>satisfied</w:t>
      </w:r>
      <w:r>
        <w:rPr>
          <w:spacing w:val="-1"/>
          <w:vertAlign w:val="baseline"/>
        </w:rPr>
        <w:t> </w:t>
      </w:r>
      <w:r>
        <w:rPr>
          <w:vertAlign w:val="baseline"/>
        </w:rPr>
        <w:t>even</w:t>
      </w:r>
      <w:r>
        <w:rPr>
          <w:spacing w:val="-1"/>
          <w:vertAlign w:val="baseline"/>
        </w:rPr>
        <w:t> </w:t>
      </w:r>
      <w:r>
        <w:rPr>
          <w:vertAlign w:val="baseline"/>
        </w:rPr>
        <w:t>though</w:t>
      </w:r>
      <w:r>
        <w:rPr>
          <w:spacing w:val="-1"/>
          <w:vertAlign w:val="baseline"/>
        </w:rPr>
        <w:t> </w:t>
      </w:r>
      <w:r>
        <w:rPr>
          <w:vertAlign w:val="baseline"/>
        </w:rPr>
        <w:t>there</w:t>
      </w:r>
      <w:r>
        <w:rPr>
          <w:spacing w:val="-1"/>
          <w:vertAlign w:val="baseline"/>
        </w:rPr>
        <w:t> </w:t>
      </w:r>
      <w:r>
        <w:rPr>
          <w:vertAlign w:val="baseline"/>
        </w:rPr>
        <w:t>were</w:t>
      </w:r>
      <w:r>
        <w:rPr>
          <w:spacing w:val="-1"/>
          <w:vertAlign w:val="baseline"/>
        </w:rPr>
        <w:t> </w:t>
      </w:r>
      <w:r>
        <w:rPr>
          <w:vertAlign w:val="baseline"/>
        </w:rPr>
        <w:t>also</w:t>
      </w:r>
      <w:r>
        <w:rPr>
          <w:spacing w:val="-1"/>
          <w:vertAlign w:val="baseline"/>
        </w:rPr>
        <w:t> </w:t>
      </w:r>
      <w:r>
        <w:rPr>
          <w:vertAlign w:val="baseline"/>
        </w:rPr>
        <w:t>other</w:t>
      </w:r>
      <w:r>
        <w:rPr>
          <w:spacing w:val="-1"/>
          <w:vertAlign w:val="baseline"/>
        </w:rPr>
        <w:t> </w:t>
      </w:r>
      <w:r>
        <w:rPr>
          <w:vertAlign w:val="baseline"/>
        </w:rPr>
        <w:t>inducements</w:t>
      </w:r>
      <w:r>
        <w:rPr>
          <w:spacing w:val="-1"/>
          <w:vertAlign w:val="baseline"/>
        </w:rPr>
        <w:t> </w:t>
      </w:r>
      <w:r>
        <w:rPr>
          <w:vertAlign w:val="baseline"/>
        </w:rPr>
        <w:t>operating</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promisee’s mind. </w:t>
      </w:r>
      <w:r>
        <w:rPr>
          <w:color w:val="005DA1"/>
          <w:u w:val="single" w:color="005DA1"/>
          <w:vertAlign w:val="superscript"/>
        </w:rPr>
        <w:t>152</w:t>
      </w:r>
    </w:p>
    <w:p>
      <w:pPr>
        <w:pStyle w:val="BodyText"/>
      </w:pPr>
    </w:p>
    <w:p>
      <w:pPr>
        <w:pStyle w:val="BodyText"/>
        <w:spacing w:before="36"/>
      </w:pPr>
    </w:p>
    <w:p>
      <w:pPr>
        <w:spacing w:before="0"/>
        <w:ind w:left="165" w:right="0" w:firstLine="0"/>
        <w:jc w:val="both"/>
        <w:rPr>
          <w:rFonts w:ascii="Arial"/>
          <w:b/>
          <w:sz w:val="18"/>
        </w:rPr>
      </w:pPr>
      <w:r>
        <w:rPr>
          <w:rFonts w:ascii="Arial"/>
          <w:b/>
          <w:sz w:val="18"/>
        </w:rPr>
        <w:t>Discretionary </w:t>
      </w:r>
      <w:r>
        <w:rPr>
          <w:rFonts w:ascii="Arial"/>
          <w:b/>
          <w:spacing w:val="-2"/>
          <w:sz w:val="18"/>
        </w:rPr>
        <w:t>promise</w:t>
      </w:r>
    </w:p>
    <w:p>
      <w:pPr>
        <w:pStyle w:val="BodyText"/>
        <w:spacing w:before="42"/>
        <w:rPr>
          <w:rFonts w:ascii="Arial"/>
          <w:b/>
          <w:sz w:val="18"/>
        </w:rPr>
      </w:pPr>
    </w:p>
    <w:p>
      <w:pPr>
        <w:pStyle w:val="Heading2"/>
      </w:pPr>
      <w:r>
        <w:rPr/>
        <w:t>4-</w:t>
      </w:r>
      <w:r>
        <w:rPr>
          <w:spacing w:val="-5"/>
        </w:rPr>
        <w:t>025</w:t>
      </w:r>
    </w:p>
    <w:p>
      <w:pPr>
        <w:pStyle w:val="BodyText"/>
        <w:spacing w:before="88"/>
        <w:rPr>
          <w:rFonts w:ascii="Arial"/>
          <w:b/>
        </w:rPr>
      </w:pPr>
    </w:p>
    <w:p>
      <w:pPr>
        <w:pStyle w:val="BodyText"/>
        <w:spacing w:before="1"/>
        <w:ind w:left="165"/>
        <w:jc w:val="both"/>
      </w:pPr>
      <w:r>
        <w:rPr>
          <w:position w:val="-2"/>
        </w:rPr>
        <w:drawing>
          <wp:inline distT="0" distB="0" distL="0" distR="0">
            <wp:extent cx="107988" cy="107988"/>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1"/>
        </w:rPr>
        <w:t> </w:t>
      </w:r>
      <w:bookmarkStart w:name="_bookmark267" w:id="269"/>
      <w:bookmarkEnd w:id="269"/>
      <w:r>
        <w:rPr>
          <w:rFonts w:ascii="Times New Roman"/>
          <w:spacing w:val="-19"/>
        </w:rPr>
      </w:r>
      <w:r>
        <w:rPr/>
        <w:t>Consideration</w:t>
      </w:r>
      <w:r>
        <w:rPr>
          <w:spacing w:val="27"/>
        </w:rPr>
        <w:t> </w:t>
      </w:r>
      <w:r>
        <w:rPr/>
        <w:t>would</w:t>
      </w:r>
      <w:r>
        <w:rPr>
          <w:spacing w:val="27"/>
        </w:rPr>
        <w:t> </w:t>
      </w:r>
      <w:r>
        <w:rPr/>
        <w:t>again</w:t>
      </w:r>
      <w:r>
        <w:rPr>
          <w:spacing w:val="27"/>
        </w:rPr>
        <w:t> </w:t>
      </w:r>
      <w:r>
        <w:rPr/>
        <w:t>be</w:t>
      </w:r>
      <w:r>
        <w:rPr>
          <w:spacing w:val="27"/>
        </w:rPr>
        <w:t> </w:t>
      </w:r>
      <w:r>
        <w:rPr/>
        <w:t>illusory</w:t>
      </w:r>
      <w:r>
        <w:rPr>
          <w:spacing w:val="27"/>
        </w:rPr>
        <w:t> </w:t>
      </w:r>
      <w:r>
        <w:rPr/>
        <w:t>where</w:t>
      </w:r>
      <w:r>
        <w:rPr>
          <w:spacing w:val="27"/>
        </w:rPr>
        <w:t> </w:t>
      </w:r>
      <w:r>
        <w:rPr/>
        <w:t>it</w:t>
      </w:r>
      <w:r>
        <w:rPr>
          <w:spacing w:val="27"/>
        </w:rPr>
        <w:t> </w:t>
      </w:r>
      <w:r>
        <w:rPr/>
        <w:t>was</w:t>
      </w:r>
      <w:r>
        <w:rPr>
          <w:spacing w:val="27"/>
        </w:rPr>
        <w:t> </w:t>
      </w:r>
      <w:r>
        <w:rPr/>
        <w:t>alleged</w:t>
      </w:r>
      <w:r>
        <w:rPr>
          <w:spacing w:val="27"/>
        </w:rPr>
        <w:t> </w:t>
      </w:r>
      <w:r>
        <w:rPr/>
        <w:t>to</w:t>
      </w:r>
      <w:r>
        <w:rPr>
          <w:spacing w:val="27"/>
        </w:rPr>
        <w:t> </w:t>
      </w:r>
      <w:r>
        <w:rPr/>
        <w:t>consist</w:t>
      </w:r>
      <w:r>
        <w:rPr>
          <w:spacing w:val="27"/>
        </w:rPr>
        <w:t> </w:t>
      </w:r>
      <w:r>
        <w:rPr/>
        <w:t>of</w:t>
      </w:r>
      <w:r>
        <w:rPr>
          <w:spacing w:val="27"/>
        </w:rPr>
        <w:t> </w:t>
      </w:r>
      <w:r>
        <w:rPr/>
        <w:t>a</w:t>
      </w:r>
      <w:r>
        <w:rPr>
          <w:spacing w:val="27"/>
        </w:rPr>
        <w:t> </w:t>
      </w:r>
      <w:r>
        <w:rPr/>
        <w:t>promise</w:t>
      </w:r>
      <w:r>
        <w:rPr>
          <w:spacing w:val="27"/>
        </w:rPr>
        <w:t> </w:t>
      </w:r>
      <w:r>
        <w:rPr/>
        <w:t>the</w:t>
      </w:r>
      <w:r>
        <w:rPr>
          <w:spacing w:val="27"/>
        </w:rPr>
        <w:t> </w:t>
      </w:r>
      <w:r>
        <w:rPr/>
        <w:t>terms</w:t>
      </w:r>
      <w:r>
        <w:rPr>
          <w:spacing w:val="27"/>
        </w:rPr>
        <w:t> </w:t>
      </w:r>
      <w:r>
        <w:rPr/>
        <w:t>of</w:t>
      </w:r>
    </w:p>
    <w:p>
      <w:pPr>
        <w:pStyle w:val="BodyText"/>
        <w:spacing w:line="232" w:lineRule="auto" w:before="120"/>
        <w:ind w:left="164" w:right="167"/>
        <w:jc w:val="both"/>
        <w:rPr>
          <w:sz w:val="12"/>
        </w:rPr>
      </w:pPr>
      <w:r>
        <w:rPr/>
        <w:t>which left performance entirely to the discretion of the promisor. </w:t>
      </w:r>
      <w:r>
        <w:rPr>
          <w:color w:val="005DA1"/>
          <w:u w:val="single" w:color="005DA1"/>
          <w:vertAlign w:val="superscript"/>
        </w:rPr>
        <w:t>153</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12"/>
          <w:vertAlign w:val="baseline"/>
        </w:rPr>
        <w:t> </w:t>
      </w:r>
      <w:r>
        <w:rPr>
          <w:vertAlign w:val="baseline"/>
        </w:rPr>
        <w:t>A person does not provide consideration by promising to do something “if I feel like it,” or “unless I change my mind.” Promises </w:t>
      </w:r>
      <w:bookmarkStart w:name="_bookmark268" w:id="270"/>
      <w:bookmarkEnd w:id="270"/>
      <w:r>
        <w:rPr>
          <w:vertAlign w:val="baseline"/>
        </w:rPr>
        <w:t>are</w:t>
      </w:r>
      <w:r>
        <w:rPr>
          <w:spacing w:val="-2"/>
          <w:vertAlign w:val="baseline"/>
        </w:rPr>
        <w:t> </w:t>
      </w:r>
      <w:r>
        <w:rPr>
          <w:vertAlign w:val="baseline"/>
        </w:rPr>
        <w:t>not</w:t>
      </w:r>
      <w:r>
        <w:rPr>
          <w:spacing w:val="-2"/>
          <w:vertAlign w:val="baseline"/>
        </w:rPr>
        <w:t> </w:t>
      </w:r>
      <w:r>
        <w:rPr>
          <w:vertAlign w:val="baseline"/>
        </w:rPr>
        <w:t>often</w:t>
      </w:r>
      <w:r>
        <w:rPr>
          <w:spacing w:val="-2"/>
          <w:vertAlign w:val="baseline"/>
        </w:rPr>
        <w:t> </w:t>
      </w:r>
      <w:r>
        <w:rPr>
          <w:vertAlign w:val="baseline"/>
        </w:rPr>
        <w:t>made</w:t>
      </w:r>
      <w:r>
        <w:rPr>
          <w:spacing w:val="-2"/>
          <w:vertAlign w:val="baseline"/>
        </w:rPr>
        <w:t> </w:t>
      </w:r>
      <w:r>
        <w:rPr>
          <w:vertAlign w:val="baseline"/>
        </w:rPr>
        <w:t>in</w:t>
      </w:r>
      <w:r>
        <w:rPr>
          <w:spacing w:val="-2"/>
          <w:vertAlign w:val="baseline"/>
        </w:rPr>
        <w:t> </w:t>
      </w:r>
      <w:r>
        <w:rPr>
          <w:vertAlign w:val="baseline"/>
        </w:rPr>
        <w:t>this</w:t>
      </w:r>
      <w:r>
        <w:rPr>
          <w:spacing w:val="-2"/>
          <w:vertAlign w:val="baseline"/>
        </w:rPr>
        <w:t> </w:t>
      </w:r>
      <w:r>
        <w:rPr>
          <w:vertAlign w:val="baseline"/>
        </w:rPr>
        <w:t>form;</w:t>
      </w:r>
      <w:r>
        <w:rPr>
          <w:spacing w:val="-2"/>
          <w:vertAlign w:val="baseline"/>
        </w:rPr>
        <w:t> </w:t>
      </w:r>
      <w:r>
        <w:rPr>
          <w:vertAlign w:val="baseline"/>
        </w:rPr>
        <w:t>but</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principle</w:t>
      </w:r>
      <w:r>
        <w:rPr>
          <w:spacing w:val="-2"/>
          <w:vertAlign w:val="baseline"/>
        </w:rPr>
        <w:t> </w:t>
      </w:r>
      <w:r>
        <w:rPr>
          <w:vertAlign w:val="baseline"/>
        </w:rPr>
        <w:t>may</w:t>
      </w:r>
      <w:r>
        <w:rPr>
          <w:spacing w:val="-2"/>
          <w:vertAlign w:val="baseline"/>
        </w:rPr>
        <w:t> </w:t>
      </w:r>
      <w:r>
        <w:rPr>
          <w:vertAlign w:val="baseline"/>
        </w:rPr>
        <w:t>apply</w:t>
      </w:r>
      <w:r>
        <w:rPr>
          <w:spacing w:val="-2"/>
          <w:vertAlign w:val="baseline"/>
        </w:rPr>
        <w:t> </w:t>
      </w:r>
      <w:r>
        <w:rPr>
          <w:vertAlign w:val="baseline"/>
        </w:rPr>
        <w:t>in</w:t>
      </w:r>
      <w:r>
        <w:rPr>
          <w:spacing w:val="-2"/>
          <w:vertAlign w:val="baseline"/>
        </w:rPr>
        <w:t> </w:t>
      </w:r>
      <w:r>
        <w:rPr>
          <w:vertAlign w:val="baseline"/>
        </w:rPr>
        <w:t>analogous</w:t>
      </w:r>
      <w:r>
        <w:rPr>
          <w:spacing w:val="-2"/>
          <w:vertAlign w:val="baseline"/>
        </w:rPr>
        <w:t> </w:t>
      </w:r>
      <w:r>
        <w:rPr>
          <w:vertAlign w:val="baseline"/>
        </w:rPr>
        <w:t>cases.</w:t>
      </w:r>
      <w:r>
        <w:rPr>
          <w:spacing w:val="-2"/>
          <w:vertAlign w:val="baseline"/>
        </w:rPr>
        <w:t> </w:t>
      </w:r>
      <w:r>
        <w:rPr>
          <w:vertAlign w:val="baseline"/>
        </w:rPr>
        <w:t>Thus</w:t>
      </w:r>
      <w:r>
        <w:rPr>
          <w:spacing w:val="-2"/>
          <w:vertAlign w:val="baseline"/>
        </w:rPr>
        <w:t> </w:t>
      </w:r>
      <w:r>
        <w:rPr>
          <w:vertAlign w:val="baseline"/>
        </w:rPr>
        <w:t>a</w:t>
      </w:r>
      <w:r>
        <w:rPr>
          <w:spacing w:val="-2"/>
          <w:vertAlign w:val="baseline"/>
        </w:rPr>
        <w:t> </w:t>
      </w:r>
      <w:r>
        <w:rPr>
          <w:vertAlign w:val="baseline"/>
        </w:rPr>
        <w:t>promise </w:t>
      </w:r>
      <w:bookmarkStart w:name="_bookmark269" w:id="271"/>
      <w:bookmarkEnd w:id="271"/>
      <w:r>
        <w:rPr>
          <w:vertAlign w:val="baseline"/>
        </w:rPr>
        <w:t>may</w:t>
      </w:r>
      <w:r>
        <w:rPr>
          <w:vertAlign w:val="baseline"/>
        </w:rPr>
        <w:t> be illusory if it is accompanied by a clause effectively </w:t>
      </w:r>
      <w:r>
        <w:rPr>
          <w:color w:val="005DA1"/>
          <w:u w:val="single" w:color="005DA1"/>
          <w:vertAlign w:val="superscript"/>
        </w:rPr>
        <w:t>154</w:t>
      </w:r>
      <w:r>
        <w:rPr>
          <w:color w:val="005DA1"/>
          <w:vertAlign w:val="baseline"/>
        </w:rPr>
        <w:t> </w:t>
      </w:r>
      <w:r>
        <w:rPr>
          <w:vertAlign w:val="baseline"/>
        </w:rPr>
        <w:t>excluding all liability of the promisor </w:t>
      </w:r>
      <w:r>
        <w:rPr>
          <w:vertAlign w:val="baseline"/>
        </w:rPr>
        <w:t>for </w:t>
      </w:r>
      <w:bookmarkStart w:name="_bookmark270" w:id="272"/>
      <w:bookmarkEnd w:id="272"/>
      <w:r>
        <w:rPr>
          <w:vertAlign w:val="baseline"/>
        </w:rPr>
        <w:t>breach.</w:t>
      </w:r>
      <w:r>
        <w:rPr>
          <w:vertAlign w:val="baseline"/>
        </w:rPr>
        <w:t> </w:t>
      </w:r>
      <w:r>
        <w:rPr>
          <w:color w:val="005DA1"/>
          <w:u w:val="single" w:color="005DA1"/>
          <w:vertAlign w:val="superscript"/>
        </w:rPr>
        <w:t>155</w:t>
      </w:r>
      <w:r>
        <w:rPr>
          <w:color w:val="005DA1"/>
          <w:vertAlign w:val="baseline"/>
        </w:rPr>
        <w:t> </w:t>
      </w:r>
      <w:r>
        <w:rPr>
          <w:vertAlign w:val="baseline"/>
        </w:rPr>
        <w:t>And a promise to pay for “so much coal as I may decide to order” would be an illusory consideration</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seller’s</w:t>
      </w:r>
      <w:r>
        <w:rPr>
          <w:spacing w:val="-3"/>
          <w:vertAlign w:val="baseline"/>
        </w:rPr>
        <w:t> </w:t>
      </w:r>
      <w:r>
        <w:rPr>
          <w:vertAlign w:val="baseline"/>
        </w:rPr>
        <w:t>counter-promise</w:t>
      </w:r>
      <w:r>
        <w:rPr>
          <w:spacing w:val="-3"/>
          <w:vertAlign w:val="baseline"/>
        </w:rPr>
        <w:t> </w:t>
      </w:r>
      <w:r>
        <w:rPr>
          <w:vertAlign w:val="baseline"/>
        </w:rPr>
        <w:t>to</w:t>
      </w:r>
      <w:r>
        <w:rPr>
          <w:spacing w:val="-3"/>
          <w:vertAlign w:val="baseline"/>
        </w:rPr>
        <w:t> </w:t>
      </w:r>
      <w:r>
        <w:rPr>
          <w:vertAlign w:val="baseline"/>
        </w:rPr>
        <w:t>deliver,</w:t>
      </w:r>
      <w:r>
        <w:rPr>
          <w:spacing w:val="-3"/>
          <w:vertAlign w:val="baseline"/>
        </w:rPr>
        <w:t> </w:t>
      </w:r>
      <w:r>
        <w:rPr>
          <w:vertAlign w:val="baseline"/>
        </w:rPr>
        <w:t>which</w:t>
      </w:r>
      <w:r>
        <w:rPr>
          <w:spacing w:val="-3"/>
          <w:vertAlign w:val="baseline"/>
        </w:rPr>
        <w:t> </w:t>
      </w:r>
      <w:r>
        <w:rPr>
          <w:vertAlign w:val="baseline"/>
        </w:rPr>
        <w:t>would</w:t>
      </w:r>
      <w:r>
        <w:rPr>
          <w:spacing w:val="-3"/>
          <w:vertAlign w:val="baseline"/>
        </w:rPr>
        <w:t> </w:t>
      </w:r>
      <w:r>
        <w:rPr>
          <w:vertAlign w:val="baseline"/>
        </w:rPr>
        <w:t>therefore</w:t>
      </w:r>
      <w:r>
        <w:rPr>
          <w:spacing w:val="-3"/>
          <w:vertAlign w:val="baseline"/>
        </w:rPr>
        <w:t> </w:t>
      </w:r>
      <w:r>
        <w:rPr>
          <w:vertAlign w:val="baseline"/>
        </w:rPr>
        <w:t>not</w:t>
      </w:r>
      <w:r>
        <w:rPr>
          <w:spacing w:val="-3"/>
          <w:vertAlign w:val="baseline"/>
        </w:rPr>
        <w:t> </w:t>
      </w:r>
      <w:r>
        <w:rPr>
          <w:vertAlign w:val="baseline"/>
        </w:rPr>
        <w:t>be</w:t>
      </w:r>
      <w:r>
        <w:rPr>
          <w:spacing w:val="-3"/>
          <w:vertAlign w:val="baseline"/>
        </w:rPr>
        <w:t> </w:t>
      </w:r>
      <w:r>
        <w:rPr>
          <w:vertAlign w:val="baseline"/>
        </w:rPr>
        <w:t>enforced.</w:t>
      </w:r>
      <w:r>
        <w:rPr>
          <w:spacing w:val="-4"/>
          <w:vertAlign w:val="baseline"/>
        </w:rPr>
        <w:t> </w:t>
      </w:r>
      <w:r>
        <w:rPr>
          <w:color w:val="005DA1"/>
          <w:u w:val="single" w:color="005DA1"/>
          <w:vertAlign w:val="superscript"/>
        </w:rPr>
        <w:t>156</w:t>
      </w:r>
      <w:r>
        <w:rPr>
          <w:color w:val="005DA1"/>
          <w:spacing w:val="-3"/>
          <w:vertAlign w:val="baseline"/>
        </w:rPr>
        <w:t> </w:t>
      </w:r>
      <w:r>
        <w:rPr>
          <w:vertAlign w:val="baseline"/>
        </w:rPr>
        <w:t>On the other hand, if the promise were one to buy “so much of the coal that I require as I may order from you,” the court could give reality to the promise by implying a term into it to the effect that at least a reasonable part of any requirements which the promisor actually turned out to have must be ordered from the promisee. Equally the buyer would provide consideration by promising to buy “</w:t>
      </w:r>
      <w:r>
        <w:rPr>
          <w:rFonts w:ascii="Arial" w:hAnsi="Arial"/>
          <w:i/>
          <w:vertAlign w:val="baseline"/>
        </w:rPr>
        <w:t>all </w:t>
      </w:r>
      <w:r>
        <w:rPr>
          <w:vertAlign w:val="baseline"/>
        </w:rPr>
        <w:t>the coal I </w:t>
      </w:r>
      <w:bookmarkStart w:name="_bookmark271" w:id="273"/>
      <w:bookmarkEnd w:id="273"/>
      <w:r>
        <w:rPr>
          <w:vertAlign w:val="baseline"/>
        </w:rPr>
        <w:t>require”;</w:t>
      </w:r>
      <w:r>
        <w:rPr>
          <w:vertAlign w:val="baseline"/>
        </w:rPr>
        <w:t> for in such a case, even if the buyer does not promise to have any requirements, he does at least give a definite undertaking not to deal with anybody else. </w:t>
      </w:r>
      <w:r>
        <w:rPr>
          <w:color w:val="005DA1"/>
          <w:u w:val="single" w:color="005DA1"/>
          <w:vertAlign w:val="superscript"/>
        </w:rPr>
        <w:t>157</w:t>
      </w:r>
      <w:r>
        <w:rPr>
          <w:color w:val="005DA1"/>
          <w:vertAlign w:val="baseline"/>
        </w:rPr>
        <w:t> </w:t>
      </w:r>
      <w:r>
        <w:rPr>
          <w:vertAlign w:val="baseline"/>
        </w:rPr>
        <w:t>This promise may, it is true, be </w:t>
      </w:r>
      <w:bookmarkStart w:name="_bookmark272" w:id="274"/>
      <w:bookmarkEnd w:id="274"/>
      <w:r>
        <w:rPr>
          <w:vertAlign w:val="baseline"/>
        </w:rPr>
        <w:t>illegal</w:t>
      </w:r>
      <w:r>
        <w:rPr>
          <w:vertAlign w:val="baseline"/>
        </w:rPr>
        <w:t> as being in restraint of trade; but if this makes the whole contract invalid, such invalidity probably rests on grounds of public policy and not on lack of consideration. </w:t>
      </w:r>
      <w:r>
        <w:rPr>
          <w:color w:val="005DA1"/>
          <w:u w:val="single" w:color="005DA1"/>
          <w:vertAlign w:val="superscript"/>
        </w:rPr>
        <w:t>158</w:t>
      </w:r>
      <w:r>
        <w:rPr>
          <w:color w:val="005DA1"/>
          <w:vertAlign w:val="baseline"/>
        </w:rPr>
        <w:t> </w:t>
      </w:r>
      <w:r>
        <w:rPr>
          <w:vertAlign w:val="baseline"/>
        </w:rPr>
        <w:t>Similarly, a promise which is subject to cancellation by A may nevertheless constitute consideration for a counter-promise from B where A’s power to cancel is limited by the express terms of the promise: e.g. where it can be exercised only within a specified time. Such a limitation on the power to cancel may also be implied, so that (for example) A could not cancel after B had begun to perform his counter-promise. A’s promise would then constitute consideration, so that B would be liable if he failed to complete the performance. Finally, the objection that a promise amounts, on the grounds here discussed, only to</w:t>
      </w:r>
      <w:r>
        <w:rPr>
          <w:spacing w:val="40"/>
          <w:vertAlign w:val="baseline"/>
        </w:rPr>
        <w:t> </w:t>
      </w:r>
      <w:r>
        <w:rPr>
          <w:vertAlign w:val="baseline"/>
        </w:rPr>
        <w:t>an illusory consideration can be removed if the promise is performed. Such actual performance can </w:t>
      </w:r>
      <w:bookmarkStart w:name="_bookmark273" w:id="275"/>
      <w:bookmarkEnd w:id="275"/>
      <w:r>
        <w:rPr>
          <w:vertAlign w:val="baseline"/>
        </w:rPr>
        <w:t>constitute</w:t>
      </w:r>
      <w:r>
        <w:rPr>
          <w:spacing w:val="-2"/>
          <w:vertAlign w:val="baseline"/>
        </w:rPr>
        <w:t> </w:t>
      </w:r>
      <w:r>
        <w:rPr>
          <w:vertAlign w:val="baseline"/>
        </w:rPr>
        <w:t>consideration</w:t>
      </w:r>
      <w:r>
        <w:rPr>
          <w:spacing w:val="-2"/>
          <w:vertAlign w:val="baseline"/>
        </w:rPr>
        <w:t> </w:t>
      </w:r>
      <w:r>
        <w:rPr>
          <w:vertAlign w:val="baseline"/>
        </w:rPr>
        <w:t>even</w:t>
      </w:r>
      <w:r>
        <w:rPr>
          <w:spacing w:val="-2"/>
          <w:vertAlign w:val="baseline"/>
        </w:rPr>
        <w:t> </w:t>
      </w:r>
      <w:r>
        <w:rPr>
          <w:vertAlign w:val="baseline"/>
        </w:rPr>
        <w:t>though</w:t>
      </w:r>
      <w:r>
        <w:rPr>
          <w:spacing w:val="-2"/>
          <w:vertAlign w:val="baseline"/>
        </w:rPr>
        <w:t> </w:t>
      </w:r>
      <w:r>
        <w:rPr>
          <w:vertAlign w:val="baseline"/>
        </w:rPr>
        <w:t>the</w:t>
      </w:r>
      <w:r>
        <w:rPr>
          <w:spacing w:val="-2"/>
          <w:vertAlign w:val="baseline"/>
        </w:rPr>
        <w:t> </w:t>
      </w:r>
      <w:r>
        <w:rPr>
          <w:vertAlign w:val="baseline"/>
        </w:rPr>
        <w:t>person</w:t>
      </w:r>
      <w:r>
        <w:rPr>
          <w:spacing w:val="-2"/>
          <w:vertAlign w:val="baseline"/>
        </w:rPr>
        <w:t> </w:t>
      </w:r>
      <w:r>
        <w:rPr>
          <w:vertAlign w:val="baseline"/>
        </w:rPr>
        <w:t>who</w:t>
      </w:r>
      <w:r>
        <w:rPr>
          <w:spacing w:val="-2"/>
          <w:vertAlign w:val="baseline"/>
        </w:rPr>
        <w:t> </w:t>
      </w:r>
      <w:r>
        <w:rPr>
          <w:vertAlign w:val="baseline"/>
        </w:rPr>
        <w:t>has</w:t>
      </w:r>
      <w:r>
        <w:rPr>
          <w:spacing w:val="-2"/>
          <w:vertAlign w:val="baseline"/>
        </w:rPr>
        <w:t> </w:t>
      </w:r>
      <w:r>
        <w:rPr>
          <w:vertAlign w:val="baseline"/>
        </w:rPr>
        <w:t>rendered</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not</w:t>
      </w:r>
      <w:r>
        <w:rPr>
          <w:spacing w:val="-2"/>
          <w:vertAlign w:val="baseline"/>
        </w:rPr>
        <w:t> </w:t>
      </w:r>
      <w:r>
        <w:rPr>
          <w:vertAlign w:val="baseline"/>
        </w:rPr>
        <w:t>legally</w:t>
      </w:r>
      <w:r>
        <w:rPr>
          <w:spacing w:val="-2"/>
          <w:vertAlign w:val="baseline"/>
        </w:rPr>
        <w:t> </w:t>
      </w:r>
      <w:r>
        <w:rPr>
          <w:vertAlign w:val="baseline"/>
        </w:rPr>
        <w:t>obliged</w:t>
      </w:r>
      <w:r>
        <w:rPr>
          <w:spacing w:val="-2"/>
          <w:vertAlign w:val="baseline"/>
        </w:rPr>
        <w:t> </w:t>
      </w:r>
      <w:r>
        <w:rPr>
          <w:vertAlign w:val="baseline"/>
        </w:rPr>
        <w:t>to</w:t>
      </w:r>
      <w:r>
        <w:rPr>
          <w:spacing w:val="-2"/>
          <w:vertAlign w:val="baseline"/>
        </w:rPr>
        <w:t> </w:t>
      </w:r>
      <w:r>
        <w:rPr>
          <w:vertAlign w:val="baseline"/>
        </w:rPr>
        <w:t>render </w:t>
      </w:r>
      <w:r>
        <w:rPr>
          <w:position w:val="-9"/>
          <w:vertAlign w:val="baseline"/>
        </w:rPr>
        <w:t>it. </w:t>
      </w:r>
      <w:r>
        <w:rPr>
          <w:color w:val="005DA1"/>
          <w:sz w:val="12"/>
          <w:u w:val="single" w:color="005DA1"/>
          <w:vertAlign w:val="baseline"/>
        </w:rPr>
        <w:t>159</w:t>
      </w:r>
    </w:p>
    <w:p>
      <w:pPr>
        <w:pStyle w:val="BodyText"/>
      </w:pPr>
    </w:p>
    <w:p>
      <w:pPr>
        <w:pStyle w:val="BodyText"/>
        <w:spacing w:before="57"/>
      </w:pPr>
      <w:r>
        <w:rPr/>
        <mc:AlternateContent>
          <mc:Choice Requires="wps">
            <w:drawing>
              <wp:anchor distT="0" distB="0" distL="0" distR="0" allowOverlap="1" layoutInCell="1" locked="0" behindDoc="1" simplePos="0" relativeHeight="487601664">
                <wp:simplePos x="0" y="0"/>
                <wp:positionH relativeFrom="page">
                  <wp:posOffset>914400</wp:posOffset>
                </wp:positionH>
                <wp:positionV relativeFrom="paragraph">
                  <wp:posOffset>197967</wp:posOffset>
                </wp:positionV>
                <wp:extent cx="572452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5.588002pt;width:450.75pt;height:.1pt;mso-position-horizontal-relative:page;mso-position-vertical-relative:paragraph;z-index:-15714816;mso-wrap-distance-left:0;mso-wrap-distance-right:0" id="docshape13" coordorigin="1440,312" coordsize="9015,0" path="m1440,312l10454,312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168832">
                <wp:simplePos x="0" y="0"/>
                <wp:positionH relativeFrom="page">
                  <wp:posOffset>914400</wp:posOffset>
                </wp:positionH>
                <wp:positionV relativeFrom="paragraph">
                  <wp:posOffset>97116</wp:posOffset>
                </wp:positionV>
                <wp:extent cx="4953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47648"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before="5"/>
      </w:pPr>
    </w:p>
    <w:p>
      <w:pPr>
        <w:tabs>
          <w:tab w:pos="705" w:val="left" w:leader="none"/>
        </w:tabs>
        <w:spacing w:before="0"/>
        <w:ind w:left="165" w:right="0" w:firstLine="0"/>
        <w:jc w:val="left"/>
        <w:rPr>
          <w:sz w:val="20"/>
        </w:rPr>
      </w:pPr>
      <w:bookmarkStart w:name="_bookmark274" w:id="276"/>
      <w:bookmarkEnd w:id="276"/>
      <w:r>
        <w:rPr/>
      </w:r>
      <w:hyperlink w:history="true" w:anchor="_bookmark251">
        <w:r>
          <w:rPr>
            <w:color w:val="005DA1"/>
            <w:spacing w:val="-4"/>
            <w:position w:val="5"/>
            <w:sz w:val="14"/>
            <w:u w:val="single" w:color="005DA1"/>
          </w:rPr>
          <w:t>137</w:t>
        </w:r>
      </w:hyperlink>
      <w:r>
        <w:rPr>
          <w:spacing w:val="-4"/>
          <w:position w:val="5"/>
          <w:sz w:val="14"/>
        </w:rPr>
        <w:t>.</w:t>
      </w:r>
      <w:r>
        <w:rPr>
          <w:position w:val="5"/>
          <w:sz w:val="14"/>
        </w:rPr>
        <w:tab/>
      </w:r>
      <w:r>
        <w:rPr>
          <w:rFonts w:ascii="Arial"/>
          <w:i/>
          <w:sz w:val="20"/>
        </w:rPr>
        <w:t>Thomas v Thomas (1842) 2 Q.B. 851, </w:t>
      </w:r>
      <w:r>
        <w:rPr>
          <w:rFonts w:ascii="Arial"/>
          <w:i/>
          <w:spacing w:val="-4"/>
          <w:sz w:val="20"/>
        </w:rPr>
        <w:t>859</w:t>
      </w:r>
      <w:r>
        <w:rPr>
          <w:spacing w:val="-4"/>
          <w:sz w:val="20"/>
        </w:rPr>
        <w:t>.</w:t>
      </w:r>
    </w:p>
    <w:p>
      <w:pPr>
        <w:pStyle w:val="BodyText"/>
        <w:spacing w:before="9"/>
      </w:pPr>
    </w:p>
    <w:p>
      <w:pPr>
        <w:pStyle w:val="BodyText"/>
        <w:spacing w:line="235" w:lineRule="auto"/>
        <w:ind w:left="705" w:right="167" w:hanging="541"/>
        <w:jc w:val="both"/>
      </w:pPr>
      <w:bookmarkStart w:name="_bookmark275" w:id="277"/>
      <w:bookmarkEnd w:id="277"/>
      <w:r>
        <w:rPr/>
      </w:r>
      <w:hyperlink w:history="true" w:anchor="_bookmark252">
        <w:r>
          <w:rPr>
            <w:color w:val="005DA1"/>
            <w:position w:val="5"/>
            <w:sz w:val="14"/>
            <w:u w:val="single" w:color="005DA1"/>
          </w:rPr>
          <w:t>138</w:t>
        </w:r>
      </w:hyperlink>
      <w:r>
        <w:rPr>
          <w:position w:val="5"/>
          <w:sz w:val="14"/>
        </w:rPr>
        <w:t>.</w:t>
      </w:r>
      <w:r>
        <w:rPr>
          <w:spacing w:val="40"/>
          <w:position w:val="5"/>
          <w:sz w:val="14"/>
        </w:rPr>
        <w:t>  </w:t>
      </w:r>
      <w:r>
        <w:rPr/>
        <w:t>See </w:t>
      </w:r>
      <w:r>
        <w:rPr>
          <w:rFonts w:ascii="Arial" w:hAnsi="Arial"/>
          <w:i/>
        </w:rPr>
        <w:t>R. v Pembrokeshire CC Ex p. Coker [1999] 4 All E.R. 1007 </w:t>
      </w:r>
      <w:r>
        <w:rPr/>
        <w:t>where it was held that, for </w:t>
      </w:r>
      <w:r>
        <w:rPr/>
        <w:t>the purpose of Local Government Act 1972, s.123(2), only “those elements of commercial or monetary value to the local authority” (at 1013) were to be taken into account for the purpose of determining whether a disposal by the authority had been made for “a consideration less than the best that could reasonably be obtained.”</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276" w:id="278"/>
      <w:bookmarkEnd w:id="278"/>
      <w:r>
        <w:rPr/>
      </w:r>
      <w:hyperlink w:history="true" w:anchor="_bookmark253">
        <w:r>
          <w:rPr>
            <w:color w:val="005DA1"/>
            <w:spacing w:val="-4"/>
            <w:position w:val="5"/>
            <w:sz w:val="14"/>
            <w:u w:val="single" w:color="005DA1"/>
          </w:rPr>
          <w:t>139</w:t>
        </w:r>
      </w:hyperlink>
      <w:r>
        <w:rPr>
          <w:spacing w:val="-4"/>
          <w:position w:val="5"/>
          <w:sz w:val="14"/>
        </w:rPr>
        <w:t>.</w:t>
      </w:r>
      <w:r>
        <w:rPr>
          <w:position w:val="5"/>
          <w:sz w:val="14"/>
        </w:rPr>
        <w:tab/>
      </w:r>
      <w:r>
        <w:rPr>
          <w:rFonts w:ascii="Arial"/>
          <w:i/>
          <w:sz w:val="20"/>
        </w:rPr>
        <w:t>Bret</w:t>
      </w:r>
      <w:r>
        <w:rPr>
          <w:rFonts w:ascii="Arial"/>
          <w:i/>
          <w:spacing w:val="-1"/>
          <w:sz w:val="20"/>
        </w:rPr>
        <w:t> </w:t>
      </w:r>
      <w:r>
        <w:rPr>
          <w:rFonts w:ascii="Arial"/>
          <w:i/>
          <w:sz w:val="20"/>
        </w:rPr>
        <w:t>v J.S. (1600) Cr.Eliz. 755</w:t>
      </w:r>
      <w:r>
        <w:rPr>
          <w:sz w:val="20"/>
        </w:rPr>
        <w:t>; </w:t>
      </w:r>
      <w:r>
        <w:rPr>
          <w:rFonts w:ascii="Arial"/>
          <w:i/>
          <w:sz w:val="20"/>
        </w:rPr>
        <w:t>Tweddle v Atkinson</w:t>
      </w:r>
      <w:r>
        <w:rPr>
          <w:rFonts w:ascii="Arial"/>
          <w:i/>
          <w:spacing w:val="-1"/>
          <w:sz w:val="20"/>
        </w:rPr>
        <w:t> </w:t>
      </w:r>
      <w:r>
        <w:rPr>
          <w:rFonts w:ascii="Arial"/>
          <w:i/>
          <w:sz w:val="20"/>
        </w:rPr>
        <w:t>(1861) 1 B. &amp; S. 393</w:t>
      </w:r>
      <w:r>
        <w:rPr>
          <w:sz w:val="20"/>
        </w:rPr>
        <w:t>, disapproving of</w:t>
      </w:r>
      <w:r>
        <w:rPr>
          <w:spacing w:val="-1"/>
          <w:sz w:val="20"/>
        </w:rPr>
        <w:t> </w:t>
      </w:r>
      <w:r>
        <w:rPr>
          <w:rFonts w:ascii="Arial"/>
          <w:i/>
          <w:spacing w:val="-2"/>
          <w:sz w:val="20"/>
        </w:rPr>
        <w:t>Dutton</w:t>
      </w:r>
    </w:p>
    <w:p>
      <w:pPr>
        <w:spacing w:line="225" w:lineRule="exact" w:before="0"/>
        <w:ind w:left="705" w:right="0" w:firstLine="0"/>
        <w:jc w:val="left"/>
        <w:rPr>
          <w:rFonts w:ascii="Arial"/>
          <w:i/>
          <w:sz w:val="20"/>
        </w:rPr>
      </w:pPr>
      <w:r>
        <w:rPr>
          <w:rFonts w:ascii="Arial"/>
          <w:i/>
          <w:sz w:val="20"/>
        </w:rPr>
        <w:t>v</w:t>
      </w:r>
      <w:r>
        <w:rPr>
          <w:rFonts w:ascii="Arial"/>
          <w:i/>
          <w:spacing w:val="14"/>
          <w:sz w:val="20"/>
        </w:rPr>
        <w:t> </w:t>
      </w:r>
      <w:r>
        <w:rPr>
          <w:rFonts w:ascii="Arial"/>
          <w:i/>
          <w:sz w:val="20"/>
        </w:rPr>
        <w:t>Poole</w:t>
      </w:r>
      <w:r>
        <w:rPr>
          <w:rFonts w:ascii="Arial"/>
          <w:i/>
          <w:spacing w:val="15"/>
          <w:sz w:val="20"/>
        </w:rPr>
        <w:t> </w:t>
      </w:r>
      <w:r>
        <w:rPr>
          <w:rFonts w:ascii="Arial"/>
          <w:i/>
          <w:sz w:val="20"/>
        </w:rPr>
        <w:t>(1677)</w:t>
      </w:r>
      <w:r>
        <w:rPr>
          <w:rFonts w:ascii="Arial"/>
          <w:i/>
          <w:spacing w:val="15"/>
          <w:sz w:val="20"/>
        </w:rPr>
        <w:t> </w:t>
      </w:r>
      <w:r>
        <w:rPr>
          <w:rFonts w:ascii="Arial"/>
          <w:i/>
          <w:sz w:val="20"/>
        </w:rPr>
        <w:t>2</w:t>
      </w:r>
      <w:r>
        <w:rPr>
          <w:rFonts w:ascii="Arial"/>
          <w:i/>
          <w:spacing w:val="15"/>
          <w:sz w:val="20"/>
        </w:rPr>
        <w:t> </w:t>
      </w:r>
      <w:r>
        <w:rPr>
          <w:rFonts w:ascii="Arial"/>
          <w:i/>
          <w:sz w:val="20"/>
        </w:rPr>
        <w:t>Lev.</w:t>
      </w:r>
      <w:r>
        <w:rPr>
          <w:rFonts w:ascii="Arial"/>
          <w:i/>
          <w:spacing w:val="15"/>
          <w:sz w:val="20"/>
        </w:rPr>
        <w:t> </w:t>
      </w:r>
      <w:r>
        <w:rPr>
          <w:rFonts w:ascii="Arial"/>
          <w:i/>
          <w:sz w:val="20"/>
        </w:rPr>
        <w:t>211</w:t>
      </w:r>
      <w:r>
        <w:rPr>
          <w:sz w:val="20"/>
        </w:rPr>
        <w:t>;</w:t>
      </w:r>
      <w:r>
        <w:rPr>
          <w:spacing w:val="15"/>
          <w:sz w:val="20"/>
        </w:rPr>
        <w:t> </w:t>
      </w:r>
      <w:r>
        <w:rPr>
          <w:sz w:val="20"/>
        </w:rPr>
        <w:t>cf.</w:t>
      </w:r>
      <w:r>
        <w:rPr>
          <w:spacing w:val="15"/>
          <w:sz w:val="20"/>
        </w:rPr>
        <w:t> </w:t>
      </w:r>
      <w:r>
        <w:rPr>
          <w:rFonts w:ascii="Arial"/>
          <w:i/>
          <w:sz w:val="20"/>
        </w:rPr>
        <w:t>Horrocks</w:t>
      </w:r>
      <w:r>
        <w:rPr>
          <w:rFonts w:ascii="Arial"/>
          <w:i/>
          <w:spacing w:val="15"/>
          <w:sz w:val="20"/>
        </w:rPr>
        <w:t> </w:t>
      </w:r>
      <w:r>
        <w:rPr>
          <w:rFonts w:ascii="Arial"/>
          <w:i/>
          <w:sz w:val="20"/>
        </w:rPr>
        <w:t>v</w:t>
      </w:r>
      <w:r>
        <w:rPr>
          <w:rFonts w:ascii="Arial"/>
          <w:i/>
          <w:spacing w:val="14"/>
          <w:sz w:val="20"/>
        </w:rPr>
        <w:t> </w:t>
      </w:r>
      <w:r>
        <w:rPr>
          <w:rFonts w:ascii="Arial"/>
          <w:i/>
          <w:sz w:val="20"/>
        </w:rPr>
        <w:t>Forray</w:t>
      </w:r>
      <w:r>
        <w:rPr>
          <w:rFonts w:ascii="Arial"/>
          <w:i/>
          <w:spacing w:val="15"/>
          <w:sz w:val="20"/>
        </w:rPr>
        <w:t> </w:t>
      </w:r>
      <w:r>
        <w:rPr>
          <w:rFonts w:ascii="Arial"/>
          <w:i/>
          <w:sz w:val="20"/>
        </w:rPr>
        <w:t>[1976]</w:t>
      </w:r>
      <w:r>
        <w:rPr>
          <w:rFonts w:ascii="Arial"/>
          <w:i/>
          <w:spacing w:val="15"/>
          <w:sz w:val="20"/>
        </w:rPr>
        <w:t> </w:t>
      </w:r>
      <w:r>
        <w:rPr>
          <w:rFonts w:ascii="Arial"/>
          <w:i/>
          <w:sz w:val="20"/>
        </w:rPr>
        <w:t>1</w:t>
      </w:r>
      <w:r>
        <w:rPr>
          <w:rFonts w:ascii="Arial"/>
          <w:i/>
          <w:spacing w:val="15"/>
          <w:sz w:val="20"/>
        </w:rPr>
        <w:t> </w:t>
      </w:r>
      <w:r>
        <w:rPr>
          <w:rFonts w:ascii="Arial"/>
          <w:i/>
          <w:sz w:val="20"/>
        </w:rPr>
        <w:t>W.L.R.</w:t>
      </w:r>
      <w:r>
        <w:rPr>
          <w:rFonts w:ascii="Arial"/>
          <w:i/>
          <w:spacing w:val="15"/>
          <w:sz w:val="20"/>
        </w:rPr>
        <w:t> </w:t>
      </w:r>
      <w:r>
        <w:rPr>
          <w:rFonts w:ascii="Arial"/>
          <w:i/>
          <w:sz w:val="20"/>
        </w:rPr>
        <w:t>230</w:t>
      </w:r>
      <w:r>
        <w:rPr>
          <w:sz w:val="20"/>
        </w:rPr>
        <w:t>;</w:t>
      </w:r>
      <w:r>
        <w:rPr>
          <w:spacing w:val="15"/>
          <w:sz w:val="20"/>
        </w:rPr>
        <w:t> </w:t>
      </w:r>
      <w:r>
        <w:rPr>
          <w:rFonts w:ascii="Arial"/>
          <w:i/>
          <w:sz w:val="20"/>
        </w:rPr>
        <w:t>Mansukhani</w:t>
      </w:r>
      <w:r>
        <w:rPr>
          <w:rFonts w:ascii="Arial"/>
          <w:i/>
          <w:spacing w:val="15"/>
          <w:sz w:val="20"/>
        </w:rPr>
        <w:t> </w:t>
      </w:r>
      <w:r>
        <w:rPr>
          <w:rFonts w:ascii="Arial"/>
          <w:i/>
          <w:sz w:val="20"/>
        </w:rPr>
        <w:t>v</w:t>
      </w:r>
      <w:r>
        <w:rPr>
          <w:rFonts w:ascii="Arial"/>
          <w:i/>
          <w:spacing w:val="15"/>
          <w:sz w:val="20"/>
        </w:rPr>
        <w:t> </w:t>
      </w:r>
      <w:r>
        <w:rPr>
          <w:rFonts w:ascii="Arial"/>
          <w:i/>
          <w:spacing w:val="-2"/>
          <w:sz w:val="20"/>
        </w:rPr>
        <w:t>Sharkey</w:t>
      </w:r>
    </w:p>
    <w:p>
      <w:pPr>
        <w:spacing w:line="227" w:lineRule="exact" w:before="0"/>
        <w:ind w:left="705" w:right="0" w:firstLine="0"/>
        <w:jc w:val="left"/>
        <w:rPr>
          <w:sz w:val="20"/>
        </w:rPr>
      </w:pPr>
      <w:r>
        <w:rPr>
          <w:rFonts w:ascii="Arial"/>
          <w:i/>
          <w:sz w:val="20"/>
        </w:rPr>
        <w:t>[1992]</w:t>
      </w:r>
      <w:r>
        <w:rPr>
          <w:rFonts w:ascii="Arial"/>
          <w:i/>
          <w:spacing w:val="-2"/>
          <w:sz w:val="20"/>
        </w:rPr>
        <w:t> </w:t>
      </w:r>
      <w:r>
        <w:rPr>
          <w:rFonts w:ascii="Arial"/>
          <w:i/>
          <w:sz w:val="20"/>
        </w:rPr>
        <w:t>2 E.G.L.R. </w:t>
      </w:r>
      <w:r>
        <w:rPr>
          <w:rFonts w:ascii="Arial"/>
          <w:i/>
          <w:spacing w:val="-4"/>
          <w:sz w:val="20"/>
        </w:rPr>
        <w:t>125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77" w:id="279"/>
      <w:bookmarkEnd w:id="279"/>
      <w:r>
        <w:rPr/>
      </w:r>
      <w:hyperlink w:history="true" w:anchor="_bookmark254">
        <w:r>
          <w:rPr>
            <w:color w:val="005DA1"/>
            <w:spacing w:val="-4"/>
            <w:position w:val="5"/>
            <w:sz w:val="14"/>
            <w:u w:val="single" w:color="005DA1"/>
          </w:rPr>
          <w:t>140</w:t>
        </w:r>
      </w:hyperlink>
      <w:r>
        <w:rPr>
          <w:spacing w:val="-4"/>
          <w:position w:val="5"/>
          <w:sz w:val="14"/>
        </w:rPr>
        <w:t>.</w:t>
      </w:r>
      <w:r>
        <w:rPr>
          <w:position w:val="5"/>
          <w:sz w:val="14"/>
        </w:rPr>
        <w:tab/>
      </w:r>
      <w:r>
        <w:rPr>
          <w:rFonts w:ascii="Arial"/>
          <w:i/>
          <w:sz w:val="20"/>
        </w:rPr>
        <w:t>(1842)</w:t>
      </w:r>
      <w:r>
        <w:rPr>
          <w:rFonts w:ascii="Arial"/>
          <w:i/>
          <w:spacing w:val="-1"/>
          <w:sz w:val="20"/>
        </w:rPr>
        <w:t> </w:t>
      </w:r>
      <w:r>
        <w:rPr>
          <w:rFonts w:ascii="Arial"/>
          <w:i/>
          <w:sz w:val="20"/>
        </w:rPr>
        <w:t>2 Q.B. 851</w:t>
      </w:r>
      <w:r>
        <w:rPr>
          <w:sz w:val="20"/>
        </w:rPr>
        <w:t>; above, para.4-</w:t>
      </w:r>
      <w:r>
        <w:rPr>
          <w:spacing w:val="-4"/>
          <w:sz w:val="20"/>
        </w:rPr>
        <w:t>011.</w:t>
      </w:r>
    </w:p>
    <w:p>
      <w:pPr>
        <w:pStyle w:val="BodyText"/>
        <w:spacing w:before="5"/>
      </w:pPr>
    </w:p>
    <w:p>
      <w:pPr>
        <w:tabs>
          <w:tab w:pos="705" w:val="left" w:leader="none"/>
        </w:tabs>
        <w:spacing w:before="0"/>
        <w:ind w:left="165" w:right="0" w:firstLine="0"/>
        <w:jc w:val="left"/>
        <w:rPr>
          <w:sz w:val="20"/>
        </w:rPr>
      </w:pPr>
      <w:bookmarkStart w:name="_bookmark278" w:id="280"/>
      <w:bookmarkEnd w:id="280"/>
      <w:r>
        <w:rPr/>
      </w:r>
      <w:hyperlink w:history="true" w:anchor="_bookmark255">
        <w:r>
          <w:rPr>
            <w:color w:val="005DA1"/>
            <w:spacing w:val="-4"/>
            <w:position w:val="5"/>
            <w:sz w:val="14"/>
            <w:u w:val="single" w:color="005DA1"/>
          </w:rPr>
          <w:t>141</w:t>
        </w:r>
      </w:hyperlink>
      <w:r>
        <w:rPr>
          <w:spacing w:val="-4"/>
          <w:position w:val="5"/>
          <w:sz w:val="14"/>
        </w:rPr>
        <w:t>.</w:t>
      </w:r>
      <w:r>
        <w:rPr>
          <w:position w:val="5"/>
          <w:sz w:val="14"/>
        </w:rPr>
        <w:tab/>
      </w:r>
      <w:r>
        <w:rPr>
          <w:rFonts w:ascii="Arial"/>
          <w:i/>
          <w:sz w:val="20"/>
        </w:rPr>
        <w:t>(1853) 23 L.J. Ex. </w:t>
      </w:r>
      <w:r>
        <w:rPr>
          <w:rFonts w:ascii="Arial"/>
          <w:i/>
          <w:spacing w:val="-5"/>
          <w:sz w:val="20"/>
        </w:rPr>
        <w:t>36</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279" w:id="281"/>
      <w:bookmarkEnd w:id="281"/>
      <w:r>
        <w:rPr/>
      </w:r>
      <w:hyperlink w:history="true" w:anchor="_bookmark256">
        <w:r>
          <w:rPr>
            <w:color w:val="005DA1"/>
            <w:spacing w:val="-4"/>
            <w:position w:val="5"/>
            <w:sz w:val="14"/>
            <w:u w:val="single" w:color="005DA1"/>
          </w:rPr>
          <w:t>142</w:t>
        </w:r>
      </w:hyperlink>
      <w:r>
        <w:rPr>
          <w:spacing w:val="-4"/>
          <w:position w:val="5"/>
          <w:sz w:val="14"/>
        </w:rPr>
        <w:t>.</w:t>
      </w:r>
      <w:r>
        <w:rPr>
          <w:position w:val="5"/>
          <w:sz w:val="14"/>
        </w:rPr>
        <w:tab/>
      </w:r>
      <w:r>
        <w:rPr>
          <w:rFonts w:ascii="Arial"/>
          <w:i/>
          <w:sz w:val="20"/>
        </w:rPr>
        <w:t>[1956]</w:t>
      </w:r>
      <w:r>
        <w:rPr>
          <w:rFonts w:ascii="Arial"/>
          <w:i/>
          <w:spacing w:val="-1"/>
          <w:sz w:val="20"/>
        </w:rPr>
        <w:t> </w:t>
      </w:r>
      <w:r>
        <w:rPr>
          <w:rFonts w:ascii="Arial"/>
          <w:i/>
          <w:sz w:val="20"/>
        </w:rPr>
        <w:t>1 W.L.R. 496</w:t>
      </w:r>
      <w:r>
        <w:rPr>
          <w:sz w:val="20"/>
        </w:rPr>
        <w:t>; below, para.4-</w:t>
      </w:r>
      <w:r>
        <w:rPr>
          <w:spacing w:val="-4"/>
          <w:sz w:val="20"/>
        </w:rPr>
        <w:t>065.</w:t>
      </w:r>
    </w:p>
    <w:p>
      <w:pPr>
        <w:spacing w:after="0"/>
        <w:jc w:val="left"/>
        <w:rPr>
          <w:sz w:val="20"/>
        </w:rPr>
        <w:sectPr>
          <w:pgSz w:w="11900" w:h="16840"/>
          <w:pgMar w:header="971" w:footer="0" w:top="1160" w:bottom="280" w:left="1275" w:right="1275"/>
        </w:sectPr>
      </w:pPr>
    </w:p>
    <w:p>
      <w:pPr>
        <w:pStyle w:val="BodyText"/>
        <w:spacing w:before="84"/>
      </w:pPr>
    </w:p>
    <w:p>
      <w:pPr>
        <w:pStyle w:val="BodyText"/>
        <w:tabs>
          <w:tab w:pos="705" w:val="left" w:leader="none"/>
        </w:tabs>
        <w:spacing w:line="235" w:lineRule="auto" w:before="1"/>
        <w:ind w:left="705" w:right="168" w:hanging="541"/>
      </w:pPr>
      <w:hyperlink w:history="true" w:anchor="_bookmark257">
        <w:r>
          <w:rPr>
            <w:color w:val="005DA1"/>
            <w:spacing w:val="-4"/>
            <w:position w:val="5"/>
            <w:sz w:val="14"/>
            <w:u w:val="single" w:color="005DA1"/>
          </w:rPr>
          <w:t>143</w:t>
        </w:r>
      </w:hyperlink>
      <w:r>
        <w:rPr>
          <w:spacing w:val="-4"/>
          <w:position w:val="5"/>
          <w:sz w:val="14"/>
        </w:rPr>
        <w:t>.</w:t>
      </w:r>
      <w:r>
        <w:rPr>
          <w:position w:val="5"/>
          <w:sz w:val="14"/>
        </w:rPr>
        <w:tab/>
      </w:r>
      <w:r>
        <w:rPr>
          <w:rFonts w:ascii="Arial"/>
          <w:i/>
        </w:rPr>
        <w:t>White</w:t>
      </w:r>
      <w:r>
        <w:rPr>
          <w:rFonts w:ascii="Arial"/>
          <w:i/>
          <w:spacing w:val="16"/>
        </w:rPr>
        <w:t> </w:t>
      </w:r>
      <w:r>
        <w:rPr>
          <w:rFonts w:ascii="Arial"/>
          <w:i/>
        </w:rPr>
        <w:t>v</w:t>
      </w:r>
      <w:r>
        <w:rPr>
          <w:rFonts w:ascii="Arial"/>
          <w:i/>
          <w:spacing w:val="16"/>
        </w:rPr>
        <w:t> </w:t>
      </w:r>
      <w:r>
        <w:rPr>
          <w:rFonts w:ascii="Arial"/>
          <w:i/>
        </w:rPr>
        <w:t>Bluett</w:t>
      </w:r>
      <w:r>
        <w:rPr/>
        <w:t>,</w:t>
      </w:r>
      <w:r>
        <w:rPr>
          <w:spacing w:val="16"/>
        </w:rPr>
        <w:t> </w:t>
      </w:r>
      <w:r>
        <w:rPr/>
        <w:t>above,</w:t>
      </w:r>
      <w:r>
        <w:rPr>
          <w:spacing w:val="16"/>
        </w:rPr>
        <w:t> </w:t>
      </w:r>
      <w:r>
        <w:rPr/>
        <w:t>can</w:t>
      </w:r>
      <w:r>
        <w:rPr>
          <w:spacing w:val="16"/>
        </w:rPr>
        <w:t> </w:t>
      </w:r>
      <w:r>
        <w:rPr/>
        <w:t>perhaps</w:t>
      </w:r>
      <w:r>
        <w:rPr>
          <w:spacing w:val="16"/>
        </w:rPr>
        <w:t> </w:t>
      </w:r>
      <w:r>
        <w:rPr/>
        <w:t>be</w:t>
      </w:r>
      <w:r>
        <w:rPr>
          <w:spacing w:val="16"/>
        </w:rPr>
        <w:t> </w:t>
      </w:r>
      <w:r>
        <w:rPr/>
        <w:t>explained</w:t>
      </w:r>
      <w:r>
        <w:rPr>
          <w:spacing w:val="16"/>
        </w:rPr>
        <w:t> </w:t>
      </w:r>
      <w:r>
        <w:rPr/>
        <w:t>on</w:t>
      </w:r>
      <w:r>
        <w:rPr>
          <w:spacing w:val="16"/>
        </w:rPr>
        <w:t> </w:t>
      </w:r>
      <w:r>
        <w:rPr/>
        <w:t>the</w:t>
      </w:r>
      <w:r>
        <w:rPr>
          <w:spacing w:val="16"/>
        </w:rPr>
        <w:t> </w:t>
      </w:r>
      <w:r>
        <w:rPr/>
        <w:t>ground</w:t>
      </w:r>
      <w:r>
        <w:rPr>
          <w:spacing w:val="16"/>
        </w:rPr>
        <w:t> </w:t>
      </w:r>
      <w:r>
        <w:rPr/>
        <w:t>that</w:t>
      </w:r>
      <w:r>
        <w:rPr>
          <w:spacing w:val="16"/>
        </w:rPr>
        <w:t> </w:t>
      </w:r>
      <w:r>
        <w:rPr/>
        <w:t>the</w:t>
      </w:r>
      <w:r>
        <w:rPr>
          <w:spacing w:val="16"/>
        </w:rPr>
        <w:t> </w:t>
      </w:r>
      <w:r>
        <w:rPr/>
        <w:t>father,</w:t>
      </w:r>
      <w:r>
        <w:rPr>
          <w:spacing w:val="16"/>
        </w:rPr>
        <w:t> </w:t>
      </w:r>
      <w:r>
        <w:rPr/>
        <w:t>in</w:t>
      </w:r>
      <w:r>
        <w:rPr>
          <w:spacing w:val="16"/>
        </w:rPr>
        <w:t> </w:t>
      </w:r>
      <w:r>
        <w:rPr/>
        <w:t>spite</w:t>
      </w:r>
      <w:r>
        <w:rPr>
          <w:spacing w:val="16"/>
        </w:rPr>
        <w:t> </w:t>
      </w:r>
      <w:r>
        <w:rPr/>
        <w:t>of</w:t>
      </w:r>
      <w:r>
        <w:rPr>
          <w:spacing w:val="16"/>
        </w:rPr>
        <w:t> </w:t>
      </w:r>
      <w:r>
        <w:rPr/>
        <w:t>his promise, retained the note.</w:t>
      </w:r>
    </w:p>
    <w:p>
      <w:pPr>
        <w:pStyle w:val="BodyText"/>
        <w:spacing w:before="5"/>
      </w:pPr>
    </w:p>
    <w:p>
      <w:pPr>
        <w:tabs>
          <w:tab w:pos="705" w:val="left" w:leader="none"/>
        </w:tabs>
        <w:spacing w:before="0"/>
        <w:ind w:left="165" w:right="0" w:firstLine="0"/>
        <w:jc w:val="left"/>
        <w:rPr>
          <w:sz w:val="20"/>
        </w:rPr>
      </w:pPr>
      <w:bookmarkStart w:name="_bookmark280" w:id="282"/>
      <w:bookmarkEnd w:id="282"/>
      <w:r>
        <w:rPr/>
      </w:r>
      <w:hyperlink w:history="true" w:anchor="_bookmark258">
        <w:r>
          <w:rPr>
            <w:color w:val="005DA1"/>
            <w:spacing w:val="-4"/>
            <w:position w:val="5"/>
            <w:sz w:val="14"/>
            <w:u w:val="single" w:color="005DA1"/>
          </w:rPr>
          <w:t>144</w:t>
        </w:r>
      </w:hyperlink>
      <w:r>
        <w:rPr>
          <w:spacing w:val="-4"/>
          <w:position w:val="5"/>
          <w:sz w:val="14"/>
        </w:rPr>
        <w:t>.</w:t>
      </w:r>
      <w:r>
        <w:rPr>
          <w:position w:val="5"/>
          <w:sz w:val="14"/>
        </w:rPr>
        <w:tab/>
      </w:r>
      <w:r>
        <w:rPr>
          <w:sz w:val="20"/>
        </w:rPr>
        <w:t>Below, </w:t>
      </w:r>
      <w:r>
        <w:rPr>
          <w:spacing w:val="-2"/>
          <w:sz w:val="20"/>
        </w:rPr>
        <w:t>Ch.6.</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281" w:id="283"/>
      <w:bookmarkEnd w:id="283"/>
      <w:r>
        <w:rPr/>
      </w:r>
      <w:hyperlink w:history="true" w:anchor="_bookmark259">
        <w:r>
          <w:rPr>
            <w:color w:val="005DA1"/>
            <w:spacing w:val="-4"/>
            <w:position w:val="5"/>
            <w:sz w:val="14"/>
            <w:u w:val="single" w:color="005DA1"/>
          </w:rPr>
          <w:t>145</w:t>
        </w:r>
      </w:hyperlink>
      <w:r>
        <w:rPr>
          <w:spacing w:val="-4"/>
          <w:position w:val="5"/>
          <w:sz w:val="14"/>
        </w:rPr>
        <w:t>.</w:t>
      </w:r>
      <w:r>
        <w:rPr>
          <w:position w:val="5"/>
          <w:sz w:val="14"/>
        </w:rPr>
        <w:tab/>
      </w:r>
      <w:r>
        <w:rPr>
          <w:sz w:val="20"/>
        </w:rPr>
        <w:t>There could be a good contract if the parties were in doubt on this point: see </w:t>
      </w:r>
      <w:r>
        <w:rPr>
          <w:rFonts w:ascii="Arial"/>
          <w:i/>
          <w:sz w:val="20"/>
        </w:rPr>
        <w:t>Smith v </w:t>
      </w:r>
      <w:r>
        <w:rPr>
          <w:rFonts w:ascii="Arial"/>
          <w:i/>
          <w:sz w:val="20"/>
        </w:rPr>
        <w:t>Harrison (1857)</w:t>
      </w:r>
      <w:r>
        <w:rPr>
          <w:rFonts w:ascii="Arial"/>
          <w:i/>
          <w:spacing w:val="26"/>
          <w:sz w:val="20"/>
        </w:rPr>
        <w:t> </w:t>
      </w:r>
      <w:r>
        <w:rPr>
          <w:rFonts w:ascii="Arial"/>
          <w:i/>
          <w:sz w:val="20"/>
        </w:rPr>
        <w:t>26</w:t>
      </w:r>
      <w:r>
        <w:rPr>
          <w:rFonts w:ascii="Arial"/>
          <w:i/>
          <w:spacing w:val="27"/>
          <w:sz w:val="20"/>
        </w:rPr>
        <w:t> </w:t>
      </w:r>
      <w:r>
        <w:rPr>
          <w:rFonts w:ascii="Arial"/>
          <w:i/>
          <w:sz w:val="20"/>
        </w:rPr>
        <w:t>L.J.Ch.</w:t>
      </w:r>
      <w:r>
        <w:rPr>
          <w:rFonts w:ascii="Arial"/>
          <w:i/>
          <w:spacing w:val="27"/>
          <w:sz w:val="20"/>
        </w:rPr>
        <w:t> </w:t>
      </w:r>
      <w:r>
        <w:rPr>
          <w:rFonts w:ascii="Arial"/>
          <w:i/>
          <w:sz w:val="20"/>
        </w:rPr>
        <w:t>412</w:t>
      </w:r>
      <w:r>
        <w:rPr>
          <w:sz w:val="20"/>
        </w:rPr>
        <w:t>.</w:t>
      </w:r>
      <w:r>
        <w:rPr>
          <w:spacing w:val="27"/>
          <w:sz w:val="20"/>
        </w:rPr>
        <w:t> </w:t>
      </w:r>
      <w:r>
        <w:rPr>
          <w:sz w:val="20"/>
        </w:rPr>
        <w:t>In</w:t>
      </w:r>
      <w:r>
        <w:rPr>
          <w:spacing w:val="27"/>
          <w:sz w:val="20"/>
        </w:rPr>
        <w:t> </w:t>
      </w:r>
      <w:r>
        <w:rPr>
          <w:rFonts w:ascii="Arial"/>
          <w:i/>
          <w:sz w:val="20"/>
        </w:rPr>
        <w:t>Birmingham</w:t>
      </w:r>
      <w:r>
        <w:rPr>
          <w:rFonts w:ascii="Arial"/>
          <w:i/>
          <w:spacing w:val="27"/>
          <w:sz w:val="20"/>
        </w:rPr>
        <w:t> </w:t>
      </w:r>
      <w:r>
        <w:rPr>
          <w:rFonts w:ascii="Arial"/>
          <w:i/>
          <w:sz w:val="20"/>
        </w:rPr>
        <w:t>City</w:t>
      </w:r>
      <w:r>
        <w:rPr>
          <w:rFonts w:ascii="Arial"/>
          <w:i/>
          <w:spacing w:val="27"/>
          <w:sz w:val="20"/>
        </w:rPr>
        <w:t> </w:t>
      </w:r>
      <w:r>
        <w:rPr>
          <w:rFonts w:ascii="Arial"/>
          <w:i/>
          <w:sz w:val="20"/>
        </w:rPr>
        <w:t>Council</w:t>
      </w:r>
      <w:r>
        <w:rPr>
          <w:rFonts w:ascii="Arial"/>
          <w:i/>
          <w:spacing w:val="27"/>
          <w:sz w:val="20"/>
        </w:rPr>
        <w:t> </w:t>
      </w:r>
      <w:r>
        <w:rPr>
          <w:rFonts w:ascii="Arial"/>
          <w:i/>
          <w:sz w:val="20"/>
        </w:rPr>
        <w:t>v</w:t>
      </w:r>
      <w:r>
        <w:rPr>
          <w:rFonts w:ascii="Arial"/>
          <w:i/>
          <w:spacing w:val="27"/>
          <w:sz w:val="20"/>
        </w:rPr>
        <w:t> </w:t>
      </w:r>
      <w:r>
        <w:rPr>
          <w:rFonts w:ascii="Arial"/>
          <w:i/>
          <w:sz w:val="20"/>
        </w:rPr>
        <w:t>Forde</w:t>
      </w:r>
      <w:r>
        <w:rPr>
          <w:rFonts w:ascii="Arial"/>
          <w:i/>
          <w:spacing w:val="27"/>
          <w:sz w:val="20"/>
        </w:rPr>
        <w:t> </w:t>
      </w:r>
      <w:r>
        <w:rPr>
          <w:rFonts w:ascii="Arial"/>
          <w:i/>
          <w:sz w:val="20"/>
        </w:rPr>
        <w:t>[2009]</w:t>
      </w:r>
      <w:r>
        <w:rPr>
          <w:rFonts w:ascii="Arial"/>
          <w:i/>
          <w:spacing w:val="27"/>
          <w:sz w:val="20"/>
        </w:rPr>
        <w:t> </w:t>
      </w:r>
      <w:r>
        <w:rPr>
          <w:rFonts w:ascii="Arial"/>
          <w:i/>
          <w:sz w:val="20"/>
        </w:rPr>
        <w:t>EWHC</w:t>
      </w:r>
      <w:r>
        <w:rPr>
          <w:rFonts w:ascii="Arial"/>
          <w:i/>
          <w:spacing w:val="27"/>
          <w:sz w:val="20"/>
        </w:rPr>
        <w:t> </w:t>
      </w:r>
      <w:r>
        <w:rPr>
          <w:rFonts w:ascii="Arial"/>
          <w:i/>
          <w:sz w:val="20"/>
        </w:rPr>
        <w:t>12</w:t>
      </w:r>
      <w:r>
        <w:rPr>
          <w:rFonts w:ascii="Arial"/>
          <w:i/>
          <w:spacing w:val="27"/>
          <w:sz w:val="20"/>
        </w:rPr>
        <w:t> </w:t>
      </w:r>
      <w:r>
        <w:rPr>
          <w:rFonts w:ascii="Arial"/>
          <w:i/>
          <w:sz w:val="20"/>
        </w:rPr>
        <w:t>(QB),</w:t>
      </w:r>
      <w:r>
        <w:rPr>
          <w:rFonts w:ascii="Arial"/>
          <w:i/>
          <w:spacing w:val="27"/>
          <w:sz w:val="20"/>
        </w:rPr>
        <w:t> </w:t>
      </w:r>
      <w:r>
        <w:rPr>
          <w:rFonts w:ascii="Arial"/>
          <w:i/>
          <w:sz w:val="20"/>
        </w:rPr>
        <w:t>[2009]</w:t>
      </w:r>
      <w:r>
        <w:rPr>
          <w:rFonts w:ascii="Arial"/>
          <w:i/>
          <w:spacing w:val="27"/>
          <w:sz w:val="20"/>
        </w:rPr>
        <w:t> </w:t>
      </w:r>
      <w:r>
        <w:rPr>
          <w:rFonts w:ascii="Arial"/>
          <w:i/>
          <w:spacing w:val="-10"/>
          <w:sz w:val="20"/>
        </w:rPr>
        <w:t>1</w:t>
      </w:r>
    </w:p>
    <w:p>
      <w:pPr>
        <w:pStyle w:val="BodyText"/>
        <w:spacing w:line="235" w:lineRule="auto"/>
        <w:ind w:left="705" w:right="167"/>
        <w:jc w:val="both"/>
      </w:pPr>
      <w:r>
        <w:rPr>
          <w:rFonts w:ascii="Arial" w:hAnsi="Arial"/>
          <w:i/>
        </w:rPr>
        <w:t>W.L.R. 2732 </w:t>
      </w:r>
      <w:r>
        <w:rPr/>
        <w:t>(above, para.4-018, below, para.4-072) Christopher Clarke J. also considered </w:t>
      </w:r>
      <w:r>
        <w:rPr/>
        <w:t>the question whether the consideration consisting of the solicitors’ promise to provide </w:t>
      </w:r>
      <w:r>
        <w:rPr/>
        <w:t>additional services in the form of legal representation on appeal was illusory in view of the fact that </w:t>
      </w:r>
      <w:r>
        <w:rPr/>
        <w:t>“the prospect</w:t>
      </w:r>
      <w:r>
        <w:rPr>
          <w:spacing w:val="-1"/>
        </w:rPr>
        <w:t> </w:t>
      </w:r>
      <w:r>
        <w:rPr/>
        <w:t>of</w:t>
      </w:r>
      <w:r>
        <w:rPr>
          <w:spacing w:val="-1"/>
        </w:rPr>
        <w:t> </w:t>
      </w:r>
      <w:r>
        <w:rPr/>
        <w:t>a</w:t>
      </w:r>
      <w:r>
        <w:rPr>
          <w:spacing w:val="-1"/>
        </w:rPr>
        <w:t> </w:t>
      </w:r>
      <w:r>
        <w:rPr/>
        <w:t>council</w:t>
      </w:r>
      <w:r>
        <w:rPr>
          <w:spacing w:val="-1"/>
        </w:rPr>
        <w:t> </w:t>
      </w:r>
      <w:r>
        <w:rPr/>
        <w:t>appeal</w:t>
      </w:r>
      <w:r>
        <w:rPr>
          <w:spacing w:val="-1"/>
        </w:rPr>
        <w:t> </w:t>
      </w:r>
      <w:r>
        <w:rPr/>
        <w:t>was</w:t>
      </w:r>
      <w:r>
        <w:rPr>
          <w:spacing w:val="-1"/>
        </w:rPr>
        <w:t> </w:t>
      </w:r>
      <w:r>
        <w:rPr/>
        <w:t>very</w:t>
      </w:r>
      <w:r>
        <w:rPr>
          <w:spacing w:val="-1"/>
        </w:rPr>
        <w:t> </w:t>
      </w:r>
      <w:r>
        <w:rPr/>
        <w:t>remote”</w:t>
      </w:r>
      <w:r>
        <w:rPr>
          <w:spacing w:val="-1"/>
        </w:rPr>
        <w:t> </w:t>
      </w:r>
      <w:r>
        <w:rPr/>
        <w:t>(at</w:t>
      </w:r>
      <w:r>
        <w:rPr>
          <w:spacing w:val="-1"/>
        </w:rPr>
        <w:t> </w:t>
      </w:r>
      <w:r>
        <w:rPr/>
        <w:t>[84]).</w:t>
      </w:r>
      <w:r>
        <w:rPr>
          <w:spacing w:val="-1"/>
        </w:rPr>
        <w:t> </w:t>
      </w:r>
      <w:r>
        <w:rPr/>
        <w:t>The</w:t>
      </w:r>
      <w:r>
        <w:rPr>
          <w:spacing w:val="-1"/>
        </w:rPr>
        <w:t> </w:t>
      </w:r>
      <w:r>
        <w:rPr/>
        <w:t>judgment</w:t>
      </w:r>
      <w:r>
        <w:rPr>
          <w:spacing w:val="-1"/>
        </w:rPr>
        <w:t> </w:t>
      </w:r>
      <w:r>
        <w:rPr/>
        <w:t>does</w:t>
      </w:r>
      <w:r>
        <w:rPr>
          <w:spacing w:val="-1"/>
        </w:rPr>
        <w:t> </w:t>
      </w:r>
      <w:r>
        <w:rPr/>
        <w:t>not</w:t>
      </w:r>
      <w:r>
        <w:rPr>
          <w:spacing w:val="-1"/>
        </w:rPr>
        <w:t> </w:t>
      </w:r>
      <w:r>
        <w:rPr/>
        <w:t>in</w:t>
      </w:r>
      <w:r>
        <w:rPr>
          <w:spacing w:val="-1"/>
        </w:rPr>
        <w:t> </w:t>
      </w:r>
      <w:r>
        <w:rPr/>
        <w:t>terms</w:t>
      </w:r>
      <w:r>
        <w:rPr>
          <w:spacing w:val="-1"/>
        </w:rPr>
        <w:t> </w:t>
      </w:r>
      <w:r>
        <w:rPr/>
        <w:t>answer the question, but it may be that a negative answer can be inferred from the fact that </w:t>
      </w:r>
      <w:r>
        <w:rPr/>
        <w:t>the agreement referred to in paras.4-018 above and 4-072 below as CFA 2 was held to be </w:t>
      </w:r>
      <w:r>
        <w:rPr/>
        <w:t>a</w:t>
      </w:r>
      <w:r>
        <w:rPr>
          <w:spacing w:val="40"/>
        </w:rPr>
        <w:t> </w:t>
      </w:r>
      <w:r>
        <w:rPr/>
        <w:t>binding contract.</w:t>
      </w:r>
    </w:p>
    <w:p>
      <w:pPr>
        <w:pStyle w:val="BodyText"/>
        <w:spacing w:before="3"/>
      </w:pPr>
    </w:p>
    <w:p>
      <w:pPr>
        <w:tabs>
          <w:tab w:pos="705" w:val="left" w:leader="none"/>
        </w:tabs>
        <w:spacing w:before="0"/>
        <w:ind w:left="165" w:right="0" w:firstLine="0"/>
        <w:jc w:val="left"/>
        <w:rPr>
          <w:sz w:val="20"/>
        </w:rPr>
      </w:pPr>
      <w:bookmarkStart w:name="_bookmark282" w:id="284"/>
      <w:bookmarkEnd w:id="284"/>
      <w:r>
        <w:rPr/>
      </w:r>
      <w:hyperlink w:history="true" w:anchor="_bookmark260">
        <w:r>
          <w:rPr>
            <w:color w:val="005DA1"/>
            <w:spacing w:val="-4"/>
            <w:position w:val="5"/>
            <w:sz w:val="14"/>
            <w:u w:val="single" w:color="005DA1"/>
          </w:rPr>
          <w:t>146</w:t>
        </w:r>
      </w:hyperlink>
      <w:r>
        <w:rPr>
          <w:spacing w:val="-4"/>
          <w:position w:val="5"/>
          <w:sz w:val="14"/>
        </w:rPr>
        <w:t>.</w:t>
      </w:r>
      <w:r>
        <w:rPr>
          <w:position w:val="5"/>
          <w:sz w:val="14"/>
        </w:rPr>
        <w:tab/>
      </w:r>
      <w:r>
        <w:rPr>
          <w:sz w:val="20"/>
        </w:rPr>
        <w:t>cf. </w:t>
      </w:r>
      <w:r>
        <w:rPr>
          <w:rFonts w:ascii="Arial" w:hAnsi="Arial"/>
          <w:i/>
          <w:sz w:val="20"/>
        </w:rPr>
        <w:t>Brady v Brady [1989] A.C. 755, 774</w:t>
      </w:r>
      <w:r>
        <w:rPr>
          <w:rFonts w:ascii="Arial" w:hAnsi="Arial"/>
          <w:i/>
          <w:spacing w:val="-1"/>
          <w:sz w:val="20"/>
        </w:rPr>
        <w:t> </w:t>
      </w:r>
      <w:r>
        <w:rPr>
          <w:sz w:val="20"/>
        </w:rPr>
        <w:t>(“at the date of the </w:t>
      </w:r>
      <w:r>
        <w:rPr>
          <w:spacing w:val="-2"/>
          <w:sz w:val="20"/>
        </w:rPr>
        <w:t>promise”).</w:t>
      </w:r>
    </w:p>
    <w:p>
      <w:pPr>
        <w:pStyle w:val="BodyText"/>
        <w:spacing w:before="5"/>
      </w:pPr>
    </w:p>
    <w:p>
      <w:pPr>
        <w:tabs>
          <w:tab w:pos="705" w:val="left" w:leader="none"/>
        </w:tabs>
        <w:spacing w:before="0"/>
        <w:ind w:left="165" w:right="0" w:firstLine="0"/>
        <w:jc w:val="left"/>
        <w:rPr>
          <w:sz w:val="20"/>
        </w:rPr>
      </w:pPr>
      <w:bookmarkStart w:name="_bookmark283" w:id="285"/>
      <w:bookmarkEnd w:id="285"/>
      <w:r>
        <w:rPr/>
      </w:r>
      <w:hyperlink w:history="true" w:anchor="_bookmark261">
        <w:r>
          <w:rPr>
            <w:color w:val="005DA1"/>
            <w:spacing w:val="-4"/>
            <w:position w:val="5"/>
            <w:sz w:val="14"/>
            <w:u w:val="single" w:color="005DA1"/>
          </w:rPr>
          <w:t>147</w:t>
        </w:r>
      </w:hyperlink>
      <w:r>
        <w:rPr>
          <w:spacing w:val="-4"/>
          <w:position w:val="5"/>
          <w:sz w:val="14"/>
        </w:rPr>
        <w:t>.</w:t>
      </w:r>
      <w:r>
        <w:rPr>
          <w:position w:val="5"/>
          <w:sz w:val="14"/>
        </w:rPr>
        <w:tab/>
      </w:r>
      <w:r>
        <w:rPr>
          <w:sz w:val="20"/>
        </w:rPr>
        <w:t>Below, para.4-</w:t>
      </w:r>
      <w:r>
        <w:rPr>
          <w:spacing w:val="-4"/>
          <w:sz w:val="20"/>
        </w:rPr>
        <w:t>025.</w:t>
      </w:r>
    </w:p>
    <w:p>
      <w:pPr>
        <w:pStyle w:val="BodyText"/>
        <w:spacing w:before="8"/>
      </w:pPr>
    </w:p>
    <w:p>
      <w:pPr>
        <w:pStyle w:val="BodyText"/>
        <w:spacing w:line="235" w:lineRule="auto" w:before="1"/>
        <w:ind w:left="705" w:right="167" w:hanging="541"/>
        <w:jc w:val="both"/>
      </w:pPr>
      <w:bookmarkStart w:name="_bookmark284" w:id="286"/>
      <w:bookmarkEnd w:id="286"/>
      <w:r>
        <w:rPr/>
      </w:r>
      <w:hyperlink w:history="true" w:anchor="_bookmark262">
        <w:r>
          <w:rPr>
            <w:color w:val="005DA1"/>
            <w:position w:val="5"/>
            <w:sz w:val="14"/>
            <w:u w:val="single" w:color="005DA1"/>
          </w:rPr>
          <w:t>148</w:t>
        </w:r>
      </w:hyperlink>
      <w:r>
        <w:rPr>
          <w:position w:val="5"/>
          <w:sz w:val="14"/>
        </w:rPr>
        <w:t>.</w:t>
      </w:r>
      <w:r>
        <w:rPr>
          <w:spacing w:val="40"/>
          <w:position w:val="5"/>
          <w:sz w:val="14"/>
        </w:rPr>
        <w:t>  </w:t>
      </w:r>
      <w:r>
        <w:rPr/>
        <w:t>In </w:t>
      </w:r>
      <w:r>
        <w:rPr>
          <w:rFonts w:ascii="Arial" w:hAnsi="Arial"/>
          <w:i/>
        </w:rPr>
        <w:t>Birmingham City Council v Forde [2009] EWHC 12 (QB), [2009] 1 W.L.R. 2732 </w:t>
      </w:r>
      <w:r>
        <w:rPr/>
        <w:t>(paras 4-018 above and 4-072 below) one reason why the principle stated in the dictum quoted in the text above did not literally apply was that the alleged consideration did “not consist of not doing something but of continuing to act” (at [97]). It is respectfully submitted that, in the present context, there is no reason for distinguishing between inaction and a positive act. The crucial question is whether the promisee’s conduct (whether by acting or by forbearing to act) would have been the same as it was, even if the promise for which it was alleged to be consideration, had not been made.</w:t>
      </w:r>
    </w:p>
    <w:p>
      <w:pPr>
        <w:pStyle w:val="BodyText"/>
        <w:spacing w:before="6"/>
      </w:pPr>
    </w:p>
    <w:p>
      <w:pPr>
        <w:tabs>
          <w:tab w:pos="705" w:val="left" w:leader="none"/>
        </w:tabs>
        <w:spacing w:line="235" w:lineRule="auto" w:before="1"/>
        <w:ind w:left="705" w:right="168" w:hanging="541"/>
        <w:jc w:val="right"/>
        <w:rPr>
          <w:rFonts w:ascii="Arial" w:hAnsi="Arial"/>
          <w:i/>
          <w:sz w:val="20"/>
        </w:rPr>
      </w:pPr>
      <w:bookmarkStart w:name="_bookmark285" w:id="287"/>
      <w:bookmarkEnd w:id="287"/>
      <w:r>
        <w:rPr/>
      </w:r>
      <w:hyperlink w:history="true" w:anchor="_bookmark263">
        <w:r>
          <w:rPr>
            <w:color w:val="005DA1"/>
            <w:spacing w:val="-4"/>
            <w:position w:val="5"/>
            <w:sz w:val="14"/>
            <w:u w:val="single" w:color="005DA1"/>
          </w:rPr>
          <w:t>149</w:t>
        </w:r>
      </w:hyperlink>
      <w:r>
        <w:rPr>
          <w:spacing w:val="-4"/>
          <w:position w:val="5"/>
          <w:sz w:val="14"/>
        </w:rPr>
        <w:t>.</w:t>
      </w:r>
      <w:r>
        <w:rPr>
          <w:position w:val="5"/>
          <w:sz w:val="14"/>
        </w:rPr>
        <w:tab/>
      </w:r>
      <w:r>
        <w:rPr>
          <w:rFonts w:ascii="Arial" w:hAnsi="Arial"/>
          <w:i/>
          <w:sz w:val="20"/>
        </w:rPr>
        <w:t>Arrale v Costain Civil Engineering Ltd [1976] 1 Lloyd’s Rep. 98, 106</w:t>
      </w:r>
      <w:r>
        <w:rPr>
          <w:sz w:val="20"/>
        </w:rPr>
        <w:t>; cf. </w:t>
      </w:r>
      <w:r>
        <w:rPr>
          <w:rFonts w:ascii="Arial" w:hAnsi="Arial"/>
          <w:i/>
          <w:sz w:val="20"/>
        </w:rPr>
        <w:t>Colchester BC v </w:t>
      </w:r>
      <w:r>
        <w:rPr>
          <w:rFonts w:ascii="Arial" w:hAnsi="Arial"/>
          <w:i/>
          <w:sz w:val="20"/>
        </w:rPr>
        <w:t>Smith [1991]</w:t>
      </w:r>
      <w:r>
        <w:rPr>
          <w:rFonts w:ascii="Arial" w:hAnsi="Arial"/>
          <w:i/>
          <w:spacing w:val="11"/>
          <w:sz w:val="20"/>
        </w:rPr>
        <w:t> </w:t>
      </w:r>
      <w:r>
        <w:rPr>
          <w:rFonts w:ascii="Arial" w:hAnsi="Arial"/>
          <w:i/>
          <w:sz w:val="20"/>
        </w:rPr>
        <w:t>Ch.</w:t>
      </w:r>
      <w:r>
        <w:rPr>
          <w:rFonts w:ascii="Arial" w:hAnsi="Arial"/>
          <w:i/>
          <w:spacing w:val="12"/>
          <w:sz w:val="20"/>
        </w:rPr>
        <w:t> </w:t>
      </w:r>
      <w:r>
        <w:rPr>
          <w:rFonts w:ascii="Arial" w:hAnsi="Arial"/>
          <w:i/>
          <w:sz w:val="20"/>
        </w:rPr>
        <w:t>448,</w:t>
      </w:r>
      <w:r>
        <w:rPr>
          <w:rFonts w:ascii="Arial" w:hAnsi="Arial"/>
          <w:i/>
          <w:spacing w:val="12"/>
          <w:sz w:val="20"/>
        </w:rPr>
        <w:t> </w:t>
      </w:r>
      <w:r>
        <w:rPr>
          <w:rFonts w:ascii="Arial" w:hAnsi="Arial"/>
          <w:i/>
          <w:sz w:val="20"/>
        </w:rPr>
        <w:t>489</w:t>
      </w:r>
      <w:r>
        <w:rPr>
          <w:sz w:val="20"/>
        </w:rPr>
        <w:t>,</w:t>
      </w:r>
      <w:r>
        <w:rPr>
          <w:spacing w:val="12"/>
          <w:sz w:val="20"/>
        </w:rPr>
        <w:t> </w:t>
      </w:r>
      <w:r>
        <w:rPr>
          <w:sz w:val="20"/>
        </w:rPr>
        <w:t>affirmed</w:t>
      </w:r>
      <w:r>
        <w:rPr>
          <w:spacing w:val="12"/>
          <w:sz w:val="20"/>
        </w:rPr>
        <w:t> </w:t>
      </w:r>
      <w:r>
        <w:rPr>
          <w:sz w:val="20"/>
        </w:rPr>
        <w:t>without</w:t>
      </w:r>
      <w:r>
        <w:rPr>
          <w:spacing w:val="12"/>
          <w:sz w:val="20"/>
        </w:rPr>
        <w:t> </w:t>
      </w:r>
      <w:r>
        <w:rPr>
          <w:sz w:val="20"/>
        </w:rPr>
        <w:t>reference</w:t>
      </w:r>
      <w:r>
        <w:rPr>
          <w:spacing w:val="12"/>
          <w:sz w:val="20"/>
        </w:rPr>
        <w:t> </w:t>
      </w:r>
      <w:r>
        <w:rPr>
          <w:sz w:val="20"/>
        </w:rPr>
        <w:t>to</w:t>
      </w:r>
      <w:r>
        <w:rPr>
          <w:spacing w:val="11"/>
          <w:sz w:val="20"/>
        </w:rPr>
        <w:t> </w:t>
      </w:r>
      <w:r>
        <w:rPr>
          <w:sz w:val="20"/>
        </w:rPr>
        <w:t>this</w:t>
      </w:r>
      <w:r>
        <w:rPr>
          <w:spacing w:val="12"/>
          <w:sz w:val="20"/>
        </w:rPr>
        <w:t> </w:t>
      </w:r>
      <w:r>
        <w:rPr>
          <w:sz w:val="20"/>
        </w:rPr>
        <w:t>point</w:t>
      </w:r>
      <w:r>
        <w:rPr>
          <w:spacing w:val="11"/>
          <w:sz w:val="20"/>
        </w:rPr>
        <w:t> </w:t>
      </w:r>
      <w:r>
        <w:rPr>
          <w:rFonts w:ascii="Arial" w:hAnsi="Arial"/>
          <w:i/>
          <w:sz w:val="20"/>
        </w:rPr>
        <w:t>[1992]</w:t>
      </w:r>
      <w:r>
        <w:rPr>
          <w:rFonts w:ascii="Arial" w:hAnsi="Arial"/>
          <w:i/>
          <w:spacing w:val="12"/>
          <w:sz w:val="20"/>
        </w:rPr>
        <w:t> </w:t>
      </w:r>
      <w:r>
        <w:rPr>
          <w:rFonts w:ascii="Arial" w:hAnsi="Arial"/>
          <w:i/>
          <w:sz w:val="20"/>
        </w:rPr>
        <w:t>Ch.</w:t>
      </w:r>
      <w:r>
        <w:rPr>
          <w:rFonts w:ascii="Arial" w:hAnsi="Arial"/>
          <w:i/>
          <w:spacing w:val="12"/>
          <w:sz w:val="20"/>
        </w:rPr>
        <w:t> </w:t>
      </w:r>
      <w:r>
        <w:rPr>
          <w:rFonts w:ascii="Arial" w:hAnsi="Arial"/>
          <w:i/>
          <w:sz w:val="20"/>
        </w:rPr>
        <w:t>421</w:t>
      </w:r>
      <w:r>
        <w:rPr>
          <w:sz w:val="20"/>
        </w:rPr>
        <w:t>;</w:t>
      </w:r>
      <w:r>
        <w:rPr>
          <w:spacing w:val="12"/>
          <w:sz w:val="20"/>
        </w:rPr>
        <w:t> </w:t>
      </w:r>
      <w:r>
        <w:rPr>
          <w:rFonts w:ascii="Arial" w:hAnsi="Arial"/>
          <w:i/>
          <w:sz w:val="20"/>
        </w:rPr>
        <w:t>Beaton</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pacing w:val="-2"/>
          <w:sz w:val="20"/>
        </w:rPr>
        <w:t>McDivitt</w:t>
      </w:r>
    </w:p>
    <w:p>
      <w:pPr>
        <w:spacing w:line="223" w:lineRule="exact" w:before="0"/>
        <w:ind w:left="0" w:right="168" w:firstLine="0"/>
        <w:jc w:val="right"/>
        <w:rPr>
          <w:rFonts w:ascii="Arial"/>
          <w:i/>
          <w:sz w:val="20"/>
        </w:rPr>
      </w:pPr>
      <w:r>
        <w:rPr>
          <w:rFonts w:ascii="Arial"/>
          <w:i/>
          <w:sz w:val="20"/>
        </w:rPr>
        <w:t>(1988)</w:t>
      </w:r>
      <w:r>
        <w:rPr>
          <w:rFonts w:ascii="Arial"/>
          <w:i/>
          <w:spacing w:val="2"/>
          <w:sz w:val="20"/>
        </w:rPr>
        <w:t> </w:t>
      </w:r>
      <w:r>
        <w:rPr>
          <w:rFonts w:ascii="Arial"/>
          <w:i/>
          <w:sz w:val="20"/>
        </w:rPr>
        <w:t>13</w:t>
      </w:r>
      <w:r>
        <w:rPr>
          <w:rFonts w:ascii="Arial"/>
          <w:i/>
          <w:spacing w:val="3"/>
          <w:sz w:val="20"/>
        </w:rPr>
        <w:t> </w:t>
      </w:r>
      <w:r>
        <w:rPr>
          <w:rFonts w:ascii="Arial"/>
          <w:i/>
          <w:sz w:val="20"/>
        </w:rPr>
        <w:t>N.S.W.L.R.</w:t>
      </w:r>
      <w:r>
        <w:rPr>
          <w:rFonts w:ascii="Arial"/>
          <w:i/>
          <w:spacing w:val="3"/>
          <w:sz w:val="20"/>
        </w:rPr>
        <w:t> </w:t>
      </w:r>
      <w:r>
        <w:rPr>
          <w:rFonts w:ascii="Arial"/>
          <w:i/>
          <w:sz w:val="20"/>
        </w:rPr>
        <w:t>162</w:t>
      </w:r>
      <w:r>
        <w:rPr>
          <w:sz w:val="20"/>
        </w:rPr>
        <w:t>.</w:t>
      </w:r>
      <w:r>
        <w:rPr>
          <w:spacing w:val="3"/>
          <w:sz w:val="20"/>
        </w:rPr>
        <w:t> </w:t>
      </w:r>
      <w:r>
        <w:rPr>
          <w:sz w:val="20"/>
        </w:rPr>
        <w:t>In</w:t>
      </w:r>
      <w:r>
        <w:rPr>
          <w:spacing w:val="3"/>
          <w:sz w:val="20"/>
        </w:rPr>
        <w:t> </w:t>
      </w:r>
      <w:r>
        <w:rPr>
          <w:rFonts w:ascii="Arial"/>
          <w:i/>
          <w:sz w:val="20"/>
        </w:rPr>
        <w:t>Birmingham</w:t>
      </w:r>
      <w:r>
        <w:rPr>
          <w:rFonts w:ascii="Arial"/>
          <w:i/>
          <w:spacing w:val="3"/>
          <w:sz w:val="20"/>
        </w:rPr>
        <w:t> </w:t>
      </w:r>
      <w:r>
        <w:rPr>
          <w:rFonts w:ascii="Arial"/>
          <w:i/>
          <w:sz w:val="20"/>
        </w:rPr>
        <w:t>City</w:t>
      </w:r>
      <w:r>
        <w:rPr>
          <w:rFonts w:ascii="Arial"/>
          <w:i/>
          <w:spacing w:val="3"/>
          <w:sz w:val="20"/>
        </w:rPr>
        <w:t> </w:t>
      </w:r>
      <w:r>
        <w:rPr>
          <w:rFonts w:ascii="Arial"/>
          <w:i/>
          <w:sz w:val="20"/>
        </w:rPr>
        <w:t>Council</w:t>
      </w:r>
      <w:r>
        <w:rPr>
          <w:rFonts w:ascii="Arial"/>
          <w:i/>
          <w:spacing w:val="3"/>
          <w:sz w:val="20"/>
        </w:rPr>
        <w:t> </w:t>
      </w:r>
      <w:r>
        <w:rPr>
          <w:rFonts w:ascii="Arial"/>
          <w:i/>
          <w:sz w:val="20"/>
        </w:rPr>
        <w:t>v</w:t>
      </w:r>
      <w:r>
        <w:rPr>
          <w:rFonts w:ascii="Arial"/>
          <w:i/>
          <w:spacing w:val="3"/>
          <w:sz w:val="20"/>
        </w:rPr>
        <w:t> </w:t>
      </w:r>
      <w:r>
        <w:rPr>
          <w:rFonts w:ascii="Arial"/>
          <w:i/>
          <w:sz w:val="20"/>
        </w:rPr>
        <w:t>Forde</w:t>
      </w:r>
      <w:r>
        <w:rPr>
          <w:rFonts w:ascii="Arial"/>
          <w:i/>
          <w:spacing w:val="3"/>
          <w:sz w:val="20"/>
        </w:rPr>
        <w:t> </w:t>
      </w:r>
      <w:r>
        <w:rPr>
          <w:rFonts w:ascii="Arial"/>
          <w:i/>
          <w:sz w:val="20"/>
        </w:rPr>
        <w:t>[2009]</w:t>
      </w:r>
      <w:r>
        <w:rPr>
          <w:rFonts w:ascii="Arial"/>
          <w:i/>
          <w:spacing w:val="3"/>
          <w:sz w:val="20"/>
        </w:rPr>
        <w:t> </w:t>
      </w:r>
      <w:r>
        <w:rPr>
          <w:rFonts w:ascii="Arial"/>
          <w:i/>
          <w:sz w:val="20"/>
        </w:rPr>
        <w:t>EWHC</w:t>
      </w:r>
      <w:r>
        <w:rPr>
          <w:rFonts w:ascii="Arial"/>
          <w:i/>
          <w:spacing w:val="3"/>
          <w:sz w:val="20"/>
        </w:rPr>
        <w:t> </w:t>
      </w:r>
      <w:r>
        <w:rPr>
          <w:rFonts w:ascii="Arial"/>
          <w:i/>
          <w:sz w:val="20"/>
        </w:rPr>
        <w:t>12</w:t>
      </w:r>
      <w:r>
        <w:rPr>
          <w:rFonts w:ascii="Arial"/>
          <w:i/>
          <w:spacing w:val="3"/>
          <w:sz w:val="20"/>
        </w:rPr>
        <w:t> </w:t>
      </w:r>
      <w:r>
        <w:rPr>
          <w:rFonts w:ascii="Arial"/>
          <w:i/>
          <w:sz w:val="20"/>
        </w:rPr>
        <w:t>(QB),</w:t>
      </w:r>
      <w:r>
        <w:rPr>
          <w:rFonts w:ascii="Arial"/>
          <w:i/>
          <w:spacing w:val="3"/>
          <w:sz w:val="20"/>
        </w:rPr>
        <w:t> </w:t>
      </w:r>
      <w:r>
        <w:rPr>
          <w:rFonts w:ascii="Arial"/>
          <w:i/>
          <w:sz w:val="20"/>
        </w:rPr>
        <w:t>[2009]</w:t>
      </w:r>
      <w:r>
        <w:rPr>
          <w:rFonts w:ascii="Arial"/>
          <w:i/>
          <w:spacing w:val="3"/>
          <w:sz w:val="20"/>
        </w:rPr>
        <w:t> </w:t>
      </w:r>
      <w:r>
        <w:rPr>
          <w:rFonts w:ascii="Arial"/>
          <w:i/>
          <w:spacing w:val="-10"/>
          <w:sz w:val="20"/>
        </w:rPr>
        <w:t>1</w:t>
      </w:r>
    </w:p>
    <w:p>
      <w:pPr>
        <w:pStyle w:val="BodyText"/>
        <w:spacing w:line="235" w:lineRule="auto" w:before="1"/>
        <w:ind w:left="705" w:right="167"/>
        <w:jc w:val="both"/>
      </w:pPr>
      <w:r>
        <w:rPr>
          <w:rFonts w:ascii="Arial"/>
          <w:i/>
        </w:rPr>
        <w:t>W.L.R. 2732 </w:t>
      </w:r>
      <w:r>
        <w:rPr/>
        <w:t>(paras 4-018 above and 4-072 below) the principle stated in the text above </w:t>
      </w:r>
      <w:r>
        <w:rPr/>
        <w:t>was held not to apply as it was not established that the solicitors would not have continued to act </w:t>
      </w:r>
      <w:r>
        <w:rPr/>
        <w:t>for the</w:t>
      </w:r>
      <w:r>
        <w:rPr>
          <w:spacing w:val="-2"/>
        </w:rPr>
        <w:t> </w:t>
      </w:r>
      <w:r>
        <w:rPr/>
        <w:t>client</w:t>
      </w:r>
      <w:r>
        <w:rPr>
          <w:spacing w:val="-2"/>
        </w:rPr>
        <w:t> </w:t>
      </w:r>
      <w:r>
        <w:rPr/>
        <w:t>under</w:t>
      </w:r>
      <w:r>
        <w:rPr>
          <w:spacing w:val="-2"/>
        </w:rPr>
        <w:t> </w:t>
      </w:r>
      <w:r>
        <w:rPr/>
        <w:t>CFA</w:t>
      </w:r>
      <w:r>
        <w:rPr>
          <w:spacing w:val="-2"/>
        </w:rPr>
        <w:t> </w:t>
      </w:r>
      <w:r>
        <w:rPr/>
        <w:t>1</w:t>
      </w:r>
      <w:r>
        <w:rPr>
          <w:spacing w:val="-2"/>
        </w:rPr>
        <w:t> </w:t>
      </w:r>
      <w:r>
        <w:rPr/>
        <w:t>even</w:t>
      </w:r>
      <w:r>
        <w:rPr>
          <w:spacing w:val="-2"/>
        </w:rPr>
        <w:t> </w:t>
      </w:r>
      <w:r>
        <w:rPr/>
        <w:t>if</w:t>
      </w:r>
      <w:r>
        <w:rPr>
          <w:spacing w:val="-2"/>
        </w:rPr>
        <w:t> </w:t>
      </w:r>
      <w:r>
        <w:rPr/>
        <w:t>CFA</w:t>
      </w:r>
      <w:r>
        <w:rPr>
          <w:spacing w:val="-2"/>
        </w:rPr>
        <w:t> </w:t>
      </w:r>
      <w:r>
        <w:rPr/>
        <w:t>2</w:t>
      </w:r>
      <w:r>
        <w:rPr>
          <w:spacing w:val="-2"/>
        </w:rPr>
        <w:t> </w:t>
      </w:r>
      <w:r>
        <w:rPr/>
        <w:t>had</w:t>
      </w:r>
      <w:r>
        <w:rPr>
          <w:spacing w:val="-2"/>
        </w:rPr>
        <w:t> </w:t>
      </w:r>
      <w:r>
        <w:rPr/>
        <w:t>not</w:t>
      </w:r>
      <w:r>
        <w:rPr>
          <w:spacing w:val="-2"/>
        </w:rPr>
        <w:t> </w:t>
      </w:r>
      <w:r>
        <w:rPr/>
        <w:t>been</w:t>
      </w:r>
      <w:r>
        <w:rPr>
          <w:spacing w:val="-2"/>
        </w:rPr>
        <w:t> </w:t>
      </w:r>
      <w:r>
        <w:rPr/>
        <w:t>signed:</w:t>
      </w:r>
      <w:r>
        <w:rPr>
          <w:spacing w:val="-2"/>
        </w:rPr>
        <w:t> </w:t>
      </w:r>
      <w:r>
        <w:rPr/>
        <w:t>see</w:t>
      </w:r>
      <w:r>
        <w:rPr>
          <w:spacing w:val="-2"/>
        </w:rPr>
        <w:t> </w:t>
      </w:r>
      <w:r>
        <w:rPr/>
        <w:t>at</w:t>
      </w:r>
      <w:r>
        <w:rPr>
          <w:spacing w:val="-2"/>
        </w:rPr>
        <w:t> </w:t>
      </w:r>
      <w:r>
        <w:rPr/>
        <w:t>[96],</w:t>
      </w:r>
      <w:r>
        <w:rPr>
          <w:spacing w:val="-2"/>
        </w:rPr>
        <w:t> </w:t>
      </w:r>
      <w:r>
        <w:rPr/>
        <w:t>and</w:t>
      </w:r>
      <w:r>
        <w:rPr>
          <w:spacing w:val="-2"/>
        </w:rPr>
        <w:t> </w:t>
      </w:r>
      <w:r>
        <w:rPr/>
        <w:t>that</w:t>
      </w:r>
      <w:r>
        <w:rPr>
          <w:spacing w:val="-2"/>
        </w:rPr>
        <w:t> </w:t>
      </w:r>
      <w:r>
        <w:rPr/>
        <w:t>in</w:t>
      </w:r>
      <w:r>
        <w:rPr>
          <w:spacing w:val="-2"/>
        </w:rPr>
        <w:t> </w:t>
      </w:r>
      <w:r>
        <w:rPr/>
        <w:t>any</w:t>
      </w:r>
      <w:r>
        <w:rPr>
          <w:spacing w:val="-2"/>
        </w:rPr>
        <w:t> </w:t>
      </w:r>
      <w:r>
        <w:rPr/>
        <w:t>event</w:t>
      </w:r>
      <w:r>
        <w:rPr>
          <w:spacing w:val="-2"/>
        </w:rPr>
        <w:t> </w:t>
      </w:r>
      <w:r>
        <w:rPr/>
        <w:t>the client benefited from the certainty, created by CFA 2, that they would so continue: see at [87].</w:t>
      </w:r>
    </w:p>
    <w:p>
      <w:pPr>
        <w:pStyle w:val="BodyText"/>
        <w:spacing w:before="8"/>
      </w:pPr>
    </w:p>
    <w:p>
      <w:pPr>
        <w:tabs>
          <w:tab w:pos="705" w:val="left" w:leader="none"/>
        </w:tabs>
        <w:spacing w:line="235" w:lineRule="auto" w:before="0"/>
        <w:ind w:left="705" w:right="168" w:hanging="541"/>
        <w:jc w:val="left"/>
        <w:rPr>
          <w:sz w:val="20"/>
        </w:rPr>
      </w:pPr>
      <w:bookmarkStart w:name="_bookmark286" w:id="288"/>
      <w:bookmarkEnd w:id="288"/>
      <w:r>
        <w:rPr/>
      </w:r>
      <w:hyperlink w:history="true" w:anchor="_bookmark264">
        <w:r>
          <w:rPr>
            <w:color w:val="005DA1"/>
            <w:spacing w:val="-4"/>
            <w:position w:val="5"/>
            <w:sz w:val="14"/>
            <w:u w:val="single" w:color="005DA1"/>
          </w:rPr>
          <w:t>150</w:t>
        </w:r>
      </w:hyperlink>
      <w:r>
        <w:rPr>
          <w:spacing w:val="-4"/>
          <w:position w:val="5"/>
          <w:sz w:val="14"/>
        </w:rPr>
        <w:t>.</w:t>
      </w:r>
      <w:r>
        <w:rPr>
          <w:position w:val="5"/>
          <w:sz w:val="14"/>
        </w:rPr>
        <w:tab/>
      </w:r>
      <w:r>
        <w:rPr>
          <w:rFonts w:ascii="Arial"/>
          <w:i/>
          <w:sz w:val="20"/>
        </w:rPr>
        <w:t>Well</w:t>
      </w:r>
      <w:r>
        <w:rPr>
          <w:rFonts w:ascii="Arial"/>
          <w:i/>
          <w:spacing w:val="40"/>
          <w:sz w:val="20"/>
        </w:rPr>
        <w:t> </w:t>
      </w:r>
      <w:r>
        <w:rPr>
          <w:rFonts w:ascii="Arial"/>
          <w:i/>
          <w:sz w:val="20"/>
        </w:rPr>
        <w:t>Barn</w:t>
      </w:r>
      <w:r>
        <w:rPr>
          <w:rFonts w:ascii="Arial"/>
          <w:i/>
          <w:spacing w:val="40"/>
          <w:sz w:val="20"/>
        </w:rPr>
        <w:t> </w:t>
      </w:r>
      <w:r>
        <w:rPr>
          <w:rFonts w:ascii="Arial"/>
          <w:i/>
          <w:sz w:val="20"/>
        </w:rPr>
        <w:t>Farming</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Backhouse</w:t>
      </w:r>
      <w:r>
        <w:rPr>
          <w:rFonts w:ascii="Arial"/>
          <w:i/>
          <w:spacing w:val="40"/>
          <w:sz w:val="20"/>
        </w:rPr>
        <w:t> </w:t>
      </w:r>
      <w:r>
        <w:rPr>
          <w:rFonts w:ascii="Arial"/>
          <w:i/>
          <w:sz w:val="20"/>
        </w:rPr>
        <w:t>[2005]</w:t>
      </w:r>
      <w:r>
        <w:rPr>
          <w:rFonts w:ascii="Arial"/>
          <w:i/>
          <w:spacing w:val="40"/>
          <w:sz w:val="20"/>
        </w:rPr>
        <w:t> </w:t>
      </w:r>
      <w:r>
        <w:rPr>
          <w:rFonts w:ascii="Arial"/>
          <w:i/>
          <w:sz w:val="20"/>
        </w:rPr>
        <w:t>EWHC</w:t>
      </w:r>
      <w:r>
        <w:rPr>
          <w:rFonts w:ascii="Arial"/>
          <w:i/>
          <w:spacing w:val="40"/>
          <w:sz w:val="20"/>
        </w:rPr>
        <w:t> </w:t>
      </w:r>
      <w:r>
        <w:rPr>
          <w:rFonts w:ascii="Arial"/>
          <w:i/>
          <w:sz w:val="20"/>
        </w:rPr>
        <w:t>1520,</w:t>
      </w:r>
      <w:r>
        <w:rPr>
          <w:rFonts w:ascii="Arial"/>
          <w:i/>
          <w:spacing w:val="40"/>
          <w:sz w:val="20"/>
        </w:rPr>
        <w:t> </w:t>
      </w:r>
      <w:r>
        <w:rPr>
          <w:rFonts w:ascii="Arial"/>
          <w:i/>
          <w:sz w:val="20"/>
        </w:rPr>
        <w:t>[2005]</w:t>
      </w:r>
      <w:r>
        <w:rPr>
          <w:rFonts w:ascii="Arial"/>
          <w:i/>
          <w:spacing w:val="40"/>
          <w:sz w:val="20"/>
        </w:rPr>
        <w:t> </w:t>
      </w:r>
      <w:r>
        <w:rPr>
          <w:rFonts w:ascii="Arial"/>
          <w:i/>
          <w:sz w:val="20"/>
        </w:rPr>
        <w:t>E.G.L.R.</w:t>
      </w:r>
      <w:r>
        <w:rPr>
          <w:rFonts w:ascii="Arial"/>
          <w:i/>
          <w:spacing w:val="40"/>
          <w:sz w:val="20"/>
        </w:rPr>
        <w:t> </w:t>
      </w:r>
      <w:r>
        <w:rPr>
          <w:rFonts w:ascii="Arial"/>
          <w:i/>
          <w:sz w:val="20"/>
        </w:rPr>
        <w:t>109</w:t>
      </w:r>
      <w:r>
        <w:rPr>
          <w:sz w:val="20"/>
        </w:rPr>
        <w:t>,</w:t>
      </w:r>
      <w:r>
        <w:rPr>
          <w:spacing w:val="40"/>
          <w:sz w:val="20"/>
        </w:rPr>
        <w:t> </w:t>
      </w:r>
      <w:r>
        <w:rPr>
          <w:sz w:val="20"/>
        </w:rPr>
        <w:t>where</w:t>
      </w:r>
      <w:r>
        <w:rPr>
          <w:spacing w:val="40"/>
          <w:sz w:val="20"/>
        </w:rPr>
        <w:t> </w:t>
      </w:r>
      <w:r>
        <w:rPr>
          <w:sz w:val="20"/>
        </w:rPr>
        <w:t>the promisor failed to discharge this burden (at [47], [48]); cf. below, para.4-158.</w:t>
      </w:r>
    </w:p>
    <w:p>
      <w:pPr>
        <w:pStyle w:val="BodyText"/>
        <w:spacing w:before="6"/>
      </w:pPr>
    </w:p>
    <w:p>
      <w:pPr>
        <w:tabs>
          <w:tab w:pos="705" w:val="left" w:leader="none"/>
        </w:tabs>
        <w:spacing w:before="0"/>
        <w:ind w:left="165" w:right="0" w:firstLine="0"/>
        <w:jc w:val="left"/>
        <w:rPr>
          <w:sz w:val="20"/>
        </w:rPr>
      </w:pPr>
      <w:bookmarkStart w:name="_bookmark287" w:id="289"/>
      <w:bookmarkEnd w:id="289"/>
      <w:r>
        <w:rPr/>
      </w:r>
      <w:hyperlink w:history="true" w:anchor="_bookmark265">
        <w:r>
          <w:rPr>
            <w:color w:val="005DA1"/>
            <w:spacing w:val="-4"/>
            <w:position w:val="5"/>
            <w:sz w:val="14"/>
            <w:u w:val="single" w:color="005DA1"/>
          </w:rPr>
          <w:t>151</w:t>
        </w:r>
      </w:hyperlink>
      <w:r>
        <w:rPr>
          <w:spacing w:val="-4"/>
          <w:position w:val="5"/>
          <w:sz w:val="14"/>
        </w:rPr>
        <w:t>.</w:t>
      </w:r>
      <w:r>
        <w:rPr>
          <w:position w:val="5"/>
          <w:sz w:val="14"/>
        </w:rPr>
        <w:tab/>
      </w:r>
      <w:r>
        <w:rPr>
          <w:rFonts w:ascii="Arial" w:hAnsi="Arial"/>
          <w:i/>
          <w:sz w:val="20"/>
        </w:rPr>
        <w:t>Pitts v Jones [2007] EWCA Civ 1301, [2008] Q.B. 706</w:t>
      </w:r>
      <w:r>
        <w:rPr>
          <w:rFonts w:ascii="Arial" w:hAnsi="Arial"/>
          <w:i/>
          <w:spacing w:val="-1"/>
          <w:sz w:val="20"/>
        </w:rPr>
        <w:t> </w:t>
      </w:r>
      <w:r>
        <w:rPr>
          <w:sz w:val="20"/>
        </w:rPr>
        <w:t>at </w:t>
      </w:r>
      <w:r>
        <w:rPr>
          <w:spacing w:val="-2"/>
          <w:sz w:val="20"/>
        </w:rPr>
        <w:t>[15]–[18].</w:t>
      </w:r>
    </w:p>
    <w:p>
      <w:pPr>
        <w:pStyle w:val="BodyText"/>
        <w:spacing w:before="5"/>
      </w:pPr>
    </w:p>
    <w:p>
      <w:pPr>
        <w:tabs>
          <w:tab w:pos="705" w:val="left" w:leader="none"/>
        </w:tabs>
        <w:spacing w:before="0"/>
        <w:ind w:left="165" w:right="0" w:firstLine="0"/>
        <w:jc w:val="left"/>
        <w:rPr>
          <w:sz w:val="20"/>
        </w:rPr>
      </w:pPr>
      <w:bookmarkStart w:name="_bookmark288" w:id="290"/>
      <w:bookmarkEnd w:id="290"/>
      <w:r>
        <w:rPr/>
      </w:r>
      <w:hyperlink w:history="true" w:anchor="_bookmark266">
        <w:r>
          <w:rPr>
            <w:color w:val="005DA1"/>
            <w:spacing w:val="-4"/>
            <w:position w:val="5"/>
            <w:sz w:val="14"/>
            <w:u w:val="single" w:color="005DA1"/>
          </w:rPr>
          <w:t>152</w:t>
        </w:r>
      </w:hyperlink>
      <w:r>
        <w:rPr>
          <w:spacing w:val="-4"/>
          <w:position w:val="5"/>
          <w:sz w:val="14"/>
        </w:rPr>
        <w:t>.</w:t>
      </w:r>
      <w:r>
        <w:rPr>
          <w:position w:val="5"/>
          <w:sz w:val="14"/>
        </w:rPr>
        <w:tab/>
      </w:r>
      <w:r>
        <w:rPr>
          <w:rFonts w:ascii="Arial"/>
          <w:i/>
          <w:sz w:val="20"/>
        </w:rPr>
        <w:t>Brikom Investments Ltd v Carr [1979] Q.B. 467, </w:t>
      </w:r>
      <w:r>
        <w:rPr>
          <w:rFonts w:ascii="Arial"/>
          <w:i/>
          <w:spacing w:val="-4"/>
          <w:sz w:val="20"/>
        </w:rPr>
        <w:t>490</w:t>
      </w:r>
      <w:r>
        <w:rPr>
          <w:spacing w:val="-4"/>
          <w:sz w:val="20"/>
        </w:rPr>
        <w:t>.</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3488">
            <wp:simplePos x="0" y="0"/>
            <wp:positionH relativeFrom="page">
              <wp:posOffset>1257846</wp:posOffset>
            </wp:positionH>
            <wp:positionV relativeFrom="paragraph">
              <wp:posOffset>160184</wp:posOffset>
            </wp:positionV>
            <wp:extent cx="107988" cy="107988"/>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89" w:id="291"/>
      <w:bookmarkEnd w:id="291"/>
      <w:r>
        <w:rPr/>
      </w:r>
      <w:hyperlink w:history="true" w:anchor="_bookmark267">
        <w:r>
          <w:rPr>
            <w:color w:val="005DA1"/>
            <w:spacing w:val="-4"/>
            <w:sz w:val="14"/>
            <w:u w:val="single" w:color="005DA1"/>
          </w:rPr>
          <w:t>153</w:t>
        </w:r>
      </w:hyperlink>
      <w:r>
        <w:rPr>
          <w:spacing w:val="-4"/>
          <w:sz w:val="14"/>
        </w:rPr>
        <w:t>.</w:t>
      </w:r>
    </w:p>
    <w:p>
      <w:pPr>
        <w:pStyle w:val="BodyText"/>
        <w:spacing w:line="235" w:lineRule="auto" w:before="212"/>
        <w:ind w:left="165" w:right="167" w:firstLine="170"/>
        <w:jc w:val="both"/>
      </w:pPr>
      <w:r>
        <w:rPr/>
        <w:br w:type="column"/>
      </w:r>
      <w:r>
        <w:rPr/>
        <w:t>For another problem arising out of such promises, see above, para.2-185; </w:t>
      </w:r>
      <w:r>
        <w:rPr>
          <w:rFonts w:ascii="Arial" w:hAnsi="Arial"/>
          <w:i/>
        </w:rPr>
        <w:t>Stabilad Ltd v Stephens &amp; Carter (No.2) [1999] 2 All E.R. (Comm), 651, 659 </w:t>
      </w:r>
      <w:r>
        <w:rPr/>
        <w:t>(citing a previous edition of this book); </w:t>
      </w:r>
      <w:r>
        <w:rPr>
          <w:rFonts w:ascii="Arial" w:hAnsi="Arial"/>
          <w:i/>
        </w:rPr>
        <w:t>Simpkin v Berkeley Group Holdings PLC [2016] EWHC 1619 (QB)</w:t>
      </w:r>
      <w:r>
        <w:rPr/>
        <w:t>, where it was </w:t>
      </w:r>
      <w:r>
        <w:rPr/>
        <w:t>not disputed that a contract had come into existence and held that an employer’s discretion to decide that an employee had been a “good leaver” (and so was to receive benefits under a bonus scheme operated by the employer) must be exercised in good faith and without being “arbitrary, capricious</w:t>
      </w:r>
      <w:r>
        <w:rPr>
          <w:spacing w:val="-1"/>
        </w:rPr>
        <w:t> </w:t>
      </w:r>
      <w:r>
        <w:rPr/>
        <w:t>or irrational</w:t>
      </w:r>
      <w:r>
        <w:rPr>
          <w:spacing w:val="-1"/>
        </w:rPr>
        <w:t> </w:t>
      </w:r>
      <w:r>
        <w:rPr/>
        <w:t>… ”</w:t>
      </w:r>
      <w:r>
        <w:rPr>
          <w:spacing w:val="-1"/>
        </w:rPr>
        <w:t> </w:t>
      </w:r>
      <w:r>
        <w:rPr/>
        <w:t>at [327].</w:t>
      </w:r>
      <w:r>
        <w:rPr>
          <w:spacing w:val="-1"/>
        </w:rPr>
        <w:t> </w:t>
      </w:r>
      <w:r>
        <w:rPr/>
        <w:t>Such restrictions</w:t>
      </w:r>
      <w:r>
        <w:rPr>
          <w:spacing w:val="-1"/>
        </w:rPr>
        <w:t> </w:t>
      </w:r>
      <w:r>
        <w:rPr/>
        <w:t>on the</w:t>
      </w:r>
      <w:r>
        <w:rPr>
          <w:spacing w:val="-1"/>
        </w:rPr>
        <w:t> </w:t>
      </w:r>
      <w:r>
        <w:rPr/>
        <w:t>exercise of</w:t>
      </w:r>
      <w:r>
        <w:rPr>
          <w:spacing w:val="-1"/>
        </w:rPr>
        <w:t> </w:t>
      </w:r>
      <w:r>
        <w:rPr/>
        <w:t>the discretion would also have satisfied the requirement of consideration if an issue of consideration had </w:t>
      </w:r>
      <w:r>
        <w:rPr>
          <w:spacing w:val="-2"/>
        </w:rPr>
        <w:t>arisen.</w:t>
      </w:r>
    </w:p>
    <w:p>
      <w:pPr>
        <w:pStyle w:val="BodyText"/>
        <w:spacing w:after="0" w:line="235" w:lineRule="auto"/>
        <w:jc w:val="both"/>
        <w:sectPr>
          <w:type w:val="continuous"/>
          <w:pgSz w:w="11900" w:h="16840"/>
          <w:pgMar w:header="971" w:footer="0" w:top="3760" w:bottom="280" w:left="1275" w:right="1275"/>
          <w:cols w:num="2" w:equalWidth="0">
            <w:col w:w="478" w:space="63"/>
            <w:col w:w="8809"/>
          </w:cols>
        </w:sectPr>
      </w:pPr>
    </w:p>
    <w:p>
      <w:pPr>
        <w:pStyle w:val="BodyText"/>
        <w:spacing w:before="6"/>
      </w:pPr>
    </w:p>
    <w:p>
      <w:pPr>
        <w:pStyle w:val="BodyText"/>
        <w:tabs>
          <w:tab w:pos="705" w:val="left" w:leader="none"/>
        </w:tabs>
        <w:spacing w:line="235" w:lineRule="auto"/>
        <w:ind w:left="705" w:right="168" w:hanging="541"/>
      </w:pPr>
      <w:bookmarkStart w:name="_bookmark290" w:id="292"/>
      <w:bookmarkEnd w:id="292"/>
      <w:r>
        <w:rPr/>
      </w:r>
      <w:hyperlink w:history="true" w:anchor="_bookmark268">
        <w:r>
          <w:rPr>
            <w:color w:val="005DA1"/>
            <w:spacing w:val="-4"/>
            <w:position w:val="5"/>
            <w:sz w:val="14"/>
            <w:u w:val="single" w:color="005DA1"/>
          </w:rPr>
          <w:t>154</w:t>
        </w:r>
      </w:hyperlink>
      <w:r>
        <w:rPr>
          <w:spacing w:val="-4"/>
          <w:position w:val="5"/>
          <w:sz w:val="14"/>
        </w:rPr>
        <w:t>.</w:t>
      </w:r>
      <w:r>
        <w:rPr>
          <w:position w:val="5"/>
          <w:sz w:val="14"/>
        </w:rPr>
        <w:tab/>
      </w:r>
      <w:r>
        <w:rPr/>
        <w:t>If the clause were ineffective (e.g. under the Consumer Rights Act 2015, s.63 and Sch.2, </w:t>
      </w:r>
      <w:r>
        <w:rPr/>
        <w:t>paras 3 and 7 (see Vol.II, para.38-360)), this fact would give reality to an otherwise illusory promise.</w:t>
      </w:r>
    </w:p>
    <w:p>
      <w:pPr>
        <w:pStyle w:val="BodyText"/>
        <w:spacing w:before="9"/>
      </w:pPr>
    </w:p>
    <w:p>
      <w:pPr>
        <w:tabs>
          <w:tab w:pos="705" w:val="left" w:leader="none"/>
        </w:tabs>
        <w:spacing w:line="235" w:lineRule="auto" w:before="1"/>
        <w:ind w:left="705" w:right="168" w:hanging="541"/>
        <w:jc w:val="left"/>
        <w:rPr>
          <w:sz w:val="20"/>
        </w:rPr>
      </w:pPr>
      <w:bookmarkStart w:name="_bookmark291" w:id="293"/>
      <w:bookmarkEnd w:id="293"/>
      <w:r>
        <w:rPr/>
      </w:r>
      <w:hyperlink w:history="true" w:anchor="_bookmark269">
        <w:r>
          <w:rPr>
            <w:color w:val="005DA1"/>
            <w:spacing w:val="-4"/>
            <w:position w:val="5"/>
            <w:sz w:val="14"/>
            <w:u w:val="single" w:color="005DA1"/>
          </w:rPr>
          <w:t>155</w:t>
        </w:r>
      </w:hyperlink>
      <w:r>
        <w:rPr>
          <w:spacing w:val="-4"/>
          <w:position w:val="5"/>
          <w:sz w:val="14"/>
        </w:rPr>
        <w:t>.</w:t>
      </w:r>
      <w:r>
        <w:rPr>
          <w:position w:val="5"/>
          <w:sz w:val="14"/>
        </w:rPr>
        <w:tab/>
      </w:r>
      <w:r>
        <w:rPr>
          <w:rFonts w:ascii="Arial" w:hAnsi="Arial"/>
          <w:i/>
          <w:sz w:val="20"/>
        </w:rPr>
        <w:t>Firestone</w:t>
      </w:r>
      <w:r>
        <w:rPr>
          <w:rFonts w:ascii="Arial" w:hAnsi="Arial"/>
          <w:i/>
          <w:spacing w:val="-2"/>
          <w:sz w:val="20"/>
        </w:rPr>
        <w:t> </w:t>
      </w:r>
      <w:r>
        <w:rPr>
          <w:rFonts w:ascii="Arial" w:hAnsi="Arial"/>
          <w:i/>
          <w:sz w:val="20"/>
        </w:rPr>
        <w:t>Tyre</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Rubber</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Vokins</w:t>
      </w:r>
      <w:r>
        <w:rPr>
          <w:rFonts w:ascii="Arial" w:hAnsi="Arial"/>
          <w:i/>
          <w:spacing w:val="-2"/>
          <w:sz w:val="20"/>
        </w:rPr>
        <w:t> </w:t>
      </w:r>
      <w:r>
        <w:rPr>
          <w:rFonts w:ascii="Arial" w:hAnsi="Arial"/>
          <w:i/>
          <w:sz w:val="20"/>
        </w:rPr>
        <w:t>[1951]</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32,</w:t>
      </w:r>
      <w:r>
        <w:rPr>
          <w:rFonts w:ascii="Arial" w:hAnsi="Arial"/>
          <w:i/>
          <w:spacing w:val="-2"/>
          <w:sz w:val="20"/>
        </w:rPr>
        <w:t> </w:t>
      </w:r>
      <w:r>
        <w:rPr>
          <w:rFonts w:ascii="Arial" w:hAnsi="Arial"/>
          <w:i/>
          <w:sz w:val="20"/>
        </w:rPr>
        <w:t>39</w:t>
      </w:r>
      <w:r>
        <w:rPr>
          <w:sz w:val="20"/>
        </w:rPr>
        <w:t>;</w:t>
      </w:r>
      <w:r>
        <w:rPr>
          <w:spacing w:val="-2"/>
          <w:sz w:val="20"/>
        </w:rPr>
        <w:t> </w:t>
      </w:r>
      <w:r>
        <w:rPr>
          <w:sz w:val="20"/>
        </w:rPr>
        <w:t>cf.</w:t>
      </w:r>
      <w:r>
        <w:rPr>
          <w:spacing w:val="-2"/>
          <w:sz w:val="20"/>
        </w:rPr>
        <w:t> </w:t>
      </w:r>
      <w:r>
        <w:rPr>
          <w:sz w:val="20"/>
        </w:rPr>
        <w:t>the</w:t>
      </w:r>
      <w:r>
        <w:rPr>
          <w:spacing w:val="-2"/>
          <w:sz w:val="20"/>
        </w:rPr>
        <w:t> </w:t>
      </w:r>
      <w:r>
        <w:rPr>
          <w:sz w:val="20"/>
        </w:rPr>
        <w:t>discussion</w:t>
      </w:r>
      <w:r>
        <w:rPr>
          <w:spacing w:val="-2"/>
          <w:sz w:val="20"/>
        </w:rPr>
        <w:t> </w:t>
      </w:r>
      <w:r>
        <w:rPr>
          <w:sz w:val="20"/>
        </w:rPr>
        <w:t>of</w:t>
      </w:r>
      <w:r>
        <w:rPr>
          <w:spacing w:val="-2"/>
          <w:sz w:val="20"/>
        </w:rPr>
        <w:t> </w:t>
      </w:r>
      <w:r>
        <w:rPr>
          <w:rFonts w:ascii="Arial" w:hAnsi="Arial"/>
          <w:i/>
          <w:sz w:val="20"/>
        </w:rPr>
        <w:t>The Cap Palos [1921] p.458</w:t>
      </w:r>
      <w:r>
        <w:rPr>
          <w:sz w:val="20"/>
        </w:rPr>
        <w:t>, in the </w:t>
      </w:r>
      <w:r>
        <w:rPr>
          <w:rFonts w:ascii="Arial" w:hAnsi="Arial"/>
          <w:i/>
          <w:sz w:val="20"/>
        </w:rPr>
        <w:t>Suisse Atlantique case [1967] 1 A.C. 361, 432</w:t>
      </w:r>
      <w:r>
        <w:rPr>
          <w:sz w:val="20"/>
        </w:rPr>
        <w:t>.</w:t>
      </w:r>
    </w:p>
    <w:p>
      <w:pPr>
        <w:pStyle w:val="BodyText"/>
        <w:spacing w:before="5"/>
      </w:pPr>
    </w:p>
    <w:p>
      <w:pPr>
        <w:tabs>
          <w:tab w:pos="705" w:val="left" w:leader="none"/>
        </w:tabs>
        <w:spacing w:before="0"/>
        <w:ind w:left="165" w:right="0" w:firstLine="0"/>
        <w:jc w:val="left"/>
        <w:rPr>
          <w:sz w:val="20"/>
        </w:rPr>
      </w:pPr>
      <w:bookmarkStart w:name="_bookmark292" w:id="294"/>
      <w:bookmarkEnd w:id="294"/>
      <w:r>
        <w:rPr/>
      </w:r>
      <w:hyperlink w:history="true" w:anchor="_bookmark270">
        <w:r>
          <w:rPr>
            <w:color w:val="005DA1"/>
            <w:spacing w:val="-4"/>
            <w:position w:val="5"/>
            <w:sz w:val="14"/>
            <w:u w:val="single" w:color="005DA1"/>
          </w:rPr>
          <w:t>156</w:t>
        </w:r>
      </w:hyperlink>
      <w:r>
        <w:rPr>
          <w:spacing w:val="-4"/>
          <w:position w:val="5"/>
          <w:sz w:val="14"/>
        </w:rPr>
        <w:t>.</w:t>
      </w:r>
      <w:r>
        <w:rPr>
          <w:position w:val="5"/>
          <w:sz w:val="14"/>
        </w:rPr>
        <w:tab/>
      </w:r>
      <w:r>
        <w:rPr>
          <w:sz w:val="20"/>
        </w:rPr>
        <w:t>See</w:t>
      </w:r>
      <w:r>
        <w:rPr>
          <w:spacing w:val="12"/>
          <w:sz w:val="20"/>
        </w:rPr>
        <w:t> </w:t>
      </w:r>
      <w:r>
        <w:rPr>
          <w:rFonts w:ascii="Arial" w:hAnsi="Arial"/>
          <w:i/>
          <w:sz w:val="20"/>
        </w:rPr>
        <w:t>Wickham</w:t>
      </w:r>
      <w:r>
        <w:rPr>
          <w:rFonts w:ascii="Arial" w:hAnsi="Arial"/>
          <w:i/>
          <w:spacing w:val="12"/>
          <w:sz w:val="20"/>
        </w:rPr>
        <w:t> </w:t>
      </w:r>
      <w:r>
        <w:rPr>
          <w:rFonts w:ascii="Arial" w:hAnsi="Arial"/>
          <w:i/>
          <w:sz w:val="20"/>
        </w:rPr>
        <w:t>&amp;</w:t>
      </w:r>
      <w:r>
        <w:rPr>
          <w:rFonts w:ascii="Arial" w:hAnsi="Arial"/>
          <w:i/>
          <w:spacing w:val="12"/>
          <w:sz w:val="20"/>
        </w:rPr>
        <w:t> </w:t>
      </w:r>
      <w:r>
        <w:rPr>
          <w:rFonts w:ascii="Arial" w:hAnsi="Arial"/>
          <w:i/>
          <w:sz w:val="20"/>
        </w:rPr>
        <w:t>Burton</w:t>
      </w:r>
      <w:r>
        <w:rPr>
          <w:rFonts w:ascii="Arial" w:hAnsi="Arial"/>
          <w:i/>
          <w:spacing w:val="12"/>
          <w:sz w:val="20"/>
        </w:rPr>
        <w:t> </w:t>
      </w:r>
      <w:r>
        <w:rPr>
          <w:rFonts w:ascii="Arial" w:hAnsi="Arial"/>
          <w:i/>
          <w:sz w:val="20"/>
        </w:rPr>
        <w:t>Coal</w:t>
      </w:r>
      <w:r>
        <w:rPr>
          <w:rFonts w:ascii="Arial" w:hAnsi="Arial"/>
          <w:i/>
          <w:spacing w:val="12"/>
          <w:sz w:val="20"/>
        </w:rPr>
        <w:t> </w:t>
      </w:r>
      <w:r>
        <w:rPr>
          <w:rFonts w:ascii="Arial" w:hAnsi="Arial"/>
          <w:i/>
          <w:sz w:val="20"/>
        </w:rPr>
        <w:t>Co</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Farmer’s</w:t>
      </w:r>
      <w:r>
        <w:rPr>
          <w:rFonts w:ascii="Arial" w:hAnsi="Arial"/>
          <w:i/>
          <w:spacing w:val="12"/>
          <w:sz w:val="20"/>
        </w:rPr>
        <w:t> </w:t>
      </w:r>
      <w:r>
        <w:rPr>
          <w:rFonts w:ascii="Arial" w:hAnsi="Arial"/>
          <w:i/>
          <w:sz w:val="20"/>
        </w:rPr>
        <w:t>Lumber</w:t>
      </w:r>
      <w:r>
        <w:rPr>
          <w:rFonts w:ascii="Arial" w:hAnsi="Arial"/>
          <w:i/>
          <w:spacing w:val="12"/>
          <w:sz w:val="20"/>
        </w:rPr>
        <w:t> </w:t>
      </w:r>
      <w:r>
        <w:rPr>
          <w:rFonts w:ascii="Arial" w:hAnsi="Arial"/>
          <w:i/>
          <w:sz w:val="20"/>
        </w:rPr>
        <w:t>Co</w:t>
      </w:r>
      <w:r>
        <w:rPr>
          <w:rFonts w:ascii="Arial" w:hAnsi="Arial"/>
          <w:i/>
          <w:spacing w:val="12"/>
          <w:sz w:val="20"/>
        </w:rPr>
        <w:t> </w:t>
      </w:r>
      <w:r>
        <w:rPr>
          <w:rFonts w:ascii="Arial" w:hAnsi="Arial"/>
          <w:i/>
          <w:sz w:val="20"/>
        </w:rPr>
        <w:t>189</w:t>
      </w:r>
      <w:r>
        <w:rPr>
          <w:rFonts w:ascii="Arial" w:hAnsi="Arial"/>
          <w:i/>
          <w:spacing w:val="12"/>
          <w:sz w:val="20"/>
        </w:rPr>
        <w:t> </w:t>
      </w:r>
      <w:r>
        <w:rPr>
          <w:rFonts w:ascii="Arial" w:hAnsi="Arial"/>
          <w:i/>
          <w:sz w:val="20"/>
        </w:rPr>
        <w:t>Iowa</w:t>
      </w:r>
      <w:r>
        <w:rPr>
          <w:rFonts w:ascii="Arial" w:hAnsi="Arial"/>
          <w:i/>
          <w:spacing w:val="12"/>
          <w:sz w:val="20"/>
        </w:rPr>
        <w:t> </w:t>
      </w:r>
      <w:r>
        <w:rPr>
          <w:rFonts w:ascii="Arial" w:hAnsi="Arial"/>
          <w:i/>
          <w:sz w:val="20"/>
        </w:rPr>
        <w:t>1183,</w:t>
      </w:r>
      <w:r>
        <w:rPr>
          <w:rFonts w:ascii="Arial" w:hAnsi="Arial"/>
          <w:i/>
          <w:spacing w:val="12"/>
          <w:sz w:val="20"/>
        </w:rPr>
        <w:t> </w:t>
      </w:r>
      <w:r>
        <w:rPr>
          <w:rFonts w:ascii="Arial" w:hAnsi="Arial"/>
          <w:i/>
          <w:sz w:val="20"/>
        </w:rPr>
        <w:t>179</w:t>
      </w:r>
      <w:r>
        <w:rPr>
          <w:rFonts w:ascii="Arial" w:hAnsi="Arial"/>
          <w:i/>
          <w:spacing w:val="12"/>
          <w:sz w:val="20"/>
        </w:rPr>
        <w:t> </w:t>
      </w:r>
      <w:r>
        <w:rPr>
          <w:rFonts w:ascii="Arial" w:hAnsi="Arial"/>
          <w:i/>
          <w:sz w:val="20"/>
        </w:rPr>
        <w:t>N.W.</w:t>
      </w:r>
      <w:r>
        <w:rPr>
          <w:rFonts w:ascii="Arial" w:hAnsi="Arial"/>
          <w:i/>
          <w:spacing w:val="12"/>
          <w:sz w:val="20"/>
        </w:rPr>
        <w:t> </w:t>
      </w:r>
      <w:r>
        <w:rPr>
          <w:rFonts w:ascii="Arial" w:hAnsi="Arial"/>
          <w:i/>
          <w:sz w:val="20"/>
        </w:rPr>
        <w:t>417</w:t>
      </w:r>
      <w:r>
        <w:rPr>
          <w:rFonts w:ascii="Arial" w:hAnsi="Arial"/>
          <w:i/>
          <w:spacing w:val="12"/>
          <w:sz w:val="20"/>
        </w:rPr>
        <w:t> </w:t>
      </w:r>
      <w:r>
        <w:rPr>
          <w:rFonts w:ascii="Arial" w:hAnsi="Arial"/>
          <w:i/>
          <w:spacing w:val="-2"/>
          <w:sz w:val="20"/>
        </w:rPr>
        <w:t>(1923)</w:t>
      </w:r>
      <w:r>
        <w:rPr>
          <w:spacing w:val="-2"/>
          <w:sz w:val="20"/>
        </w:rPr>
        <w:t>;</w:t>
      </w:r>
    </w:p>
    <w:p>
      <w:pPr>
        <w:spacing w:after="0"/>
        <w:jc w:val="left"/>
        <w:rPr>
          <w:sz w:val="20"/>
        </w:rPr>
        <w:sectPr>
          <w:type w:val="continuous"/>
          <w:pgSz w:w="11900" w:h="16840"/>
          <w:pgMar w:header="971" w:footer="0" w:top="3760" w:bottom="280" w:left="1275" w:right="1275"/>
        </w:sectPr>
      </w:pPr>
    </w:p>
    <w:p>
      <w:pPr>
        <w:pStyle w:val="BodyText"/>
        <w:spacing w:before="24"/>
      </w:pPr>
    </w:p>
    <w:p>
      <w:pPr>
        <w:spacing w:line="235" w:lineRule="auto" w:before="1"/>
        <w:ind w:left="705" w:right="168" w:firstLine="0"/>
        <w:jc w:val="both"/>
        <w:rPr>
          <w:sz w:val="20"/>
        </w:rPr>
      </w:pPr>
      <w:r>
        <w:rPr>
          <w:sz w:val="20"/>
        </w:rPr>
        <w:t>cf. the discussion in </w:t>
      </w:r>
      <w:r>
        <w:rPr>
          <w:rFonts w:ascii="Arial" w:hAnsi="Arial"/>
          <w:i/>
          <w:sz w:val="20"/>
        </w:rPr>
        <w:t>Cotswold Development Construction Ltd v Williams [2006] I.R.L.R. 181 </w:t>
      </w:r>
      <w:r>
        <w:rPr>
          <w:sz w:val="20"/>
        </w:rPr>
        <w:t>of the status of a casual worker. For an exception, see </w:t>
      </w:r>
      <w:r>
        <w:rPr>
          <w:rFonts w:ascii="Arial" w:hAnsi="Arial"/>
          <w:i/>
          <w:sz w:val="20"/>
        </w:rPr>
        <w:t>Citadel Insurance Co v Atlantic </w:t>
      </w:r>
      <w:r>
        <w:rPr>
          <w:rFonts w:ascii="Arial" w:hAnsi="Arial"/>
          <w:i/>
          <w:sz w:val="20"/>
        </w:rPr>
        <w:t>Union Insurance Co [1982] 2 Lloyd’s Rep. 543</w:t>
      </w:r>
      <w:r>
        <w:rPr>
          <w:sz w:val="20"/>
        </w:rPr>
        <w:t>, below para.4-194.</w:t>
      </w:r>
    </w:p>
    <w:p>
      <w:pPr>
        <w:pStyle w:val="BodyText"/>
        <w:spacing w:before="8"/>
      </w:pPr>
    </w:p>
    <w:p>
      <w:pPr>
        <w:spacing w:line="235" w:lineRule="auto" w:before="1"/>
        <w:ind w:left="705" w:right="167" w:hanging="541"/>
        <w:jc w:val="both"/>
        <w:rPr>
          <w:rFonts w:ascii="Arial" w:hAnsi="Arial"/>
          <w:i/>
          <w:sz w:val="20"/>
        </w:rPr>
      </w:pPr>
      <w:bookmarkStart w:name="_bookmark293" w:id="295"/>
      <w:bookmarkEnd w:id="295"/>
      <w:r>
        <w:rPr/>
      </w:r>
      <w:hyperlink w:history="true" w:anchor="_bookmark271">
        <w:r>
          <w:rPr>
            <w:color w:val="005DA1"/>
            <w:position w:val="5"/>
            <w:sz w:val="14"/>
            <w:u w:val="single" w:color="005DA1"/>
          </w:rPr>
          <w:t>157</w:t>
        </w:r>
      </w:hyperlink>
      <w:r>
        <w:rPr>
          <w:position w:val="5"/>
          <w:sz w:val="14"/>
        </w:rPr>
        <w:t>.</w:t>
      </w:r>
      <w:r>
        <w:rPr>
          <w:spacing w:val="40"/>
          <w:position w:val="5"/>
          <w:sz w:val="14"/>
        </w:rPr>
        <w:t>  </w:t>
      </w:r>
      <w:r>
        <w:rPr>
          <w:sz w:val="20"/>
        </w:rPr>
        <w:t>The</w:t>
      </w:r>
      <w:r>
        <w:rPr>
          <w:spacing w:val="40"/>
          <w:sz w:val="20"/>
        </w:rPr>
        <w:t> </w:t>
      </w:r>
      <w:r>
        <w:rPr>
          <w:sz w:val="20"/>
        </w:rPr>
        <w:t>validity</w:t>
      </w:r>
      <w:r>
        <w:rPr>
          <w:spacing w:val="40"/>
          <w:sz w:val="20"/>
        </w:rPr>
        <w:t> </w:t>
      </w:r>
      <w:r>
        <w:rPr>
          <w:sz w:val="20"/>
        </w:rPr>
        <w:t>of</w:t>
      </w:r>
      <w:r>
        <w:rPr>
          <w:spacing w:val="40"/>
          <w:sz w:val="20"/>
        </w:rPr>
        <w:t> </w:t>
      </w:r>
      <w:r>
        <w:rPr>
          <w:sz w:val="20"/>
        </w:rPr>
        <w:t>“requirement”</w:t>
      </w:r>
      <w:r>
        <w:rPr>
          <w:spacing w:val="40"/>
          <w:sz w:val="20"/>
        </w:rPr>
        <w:t> </w:t>
      </w:r>
      <w:r>
        <w:rPr>
          <w:sz w:val="20"/>
        </w:rPr>
        <w:t>contracts</w:t>
      </w:r>
      <w:r>
        <w:rPr>
          <w:spacing w:val="40"/>
          <w:sz w:val="20"/>
        </w:rPr>
        <w:t> </w:t>
      </w:r>
      <w:r>
        <w:rPr>
          <w:sz w:val="20"/>
        </w:rPr>
        <w:t>is</w:t>
      </w:r>
      <w:r>
        <w:rPr>
          <w:spacing w:val="40"/>
          <w:sz w:val="20"/>
        </w:rPr>
        <w:t> </w:t>
      </w:r>
      <w:r>
        <w:rPr>
          <w:sz w:val="20"/>
        </w:rPr>
        <w:t>assumed</w:t>
      </w:r>
      <w:r>
        <w:rPr>
          <w:spacing w:val="40"/>
          <w:sz w:val="20"/>
        </w:rPr>
        <w:t> </w:t>
      </w:r>
      <w:r>
        <w:rPr>
          <w:sz w:val="20"/>
        </w:rPr>
        <w:t>in</w:t>
      </w:r>
      <w:r>
        <w:rPr>
          <w:spacing w:val="40"/>
          <w:sz w:val="20"/>
        </w:rPr>
        <w:t> </w:t>
      </w:r>
      <w:r>
        <w:rPr>
          <w:sz w:val="20"/>
        </w:rPr>
        <w:t>such</w:t>
      </w:r>
      <w:r>
        <w:rPr>
          <w:spacing w:val="40"/>
          <w:sz w:val="20"/>
        </w:rPr>
        <w:t> </w:t>
      </w:r>
      <w:r>
        <w:rPr>
          <w:sz w:val="20"/>
        </w:rPr>
        <w:t>cases</w:t>
      </w:r>
      <w:r>
        <w:rPr>
          <w:spacing w:val="40"/>
          <w:sz w:val="20"/>
        </w:rPr>
        <w:t> </w:t>
      </w:r>
      <w:r>
        <w:rPr>
          <w:sz w:val="20"/>
        </w:rPr>
        <w:t>as</w:t>
      </w:r>
      <w:r>
        <w:rPr>
          <w:spacing w:val="40"/>
          <w:sz w:val="20"/>
        </w:rPr>
        <w:t> </w:t>
      </w:r>
      <w:r>
        <w:rPr>
          <w:rFonts w:ascii="Arial" w:hAnsi="Arial"/>
          <w:i/>
          <w:sz w:val="20"/>
        </w:rPr>
        <w:t>Metropolitan</w:t>
      </w:r>
      <w:r>
        <w:rPr>
          <w:rFonts w:ascii="Arial" w:hAnsi="Arial"/>
          <w:i/>
          <w:spacing w:val="40"/>
          <w:sz w:val="20"/>
        </w:rPr>
        <w:t> </w:t>
      </w:r>
      <w:r>
        <w:rPr>
          <w:rFonts w:ascii="Arial" w:hAnsi="Arial"/>
          <w:i/>
          <w:sz w:val="20"/>
        </w:rPr>
        <w:t>Electric Supply</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Ginder</w:t>
      </w:r>
      <w:r>
        <w:rPr>
          <w:rFonts w:ascii="Arial" w:hAnsi="Arial"/>
          <w:i/>
          <w:spacing w:val="-2"/>
          <w:sz w:val="20"/>
        </w:rPr>
        <w:t> </w:t>
      </w:r>
      <w:r>
        <w:rPr>
          <w:rFonts w:ascii="Arial" w:hAnsi="Arial"/>
          <w:i/>
          <w:sz w:val="20"/>
        </w:rPr>
        <w:t>[1901]</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799</w:t>
      </w:r>
      <w:r>
        <w:rPr>
          <w:rFonts w:ascii="Arial" w:hAnsi="Arial"/>
          <w:i/>
          <w:spacing w:val="-3"/>
          <w:sz w:val="20"/>
        </w:rPr>
        <w:t> </w:t>
      </w:r>
      <w:r>
        <w:rPr>
          <w:sz w:val="20"/>
        </w:rPr>
        <w:t>and</w:t>
      </w:r>
      <w:r>
        <w:rPr>
          <w:spacing w:val="-2"/>
          <w:sz w:val="20"/>
        </w:rPr>
        <w:t> </w:t>
      </w:r>
      <w:r>
        <w:rPr>
          <w:rFonts w:ascii="Arial" w:hAnsi="Arial"/>
          <w:i/>
          <w:sz w:val="20"/>
        </w:rPr>
        <w:t>Dominion</w:t>
      </w:r>
      <w:r>
        <w:rPr>
          <w:rFonts w:ascii="Arial" w:hAnsi="Arial"/>
          <w:i/>
          <w:spacing w:val="-2"/>
          <w:sz w:val="20"/>
        </w:rPr>
        <w:t> </w:t>
      </w:r>
      <w:r>
        <w:rPr>
          <w:rFonts w:ascii="Arial" w:hAnsi="Arial"/>
          <w:i/>
          <w:sz w:val="20"/>
        </w:rPr>
        <w:t>Coal</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Dominion</w:t>
      </w:r>
      <w:r>
        <w:rPr>
          <w:rFonts w:ascii="Arial" w:hAnsi="Arial"/>
          <w:i/>
          <w:spacing w:val="-2"/>
          <w:sz w:val="20"/>
        </w:rPr>
        <w:t> </w:t>
      </w:r>
      <w:r>
        <w:rPr>
          <w:rFonts w:ascii="Arial" w:hAnsi="Arial"/>
          <w:i/>
          <w:sz w:val="20"/>
        </w:rPr>
        <w:t>Steel</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Iron</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 [1901] A.C. 293</w:t>
      </w:r>
      <w:r>
        <w:rPr>
          <w:sz w:val="20"/>
        </w:rPr>
        <w:t>. Similarly, a contract by a manufacturer to sell his entire output to a particular buyer is binding even though he does not bind himself to have any output: see, e.g., </w:t>
      </w:r>
      <w:r>
        <w:rPr>
          <w:rFonts w:ascii="Arial" w:hAnsi="Arial"/>
          <w:i/>
          <w:sz w:val="20"/>
        </w:rPr>
        <w:t>Donnell v Bennett</w:t>
      </w:r>
      <w:r>
        <w:rPr>
          <w:rFonts w:ascii="Arial" w:hAnsi="Arial"/>
          <w:i/>
          <w:spacing w:val="3"/>
          <w:sz w:val="20"/>
        </w:rPr>
        <w:t> </w:t>
      </w:r>
      <w:r>
        <w:rPr>
          <w:rFonts w:ascii="Arial" w:hAnsi="Arial"/>
          <w:i/>
          <w:sz w:val="20"/>
        </w:rPr>
        <w:t>(1883)</w:t>
      </w:r>
      <w:r>
        <w:rPr>
          <w:rFonts w:ascii="Arial" w:hAnsi="Arial"/>
          <w:i/>
          <w:spacing w:val="5"/>
          <w:sz w:val="20"/>
        </w:rPr>
        <w:t> </w:t>
      </w:r>
      <w:r>
        <w:rPr>
          <w:rFonts w:ascii="Arial" w:hAnsi="Arial"/>
          <w:i/>
          <w:sz w:val="20"/>
        </w:rPr>
        <w:t>22</w:t>
      </w:r>
      <w:r>
        <w:rPr>
          <w:rFonts w:ascii="Arial" w:hAnsi="Arial"/>
          <w:i/>
          <w:spacing w:val="5"/>
          <w:sz w:val="20"/>
        </w:rPr>
        <w:t> </w:t>
      </w:r>
      <w:r>
        <w:rPr>
          <w:rFonts w:ascii="Arial" w:hAnsi="Arial"/>
          <w:i/>
          <w:sz w:val="20"/>
        </w:rPr>
        <w:t>Ch.D.</w:t>
      </w:r>
      <w:r>
        <w:rPr>
          <w:rFonts w:ascii="Arial" w:hAnsi="Arial"/>
          <w:i/>
          <w:spacing w:val="5"/>
          <w:sz w:val="20"/>
        </w:rPr>
        <w:t> </w:t>
      </w:r>
      <w:r>
        <w:rPr>
          <w:rFonts w:ascii="Arial" w:hAnsi="Arial"/>
          <w:i/>
          <w:sz w:val="20"/>
        </w:rPr>
        <w:t>835</w:t>
      </w:r>
      <w:r>
        <w:rPr>
          <w:rFonts w:ascii="Arial" w:hAnsi="Arial"/>
          <w:i/>
          <w:spacing w:val="5"/>
          <w:sz w:val="20"/>
        </w:rPr>
        <w:t> </w:t>
      </w:r>
      <w:r>
        <w:rPr>
          <w:sz w:val="20"/>
        </w:rPr>
        <w:t>and</w:t>
      </w:r>
      <w:r>
        <w:rPr>
          <w:spacing w:val="5"/>
          <w:sz w:val="20"/>
        </w:rPr>
        <w:t> </w:t>
      </w:r>
      <w:r>
        <w:rPr>
          <w:sz w:val="20"/>
        </w:rPr>
        <w:t>cf.</w:t>
      </w:r>
      <w:r>
        <w:rPr>
          <w:spacing w:val="5"/>
          <w:sz w:val="20"/>
        </w:rPr>
        <w:t> </w:t>
      </w:r>
      <w:r>
        <w:rPr>
          <w:rFonts w:ascii="Arial" w:hAnsi="Arial"/>
          <w:i/>
          <w:sz w:val="20"/>
        </w:rPr>
        <w:t>Thames</w:t>
      </w:r>
      <w:r>
        <w:rPr>
          <w:rFonts w:ascii="Arial" w:hAnsi="Arial"/>
          <w:i/>
          <w:spacing w:val="5"/>
          <w:sz w:val="20"/>
        </w:rPr>
        <w:t> </w:t>
      </w:r>
      <w:r>
        <w:rPr>
          <w:rFonts w:ascii="Arial" w:hAnsi="Arial"/>
          <w:i/>
          <w:sz w:val="20"/>
        </w:rPr>
        <w:t>Tideway</w:t>
      </w:r>
      <w:r>
        <w:rPr>
          <w:rFonts w:ascii="Arial" w:hAnsi="Arial"/>
          <w:i/>
          <w:spacing w:val="5"/>
          <w:sz w:val="20"/>
        </w:rPr>
        <w:t> </w:t>
      </w:r>
      <w:r>
        <w:rPr>
          <w:rFonts w:ascii="Arial" w:hAnsi="Arial"/>
          <w:i/>
          <w:sz w:val="20"/>
        </w:rPr>
        <w:t>Properties</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Serfaty</w:t>
      </w:r>
      <w:r>
        <w:rPr>
          <w:rFonts w:ascii="Arial" w:hAnsi="Arial"/>
          <w:i/>
          <w:spacing w:val="5"/>
          <w:sz w:val="20"/>
        </w:rPr>
        <w:t> </w:t>
      </w:r>
      <w:r>
        <w:rPr>
          <w:rFonts w:ascii="Arial" w:hAnsi="Arial"/>
          <w:i/>
          <w:sz w:val="20"/>
        </w:rPr>
        <w:t>[1999]</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pacing w:val="-2"/>
          <w:sz w:val="20"/>
        </w:rPr>
        <w:t>Lloyd’s</w:t>
      </w:r>
    </w:p>
    <w:p>
      <w:pPr>
        <w:pStyle w:val="BodyText"/>
        <w:spacing w:line="224" w:lineRule="exact"/>
        <w:ind w:left="705"/>
        <w:jc w:val="both"/>
      </w:pPr>
      <w:r>
        <w:rPr>
          <w:rFonts w:ascii="Arial"/>
          <w:i/>
        </w:rPr>
        <w:t>Rep.</w:t>
      </w:r>
      <w:r>
        <w:rPr>
          <w:rFonts w:ascii="Arial"/>
          <w:i/>
          <w:spacing w:val="-1"/>
        </w:rPr>
        <w:t> </w:t>
      </w:r>
      <w:r>
        <w:rPr>
          <w:rFonts w:ascii="Arial"/>
          <w:i/>
        </w:rPr>
        <w:t>110, 127</w:t>
      </w:r>
      <w:r>
        <w:rPr/>
        <w:t>; Howard (1967) 2 U. of Tas.L.R. 446; Adams (1978) 94 L.Q.R. </w:t>
      </w:r>
      <w:r>
        <w:rPr>
          <w:spacing w:val="-4"/>
        </w:rPr>
        <w:t>173.</w:t>
      </w:r>
    </w:p>
    <w:p>
      <w:pPr>
        <w:pStyle w:val="BodyText"/>
        <w:spacing w:before="4"/>
      </w:pPr>
    </w:p>
    <w:p>
      <w:pPr>
        <w:tabs>
          <w:tab w:pos="705" w:val="left" w:leader="none"/>
        </w:tabs>
        <w:spacing w:before="1"/>
        <w:ind w:left="165" w:right="0" w:firstLine="0"/>
        <w:jc w:val="left"/>
        <w:rPr>
          <w:sz w:val="20"/>
        </w:rPr>
      </w:pPr>
      <w:bookmarkStart w:name="_bookmark294" w:id="296"/>
      <w:bookmarkEnd w:id="296"/>
      <w:r>
        <w:rPr/>
      </w:r>
      <w:hyperlink w:history="true" w:anchor="_bookmark272">
        <w:r>
          <w:rPr>
            <w:color w:val="005DA1"/>
            <w:spacing w:val="-4"/>
            <w:position w:val="5"/>
            <w:sz w:val="14"/>
            <w:u w:val="single" w:color="005DA1"/>
          </w:rPr>
          <w:t>158</w:t>
        </w:r>
      </w:hyperlink>
      <w:r>
        <w:rPr>
          <w:spacing w:val="-4"/>
          <w:position w:val="5"/>
          <w:sz w:val="14"/>
        </w:rPr>
        <w:t>.</w:t>
      </w:r>
      <w:r>
        <w:rPr>
          <w:position w:val="5"/>
          <w:sz w:val="14"/>
        </w:rPr>
        <w:tab/>
      </w:r>
      <w:r>
        <w:rPr>
          <w:sz w:val="20"/>
        </w:rPr>
        <w:t>Below, para.4-</w:t>
      </w:r>
      <w:r>
        <w:rPr>
          <w:spacing w:val="-4"/>
          <w:sz w:val="20"/>
        </w:rPr>
        <w:t>186.</w:t>
      </w:r>
    </w:p>
    <w:p>
      <w:pPr>
        <w:pStyle w:val="BodyText"/>
        <w:spacing w:before="8"/>
      </w:pPr>
    </w:p>
    <w:p>
      <w:pPr>
        <w:tabs>
          <w:tab w:pos="705" w:val="left" w:leader="none"/>
        </w:tabs>
        <w:spacing w:line="235" w:lineRule="auto" w:before="0"/>
        <w:ind w:left="705" w:right="168" w:hanging="541"/>
        <w:jc w:val="left"/>
        <w:rPr>
          <w:sz w:val="20"/>
        </w:rPr>
      </w:pPr>
      <w:bookmarkStart w:name="_bookmark295" w:id="297"/>
      <w:bookmarkEnd w:id="297"/>
      <w:r>
        <w:rPr/>
      </w:r>
      <w:hyperlink w:history="true" w:anchor="_bookmark273">
        <w:r>
          <w:rPr>
            <w:color w:val="005DA1"/>
            <w:spacing w:val="-4"/>
            <w:position w:val="5"/>
            <w:sz w:val="14"/>
            <w:u w:val="single" w:color="005DA1"/>
          </w:rPr>
          <w:t>159</w:t>
        </w:r>
      </w:hyperlink>
      <w:r>
        <w:rPr>
          <w:spacing w:val="-4"/>
          <w:position w:val="5"/>
          <w:sz w:val="14"/>
        </w:rPr>
        <w:t>.</w:t>
      </w:r>
      <w:r>
        <w:rPr>
          <w:position w:val="5"/>
          <w:sz w:val="14"/>
        </w:rPr>
        <w:tab/>
      </w:r>
      <w:r>
        <w:rPr>
          <w:rFonts w:ascii="Arial"/>
          <w:i/>
          <w:sz w:val="20"/>
        </w:rPr>
        <w:t>Cambridge</w:t>
      </w:r>
      <w:r>
        <w:rPr>
          <w:rFonts w:ascii="Arial"/>
          <w:i/>
          <w:spacing w:val="21"/>
          <w:sz w:val="20"/>
        </w:rPr>
        <w:t> </w:t>
      </w:r>
      <w:r>
        <w:rPr>
          <w:rFonts w:ascii="Arial"/>
          <w:i/>
          <w:sz w:val="20"/>
        </w:rPr>
        <w:t>Nutrition</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BBC</w:t>
      </w:r>
      <w:r>
        <w:rPr>
          <w:rFonts w:ascii="Arial"/>
          <w:i/>
          <w:spacing w:val="21"/>
          <w:sz w:val="20"/>
        </w:rPr>
        <w:t> </w:t>
      </w:r>
      <w:r>
        <w:rPr>
          <w:rFonts w:ascii="Arial"/>
          <w:i/>
          <w:sz w:val="20"/>
        </w:rPr>
        <w:t>[1990]</w:t>
      </w:r>
      <w:r>
        <w:rPr>
          <w:rFonts w:ascii="Arial"/>
          <w:i/>
          <w:spacing w:val="21"/>
          <w:sz w:val="20"/>
        </w:rPr>
        <w:t> </w:t>
      </w:r>
      <w:r>
        <w:rPr>
          <w:rFonts w:ascii="Arial"/>
          <w:i/>
          <w:sz w:val="20"/>
        </w:rPr>
        <w:t>3</w:t>
      </w:r>
      <w:r>
        <w:rPr>
          <w:rFonts w:ascii="Arial"/>
          <w:i/>
          <w:spacing w:val="21"/>
          <w:sz w:val="20"/>
        </w:rPr>
        <w:t> </w:t>
      </w:r>
      <w:r>
        <w:rPr>
          <w:rFonts w:ascii="Arial"/>
          <w:i/>
          <w:sz w:val="20"/>
        </w:rPr>
        <w:t>All</w:t>
      </w:r>
      <w:r>
        <w:rPr>
          <w:rFonts w:ascii="Arial"/>
          <w:i/>
          <w:spacing w:val="21"/>
          <w:sz w:val="20"/>
        </w:rPr>
        <w:t> </w:t>
      </w:r>
      <w:r>
        <w:rPr>
          <w:rFonts w:ascii="Arial"/>
          <w:i/>
          <w:sz w:val="20"/>
        </w:rPr>
        <w:t>E.R.</w:t>
      </w:r>
      <w:r>
        <w:rPr>
          <w:rFonts w:ascii="Arial"/>
          <w:i/>
          <w:spacing w:val="21"/>
          <w:sz w:val="20"/>
        </w:rPr>
        <w:t> </w:t>
      </w:r>
      <w:r>
        <w:rPr>
          <w:rFonts w:ascii="Arial"/>
          <w:i/>
          <w:sz w:val="20"/>
        </w:rPr>
        <w:t>523,</w:t>
      </w:r>
      <w:r>
        <w:rPr>
          <w:rFonts w:ascii="Arial"/>
          <w:i/>
          <w:spacing w:val="21"/>
          <w:sz w:val="20"/>
        </w:rPr>
        <w:t> </w:t>
      </w:r>
      <w:r>
        <w:rPr>
          <w:rFonts w:ascii="Arial"/>
          <w:i/>
          <w:sz w:val="20"/>
        </w:rPr>
        <w:t>528</w:t>
      </w:r>
      <w:r>
        <w:rPr>
          <w:sz w:val="20"/>
        </w:rPr>
        <w:t>;</w:t>
      </w:r>
      <w:r>
        <w:rPr>
          <w:spacing w:val="21"/>
          <w:sz w:val="20"/>
        </w:rPr>
        <w:t> </w:t>
      </w:r>
      <w:r>
        <w:rPr>
          <w:rFonts w:ascii="Arial"/>
          <w:i/>
          <w:sz w:val="20"/>
        </w:rPr>
        <w:t>Stabilad</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Stephens</w:t>
      </w:r>
      <w:r>
        <w:rPr>
          <w:rFonts w:ascii="Arial"/>
          <w:i/>
          <w:spacing w:val="21"/>
          <w:sz w:val="20"/>
        </w:rPr>
        <w:t> </w:t>
      </w:r>
      <w:r>
        <w:rPr>
          <w:rFonts w:ascii="Arial"/>
          <w:i/>
          <w:sz w:val="20"/>
        </w:rPr>
        <w:t>&amp;</w:t>
      </w:r>
      <w:r>
        <w:rPr>
          <w:rFonts w:ascii="Arial"/>
          <w:i/>
          <w:spacing w:val="21"/>
          <w:sz w:val="20"/>
        </w:rPr>
        <w:t> </w:t>
      </w:r>
      <w:r>
        <w:rPr>
          <w:rFonts w:ascii="Arial"/>
          <w:i/>
          <w:sz w:val="20"/>
        </w:rPr>
        <w:t>Carter (No.2) [1999] 2 All E.R. (Comm), 651, 660</w:t>
      </w:r>
      <w:r>
        <w:rPr>
          <w:sz w:val="20"/>
        </w:rPr>
        <w:t>.</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2"/>
        <w:ind w:left="2727" w:right="2730"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2169856">
                <wp:simplePos x="0" y="0"/>
                <wp:positionH relativeFrom="page">
                  <wp:posOffset>4707940</wp:posOffset>
                </wp:positionH>
                <wp:positionV relativeFrom="paragraph">
                  <wp:posOffset>377436</wp:posOffset>
                </wp:positionV>
                <wp:extent cx="4254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46624" from="370.70401pt,29.719406pt" to="374.04001pt,29.719406pt" stroked="true" strokeweight=".428pt" strokecolor="#005da1">
                <v:stroke dashstyle="solid"/>
                <w10:wrap type="none"/>
              </v:line>
            </w:pict>
          </mc:Fallback>
        </mc:AlternateContent>
      </w:r>
      <w:r>
        <w:rPr>
          <w:rFonts w:ascii="Arial"/>
          <w:b/>
          <w:sz w:val="24"/>
        </w:rPr>
        <w:t>Part 2 - Formation of Contract Chapter 4 - Consideration </w:t>
      </w:r>
      <w:r>
        <w:rPr>
          <w:rFonts w:ascii="Arial"/>
          <w:b/>
          <w:color w:val="005DA1"/>
          <w:position w:val="11"/>
          <w:sz w:val="12"/>
        </w:rPr>
        <w:t>1</w:t>
      </w:r>
      <w:r>
        <w:rPr>
          <w:rFonts w:ascii="Arial"/>
          <w:b/>
          <w:color w:val="005DA1"/>
          <w:spacing w:val="40"/>
          <w:position w:val="11"/>
          <w:sz w:val="12"/>
        </w:rPr>
        <w:t> </w:t>
      </w:r>
      <w:r>
        <w:rPr>
          <w:rFonts w:ascii="Arial"/>
          <w:b/>
          <w:sz w:val="24"/>
        </w:rPr>
        <w:t>Section</w:t>
      </w:r>
      <w:r>
        <w:rPr>
          <w:rFonts w:ascii="Arial"/>
          <w:b/>
          <w:spacing w:val="-10"/>
          <w:sz w:val="24"/>
        </w:rPr>
        <w:t> </w:t>
      </w:r>
      <w:r>
        <w:rPr>
          <w:rFonts w:ascii="Arial"/>
          <w:b/>
          <w:sz w:val="24"/>
        </w:rPr>
        <w:t>5.</w:t>
      </w:r>
      <w:r>
        <w:rPr>
          <w:rFonts w:ascii="Arial"/>
          <w:b/>
          <w:spacing w:val="-10"/>
          <w:sz w:val="24"/>
        </w:rPr>
        <w:t> </w:t>
      </w:r>
      <w:r>
        <w:rPr>
          <w:rFonts w:ascii="Arial"/>
          <w:b/>
          <w:sz w:val="24"/>
        </w:rPr>
        <w:t>-</w:t>
      </w:r>
      <w:r>
        <w:rPr>
          <w:rFonts w:ascii="Arial"/>
          <w:b/>
          <w:spacing w:val="-10"/>
          <w:sz w:val="24"/>
        </w:rPr>
        <w:t> </w:t>
      </w:r>
      <w:r>
        <w:rPr>
          <w:rFonts w:ascii="Arial"/>
          <w:b/>
          <w:sz w:val="24"/>
        </w:rPr>
        <w:t>Past</w:t>
      </w:r>
      <w:r>
        <w:rPr>
          <w:rFonts w:ascii="Arial"/>
          <w:b/>
          <w:spacing w:val="-10"/>
          <w:sz w:val="24"/>
        </w:rPr>
        <w:t> </w:t>
      </w:r>
      <w:r>
        <w:rPr>
          <w:rFonts w:ascii="Arial"/>
          <w:b/>
          <w:sz w:val="24"/>
        </w:rPr>
        <w:t>Consideration</w:t>
      </w:r>
    </w:p>
    <w:p>
      <w:pPr>
        <w:pStyle w:val="BodyText"/>
        <w:spacing w:before="173"/>
        <w:rPr>
          <w:rFonts w:ascii="Arial"/>
          <w:b/>
          <w:sz w:val="24"/>
        </w:rPr>
      </w:pPr>
    </w:p>
    <w:p>
      <w:pPr>
        <w:spacing w:before="1"/>
        <w:ind w:left="165" w:right="0" w:firstLine="0"/>
        <w:jc w:val="left"/>
        <w:rPr>
          <w:rFonts w:ascii="Arial"/>
          <w:b/>
          <w:sz w:val="18"/>
        </w:rPr>
      </w:pPr>
      <w:r>
        <w:rPr>
          <w:rFonts w:ascii="Arial"/>
          <w:b/>
          <w:sz w:val="18"/>
        </w:rPr>
        <w:t>Past consideration is no </w:t>
      </w:r>
      <w:r>
        <w:rPr>
          <w:rFonts w:ascii="Arial"/>
          <w:b/>
          <w:spacing w:val="-2"/>
          <w:sz w:val="18"/>
        </w:rPr>
        <w:t>consideration</w:t>
      </w:r>
    </w:p>
    <w:p>
      <w:pPr>
        <w:pStyle w:val="BodyText"/>
        <w:spacing w:before="41"/>
        <w:rPr>
          <w:rFonts w:ascii="Arial"/>
          <w:b/>
          <w:sz w:val="18"/>
        </w:rPr>
      </w:pPr>
    </w:p>
    <w:p>
      <w:pPr>
        <w:pStyle w:val="Heading2"/>
      </w:pPr>
      <w:r>
        <w:rPr/>
        <w:t>4-</w:t>
      </w:r>
      <w:r>
        <w:rPr>
          <w:spacing w:val="-5"/>
        </w:rPr>
        <w:t>026</w:t>
      </w:r>
    </w:p>
    <w:p>
      <w:pPr>
        <w:pStyle w:val="BodyText"/>
        <w:spacing w:line="235" w:lineRule="auto" w:before="203"/>
        <w:ind w:left="165" w:right="166"/>
        <w:jc w:val="both"/>
      </w:pPr>
      <w:r>
        <w:rPr/>
        <w:t>The consideration for a promise must be given in return for the promise. If the act or </w:t>
      </w:r>
      <w:r>
        <w:rPr/>
        <w:t>forbearance alleged</w:t>
      </w:r>
      <w:r>
        <w:rPr>
          <w:spacing w:val="-2"/>
        </w:rPr>
        <w:t> </w:t>
      </w:r>
      <w:r>
        <w:rPr/>
        <w:t>to</w:t>
      </w:r>
      <w:r>
        <w:rPr>
          <w:spacing w:val="-2"/>
        </w:rPr>
        <w:t> </w:t>
      </w:r>
      <w:r>
        <w:rPr/>
        <w:t>constitute</w:t>
      </w:r>
      <w:r>
        <w:rPr>
          <w:spacing w:val="-2"/>
        </w:rPr>
        <w:t> </w:t>
      </w:r>
      <w:r>
        <w:rPr/>
        <w:t>the</w:t>
      </w:r>
      <w:r>
        <w:rPr>
          <w:spacing w:val="-2"/>
        </w:rPr>
        <w:t> </w:t>
      </w:r>
      <w:r>
        <w:rPr/>
        <w:t>consideration</w:t>
      </w:r>
      <w:r>
        <w:rPr>
          <w:spacing w:val="-2"/>
        </w:rPr>
        <w:t> </w:t>
      </w:r>
      <w:r>
        <w:rPr/>
        <w:t>has</w:t>
      </w:r>
      <w:r>
        <w:rPr>
          <w:spacing w:val="-2"/>
        </w:rPr>
        <w:t> </w:t>
      </w:r>
      <w:r>
        <w:rPr/>
        <w:t>already</w:t>
      </w:r>
      <w:r>
        <w:rPr>
          <w:spacing w:val="-2"/>
        </w:rPr>
        <w:t> </w:t>
      </w:r>
      <w:r>
        <w:rPr/>
        <w:t>been</w:t>
      </w:r>
      <w:r>
        <w:rPr>
          <w:spacing w:val="-2"/>
        </w:rPr>
        <w:t> </w:t>
      </w:r>
      <w:r>
        <w:rPr/>
        <w:t>done</w:t>
      </w:r>
      <w:r>
        <w:rPr>
          <w:spacing w:val="-2"/>
        </w:rPr>
        <w:t> </w:t>
      </w:r>
      <w:r>
        <w:rPr/>
        <w:t>before,</w:t>
      </w:r>
      <w:r>
        <w:rPr>
          <w:spacing w:val="-2"/>
        </w:rPr>
        <w:t> </w:t>
      </w:r>
      <w:r>
        <w:rPr/>
        <w:t>and</w:t>
      </w:r>
      <w:r>
        <w:rPr>
          <w:spacing w:val="-2"/>
        </w:rPr>
        <w:t> </w:t>
      </w:r>
      <w:r>
        <w:rPr/>
        <w:t>independently</w:t>
      </w:r>
      <w:r>
        <w:rPr>
          <w:spacing w:val="-2"/>
        </w:rPr>
        <w:t> </w:t>
      </w:r>
      <w:r>
        <w:rPr/>
        <w:t>of,</w:t>
      </w:r>
      <w:r>
        <w:rPr>
          <w:spacing w:val="-2"/>
        </w:rPr>
        <w:t> </w:t>
      </w:r>
      <w:r>
        <w:rPr/>
        <w:t>the</w:t>
      </w:r>
      <w:r>
        <w:rPr>
          <w:spacing w:val="-2"/>
        </w:rPr>
        <w:t> </w:t>
      </w:r>
      <w:r>
        <w:rPr/>
        <w:t>giving </w:t>
      </w:r>
      <w:bookmarkStart w:name="_bookmark296" w:id="298"/>
      <w:bookmarkEnd w:id="298"/>
      <w:r>
        <w:rPr/>
        <w:t>of</w:t>
      </w:r>
      <w:r>
        <w:rPr/>
        <w:t> the promise, it is said to amount to “past consideration”; and such past acts or forbearances do not in law amount to consideration for the promise. </w:t>
      </w:r>
      <w:r>
        <w:rPr>
          <w:color w:val="005DA1"/>
          <w:u w:val="single" w:color="005DA1"/>
          <w:vertAlign w:val="superscript"/>
        </w:rPr>
        <w:t>160</w:t>
      </w:r>
      <w:r>
        <w:rPr>
          <w:color w:val="005DA1"/>
          <w:vertAlign w:val="baseline"/>
        </w:rPr>
        <w:t> </w:t>
      </w:r>
      <w:r>
        <w:rPr>
          <w:vertAlign w:val="baseline"/>
        </w:rPr>
        <w:t>If, for example, a thing is guaranteed by a seller </w:t>
      </w:r>
      <w:bookmarkStart w:name="_bookmark297" w:id="299"/>
      <w:bookmarkEnd w:id="299"/>
      <w:r>
        <w:rPr>
          <w:vertAlign w:val="baseline"/>
        </w:rPr>
      </w:r>
      <w:r>
        <w:rPr>
          <w:rFonts w:ascii="Arial" w:hAnsi="Arial"/>
          <w:i/>
          <w:vertAlign w:val="baseline"/>
        </w:rPr>
        <w:t>after </w:t>
      </w:r>
      <w:r>
        <w:rPr>
          <w:vertAlign w:val="baseline"/>
        </w:rPr>
        <w:t>it has been sold the guarantee is not contractually binding on the seller as the consideration for his promise is past. </w:t>
      </w:r>
      <w:r>
        <w:rPr>
          <w:color w:val="005DA1"/>
          <w:u w:val="single" w:color="005DA1"/>
          <w:vertAlign w:val="superscript"/>
        </w:rPr>
        <w:t>161</w:t>
      </w:r>
      <w:r>
        <w:rPr>
          <w:color w:val="005DA1"/>
          <w:vertAlign w:val="baseline"/>
        </w:rPr>
        <w:t> </w:t>
      </w:r>
      <w:r>
        <w:rPr>
          <w:vertAlign w:val="baseline"/>
        </w:rPr>
        <w:t>Similarly a promise to make a payment in respect of past services is not </w:t>
      </w:r>
      <w:bookmarkStart w:name="_bookmark298" w:id="300"/>
      <w:bookmarkEnd w:id="300"/>
      <w:r>
        <w:rPr>
          <w:vertAlign w:val="baseline"/>
        </w:rPr>
        <w:t>contractually</w:t>
      </w:r>
      <w:r>
        <w:rPr>
          <w:vertAlign w:val="baseline"/>
        </w:rPr>
        <w:t> binding unless the conditions specified in para.4-030 below are satisfied or some other consideration </w:t>
      </w:r>
      <w:r>
        <w:rPr>
          <w:color w:val="005DA1"/>
          <w:u w:val="single" w:color="005DA1"/>
          <w:vertAlign w:val="superscript"/>
        </w:rPr>
        <w:t>162</w:t>
      </w:r>
      <w:r>
        <w:rPr>
          <w:color w:val="005DA1"/>
          <w:vertAlign w:val="baseline"/>
        </w:rPr>
        <w:t> </w:t>
      </w:r>
      <w:r>
        <w:rPr>
          <w:vertAlign w:val="baseline"/>
        </w:rPr>
        <w:t>is provided. For example, a promise to pay money may be made to an employee after his retirement or to an agent after the termination of the agency. If the sole consideration for the </w:t>
      </w:r>
      <w:bookmarkStart w:name="_bookmark299" w:id="301"/>
      <w:bookmarkEnd w:id="301"/>
      <w:r>
        <w:rPr>
          <w:vertAlign w:val="baseline"/>
        </w:rPr>
        <w:t>promise</w:t>
      </w:r>
      <w:r>
        <w:rPr>
          <w:vertAlign w:val="baseline"/>
        </w:rPr>
        <w:t> is the service previously rendered by the former employee or agent, it will be past consideration,</w:t>
      </w:r>
      <w:r>
        <w:rPr>
          <w:spacing w:val="-3"/>
          <w:vertAlign w:val="baseline"/>
        </w:rPr>
        <w:t> </w:t>
      </w:r>
      <w:r>
        <w:rPr>
          <w:vertAlign w:val="baseline"/>
        </w:rPr>
        <w:t>so</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promise</w:t>
      </w:r>
      <w:r>
        <w:rPr>
          <w:spacing w:val="-3"/>
          <w:vertAlign w:val="baseline"/>
        </w:rPr>
        <w:t> </w:t>
      </w:r>
      <w:r>
        <w:rPr>
          <w:vertAlign w:val="baseline"/>
        </w:rPr>
        <w:t>will</w:t>
      </w:r>
      <w:r>
        <w:rPr>
          <w:spacing w:val="-3"/>
          <w:vertAlign w:val="baseline"/>
        </w:rPr>
        <w:t> </w:t>
      </w:r>
      <w:r>
        <w:rPr>
          <w:vertAlign w:val="baseline"/>
        </w:rPr>
        <w:t>not</w:t>
      </w:r>
      <w:r>
        <w:rPr>
          <w:spacing w:val="-3"/>
          <w:vertAlign w:val="baseline"/>
        </w:rPr>
        <w:t> </w:t>
      </w:r>
      <w:r>
        <w:rPr>
          <w:vertAlign w:val="baseline"/>
        </w:rPr>
        <w:t>be</w:t>
      </w:r>
      <w:r>
        <w:rPr>
          <w:spacing w:val="-3"/>
          <w:vertAlign w:val="baseline"/>
        </w:rPr>
        <w:t> </w:t>
      </w:r>
      <w:r>
        <w:rPr>
          <w:vertAlign w:val="baseline"/>
        </w:rPr>
        <w:t>contractually</w:t>
      </w:r>
      <w:r>
        <w:rPr>
          <w:spacing w:val="-3"/>
          <w:vertAlign w:val="baseline"/>
        </w:rPr>
        <w:t> </w:t>
      </w:r>
      <w:r>
        <w:rPr>
          <w:vertAlign w:val="baseline"/>
        </w:rPr>
        <w:t>binding.</w:t>
      </w:r>
      <w:r>
        <w:rPr>
          <w:spacing w:val="-4"/>
          <w:vertAlign w:val="baseline"/>
        </w:rPr>
        <w:t> </w:t>
      </w:r>
      <w:r>
        <w:rPr>
          <w:color w:val="005DA1"/>
          <w:u w:val="single" w:color="005DA1"/>
          <w:vertAlign w:val="superscript"/>
        </w:rPr>
        <w:t>163</w:t>
      </w:r>
      <w:r>
        <w:rPr>
          <w:color w:val="005DA1"/>
          <w:spacing w:val="-3"/>
          <w:vertAlign w:val="baseline"/>
        </w:rPr>
        <w:t> </w:t>
      </w:r>
      <w:r>
        <w:rPr>
          <w:vertAlign w:val="baseline"/>
        </w:rPr>
        <w:t>It</w:t>
      </w:r>
      <w:r>
        <w:rPr>
          <w:spacing w:val="-3"/>
          <w:vertAlign w:val="baseline"/>
        </w:rPr>
        <w:t> </w:t>
      </w:r>
      <w:r>
        <w:rPr>
          <w:vertAlign w:val="baseline"/>
        </w:rPr>
        <w:t>will</w:t>
      </w:r>
      <w:r>
        <w:rPr>
          <w:spacing w:val="-3"/>
          <w:vertAlign w:val="baseline"/>
        </w:rPr>
        <w:t> </w:t>
      </w:r>
      <w:r>
        <w:rPr>
          <w:vertAlign w:val="baseline"/>
        </w:rPr>
        <w:t>be</w:t>
      </w:r>
      <w:r>
        <w:rPr>
          <w:spacing w:val="-3"/>
          <w:vertAlign w:val="baseline"/>
        </w:rPr>
        <w:t> </w:t>
      </w:r>
      <w:r>
        <w:rPr>
          <w:vertAlign w:val="baseline"/>
        </w:rPr>
        <w:t>so</w:t>
      </w:r>
      <w:r>
        <w:rPr>
          <w:spacing w:val="-3"/>
          <w:vertAlign w:val="baseline"/>
        </w:rPr>
        <w:t> </w:t>
      </w:r>
      <w:r>
        <w:rPr>
          <w:vertAlign w:val="baseline"/>
        </w:rPr>
        <w:t>binding</w:t>
      </w:r>
      <w:r>
        <w:rPr>
          <w:spacing w:val="-3"/>
          <w:vertAlign w:val="baseline"/>
        </w:rPr>
        <w:t> </w:t>
      </w:r>
      <w:r>
        <w:rPr>
          <w:vertAlign w:val="baseline"/>
        </w:rPr>
        <w:t>only</w:t>
      </w:r>
      <w:r>
        <w:rPr>
          <w:spacing w:val="-3"/>
          <w:vertAlign w:val="baseline"/>
        </w:rPr>
        <w:t> </w:t>
      </w:r>
      <w:r>
        <w:rPr>
          <w:vertAlign w:val="baseline"/>
        </w:rPr>
        <w:t>if</w:t>
      </w:r>
      <w:r>
        <w:rPr>
          <w:spacing w:val="-3"/>
          <w:vertAlign w:val="baseline"/>
        </w:rPr>
        <w:t> </w:t>
      </w:r>
      <w:r>
        <w:rPr>
          <w:vertAlign w:val="baseline"/>
        </w:rPr>
        <w:t>some consideration other than the past service has been provided by the promisee. Such other </w:t>
      </w:r>
      <w:bookmarkStart w:name="_bookmark300" w:id="302"/>
      <w:bookmarkEnd w:id="302"/>
      <w:r>
        <w:rPr>
          <w:vertAlign w:val="baseline"/>
        </w:rPr>
        <w:t>consideration</w:t>
      </w:r>
      <w:r>
        <w:rPr>
          <w:vertAlign w:val="baseline"/>
        </w:rPr>
        <w:t> may consist in his giving up rights which are outstanding (or are in good faith believed</w:t>
      </w:r>
      <w:r>
        <w:rPr>
          <w:spacing w:val="40"/>
          <w:vertAlign w:val="baseline"/>
        </w:rPr>
        <w:t> </w:t>
      </w:r>
      <w:r>
        <w:rPr>
          <w:vertAlign w:val="baseline"/>
        </w:rPr>
        <w:t>to be outstanding) under the original contract, </w:t>
      </w:r>
      <w:r>
        <w:rPr>
          <w:color w:val="005DA1"/>
          <w:u w:val="single" w:color="005DA1"/>
          <w:vertAlign w:val="superscript"/>
        </w:rPr>
        <w:t>164</w:t>
      </w:r>
      <w:r>
        <w:rPr>
          <w:color w:val="005DA1"/>
          <w:vertAlign w:val="baseline"/>
        </w:rPr>
        <w:t> </w:t>
      </w:r>
      <w:r>
        <w:rPr>
          <w:vertAlign w:val="baseline"/>
        </w:rPr>
        <w:t>or in his promising to perform or actually performing </w:t>
      </w:r>
      <w:bookmarkStart w:name="_bookmark301" w:id="303"/>
      <w:bookmarkEnd w:id="303"/>
      <w:r>
        <w:rPr>
          <w:vertAlign w:val="baseline"/>
        </w:rPr>
        <w:t>some</w:t>
      </w:r>
      <w:r>
        <w:rPr>
          <w:vertAlign w:val="baseline"/>
        </w:rPr>
        <w:t> other act or forbearance not due from him under the original contract: for example, in his validly promising not to compete with the promisor. </w:t>
      </w:r>
      <w:r>
        <w:rPr>
          <w:color w:val="005DA1"/>
          <w:u w:val="single" w:color="005DA1"/>
          <w:vertAlign w:val="superscript"/>
        </w:rPr>
        <w:t>165</w:t>
      </w:r>
    </w:p>
    <w:p>
      <w:pPr>
        <w:pStyle w:val="BodyText"/>
      </w:pPr>
    </w:p>
    <w:p>
      <w:pPr>
        <w:pStyle w:val="BodyText"/>
        <w:spacing w:before="32"/>
      </w:pPr>
    </w:p>
    <w:p>
      <w:pPr>
        <w:spacing w:before="0"/>
        <w:ind w:left="165" w:right="0" w:firstLine="0"/>
        <w:jc w:val="left"/>
        <w:rPr>
          <w:rFonts w:ascii="Arial"/>
          <w:b/>
          <w:sz w:val="18"/>
        </w:rPr>
      </w:pPr>
      <w:r>
        <w:rPr>
          <w:rFonts w:ascii="Arial"/>
          <w:b/>
          <w:sz w:val="18"/>
        </w:rPr>
        <w:t>When consideration is </w:t>
      </w:r>
      <w:r>
        <w:rPr>
          <w:rFonts w:ascii="Arial"/>
          <w:b/>
          <w:spacing w:val="-4"/>
          <w:sz w:val="18"/>
        </w:rPr>
        <w:t>past</w:t>
      </w:r>
    </w:p>
    <w:p>
      <w:pPr>
        <w:pStyle w:val="BodyText"/>
        <w:spacing w:before="41"/>
        <w:rPr>
          <w:rFonts w:ascii="Arial"/>
          <w:b/>
          <w:sz w:val="18"/>
        </w:rPr>
      </w:pPr>
    </w:p>
    <w:p>
      <w:pPr>
        <w:pStyle w:val="Heading2"/>
      </w:pPr>
      <w:r>
        <w:rPr/>
        <w:t>4-</w:t>
      </w:r>
      <w:r>
        <w:rPr>
          <w:spacing w:val="-5"/>
        </w:rPr>
        <w:t>027</w:t>
      </w:r>
    </w:p>
    <w:p>
      <w:pPr>
        <w:pStyle w:val="BodyText"/>
        <w:spacing w:line="235" w:lineRule="auto" w:before="203"/>
        <w:ind w:left="165" w:right="167"/>
        <w:jc w:val="both"/>
      </w:pPr>
      <w:r>
        <w:rPr/>
        <w:t>In determining whether consideration is past, the courts are not, it is submitted, bound to apply </w:t>
      </w:r>
      <w:r>
        <w:rPr/>
        <w:t>a </w:t>
      </w:r>
      <w:bookmarkStart w:name="_bookmark302" w:id="304"/>
      <w:bookmarkEnd w:id="304"/>
      <w:r>
        <w:rPr/>
        <w:t>strictly</w:t>
      </w:r>
      <w:r>
        <w:rPr/>
        <w:t> chronological test. If the giving of the consideration and the making of the promise are substantially one transaction, the exact order in which these events occur is not decisive. </w:t>
      </w:r>
      <w:r>
        <w:rPr>
          <w:color w:val="005DA1"/>
          <w:u w:val="single" w:color="005DA1"/>
          <w:vertAlign w:val="superscript"/>
        </w:rPr>
        <w:t>166</w:t>
      </w:r>
      <w:r>
        <w:rPr>
          <w:color w:val="005DA1"/>
          <w:vertAlign w:val="baseline"/>
        </w:rPr>
        <w:t> </w:t>
      </w:r>
      <w:r>
        <w:rPr>
          <w:vertAlign w:val="baseline"/>
        </w:rPr>
        <w:t>Where, for example, a contract to erect buildings on land and to grant a lease of that land are substantially </w:t>
      </w:r>
      <w:bookmarkStart w:name="_bookmark303" w:id="305"/>
      <w:bookmarkEnd w:id="305"/>
      <w:r>
        <w:rPr>
          <w:vertAlign w:val="baseline"/>
        </w:rPr>
        <w:t>one</w:t>
      </w:r>
      <w:r>
        <w:rPr>
          <w:vertAlign w:val="baseline"/>
        </w:rPr>
        <w:t> transaction, the expenditure of money on the buildings would not be past consideration for the execution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lease,</w:t>
      </w:r>
      <w:r>
        <w:rPr>
          <w:spacing w:val="-2"/>
          <w:vertAlign w:val="baseline"/>
        </w:rPr>
        <w:t> </w:t>
      </w:r>
      <w:r>
        <w:rPr>
          <w:vertAlign w:val="baseline"/>
        </w:rPr>
        <w:t>even</w:t>
      </w:r>
      <w:r>
        <w:rPr>
          <w:spacing w:val="-2"/>
          <w:vertAlign w:val="baseline"/>
        </w:rPr>
        <w:t> </w:t>
      </w:r>
      <w:r>
        <w:rPr>
          <w:vertAlign w:val="baseline"/>
        </w:rPr>
        <w:t>though</w:t>
      </w:r>
      <w:r>
        <w:rPr>
          <w:spacing w:val="-2"/>
          <w:vertAlign w:val="baseline"/>
        </w:rPr>
        <w:t> </w:t>
      </w:r>
      <w:r>
        <w:rPr>
          <w:vertAlign w:val="baseline"/>
        </w:rPr>
        <w:t>the</w:t>
      </w:r>
      <w:r>
        <w:rPr>
          <w:spacing w:val="-2"/>
          <w:vertAlign w:val="baseline"/>
        </w:rPr>
        <w:t> </w:t>
      </w:r>
      <w:r>
        <w:rPr>
          <w:vertAlign w:val="baseline"/>
        </w:rPr>
        <w:t>lease</w:t>
      </w:r>
      <w:r>
        <w:rPr>
          <w:spacing w:val="-2"/>
          <w:vertAlign w:val="baseline"/>
        </w:rPr>
        <w:t> </w:t>
      </w:r>
      <w:r>
        <w:rPr>
          <w:vertAlign w:val="baseline"/>
        </w:rPr>
        <w:t>was</w:t>
      </w:r>
      <w:r>
        <w:rPr>
          <w:spacing w:val="-2"/>
          <w:vertAlign w:val="baseline"/>
        </w:rPr>
        <w:t> </w:t>
      </w:r>
      <w:r>
        <w:rPr>
          <w:vertAlign w:val="baseline"/>
        </w:rPr>
        <w:t>not</w:t>
      </w:r>
      <w:r>
        <w:rPr>
          <w:spacing w:val="-2"/>
          <w:vertAlign w:val="baseline"/>
        </w:rPr>
        <w:t> </w:t>
      </w:r>
      <w:r>
        <w:rPr>
          <w:vertAlign w:val="baseline"/>
        </w:rPr>
        <w:t>executed</w:t>
      </w:r>
      <w:r>
        <w:rPr>
          <w:spacing w:val="-2"/>
          <w:vertAlign w:val="baseline"/>
        </w:rPr>
        <w:t> </w:t>
      </w:r>
      <w:r>
        <w:rPr>
          <w:vertAlign w:val="baseline"/>
        </w:rPr>
        <w:t>until</w:t>
      </w:r>
      <w:r>
        <w:rPr>
          <w:spacing w:val="-2"/>
          <w:vertAlign w:val="baseline"/>
        </w:rPr>
        <w:t> </w:t>
      </w:r>
      <w:r>
        <w:rPr>
          <w:vertAlign w:val="baseline"/>
        </w:rPr>
        <w:t>after</w:t>
      </w:r>
      <w:r>
        <w:rPr>
          <w:spacing w:val="-2"/>
          <w:vertAlign w:val="baseline"/>
        </w:rPr>
        <w:t> </w:t>
      </w:r>
      <w:r>
        <w:rPr>
          <w:vertAlign w:val="baseline"/>
        </w:rPr>
        <w:t>completion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buildings. </w:t>
      </w:r>
      <w:r>
        <w:rPr>
          <w:color w:val="005DA1"/>
          <w:u w:val="single" w:color="005DA1"/>
          <w:vertAlign w:val="superscript"/>
        </w:rPr>
        <w:t>167</w:t>
      </w:r>
      <w:r>
        <w:rPr>
          <w:color w:val="005DA1"/>
          <w:spacing w:val="-2"/>
          <w:vertAlign w:val="baseline"/>
        </w:rPr>
        <w:t> </w:t>
      </w:r>
      <w:r>
        <w:rPr>
          <w:vertAlign w:val="baseline"/>
        </w:rPr>
        <w:t>Similarly,</w:t>
      </w:r>
      <w:r>
        <w:rPr>
          <w:spacing w:val="-2"/>
          <w:vertAlign w:val="baseline"/>
        </w:rPr>
        <w:t> </w:t>
      </w:r>
      <w:r>
        <w:rPr>
          <w:vertAlign w:val="baseline"/>
        </w:rPr>
        <w:t>where</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of</w:t>
      </w:r>
      <w:r>
        <w:rPr>
          <w:spacing w:val="-2"/>
          <w:vertAlign w:val="baseline"/>
        </w:rPr>
        <w:t> </w:t>
      </w:r>
      <w:r>
        <w:rPr>
          <w:vertAlign w:val="baseline"/>
        </w:rPr>
        <w:t>affreightment</w:t>
      </w:r>
      <w:r>
        <w:rPr>
          <w:spacing w:val="-2"/>
          <w:vertAlign w:val="baseline"/>
        </w:rPr>
        <w:t> </w:t>
      </w:r>
      <w:r>
        <w:rPr>
          <w:vertAlign w:val="baseline"/>
        </w:rPr>
        <w:t>(COA)</w:t>
      </w:r>
      <w:r>
        <w:rPr>
          <w:spacing w:val="-2"/>
          <w:vertAlign w:val="baseline"/>
        </w:rPr>
        <w:t> </w:t>
      </w:r>
      <w:r>
        <w:rPr>
          <w:vertAlign w:val="baseline"/>
        </w:rPr>
        <w:t>had</w:t>
      </w:r>
      <w:r>
        <w:rPr>
          <w:spacing w:val="-2"/>
          <w:vertAlign w:val="baseline"/>
        </w:rPr>
        <w:t> </w:t>
      </w:r>
      <w:r>
        <w:rPr>
          <w:vertAlign w:val="baseline"/>
        </w:rPr>
        <w:t>been</w:t>
      </w:r>
      <w:r>
        <w:rPr>
          <w:spacing w:val="-2"/>
          <w:vertAlign w:val="baseline"/>
        </w:rPr>
        <w:t> </w:t>
      </w:r>
      <w:r>
        <w:rPr>
          <w:vertAlign w:val="baseline"/>
        </w:rPr>
        <w:t>made</w:t>
      </w:r>
      <w:r>
        <w:rPr>
          <w:spacing w:val="-2"/>
          <w:vertAlign w:val="baseline"/>
        </w:rPr>
        <w:t> </w:t>
      </w:r>
      <w:r>
        <w:rPr>
          <w:vertAlign w:val="baseline"/>
        </w:rPr>
        <w:t>between</w:t>
      </w:r>
      <w:r>
        <w:rPr>
          <w:spacing w:val="-2"/>
          <w:vertAlign w:val="baseline"/>
        </w:rPr>
        <w:t> </w:t>
      </w:r>
      <w:r>
        <w:rPr>
          <w:vertAlign w:val="baseline"/>
        </w:rPr>
        <w:t>A</w:t>
      </w:r>
      <w:r>
        <w:rPr>
          <w:spacing w:val="-2"/>
          <w:vertAlign w:val="baseline"/>
        </w:rPr>
        <w:t> </w:t>
      </w:r>
      <w:r>
        <w:rPr>
          <w:vertAlign w:val="baseline"/>
        </w:rPr>
        <w:t>and</w:t>
      </w:r>
      <w:r>
        <w:rPr>
          <w:spacing w:val="-2"/>
          <w:vertAlign w:val="baseline"/>
        </w:rPr>
        <w:t> </w:t>
      </w:r>
      <w:r>
        <w:rPr>
          <w:vertAlign w:val="baseline"/>
        </w:rPr>
        <w:t>B</w:t>
      </w:r>
      <w:r>
        <w:rPr>
          <w:spacing w:val="-2"/>
          <w:vertAlign w:val="baseline"/>
        </w:rPr>
        <w:t> </w:t>
      </w:r>
      <w:r>
        <w:rPr>
          <w:vertAlign w:val="baseline"/>
        </w:rPr>
        <w:t>on</w:t>
      </w:r>
      <w:r>
        <w:rPr>
          <w:spacing w:val="-2"/>
          <w:vertAlign w:val="baseline"/>
        </w:rPr>
        <w:t> </w:t>
      </w:r>
      <w:r>
        <w:rPr>
          <w:vertAlign w:val="baseline"/>
        </w:rPr>
        <w:t>August</w:t>
      </w:r>
      <w:r>
        <w:rPr>
          <w:spacing w:val="-2"/>
          <w:vertAlign w:val="baseline"/>
        </w:rPr>
        <w:t> </w:t>
      </w:r>
      <w:r>
        <w:rPr>
          <w:vertAlign w:val="baseline"/>
        </w:rPr>
        <w:t>13, 2008, and a guarantee was given by C to A of B’s performance on August 28 in pursuance of B’s obligation under the COA to procure such a guarantee (though not from C but from D), it was held</w:t>
      </w:r>
      <w:r>
        <w:rPr>
          <w:spacing w:val="40"/>
          <w:vertAlign w:val="baseline"/>
        </w:rPr>
        <w:t> </w:t>
      </w:r>
      <w:bookmarkStart w:name="_bookmark304" w:id="306"/>
      <w:bookmarkEnd w:id="306"/>
      <w:r>
        <w:rPr>
          <w:vertAlign w:val="baseline"/>
        </w:rPr>
        <w:t>that</w:t>
      </w:r>
      <w:r>
        <w:rPr>
          <w:vertAlign w:val="baseline"/>
        </w:rPr>
        <w:t> the consideration for the guarantee was not past as the guarantee formed “part and parcel of the single transaction.” </w:t>
      </w:r>
      <w:r>
        <w:rPr>
          <w:color w:val="005DA1"/>
          <w:u w:val="single" w:color="005DA1"/>
          <w:vertAlign w:val="superscript"/>
        </w:rPr>
        <w:t>168</w:t>
      </w:r>
      <w:r>
        <w:rPr>
          <w:color w:val="005DA1"/>
          <w:vertAlign w:val="baseline"/>
        </w:rPr>
        <w:t> </w:t>
      </w:r>
      <w:r>
        <w:rPr>
          <w:vertAlign w:val="baseline"/>
        </w:rPr>
        <w:t>The same reasoning would apply where a manufacturer’s “guarantee” was given to a customer after he had bought the goods: that is, the consideration for the “guarantee”</w:t>
      </w:r>
      <w:r>
        <w:rPr>
          <w:spacing w:val="40"/>
          <w:vertAlign w:val="baseline"/>
        </w:rPr>
        <w:t> </w:t>
      </w:r>
      <w:r>
        <w:rPr>
          <w:vertAlign w:val="baseline"/>
        </w:rPr>
        <w:t>would not, merely on that ground, be past since the sale and the giving of the guarantee will often in </w:t>
      </w:r>
      <w:bookmarkStart w:name="_bookmark305" w:id="307"/>
      <w:bookmarkEnd w:id="307"/>
      <w:r>
        <w:rPr>
          <w:vertAlign w:val="baseline"/>
        </w:rPr>
        <w:t>substance</w:t>
      </w:r>
      <w:r>
        <w:rPr>
          <w:vertAlign w:val="baseline"/>
        </w:rPr>
        <w:t> be a single transaction. This reasoning can, as these guarantee cases show, apply, not </w:t>
      </w:r>
      <w:bookmarkStart w:name="_bookmark306" w:id="308"/>
      <w:bookmarkEnd w:id="308"/>
      <w:r>
        <w:rPr>
          <w:vertAlign w:val="baseline"/>
        </w:rPr>
        <w:t>only</w:t>
      </w:r>
      <w:r>
        <w:rPr>
          <w:vertAlign w:val="baseline"/>
        </w:rPr>
        <w:t> where “the same parties </w:t>
      </w:r>
      <w:r>
        <w:rPr>
          <w:color w:val="005DA1"/>
          <w:u w:val="single" w:color="005DA1"/>
          <w:vertAlign w:val="superscript"/>
        </w:rPr>
        <w:t>169</w:t>
      </w:r>
      <w:r>
        <w:rPr>
          <w:color w:val="005DA1"/>
          <w:vertAlign w:val="baseline"/>
        </w:rPr>
        <w:t> </w:t>
      </w:r>
      <w:r>
        <w:rPr>
          <w:vertAlign w:val="baseline"/>
        </w:rPr>
        <w:t>were involved throughout” but also where the guarantee was (as will often be the case) given by a person who was not a party to the original contract. </w:t>
      </w:r>
      <w:r>
        <w:rPr>
          <w:color w:val="005DA1"/>
          <w:u w:val="single" w:color="005DA1"/>
          <w:vertAlign w:val="superscript"/>
        </w:rPr>
        <w:t>170</w:t>
      </w:r>
    </w:p>
    <w:p>
      <w:pPr>
        <w:pStyle w:val="BodyText"/>
      </w:pPr>
    </w:p>
    <w:p>
      <w:pPr>
        <w:pStyle w:val="BodyText"/>
        <w:spacing w:before="32"/>
      </w:pPr>
    </w:p>
    <w:p>
      <w:pPr>
        <w:spacing w:before="1"/>
        <w:ind w:left="165" w:right="0" w:firstLine="0"/>
        <w:jc w:val="left"/>
        <w:rPr>
          <w:rFonts w:ascii="Arial"/>
          <w:b/>
          <w:sz w:val="18"/>
        </w:rPr>
      </w:pPr>
      <w:r>
        <w:rPr>
          <w:rFonts w:ascii="Arial"/>
          <w:b/>
          <w:sz w:val="18"/>
        </w:rPr>
        <w:t>Guarantees given to </w:t>
      </w:r>
      <w:r>
        <w:rPr>
          <w:rFonts w:ascii="Arial"/>
          <w:b/>
          <w:spacing w:val="-2"/>
          <w:sz w:val="18"/>
        </w:rPr>
        <w:t>consumers</w:t>
      </w:r>
    </w:p>
    <w:p>
      <w:pPr>
        <w:spacing w:after="0"/>
        <w:jc w:val="left"/>
        <w:rPr>
          <w:rFonts w:ascii="Arial"/>
          <w:b/>
          <w:sz w:val="18"/>
        </w:rPr>
        <w:sectPr>
          <w:headerReference w:type="default" r:id="rId14"/>
          <w:headerReference w:type="even" r:id="rId15"/>
          <w:pgSz w:w="11900" w:h="16840"/>
          <w:pgMar w:header="971" w:footer="0" w:top="1160" w:bottom="280" w:left="1275" w:right="1275"/>
          <w:pgNumType w:start="1"/>
        </w:sectPr>
      </w:pPr>
    </w:p>
    <w:p>
      <w:pPr>
        <w:pStyle w:val="BodyText"/>
        <w:spacing w:before="130"/>
        <w:rPr>
          <w:rFonts w:ascii="Arial"/>
          <w:b/>
          <w:sz w:val="24"/>
        </w:rPr>
      </w:pPr>
    </w:p>
    <w:p>
      <w:pPr>
        <w:pStyle w:val="Heading2"/>
      </w:pPr>
      <w:r>
        <w:rPr/>
        <w:t>4-</w:t>
      </w:r>
      <w:r>
        <w:rPr>
          <w:spacing w:val="-5"/>
        </w:rPr>
        <w:t>028</w:t>
      </w:r>
    </w:p>
    <w:p>
      <w:pPr>
        <w:pStyle w:val="BodyText"/>
        <w:spacing w:line="235" w:lineRule="auto" w:before="203"/>
        <w:ind w:left="164" w:right="167"/>
        <w:jc w:val="both"/>
      </w:pPr>
      <w:r>
        <w:rPr/>
        <w:t>Legislation passed for the protection of consumers contains a number of provisions which attach specified legal consequences to “guarantees” given to “consumers” in connection with contracts </w:t>
      </w:r>
      <w:r>
        <w:rPr/>
        <w:t>for the supply of goods, and certain other contracts, between a “consumer” and a “trader”. In such cases, the requirement of consideration can, at common law, be satisfied on the reasoning of para.4-027 above not only where the guarantee was given by the supplier of the goods or other subject-matter, but also by a third person who was not a party to the contract under which the supply was made. Legislation has, however, gone further than this and has dispensed with the requirement of consideration for the enforceability of at least some such guarantees. This was, for example, the</w:t>
      </w:r>
      <w:r>
        <w:rPr>
          <w:spacing w:val="40"/>
        </w:rPr>
        <w:t> </w:t>
      </w:r>
      <w:r>
        <w:rPr/>
        <w:t>effect of a “consumer guarantee” within the Sale and Supply of Goods to Consumers Regulations </w:t>
      </w:r>
      <w:bookmarkStart w:name="_bookmark307" w:id="309"/>
      <w:bookmarkEnd w:id="309"/>
      <w:r>
        <w:rPr/>
        <w:t>2002,</w:t>
      </w:r>
      <w:r>
        <w:rPr/>
        <w:t> which provided that such a guarantee took “effect as a contractual obligation owed by the guarantor” </w:t>
      </w:r>
      <w:r>
        <w:rPr>
          <w:color w:val="005DA1"/>
          <w:u w:val="single" w:color="005DA1"/>
          <w:vertAlign w:val="superscript"/>
        </w:rPr>
        <w:t>171</w:t>
      </w:r>
      <w:r>
        <w:rPr>
          <w:vertAlign w:val="baseline"/>
        </w:rPr>
        <w:t>: and where the guarantee so took effect, there was no need for the consumer to show </w:t>
      </w:r>
      <w:bookmarkStart w:name="_bookmark308" w:id="310"/>
      <w:bookmarkEnd w:id="310"/>
      <w:r>
        <w:rPr>
          <w:vertAlign w:val="baseline"/>
        </w:rPr>
        <w:t>that</w:t>
      </w:r>
      <w:r>
        <w:rPr>
          <w:vertAlign w:val="baseline"/>
        </w:rPr>
        <w:t> he has provided consideration for the guarantor’s promise. These Regulations have been</w:t>
      </w:r>
      <w:r>
        <w:rPr>
          <w:spacing w:val="40"/>
          <w:vertAlign w:val="baseline"/>
        </w:rPr>
        <w:t> </w:t>
      </w:r>
      <w:r>
        <w:rPr>
          <w:vertAlign w:val="baseline"/>
        </w:rPr>
        <w:t>revoked by the relevant provisions of the Consumer Rights Act 2015, </w:t>
      </w:r>
      <w:r>
        <w:rPr>
          <w:color w:val="005DA1"/>
          <w:u w:val="single" w:color="005DA1"/>
          <w:vertAlign w:val="superscript"/>
        </w:rPr>
        <w:t>172</w:t>
      </w:r>
      <w:r>
        <w:rPr>
          <w:color w:val="005DA1"/>
          <w:vertAlign w:val="baseline"/>
        </w:rPr>
        <w:t> </w:t>
      </w:r>
      <w:r>
        <w:rPr>
          <w:vertAlign w:val="baseline"/>
        </w:rPr>
        <w:t>but s.30 of that Act </w:t>
      </w:r>
      <w:r>
        <w:rPr>
          <w:color w:val="005DA1"/>
          <w:u w:val="single" w:color="005DA1"/>
          <w:vertAlign w:val="superscript"/>
        </w:rPr>
        <w:t>173</w:t>
      </w:r>
      <w:r>
        <w:rPr>
          <w:color w:val="005DA1"/>
          <w:vertAlign w:val="baseline"/>
        </w:rPr>
        <w:t> </w:t>
      </w:r>
      <w:bookmarkStart w:name="_bookmark309" w:id="311"/>
      <w:bookmarkEnd w:id="311"/>
      <w:r>
        <w:rPr>
          <w:color w:val="005DA1"/>
          <w:w w:val="92"/>
          <w:vertAlign w:val="baseline"/>
        </w:rPr>
      </w:r>
      <w:r>
        <w:rPr>
          <w:vertAlign w:val="baseline"/>
        </w:rPr>
        <w:t>contains</w:t>
      </w:r>
      <w:r>
        <w:rPr>
          <w:spacing w:val="3"/>
          <w:vertAlign w:val="baseline"/>
        </w:rPr>
        <w:t> </w:t>
      </w:r>
      <w:r>
        <w:rPr>
          <w:vertAlign w:val="baseline"/>
        </w:rPr>
        <w:t>a</w:t>
      </w:r>
      <w:r>
        <w:rPr>
          <w:spacing w:val="3"/>
          <w:vertAlign w:val="baseline"/>
        </w:rPr>
        <w:t> </w:t>
      </w:r>
      <w:r>
        <w:rPr>
          <w:vertAlign w:val="baseline"/>
        </w:rPr>
        <w:t>substantially</w:t>
      </w:r>
      <w:r>
        <w:rPr>
          <w:spacing w:val="3"/>
          <w:vertAlign w:val="baseline"/>
        </w:rPr>
        <w:t> </w:t>
      </w:r>
      <w:r>
        <w:rPr>
          <w:vertAlign w:val="baseline"/>
        </w:rPr>
        <w:t>similar</w:t>
      </w:r>
      <w:r>
        <w:rPr>
          <w:spacing w:val="3"/>
          <w:vertAlign w:val="baseline"/>
        </w:rPr>
        <w:t> </w:t>
      </w:r>
      <w:r>
        <w:rPr>
          <w:vertAlign w:val="baseline"/>
        </w:rPr>
        <w:t>provision</w:t>
      </w:r>
      <w:r>
        <w:rPr>
          <w:spacing w:val="3"/>
          <w:vertAlign w:val="baseline"/>
        </w:rPr>
        <w:t> </w:t>
      </w:r>
      <w:r>
        <w:rPr>
          <w:vertAlign w:val="baseline"/>
        </w:rPr>
        <w:t>which</w:t>
      </w:r>
      <w:r>
        <w:rPr>
          <w:spacing w:val="3"/>
          <w:vertAlign w:val="baseline"/>
        </w:rPr>
        <w:t> </w:t>
      </w:r>
      <w:r>
        <w:rPr>
          <w:vertAlign w:val="baseline"/>
        </w:rPr>
        <w:t>applies</w:t>
      </w:r>
      <w:r>
        <w:rPr>
          <w:spacing w:val="3"/>
          <w:vertAlign w:val="baseline"/>
        </w:rPr>
        <w:t> </w:t>
      </w:r>
      <w:r>
        <w:rPr>
          <w:vertAlign w:val="baseline"/>
        </w:rPr>
        <w:t>when</w:t>
      </w:r>
      <w:r>
        <w:rPr>
          <w:spacing w:val="3"/>
          <w:vertAlign w:val="baseline"/>
        </w:rPr>
        <w:t> </w:t>
      </w:r>
      <w:r>
        <w:rPr>
          <w:vertAlign w:val="baseline"/>
        </w:rPr>
        <w:t>“there</w:t>
      </w:r>
      <w:r>
        <w:rPr>
          <w:spacing w:val="3"/>
          <w:vertAlign w:val="baseline"/>
        </w:rPr>
        <w:t> </w:t>
      </w:r>
      <w:r>
        <w:rPr>
          <w:vertAlign w:val="baseline"/>
        </w:rPr>
        <w:t>is</w:t>
      </w:r>
      <w:r>
        <w:rPr>
          <w:spacing w:val="3"/>
          <w:vertAlign w:val="baseline"/>
        </w:rPr>
        <w:t> </w:t>
      </w:r>
      <w:r>
        <w:rPr>
          <w:vertAlign w:val="baseline"/>
        </w:rPr>
        <w:t>a</w:t>
      </w:r>
      <w:r>
        <w:rPr>
          <w:spacing w:val="3"/>
          <w:vertAlign w:val="baseline"/>
        </w:rPr>
        <w:t> </w:t>
      </w:r>
      <w:r>
        <w:rPr>
          <w:vertAlign w:val="baseline"/>
        </w:rPr>
        <w:t>contract</w:t>
      </w:r>
      <w:r>
        <w:rPr>
          <w:spacing w:val="3"/>
          <w:vertAlign w:val="baseline"/>
        </w:rPr>
        <w:t> </w:t>
      </w:r>
      <w:r>
        <w:rPr>
          <w:vertAlign w:val="baseline"/>
        </w:rPr>
        <w:t>to</w:t>
      </w:r>
      <w:r>
        <w:rPr>
          <w:spacing w:val="3"/>
          <w:vertAlign w:val="baseline"/>
        </w:rPr>
        <w:t> </w:t>
      </w:r>
      <w:r>
        <w:rPr>
          <w:vertAlign w:val="baseline"/>
        </w:rPr>
        <w:t>supply</w:t>
      </w:r>
      <w:r>
        <w:rPr>
          <w:spacing w:val="3"/>
          <w:vertAlign w:val="baseline"/>
        </w:rPr>
        <w:t> </w:t>
      </w:r>
      <w:r>
        <w:rPr>
          <w:vertAlign w:val="baseline"/>
        </w:rPr>
        <w:t>goods;</w:t>
      </w:r>
      <w:r>
        <w:rPr>
          <w:spacing w:val="3"/>
          <w:vertAlign w:val="baseline"/>
        </w:rPr>
        <w:t> </w:t>
      </w:r>
      <w:r>
        <w:rPr>
          <w:spacing w:val="-5"/>
          <w:vertAlign w:val="baseline"/>
        </w:rPr>
        <w:t>and</w:t>
      </w:r>
    </w:p>
    <w:p>
      <w:pPr>
        <w:pStyle w:val="BodyText"/>
        <w:spacing w:line="235" w:lineRule="auto"/>
        <w:ind w:left="165" w:right="167"/>
        <w:jc w:val="both"/>
      </w:pPr>
      <w:bookmarkStart w:name="_bookmark310" w:id="312"/>
      <w:bookmarkEnd w:id="312"/>
      <w:r>
        <w:rPr/>
      </w:r>
      <w:r>
        <w:rPr/>
        <w:t>… there is a guarantee in relation to the goods”. </w:t>
      </w:r>
      <w:r>
        <w:rPr>
          <w:color w:val="005DA1"/>
          <w:u w:val="single" w:color="005DA1"/>
          <w:vertAlign w:val="superscript"/>
        </w:rPr>
        <w:t>174</w:t>
      </w:r>
      <w:r>
        <w:rPr>
          <w:color w:val="005DA1"/>
          <w:vertAlign w:val="baseline"/>
        </w:rPr>
        <w:t> </w:t>
      </w:r>
      <w:r>
        <w:rPr>
          <w:vertAlign w:val="baseline"/>
        </w:rPr>
        <w:t>Section 30(3) provides that such a guarantee “takes effect … as a contractual obligation owed by the guarantor” to the consumer. </w:t>
      </w:r>
      <w:r>
        <w:rPr>
          <w:color w:val="005DA1"/>
          <w:u w:val="single" w:color="005DA1"/>
          <w:vertAlign w:val="superscript"/>
        </w:rPr>
        <w:t>175</w:t>
      </w:r>
      <w:r>
        <w:rPr>
          <w:color w:val="005DA1"/>
          <w:vertAlign w:val="baseline"/>
        </w:rPr>
        <w:t> </w:t>
      </w:r>
      <w:r>
        <w:rPr>
          <w:vertAlign w:val="baseline"/>
        </w:rPr>
        <w:t>As under </w:t>
      </w:r>
      <w:r>
        <w:rPr>
          <w:vertAlign w:val="baseline"/>
        </w:rPr>
        <w:t>the 2002 Regulations referred to above, there is no need for a consumer who makes a claim under s.30(3) to satisfy any requirement of consideration. But although s.30(3) provides a satisfactory legal basis for the liability of a guarantor (even of one who is not the supplier of the goods), it provides only a partial solution of the problem here under discussion. This is because in the 2015 Act s.30 is </w:t>
      </w:r>
      <w:bookmarkStart w:name="_bookmark311" w:id="313"/>
      <w:bookmarkEnd w:id="313"/>
      <w:r>
        <w:rPr>
          <w:vertAlign w:val="baseline"/>
        </w:rPr>
        <w:t>contained</w:t>
      </w:r>
      <w:r>
        <w:rPr>
          <w:vertAlign w:val="baseline"/>
        </w:rPr>
        <w:t> in Part 1 Chapter 2, which “applies to a contract for a trader to supply </w:t>
      </w:r>
      <w:r>
        <w:rPr>
          <w:rFonts w:ascii="Arial" w:hAnsi="Arial"/>
          <w:i/>
          <w:vertAlign w:val="baseline"/>
        </w:rPr>
        <w:t>goods </w:t>
      </w:r>
      <w:r>
        <w:rPr>
          <w:vertAlign w:val="baseline"/>
        </w:rPr>
        <w:t>to a</w:t>
      </w:r>
      <w:r>
        <w:rPr>
          <w:spacing w:val="80"/>
          <w:vertAlign w:val="baseline"/>
        </w:rPr>
        <w:t> </w:t>
      </w:r>
      <w:r>
        <w:rPr>
          <w:vertAlign w:val="baseline"/>
        </w:rPr>
        <w:t>consumer” </w:t>
      </w:r>
      <w:r>
        <w:rPr>
          <w:color w:val="005DA1"/>
          <w:u w:val="single" w:color="005DA1"/>
          <w:vertAlign w:val="superscript"/>
        </w:rPr>
        <w:t>176</w:t>
      </w:r>
      <w:r>
        <w:rPr>
          <w:color w:val="005DA1"/>
          <w:vertAlign w:val="baseline"/>
        </w:rPr>
        <w:t> </w:t>
      </w:r>
      <w:r>
        <w:rPr>
          <w:vertAlign w:val="baseline"/>
        </w:rPr>
        <w:t>and it is worded so as to apply only “where there is a contract to supply goods” </w:t>
      </w:r>
      <w:r>
        <w:rPr>
          <w:color w:val="005DA1"/>
          <w:u w:val="single" w:color="005DA1"/>
          <w:vertAlign w:val="superscript"/>
        </w:rPr>
        <w:t>177</w:t>
      </w:r>
      <w:r>
        <w:rPr>
          <w:vertAlign w:val="baseline"/>
        </w:rPr>
        <w:t>. </w:t>
      </w:r>
      <w:bookmarkStart w:name="_bookmark312" w:id="314"/>
      <w:bookmarkEnd w:id="314"/>
      <w:r>
        <w:rPr>
          <w:vertAlign w:val="baseline"/>
        </w:rPr>
        <w:t>Section</w:t>
      </w:r>
      <w:r>
        <w:rPr>
          <w:vertAlign w:val="baseline"/>
        </w:rPr>
        <w:t> 30 therefore does not apply for the purposes of Part 1 Chapter 3, which “applies to a contract </w:t>
      </w:r>
      <w:bookmarkStart w:name="_bookmark313" w:id="315"/>
      <w:bookmarkEnd w:id="315"/>
      <w:r>
        <w:rPr>
          <w:vertAlign w:val="baseline"/>
        </w:rPr>
        <w:t>for</w:t>
      </w:r>
      <w:r>
        <w:rPr>
          <w:vertAlign w:val="baseline"/>
        </w:rPr>
        <w:t> a trader to supply digital content to a consumer”, </w:t>
      </w:r>
      <w:r>
        <w:rPr>
          <w:color w:val="005DA1"/>
          <w:u w:val="single" w:color="005DA1"/>
          <w:vertAlign w:val="superscript"/>
        </w:rPr>
        <w:t>178</w:t>
      </w:r>
      <w:r>
        <w:rPr>
          <w:color w:val="005DA1"/>
          <w:vertAlign w:val="baseline"/>
        </w:rPr>
        <w:t> </w:t>
      </w:r>
      <w:r>
        <w:rPr>
          <w:vertAlign w:val="baseline"/>
        </w:rPr>
        <w:t>or for the purposes of Part 1 Chapter 4, which “applies to a contract for a trader to supply a service to a consumer” </w:t>
      </w:r>
      <w:r>
        <w:rPr>
          <w:color w:val="005DA1"/>
          <w:u w:val="single" w:color="005DA1"/>
          <w:vertAlign w:val="superscript"/>
        </w:rPr>
        <w:t>179</w:t>
      </w:r>
      <w:r>
        <w:rPr>
          <w:vertAlign w:val="baseline"/>
        </w:rPr>
        <w:t>; nor do Chapters 3 and 4 contain any provision resembling the words of s.30(3), which provide the legal basis for the liability of a guarantor even where he is not a party to the contract to supply goods. Yet the possibility that such a guarantee may be given in relation to a contract for the supply of digital content or of services by a trader to a consumer cannot be ruled out and is indeed implicitly recognised by the 2015 Act in the use it makes of machinery created by earlier legislation.</w:t>
      </w:r>
    </w:p>
    <w:p>
      <w:pPr>
        <w:pStyle w:val="BodyText"/>
        <w:spacing w:before="78"/>
      </w:pPr>
    </w:p>
    <w:p>
      <w:pPr>
        <w:pStyle w:val="BodyText"/>
        <w:spacing w:line="235" w:lineRule="auto"/>
        <w:ind w:left="165" w:right="167"/>
        <w:jc w:val="both"/>
      </w:pPr>
      <w:bookmarkStart w:name="_bookmark314" w:id="316"/>
      <w:bookmarkEnd w:id="316"/>
      <w:r>
        <w:rPr/>
      </w:r>
      <w:r>
        <w:rPr/>
        <w:t>That earlier legislation is contained in the Consumer Contracts (Information, Cancellation </w:t>
      </w:r>
      <w:r>
        <w:rPr/>
        <w:t>and Additional Charges) Regulations 2013. </w:t>
      </w:r>
      <w:r>
        <w:rPr>
          <w:color w:val="005DA1"/>
          <w:u w:val="single" w:color="005DA1"/>
          <w:vertAlign w:val="superscript"/>
        </w:rPr>
        <w:t>180</w:t>
      </w:r>
      <w:r>
        <w:rPr>
          <w:color w:val="005DA1"/>
          <w:vertAlign w:val="baseline"/>
        </w:rPr>
        <w:t> </w:t>
      </w:r>
      <w:r>
        <w:rPr>
          <w:vertAlign w:val="baseline"/>
        </w:rPr>
        <w:t>These Regulations make use of the concept of a </w:t>
      </w:r>
      <w:bookmarkStart w:name="_bookmark315" w:id="317"/>
      <w:bookmarkEnd w:id="317"/>
      <w:r>
        <w:rPr>
          <w:vertAlign w:val="baseline"/>
        </w:rPr>
        <w:t>“commercial</w:t>
      </w:r>
      <w:r>
        <w:rPr>
          <w:vertAlign w:val="baseline"/>
        </w:rPr>
        <w:t> guarantee”, an expression defined in reg.5 as an undertaking given “by the trader </w:t>
      </w:r>
      <w:r>
        <w:rPr>
          <w:rFonts w:ascii="Arial" w:hAnsi="Arial"/>
          <w:i/>
          <w:vertAlign w:val="baseline"/>
        </w:rPr>
        <w:t>or producer</w:t>
      </w:r>
      <w:r>
        <w:rPr>
          <w:rFonts w:ascii="Arial" w:hAnsi="Arial"/>
          <w:i/>
          <w:spacing w:val="4"/>
          <w:vertAlign w:val="baseline"/>
        </w:rPr>
        <w:t> </w:t>
      </w:r>
      <w:r>
        <w:rPr>
          <w:color w:val="005DA1"/>
          <w:u w:val="single" w:color="005DA1"/>
          <w:vertAlign w:val="superscript"/>
        </w:rPr>
        <w:t>181</w:t>
      </w:r>
      <w:r>
        <w:rPr>
          <w:color w:val="005DA1"/>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consumer</w:t>
      </w:r>
      <w:r>
        <w:rPr>
          <w:spacing w:val="4"/>
          <w:vertAlign w:val="baseline"/>
        </w:rPr>
        <w:t> </w:t>
      </w:r>
      <w:r>
        <w:rPr>
          <w:color w:val="005DA1"/>
          <w:u w:val="single" w:color="005DA1"/>
          <w:vertAlign w:val="superscript"/>
        </w:rPr>
        <w:t>182</w:t>
      </w:r>
      <w:r>
        <w:rPr>
          <w:color w:val="005DA1"/>
          <w:spacing w:val="4"/>
          <w:vertAlign w:val="baseline"/>
        </w:rPr>
        <w:t> </w:t>
      </w:r>
      <w:r>
        <w:rPr>
          <w:vertAlign w:val="baseline"/>
        </w:rPr>
        <w:t>…</w:t>
      </w:r>
      <w:r>
        <w:rPr>
          <w:spacing w:val="4"/>
          <w:vertAlign w:val="baseline"/>
        </w:rPr>
        <w:t> </w:t>
      </w:r>
      <w:r>
        <w:rPr>
          <w:vertAlign w:val="baseline"/>
        </w:rPr>
        <w:t>to</w:t>
      </w:r>
      <w:r>
        <w:rPr>
          <w:spacing w:val="4"/>
          <w:vertAlign w:val="baseline"/>
        </w:rPr>
        <w:t> </w:t>
      </w:r>
      <w:r>
        <w:rPr>
          <w:vertAlign w:val="baseline"/>
        </w:rPr>
        <w:t>reimburse</w:t>
      </w:r>
      <w:r>
        <w:rPr>
          <w:spacing w:val="4"/>
          <w:vertAlign w:val="baseline"/>
        </w:rPr>
        <w:t> </w:t>
      </w:r>
      <w:r>
        <w:rPr>
          <w:vertAlign w:val="baseline"/>
        </w:rPr>
        <w:t>the</w:t>
      </w:r>
      <w:r>
        <w:rPr>
          <w:spacing w:val="4"/>
          <w:vertAlign w:val="baseline"/>
        </w:rPr>
        <w:t> </w:t>
      </w:r>
      <w:r>
        <w:rPr>
          <w:vertAlign w:val="baseline"/>
        </w:rPr>
        <w:t>price</w:t>
      </w:r>
      <w:r>
        <w:rPr>
          <w:spacing w:val="4"/>
          <w:vertAlign w:val="baseline"/>
        </w:rPr>
        <w:t> </w:t>
      </w:r>
      <w:r>
        <w:rPr>
          <w:vertAlign w:val="baseline"/>
        </w:rPr>
        <w:t>paid</w:t>
      </w:r>
      <w:r>
        <w:rPr>
          <w:spacing w:val="4"/>
          <w:vertAlign w:val="baseline"/>
        </w:rPr>
        <w:t> </w:t>
      </w:r>
      <w:r>
        <w:rPr>
          <w:vertAlign w:val="baseline"/>
        </w:rPr>
        <w:t>or</w:t>
      </w:r>
      <w:r>
        <w:rPr>
          <w:spacing w:val="4"/>
          <w:vertAlign w:val="baseline"/>
        </w:rPr>
        <w:t> </w:t>
      </w:r>
      <w:r>
        <w:rPr>
          <w:vertAlign w:val="baseline"/>
        </w:rPr>
        <w:t>replace,</w:t>
      </w:r>
      <w:r>
        <w:rPr>
          <w:spacing w:val="5"/>
          <w:vertAlign w:val="baseline"/>
        </w:rPr>
        <w:t> </w:t>
      </w:r>
      <w:r>
        <w:rPr>
          <w:vertAlign w:val="baseline"/>
        </w:rPr>
        <w:t>repair</w:t>
      </w:r>
      <w:r>
        <w:rPr>
          <w:spacing w:val="4"/>
          <w:vertAlign w:val="baseline"/>
        </w:rPr>
        <w:t> </w:t>
      </w:r>
      <w:r>
        <w:rPr>
          <w:vertAlign w:val="baseline"/>
        </w:rPr>
        <w:t>or</w:t>
      </w:r>
      <w:r>
        <w:rPr>
          <w:spacing w:val="4"/>
          <w:vertAlign w:val="baseline"/>
        </w:rPr>
        <w:t> </w:t>
      </w:r>
      <w:r>
        <w:rPr>
          <w:vertAlign w:val="baseline"/>
        </w:rPr>
        <w:t>service</w:t>
      </w:r>
      <w:r>
        <w:rPr>
          <w:spacing w:val="4"/>
          <w:vertAlign w:val="baseline"/>
        </w:rPr>
        <w:t> </w:t>
      </w:r>
      <w:r>
        <w:rPr>
          <w:vertAlign w:val="baseline"/>
        </w:rPr>
        <w:t>the</w:t>
      </w:r>
      <w:r>
        <w:rPr>
          <w:spacing w:val="4"/>
          <w:vertAlign w:val="baseline"/>
        </w:rPr>
        <w:t> </w:t>
      </w:r>
      <w:r>
        <w:rPr>
          <w:spacing w:val="-2"/>
          <w:vertAlign w:val="baseline"/>
        </w:rPr>
        <w:t>goods</w:t>
      </w:r>
    </w:p>
    <w:p>
      <w:pPr>
        <w:pStyle w:val="BodyText"/>
        <w:spacing w:line="235" w:lineRule="auto"/>
        <w:ind w:left="164" w:right="167"/>
        <w:jc w:val="both"/>
      </w:pPr>
      <w:r>
        <w:rPr/>
        <w:t>… if they do not meet the specifications or any other requirement set out in the guarantee </w:t>
      </w:r>
      <w:r>
        <w:rPr/>
        <w:t>statement or in the relevant advertising …”. When such an undertaking is given by the “trader” to the</w:t>
      </w:r>
      <w:r>
        <w:rPr>
          <w:spacing w:val="40"/>
        </w:rPr>
        <w:t> </w:t>
      </w:r>
      <w:r>
        <w:rPr/>
        <w:t>“consumer”, such a guarantee will no doubt take effect as a term in the “sales contract”, defined in reg.5 as a contract between these parties. But this reasoning cannot apply where the undertaking is given to the consumer by the producer when, as will often be the case, there is no “sales contract” </w:t>
      </w:r>
      <w:bookmarkStart w:name="_bookmark316" w:id="318"/>
      <w:bookmarkEnd w:id="318"/>
      <w:r>
        <w:rPr/>
        <w:t>between</w:t>
      </w:r>
      <w:r>
        <w:rPr/>
        <w:t> these parties; and the definition of the “guarantee” in reg.5 contains no words resembling those of s.30(3) of the 2015 Act </w:t>
      </w:r>
      <w:r>
        <w:rPr>
          <w:color w:val="005DA1"/>
          <w:u w:val="single" w:color="005DA1"/>
          <w:vertAlign w:val="superscript"/>
        </w:rPr>
        <w:t>183</w:t>
      </w:r>
      <w:r>
        <w:rPr>
          <w:color w:val="005DA1"/>
          <w:vertAlign w:val="baseline"/>
        </w:rPr>
        <w:t> </w:t>
      </w:r>
      <w:r>
        <w:rPr>
          <w:vertAlign w:val="baseline"/>
        </w:rPr>
        <w:t>which provide the legal basis for the producer’s liability to the consumer in respect of statements made by or on behalf of the “producer” when that person is not a party to the contract of sale. It may be possible to account for the absence from the 2013 Regulations of words providing any such legal basis on the ground that these Regulations are not directly concerned with the binding force of a “commercial guarantee” on a guarantor other than the “trader.” </w:t>
      </w:r>
      <w:bookmarkStart w:name="_bookmark317" w:id="319"/>
      <w:bookmarkEnd w:id="319"/>
      <w:r>
        <w:rPr>
          <w:vertAlign w:val="baseline"/>
        </w:rPr>
        <w:t>They</w:t>
      </w:r>
      <w:r>
        <w:rPr>
          <w:vertAlign w:val="baseline"/>
        </w:rPr>
        <w:t> make use of the concept of such a guarantee only in including the existence of the guarantee in the lists of information (here to be called “the information requirements”) which the trader is required </w:t>
      </w:r>
      <w:r>
        <w:rPr>
          <w:color w:val="005DA1"/>
          <w:u w:val="single" w:color="005DA1"/>
          <w:vertAlign w:val="superscript"/>
        </w:rPr>
        <w:t>184</w:t>
      </w:r>
      <w:r>
        <w:rPr>
          <w:color w:val="005DA1"/>
          <w:vertAlign w:val="baseline"/>
        </w:rPr>
        <w:t> </w:t>
      </w:r>
      <w:bookmarkStart w:name="_bookmark318" w:id="320"/>
      <w:bookmarkEnd w:id="320"/>
      <w:r>
        <w:rPr>
          <w:color w:val="005DA1"/>
          <w:spacing w:val="4"/>
          <w:vertAlign w:val="baseline"/>
        </w:rPr>
      </w:r>
      <w:r>
        <w:rPr>
          <w:vertAlign w:val="baseline"/>
        </w:rPr>
        <w:t>to make available to the consumer. It is true that such information is “to be treated as a term of the contract” </w:t>
      </w:r>
      <w:r>
        <w:rPr>
          <w:color w:val="005DA1"/>
          <w:u w:val="single" w:color="005DA1"/>
          <w:vertAlign w:val="superscript"/>
        </w:rPr>
        <w:t>185</w:t>
      </w:r>
      <w:r>
        <w:rPr>
          <w:vertAlign w:val="baseline"/>
        </w:rPr>
        <w:t>; but the contract here referred to is that between the </w:t>
      </w:r>
      <w:r>
        <w:rPr>
          <w:rFonts w:ascii="Arial" w:hAnsi="Arial"/>
          <w:i/>
          <w:vertAlign w:val="baseline"/>
        </w:rPr>
        <w:t>trader </w:t>
      </w:r>
      <w:r>
        <w:rPr>
          <w:vertAlign w:val="baseline"/>
        </w:rPr>
        <w:t>and the consumer, as </w:t>
      </w:r>
      <w:bookmarkStart w:name="_bookmark319" w:id="321"/>
      <w:bookmarkEnd w:id="321"/>
      <w:r>
        <w:rPr>
          <w:vertAlign w:val="baseline"/>
        </w:rPr>
        <w:t>opposed</w:t>
      </w:r>
      <w:r>
        <w:rPr>
          <w:vertAlign w:val="baseline"/>
        </w:rPr>
        <w:t> to any further contract that may arise between the consumer and the </w:t>
      </w:r>
      <w:r>
        <w:rPr>
          <w:rFonts w:ascii="Arial" w:hAnsi="Arial"/>
          <w:i/>
          <w:vertAlign w:val="baseline"/>
        </w:rPr>
        <w:t>guarantor </w:t>
      </w:r>
      <w:r>
        <w:rPr>
          <w:vertAlign w:val="baseline"/>
        </w:rPr>
        <w:t>where (and even though) the latter is not a party to the “sales contract” </w:t>
      </w:r>
      <w:r>
        <w:rPr>
          <w:color w:val="005DA1"/>
          <w:u w:val="single" w:color="005DA1"/>
          <w:vertAlign w:val="superscript"/>
        </w:rPr>
        <w:t>186</w:t>
      </w:r>
      <w:r>
        <w:rPr>
          <w:color w:val="005DA1"/>
          <w:vertAlign w:val="baseline"/>
        </w:rPr>
        <w:t> </w:t>
      </w:r>
      <w:r>
        <w:rPr>
          <w:vertAlign w:val="baseline"/>
        </w:rPr>
        <w:t>between the consumer and the trader. These</w:t>
      </w:r>
      <w:r>
        <w:rPr>
          <w:spacing w:val="-1"/>
          <w:vertAlign w:val="baseline"/>
        </w:rPr>
        <w:t> </w:t>
      </w:r>
      <w:r>
        <w:rPr>
          <w:vertAlign w:val="baseline"/>
        </w:rPr>
        <w:t>information</w:t>
      </w:r>
      <w:r>
        <w:rPr>
          <w:spacing w:val="-1"/>
          <w:vertAlign w:val="baseline"/>
        </w:rPr>
        <w:t> </w:t>
      </w:r>
      <w:r>
        <w:rPr>
          <w:vertAlign w:val="baseline"/>
        </w:rPr>
        <w:t>requirements</w:t>
      </w:r>
      <w:r>
        <w:rPr>
          <w:spacing w:val="-1"/>
          <w:vertAlign w:val="baseline"/>
        </w:rPr>
        <w:t> </w:t>
      </w:r>
      <w:r>
        <w:rPr>
          <w:vertAlign w:val="baseline"/>
        </w:rPr>
        <w:t>are</w:t>
      </w:r>
      <w:r>
        <w:rPr>
          <w:spacing w:val="-1"/>
          <w:vertAlign w:val="baseline"/>
        </w:rPr>
        <w:t> </w:t>
      </w:r>
      <w:r>
        <w:rPr>
          <w:vertAlign w:val="baseline"/>
        </w:rPr>
        <w:t>imported</w:t>
      </w:r>
      <w:r>
        <w:rPr>
          <w:spacing w:val="-1"/>
          <w:vertAlign w:val="baseline"/>
        </w:rPr>
        <w:t> </w:t>
      </w:r>
      <w:r>
        <w:rPr>
          <w:vertAlign w:val="baseline"/>
        </w:rPr>
        <w:t>into</w:t>
      </w:r>
      <w:r>
        <w:rPr>
          <w:spacing w:val="-1"/>
          <w:vertAlign w:val="baseline"/>
        </w:rPr>
        <w:t> </w:t>
      </w:r>
      <w:r>
        <w:rPr>
          <w:vertAlign w:val="baseline"/>
        </w:rPr>
        <w:t>the</w:t>
      </w:r>
      <w:r>
        <w:rPr>
          <w:spacing w:val="-1"/>
          <w:vertAlign w:val="baseline"/>
        </w:rPr>
        <w:t> </w:t>
      </w:r>
      <w:r>
        <w:rPr>
          <w:vertAlign w:val="baseline"/>
        </w:rPr>
        <w:t>Consumer</w:t>
      </w:r>
      <w:r>
        <w:rPr>
          <w:spacing w:val="-1"/>
          <w:vertAlign w:val="baseline"/>
        </w:rPr>
        <w:t> </w:t>
      </w:r>
      <w:r>
        <w:rPr>
          <w:vertAlign w:val="baseline"/>
        </w:rPr>
        <w:t>Rights</w:t>
      </w:r>
      <w:r>
        <w:rPr>
          <w:spacing w:val="-1"/>
          <w:vertAlign w:val="baseline"/>
        </w:rPr>
        <w:t> </w:t>
      </w:r>
      <w:r>
        <w:rPr>
          <w:vertAlign w:val="baseline"/>
        </w:rPr>
        <w:t>Act</w:t>
      </w:r>
      <w:r>
        <w:rPr>
          <w:spacing w:val="-1"/>
          <w:vertAlign w:val="baseline"/>
        </w:rPr>
        <w:t> </w:t>
      </w:r>
      <w:r>
        <w:rPr>
          <w:vertAlign w:val="baseline"/>
        </w:rPr>
        <w:t>2015,</w:t>
      </w:r>
      <w:r>
        <w:rPr>
          <w:spacing w:val="-1"/>
          <w:vertAlign w:val="baseline"/>
        </w:rPr>
        <w:t> </w:t>
      </w:r>
      <w:r>
        <w:rPr>
          <w:vertAlign w:val="baseline"/>
        </w:rPr>
        <w:t>which</w:t>
      </w:r>
      <w:r>
        <w:rPr>
          <w:spacing w:val="-1"/>
          <w:vertAlign w:val="baseline"/>
        </w:rPr>
        <w:t> </w:t>
      </w:r>
      <w:r>
        <w:rPr>
          <w:vertAlign w:val="baseline"/>
        </w:rPr>
        <w:t>provides</w:t>
      </w:r>
      <w:r>
        <w:rPr>
          <w:spacing w:val="-1"/>
          <w:vertAlign w:val="baseline"/>
        </w:rPr>
        <w:t> </w:t>
      </w:r>
      <w:r>
        <w:rPr>
          <w:vertAlign w:val="baseline"/>
        </w:rPr>
        <w:t>that </w:t>
      </w:r>
      <w:bookmarkStart w:name="_bookmark320" w:id="322"/>
      <w:bookmarkEnd w:id="322"/>
      <w:r>
        <w:rPr>
          <w:vertAlign w:val="baseline"/>
        </w:rPr>
        <w:t>where</w:t>
      </w:r>
      <w:r>
        <w:rPr>
          <w:vertAlign w:val="baseline"/>
        </w:rPr>
        <w:t> a trader is required by the above provisions of the 2013 Regulations to provide information to </w:t>
      </w:r>
      <w:bookmarkStart w:name="_bookmark321" w:id="323"/>
      <w:bookmarkEnd w:id="323"/>
      <w:r>
        <w:rPr>
          <w:vertAlign w:val="baseline"/>
        </w:rPr>
        <w:t>the</w:t>
      </w:r>
      <w:r>
        <w:rPr>
          <w:vertAlign w:val="baseline"/>
        </w:rPr>
        <w:t> consumer, the information so provided “is to be treated as included as a term of the contract” </w:t>
      </w:r>
      <w:r>
        <w:rPr>
          <w:color w:val="005DA1"/>
          <w:u w:val="single" w:color="005DA1"/>
          <w:vertAlign w:val="superscript"/>
        </w:rPr>
        <w:t>187</w:t>
      </w:r>
      <w:r>
        <w:rPr>
          <w:color w:val="005DA1"/>
          <w:vertAlign w:val="baseline"/>
        </w:rPr>
        <w:t> </w:t>
      </w:r>
      <w:bookmarkStart w:name="_bookmark322" w:id="324"/>
      <w:bookmarkEnd w:id="324"/>
      <w:r>
        <w:rPr>
          <w:color w:val="005DA1"/>
          <w:w w:val="92"/>
          <w:vertAlign w:val="baseline"/>
        </w:rPr>
      </w:r>
      <w:r>
        <w:rPr>
          <w:vertAlign w:val="baseline"/>
        </w:rPr>
        <w:t>and under the Act this rule applies not only to contracts for the supply of goods </w:t>
      </w:r>
      <w:r>
        <w:rPr>
          <w:color w:val="005DA1"/>
          <w:u w:val="single" w:color="005DA1"/>
          <w:vertAlign w:val="superscript"/>
        </w:rPr>
        <w:t>188</w:t>
      </w:r>
      <w:r>
        <w:rPr>
          <w:color w:val="005DA1"/>
          <w:vertAlign w:val="baseline"/>
        </w:rPr>
        <w:t> </w:t>
      </w:r>
      <w:r>
        <w:rPr>
          <w:vertAlign w:val="baseline"/>
        </w:rPr>
        <w:t>but also to those</w:t>
      </w:r>
      <w:r>
        <w:rPr>
          <w:spacing w:val="40"/>
          <w:vertAlign w:val="baseline"/>
        </w:rPr>
        <w:t> </w:t>
      </w:r>
      <w:bookmarkStart w:name="_bookmark323" w:id="325"/>
      <w:bookmarkEnd w:id="325"/>
      <w:r>
        <w:rPr>
          <w:vertAlign w:val="baseline"/>
        </w:rPr>
        <w:t>for</w:t>
      </w:r>
      <w:r>
        <w:rPr>
          <w:vertAlign w:val="baseline"/>
        </w:rPr>
        <w:t> the supply of digital content </w:t>
      </w:r>
      <w:r>
        <w:rPr>
          <w:color w:val="005DA1"/>
          <w:u w:val="single" w:color="005DA1"/>
          <w:vertAlign w:val="superscript"/>
        </w:rPr>
        <w:t>189</w:t>
      </w:r>
      <w:r>
        <w:rPr>
          <w:color w:val="005DA1"/>
          <w:vertAlign w:val="baseline"/>
        </w:rPr>
        <w:t> </w:t>
      </w:r>
      <w:r>
        <w:rPr>
          <w:vertAlign w:val="baseline"/>
        </w:rPr>
        <w:t>and for the supply of services. </w:t>
      </w:r>
      <w:r>
        <w:rPr>
          <w:color w:val="005DA1"/>
          <w:u w:val="single" w:color="005DA1"/>
          <w:vertAlign w:val="superscript"/>
        </w:rPr>
        <w:t>190</w:t>
      </w:r>
      <w:r>
        <w:rPr>
          <w:color w:val="005DA1"/>
          <w:vertAlign w:val="baseline"/>
        </w:rPr>
        <w:t> </w:t>
      </w:r>
      <w:r>
        <w:rPr>
          <w:vertAlign w:val="baseline"/>
        </w:rPr>
        <w:t>Again these contracts are those between</w:t>
      </w:r>
      <w:r>
        <w:rPr>
          <w:spacing w:val="2"/>
          <w:vertAlign w:val="baseline"/>
        </w:rPr>
        <w:t> </w:t>
      </w:r>
      <w:r>
        <w:rPr>
          <w:vertAlign w:val="baseline"/>
        </w:rPr>
        <w:t>the</w:t>
      </w:r>
      <w:r>
        <w:rPr>
          <w:spacing w:val="2"/>
          <w:vertAlign w:val="baseline"/>
        </w:rPr>
        <w:t> </w:t>
      </w:r>
      <w:r>
        <w:rPr>
          <w:vertAlign w:val="baseline"/>
        </w:rPr>
        <w:t>trader</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consumer</w:t>
      </w:r>
      <w:r>
        <w:rPr>
          <w:spacing w:val="2"/>
          <w:vertAlign w:val="baseline"/>
        </w:rPr>
        <w:t> </w:t>
      </w:r>
      <w:r>
        <w:rPr>
          <w:color w:val="005DA1"/>
          <w:u w:val="single" w:color="005DA1"/>
          <w:vertAlign w:val="superscript"/>
        </w:rPr>
        <w:t>191</w:t>
      </w:r>
      <w:r>
        <w:rPr>
          <w:color w:val="005DA1"/>
          <w:spacing w:val="2"/>
          <w:vertAlign w:val="baseline"/>
        </w:rPr>
        <w:t> </w:t>
      </w:r>
      <w:r>
        <w:rPr>
          <w:vertAlign w:val="baseline"/>
        </w:rPr>
        <w:t>and</w:t>
      </w:r>
      <w:r>
        <w:rPr>
          <w:spacing w:val="2"/>
          <w:vertAlign w:val="baseline"/>
        </w:rPr>
        <w:t> </w:t>
      </w:r>
      <w:r>
        <w:rPr>
          <w:vertAlign w:val="baseline"/>
        </w:rPr>
        <w:t>so</w:t>
      </w:r>
      <w:r>
        <w:rPr>
          <w:spacing w:val="2"/>
          <w:vertAlign w:val="baseline"/>
        </w:rPr>
        <w:t> </w:t>
      </w:r>
      <w:r>
        <w:rPr>
          <w:vertAlign w:val="baseline"/>
        </w:rPr>
        <w:t>do</w:t>
      </w:r>
      <w:r>
        <w:rPr>
          <w:spacing w:val="2"/>
          <w:vertAlign w:val="baseline"/>
        </w:rPr>
        <w:t> </w:t>
      </w:r>
      <w:r>
        <w:rPr>
          <w:vertAlign w:val="baseline"/>
        </w:rPr>
        <w:t>not,</w:t>
      </w:r>
      <w:r>
        <w:rPr>
          <w:spacing w:val="2"/>
          <w:vertAlign w:val="baseline"/>
        </w:rPr>
        <w:t> </w:t>
      </w:r>
      <w:r>
        <w:rPr>
          <w:vertAlign w:val="baseline"/>
        </w:rPr>
        <w:t>of</w:t>
      </w:r>
      <w:r>
        <w:rPr>
          <w:spacing w:val="2"/>
          <w:vertAlign w:val="baseline"/>
        </w:rPr>
        <w:t> </w:t>
      </w:r>
      <w:r>
        <w:rPr>
          <w:vertAlign w:val="baseline"/>
        </w:rPr>
        <w:t>themselves</w:t>
      </w:r>
      <w:r>
        <w:rPr>
          <w:spacing w:val="2"/>
          <w:vertAlign w:val="baseline"/>
        </w:rPr>
        <w:t> </w:t>
      </w:r>
      <w:r>
        <w:rPr>
          <w:vertAlign w:val="baseline"/>
        </w:rPr>
        <w:t>provide</w:t>
      </w:r>
      <w:r>
        <w:rPr>
          <w:spacing w:val="2"/>
          <w:vertAlign w:val="baseline"/>
        </w:rPr>
        <w:t> </w:t>
      </w:r>
      <w:r>
        <w:rPr>
          <w:vertAlign w:val="baseline"/>
        </w:rPr>
        <w:t>any</w:t>
      </w:r>
      <w:r>
        <w:rPr>
          <w:spacing w:val="2"/>
          <w:vertAlign w:val="baseline"/>
        </w:rPr>
        <w:t> </w:t>
      </w:r>
      <w:r>
        <w:rPr>
          <w:vertAlign w:val="baseline"/>
        </w:rPr>
        <w:t>legal</w:t>
      </w:r>
      <w:r>
        <w:rPr>
          <w:spacing w:val="2"/>
          <w:vertAlign w:val="baseline"/>
        </w:rPr>
        <w:t> </w:t>
      </w:r>
      <w:r>
        <w:rPr>
          <w:vertAlign w:val="baseline"/>
        </w:rPr>
        <w:t>basis</w:t>
      </w:r>
      <w:r>
        <w:rPr>
          <w:spacing w:val="2"/>
          <w:vertAlign w:val="baseline"/>
        </w:rPr>
        <w:t> </w:t>
      </w:r>
      <w:r>
        <w:rPr>
          <w:vertAlign w:val="baseline"/>
        </w:rPr>
        <w:t>for</w:t>
      </w:r>
      <w:r>
        <w:rPr>
          <w:spacing w:val="2"/>
          <w:vertAlign w:val="baseline"/>
        </w:rPr>
        <w:t> </w:t>
      </w:r>
      <w:r>
        <w:rPr>
          <w:spacing w:val="-5"/>
          <w:vertAlign w:val="baseline"/>
        </w:rPr>
        <w:t>any</w:t>
      </w:r>
    </w:p>
    <w:p>
      <w:pPr>
        <w:pStyle w:val="BodyText"/>
        <w:spacing w:after="0" w:line="235" w:lineRule="auto"/>
        <w:jc w:val="both"/>
        <w:sectPr>
          <w:pgSz w:w="11900" w:h="16840"/>
          <w:pgMar w:header="971" w:footer="0" w:top="1160" w:bottom="280" w:left="1275" w:right="1275"/>
        </w:sectPr>
      </w:pPr>
    </w:p>
    <w:p>
      <w:pPr>
        <w:pStyle w:val="BodyText"/>
        <w:spacing w:before="84"/>
      </w:pPr>
    </w:p>
    <w:p>
      <w:pPr>
        <w:pStyle w:val="BodyText"/>
        <w:spacing w:line="235" w:lineRule="auto" w:before="1"/>
        <w:ind w:left="164" w:right="167"/>
        <w:jc w:val="both"/>
      </w:pPr>
      <w:r>
        <w:rPr/>
        <w:t>contractual or other liability of the guarantor to the consumer where the guarantor is a person </w:t>
      </w:r>
      <w:r>
        <w:rPr/>
        <w:t>other than the trader. But in the present context the important point is that, by applying the “information requirements” of the 2013 Regulations to contracts for the supply of digital content (s.37(2) and for</w:t>
      </w:r>
      <w:r>
        <w:rPr>
          <w:spacing w:val="80"/>
        </w:rPr>
        <w:t> </w:t>
      </w:r>
      <w:r>
        <w:rPr/>
        <w:t>the supply of services (s.50(3)) the 2015 Act has made the concept of a “commercial guarantee” a part</w:t>
      </w:r>
      <w:r>
        <w:rPr>
          <w:spacing w:val="-1"/>
        </w:rPr>
        <w:t> </w:t>
      </w:r>
      <w:r>
        <w:rPr/>
        <w:t>of</w:t>
      </w:r>
      <w:r>
        <w:rPr>
          <w:spacing w:val="-1"/>
        </w:rPr>
        <w:t> </w:t>
      </w:r>
      <w:r>
        <w:rPr/>
        <w:t>the</w:t>
      </w:r>
      <w:r>
        <w:rPr>
          <w:spacing w:val="-1"/>
        </w:rPr>
        <w:t> </w:t>
      </w:r>
      <w:r>
        <w:rPr/>
        <w:t>law</w:t>
      </w:r>
      <w:r>
        <w:rPr>
          <w:spacing w:val="-1"/>
        </w:rPr>
        <w:t> </w:t>
      </w:r>
      <w:r>
        <w:rPr/>
        <w:t>relating</w:t>
      </w:r>
      <w:r>
        <w:rPr>
          <w:spacing w:val="-1"/>
        </w:rPr>
        <w:t> </w:t>
      </w:r>
      <w:r>
        <w:rPr/>
        <w:t>to</w:t>
      </w:r>
      <w:r>
        <w:rPr>
          <w:spacing w:val="-1"/>
        </w:rPr>
        <w:t> </w:t>
      </w:r>
      <w:r>
        <w:rPr/>
        <w:t>such</w:t>
      </w:r>
      <w:r>
        <w:rPr>
          <w:spacing w:val="-1"/>
        </w:rPr>
        <w:t> </w:t>
      </w:r>
      <w:r>
        <w:rPr/>
        <w:t>contracts</w:t>
      </w:r>
      <w:r>
        <w:rPr>
          <w:spacing w:val="-1"/>
        </w:rPr>
        <w:t> </w:t>
      </w:r>
      <w:r>
        <w:rPr/>
        <w:t>even</w:t>
      </w:r>
      <w:r>
        <w:rPr>
          <w:spacing w:val="-1"/>
        </w:rPr>
        <w:t> </w:t>
      </w:r>
      <w:r>
        <w:rPr/>
        <w:t>though</w:t>
      </w:r>
      <w:r>
        <w:rPr>
          <w:spacing w:val="-1"/>
        </w:rPr>
        <w:t> </w:t>
      </w:r>
      <w:r>
        <w:rPr/>
        <w:t>the</w:t>
      </w:r>
      <w:r>
        <w:rPr>
          <w:spacing w:val="-1"/>
        </w:rPr>
        <w:t> </w:t>
      </w:r>
      <w:r>
        <w:rPr/>
        <w:t>words</w:t>
      </w:r>
      <w:r>
        <w:rPr>
          <w:spacing w:val="-1"/>
        </w:rPr>
        <w:t> </w:t>
      </w:r>
      <w:r>
        <w:rPr/>
        <w:t>of</w:t>
      </w:r>
      <w:r>
        <w:rPr>
          <w:spacing w:val="-1"/>
        </w:rPr>
        <w:t> </w:t>
      </w:r>
      <w:r>
        <w:rPr/>
        <w:t>the</w:t>
      </w:r>
      <w:r>
        <w:rPr>
          <w:spacing w:val="-1"/>
        </w:rPr>
        <w:t> </w:t>
      </w:r>
      <w:r>
        <w:rPr/>
        <w:t>Act</w:t>
      </w:r>
      <w:r>
        <w:rPr>
          <w:spacing w:val="-1"/>
        </w:rPr>
        <w:t> </w:t>
      </w:r>
      <w:r>
        <w:rPr/>
        <w:t>itself</w:t>
      </w:r>
      <w:r>
        <w:rPr>
          <w:spacing w:val="-1"/>
        </w:rPr>
        <w:t> </w:t>
      </w:r>
      <w:r>
        <w:rPr/>
        <w:t>do</w:t>
      </w:r>
      <w:r>
        <w:rPr>
          <w:spacing w:val="-1"/>
        </w:rPr>
        <w:t> </w:t>
      </w:r>
      <w:r>
        <w:rPr/>
        <w:t>not</w:t>
      </w:r>
      <w:r>
        <w:rPr>
          <w:spacing w:val="-1"/>
        </w:rPr>
        <w:t> </w:t>
      </w:r>
      <w:r>
        <w:rPr/>
        <w:t>apply</w:t>
      </w:r>
      <w:r>
        <w:rPr>
          <w:spacing w:val="-1"/>
        </w:rPr>
        <w:t> </w:t>
      </w:r>
      <w:r>
        <w:rPr/>
        <w:t>any</w:t>
      </w:r>
      <w:r>
        <w:rPr>
          <w:spacing w:val="-1"/>
        </w:rPr>
        <w:t> </w:t>
      </w:r>
      <w:r>
        <w:rPr/>
        <w:t>such concept</w:t>
      </w:r>
      <w:r>
        <w:rPr>
          <w:spacing w:val="-2"/>
        </w:rPr>
        <w:t> </w:t>
      </w:r>
      <w:r>
        <w:rPr/>
        <w:t>to</w:t>
      </w:r>
      <w:r>
        <w:rPr>
          <w:spacing w:val="-2"/>
        </w:rPr>
        <w:t> </w:t>
      </w:r>
      <w:r>
        <w:rPr/>
        <w:t>them</w:t>
      </w:r>
      <w:r>
        <w:rPr>
          <w:spacing w:val="-2"/>
        </w:rPr>
        <w:t> </w:t>
      </w:r>
      <w:r>
        <w:rPr/>
        <w:t>and</w:t>
      </w:r>
      <w:r>
        <w:rPr>
          <w:spacing w:val="-2"/>
        </w:rPr>
        <w:t> </w:t>
      </w:r>
      <w:r>
        <w:rPr/>
        <w:t>do</w:t>
      </w:r>
      <w:r>
        <w:rPr>
          <w:spacing w:val="-2"/>
        </w:rPr>
        <w:t> </w:t>
      </w:r>
      <w:r>
        <w:rPr/>
        <w:t>not</w:t>
      </w:r>
      <w:r>
        <w:rPr>
          <w:spacing w:val="-2"/>
        </w:rPr>
        <w:t> </w:t>
      </w:r>
      <w:r>
        <w:rPr/>
        <w:t>contain</w:t>
      </w:r>
      <w:r>
        <w:rPr>
          <w:spacing w:val="-2"/>
        </w:rPr>
        <w:t> </w:t>
      </w:r>
      <w:r>
        <w:rPr/>
        <w:t>any</w:t>
      </w:r>
      <w:r>
        <w:rPr>
          <w:spacing w:val="-2"/>
        </w:rPr>
        <w:t> </w:t>
      </w:r>
      <w:r>
        <w:rPr/>
        <w:t>provision</w:t>
      </w:r>
      <w:r>
        <w:rPr>
          <w:spacing w:val="-2"/>
        </w:rPr>
        <w:t> </w:t>
      </w:r>
      <w:r>
        <w:rPr/>
        <w:t>resembling</w:t>
      </w:r>
      <w:r>
        <w:rPr>
          <w:spacing w:val="-2"/>
        </w:rPr>
        <w:t> </w:t>
      </w:r>
      <w:r>
        <w:rPr/>
        <w:t>s.30(3)</w:t>
      </w:r>
      <w:r>
        <w:rPr>
          <w:spacing w:val="-2"/>
        </w:rPr>
        <w:t> </w:t>
      </w:r>
      <w:r>
        <w:rPr/>
        <w:t>of</w:t>
      </w:r>
      <w:r>
        <w:rPr>
          <w:spacing w:val="-2"/>
        </w:rPr>
        <w:t> </w:t>
      </w:r>
      <w:r>
        <w:rPr/>
        <w:t>the</w:t>
      </w:r>
      <w:r>
        <w:rPr>
          <w:spacing w:val="-2"/>
        </w:rPr>
        <w:t> </w:t>
      </w:r>
      <w:r>
        <w:rPr/>
        <w:t>Act,</w:t>
      </w:r>
      <w:r>
        <w:rPr>
          <w:spacing w:val="-2"/>
        </w:rPr>
        <w:t> </w:t>
      </w:r>
      <w:r>
        <w:rPr/>
        <w:t>which</w:t>
      </w:r>
      <w:r>
        <w:rPr>
          <w:spacing w:val="-2"/>
        </w:rPr>
        <w:t> </w:t>
      </w:r>
      <w:r>
        <w:rPr/>
        <w:t>in</w:t>
      </w:r>
      <w:r>
        <w:rPr>
          <w:spacing w:val="-2"/>
        </w:rPr>
        <w:t> </w:t>
      </w:r>
      <w:r>
        <w:rPr/>
        <w:t>terms</w:t>
      </w:r>
      <w:r>
        <w:rPr>
          <w:spacing w:val="-2"/>
        </w:rPr>
        <w:t> </w:t>
      </w:r>
      <w:r>
        <w:rPr/>
        <w:t>makes a third party guarantee legally enforceable by the consumer against the guarantor. The mere fact that the trader must inform the consumer of the existence of the guarantee and that this information is “treated as included in the contract” does not in terms tell us anything about the liability of the guarantor to the consumer since the contract in which the information about the guarantee must be </w:t>
      </w:r>
      <w:bookmarkStart w:name="_bookmark324" w:id="326"/>
      <w:bookmarkEnd w:id="326"/>
      <w:r>
        <w:rPr/>
        <w:t>treated</w:t>
      </w:r>
      <w:r>
        <w:rPr/>
        <w:t> as included is the contract between </w:t>
      </w:r>
      <w:r>
        <w:rPr>
          <w:rFonts w:ascii="Arial" w:hAnsi="Arial"/>
          <w:i/>
        </w:rPr>
        <w:t>trader </w:t>
      </w:r>
      <w:r>
        <w:rPr/>
        <w:t>and consumer, and this contract could not bind the </w:t>
      </w:r>
      <w:r>
        <w:rPr>
          <w:rFonts w:ascii="Arial" w:hAnsi="Arial"/>
          <w:i/>
        </w:rPr>
        <w:t>guarantor</w:t>
      </w:r>
      <w:r>
        <w:rPr/>
        <w:t>.</w:t>
      </w:r>
      <w:r>
        <w:rPr>
          <w:spacing w:val="-2"/>
        </w:rPr>
        <w:t> </w:t>
      </w:r>
      <w:r>
        <w:rPr>
          <w:color w:val="005DA1"/>
          <w:u w:val="single" w:color="005DA1"/>
          <w:vertAlign w:val="superscript"/>
        </w:rPr>
        <w:t>192</w:t>
      </w:r>
      <w:r>
        <w:rPr>
          <w:color w:val="005DA1"/>
          <w:spacing w:val="-2"/>
          <w:vertAlign w:val="baseline"/>
        </w:rPr>
        <w:t> </w:t>
      </w:r>
      <w:r>
        <w:rPr>
          <w:vertAlign w:val="baseline"/>
        </w:rPr>
        <w:t>So</w:t>
      </w:r>
      <w:r>
        <w:rPr>
          <w:spacing w:val="-2"/>
          <w:vertAlign w:val="baseline"/>
        </w:rPr>
        <w:t> </w:t>
      </w:r>
      <w:r>
        <w:rPr>
          <w:vertAlign w:val="baseline"/>
        </w:rPr>
        <w:t>one</w:t>
      </w:r>
      <w:r>
        <w:rPr>
          <w:spacing w:val="-2"/>
          <w:vertAlign w:val="baseline"/>
        </w:rPr>
        <w:t> </w:t>
      </w:r>
      <w:r>
        <w:rPr>
          <w:vertAlign w:val="baseline"/>
        </w:rPr>
        <w:t>possible</w:t>
      </w:r>
      <w:r>
        <w:rPr>
          <w:spacing w:val="-2"/>
          <w:vertAlign w:val="baseline"/>
        </w:rPr>
        <w:t> </w:t>
      </w:r>
      <w:r>
        <w:rPr>
          <w:vertAlign w:val="baseline"/>
        </w:rPr>
        <w:t>view</w:t>
      </w:r>
      <w:r>
        <w:rPr>
          <w:spacing w:val="-2"/>
          <w:vertAlign w:val="baseline"/>
        </w:rPr>
        <w:t> </w:t>
      </w:r>
      <w:r>
        <w:rPr>
          <w:vertAlign w:val="baseline"/>
        </w:rPr>
        <w:t>is</w:t>
      </w:r>
      <w:r>
        <w:rPr>
          <w:spacing w:val="-2"/>
          <w:vertAlign w:val="baseline"/>
        </w:rPr>
        <w:t> </w:t>
      </w:r>
      <w:r>
        <w:rPr>
          <w:vertAlign w:val="baseline"/>
        </w:rPr>
        <w:t>that,</w:t>
      </w:r>
      <w:r>
        <w:rPr>
          <w:spacing w:val="-2"/>
          <w:vertAlign w:val="baseline"/>
        </w:rPr>
        <w:t> </w:t>
      </w:r>
      <w:r>
        <w:rPr>
          <w:vertAlign w:val="baseline"/>
        </w:rPr>
        <w:t>by</w:t>
      </w:r>
      <w:r>
        <w:rPr>
          <w:spacing w:val="-2"/>
          <w:vertAlign w:val="baseline"/>
        </w:rPr>
        <w:t> </w:t>
      </w:r>
      <w:r>
        <w:rPr>
          <w:vertAlign w:val="baseline"/>
        </w:rPr>
        <w:t>reason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absence</w:t>
      </w:r>
      <w:r>
        <w:rPr>
          <w:spacing w:val="-2"/>
          <w:vertAlign w:val="baseline"/>
        </w:rPr>
        <w:t> </w:t>
      </w:r>
      <w:r>
        <w:rPr>
          <w:vertAlign w:val="baseline"/>
        </w:rPr>
        <w:t>of</w:t>
      </w:r>
      <w:r>
        <w:rPr>
          <w:spacing w:val="-2"/>
          <w:vertAlign w:val="baseline"/>
        </w:rPr>
        <w:t> </w:t>
      </w:r>
      <w:r>
        <w:rPr>
          <w:vertAlign w:val="baseline"/>
        </w:rPr>
        <w:t>express</w:t>
      </w:r>
      <w:r>
        <w:rPr>
          <w:spacing w:val="-2"/>
          <w:vertAlign w:val="baseline"/>
        </w:rPr>
        <w:t> </w:t>
      </w:r>
      <w:r>
        <w:rPr>
          <w:vertAlign w:val="baseline"/>
        </w:rPr>
        <w:t>words</w:t>
      </w:r>
      <w:r>
        <w:rPr>
          <w:spacing w:val="-2"/>
          <w:vertAlign w:val="baseline"/>
        </w:rPr>
        <w:t> </w:t>
      </w:r>
      <w:r>
        <w:rPr>
          <w:vertAlign w:val="baseline"/>
        </w:rPr>
        <w:t>to</w:t>
      </w:r>
      <w:r>
        <w:rPr>
          <w:spacing w:val="-2"/>
          <w:vertAlign w:val="baseline"/>
        </w:rPr>
        <w:t> </w:t>
      </w:r>
      <w:r>
        <w:rPr>
          <w:vertAlign w:val="baseline"/>
        </w:rPr>
        <w:t>that</w:t>
      </w:r>
      <w:r>
        <w:rPr>
          <w:spacing w:val="-2"/>
          <w:vertAlign w:val="baseline"/>
        </w:rPr>
        <w:t> </w:t>
      </w:r>
      <w:r>
        <w:rPr>
          <w:vertAlign w:val="baseline"/>
        </w:rPr>
        <w:t>effect</w:t>
      </w:r>
      <w:r>
        <w:rPr>
          <w:spacing w:val="-2"/>
          <w:vertAlign w:val="baseline"/>
        </w:rPr>
        <w:t> </w:t>
      </w:r>
      <w:r>
        <w:rPr>
          <w:vertAlign w:val="baseline"/>
        </w:rPr>
        <w:t>in the definition of a “commercial guarantee in reg.5, the guarantee cannot bind the guarantor. But there are, it is submitted, a number of reasons for rejecting this view. For one thing, it would be pointless to require the trader to inform the consumer of the existence of a guarantee which the consumer could not enforce against the guarantor. More seriously, such a requirement would be likely to mislead the consumers and would so, instead of protecting consumers, constitute a trap for them. Finally, if the requirement were interpreted in this way, it would lead to the conclusion that, under the 2015 Act, a guarantee given by a person other than the trader was legally enforceable by the consumer against the guarantor where the guarantee was given in relation to a contract for the supply of goods but not </w:t>
      </w:r>
      <w:bookmarkStart w:name="_bookmark325" w:id="327"/>
      <w:bookmarkEnd w:id="327"/>
      <w:r>
        <w:rPr>
          <w:vertAlign w:val="baseline"/>
        </w:rPr>
        <w:t>where</w:t>
      </w:r>
      <w:r>
        <w:rPr>
          <w:vertAlign w:val="baseline"/>
        </w:rPr>
        <w:t> the contract in relation to which it was given was one for the supply of digital content or one for the supply of services; and there seems to be no justification for such a distinction. </w:t>
      </w:r>
      <w:r>
        <w:rPr>
          <w:color w:val="005DA1"/>
          <w:u w:val="single" w:color="005DA1"/>
          <w:vertAlign w:val="superscript"/>
        </w:rPr>
        <w:t>193</w:t>
      </w:r>
      <w:r>
        <w:rPr>
          <w:color w:val="005DA1"/>
          <w:vertAlign w:val="baseline"/>
        </w:rPr>
        <w:t> </w:t>
      </w:r>
      <w:r>
        <w:rPr>
          <w:vertAlign w:val="baseline"/>
        </w:rPr>
        <w:t>For all these reasons, it is submitted that where, in pursuance of the “information requirements” to be imported</w:t>
      </w:r>
      <w:r>
        <w:rPr>
          <w:spacing w:val="40"/>
          <w:vertAlign w:val="baseline"/>
        </w:rPr>
        <w:t> </w:t>
      </w:r>
      <w:r>
        <w:rPr>
          <w:vertAlign w:val="baseline"/>
        </w:rPr>
        <w:t>from the 2013 Regulations into the 2015 Act, the trader informs the consumer of the existence of a “commercial guarantee” as defined by those Regulations, then the legislative scheme of the 2015 Act should be regarded as giving rise to an implication that, in this context, the reference should be to a guarantee</w:t>
      </w:r>
      <w:r>
        <w:rPr>
          <w:spacing w:val="-2"/>
          <w:vertAlign w:val="baseline"/>
        </w:rPr>
        <w:t> </w:t>
      </w:r>
      <w:r>
        <w:rPr>
          <w:vertAlign w:val="baseline"/>
        </w:rPr>
        <w:t>which</w:t>
      </w:r>
      <w:r>
        <w:rPr>
          <w:spacing w:val="-2"/>
          <w:vertAlign w:val="baseline"/>
        </w:rPr>
        <w:t> </w:t>
      </w:r>
      <w:r>
        <w:rPr>
          <w:vertAlign w:val="baseline"/>
        </w:rPr>
        <w:t>is</w:t>
      </w:r>
      <w:r>
        <w:rPr>
          <w:spacing w:val="-2"/>
          <w:vertAlign w:val="baseline"/>
        </w:rPr>
        <w:t> </w:t>
      </w:r>
      <w:r>
        <w:rPr>
          <w:vertAlign w:val="baseline"/>
        </w:rPr>
        <w:t>legally</w:t>
      </w:r>
      <w:r>
        <w:rPr>
          <w:spacing w:val="-2"/>
          <w:vertAlign w:val="baseline"/>
        </w:rPr>
        <w:t> </w:t>
      </w:r>
      <w:r>
        <w:rPr>
          <w:vertAlign w:val="baseline"/>
        </w:rPr>
        <w:t>enforceable</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consumer</w:t>
      </w:r>
      <w:r>
        <w:rPr>
          <w:spacing w:val="-2"/>
          <w:vertAlign w:val="baseline"/>
        </w:rPr>
        <w:t> </w:t>
      </w:r>
      <w:r>
        <w:rPr>
          <w:vertAlign w:val="baseline"/>
        </w:rPr>
        <w:t>against</w:t>
      </w:r>
      <w:r>
        <w:rPr>
          <w:spacing w:val="-2"/>
          <w:vertAlign w:val="baseline"/>
        </w:rPr>
        <w:t> </w:t>
      </w:r>
      <w:r>
        <w:rPr>
          <w:vertAlign w:val="baseline"/>
        </w:rPr>
        <w:t>the</w:t>
      </w:r>
      <w:r>
        <w:rPr>
          <w:spacing w:val="-2"/>
          <w:vertAlign w:val="baseline"/>
        </w:rPr>
        <w:t> </w:t>
      </w:r>
      <w:r>
        <w:rPr>
          <w:vertAlign w:val="baseline"/>
        </w:rPr>
        <w:t>guarantor,</w:t>
      </w:r>
      <w:r>
        <w:rPr>
          <w:spacing w:val="-2"/>
          <w:vertAlign w:val="baseline"/>
        </w:rPr>
        <w:t> </w:t>
      </w:r>
      <w:r>
        <w:rPr>
          <w:vertAlign w:val="baseline"/>
        </w:rPr>
        <w:t>even</w:t>
      </w:r>
      <w:r>
        <w:rPr>
          <w:spacing w:val="-2"/>
          <w:vertAlign w:val="baseline"/>
        </w:rPr>
        <w:t> </w:t>
      </w:r>
      <w:r>
        <w:rPr>
          <w:vertAlign w:val="baseline"/>
        </w:rPr>
        <w:t>where</w:t>
      </w:r>
      <w:r>
        <w:rPr>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no consideration moving from the consumer for the guarantor’s promise. The requirement of </w:t>
      </w:r>
      <w:bookmarkStart w:name="_bookmark326" w:id="328"/>
      <w:bookmarkEnd w:id="328"/>
      <w:r>
        <w:rPr>
          <w:vertAlign w:val="baseline"/>
        </w:rPr>
        <w:t>consideration</w:t>
      </w:r>
      <w:r>
        <w:rPr>
          <w:vertAlign w:val="baseline"/>
        </w:rPr>
        <w:t> continues to apply to a guarantee which is </w:t>
      </w:r>
      <w:r>
        <w:rPr>
          <w:rFonts w:ascii="Arial" w:hAnsi="Arial"/>
          <w:i/>
          <w:vertAlign w:val="baseline"/>
        </w:rPr>
        <w:t>not </w:t>
      </w:r>
      <w:r>
        <w:rPr>
          <w:vertAlign w:val="baseline"/>
        </w:rPr>
        <w:t>a “commercial guarantee” within the</w:t>
      </w:r>
      <w:r>
        <w:rPr>
          <w:spacing w:val="40"/>
          <w:vertAlign w:val="baseline"/>
        </w:rPr>
        <w:t> </w:t>
      </w:r>
      <w:r>
        <w:rPr>
          <w:vertAlign w:val="baseline"/>
        </w:rPr>
        <w:t>2013 Regulations or a “guarantee” within s.30(2) of the 2015 Act. </w:t>
      </w:r>
      <w:r>
        <w:rPr>
          <w:color w:val="005DA1"/>
          <w:u w:val="single" w:color="005DA1"/>
          <w:vertAlign w:val="superscript"/>
        </w:rPr>
        <w:t>194</w:t>
      </w:r>
      <w:r>
        <w:rPr>
          <w:color w:val="005DA1"/>
          <w:vertAlign w:val="baseline"/>
        </w:rPr>
        <w:t> </w:t>
      </w:r>
      <w:r>
        <w:rPr>
          <w:vertAlign w:val="baseline"/>
        </w:rPr>
        <w:t>In such cases there is, however, nothing in this legislation to prevent the guarantee from taking effect at common law to a collateral </w:t>
      </w:r>
      <w:bookmarkStart w:name="_bookmark327" w:id="329"/>
      <w:bookmarkEnd w:id="329"/>
      <w:r>
        <w:rPr>
          <w:vertAlign w:val="baseline"/>
        </w:rPr>
        <w:t>contract</w:t>
      </w:r>
      <w:r>
        <w:rPr>
          <w:vertAlign w:val="baseline"/>
        </w:rPr>
        <w:t> of the kind described in para.18-005 below provided that the requirements of consideration and contractual intention </w:t>
      </w:r>
      <w:r>
        <w:rPr>
          <w:color w:val="005DA1"/>
          <w:u w:val="single" w:color="005DA1"/>
          <w:vertAlign w:val="superscript"/>
        </w:rPr>
        <w:t>195</w:t>
      </w:r>
      <w:r>
        <w:rPr>
          <w:color w:val="005DA1"/>
          <w:vertAlign w:val="baseline"/>
        </w:rPr>
        <w:t> </w:t>
      </w:r>
      <w:r>
        <w:rPr>
          <w:vertAlign w:val="baseline"/>
        </w:rPr>
        <w:t>are satisfied.</w:t>
      </w:r>
    </w:p>
    <w:p>
      <w:pPr>
        <w:pStyle w:val="BodyText"/>
      </w:pPr>
    </w:p>
    <w:p>
      <w:pPr>
        <w:pStyle w:val="BodyText"/>
        <w:spacing w:before="26"/>
      </w:pPr>
    </w:p>
    <w:p>
      <w:pPr>
        <w:spacing w:before="0"/>
        <w:ind w:left="165" w:right="0" w:firstLine="0"/>
        <w:jc w:val="both"/>
        <w:rPr>
          <w:rFonts w:ascii="Arial"/>
          <w:b/>
          <w:sz w:val="18"/>
        </w:rPr>
      </w:pPr>
      <w:r>
        <w:rPr>
          <w:rFonts w:ascii="Arial"/>
          <w:b/>
          <w:sz w:val="18"/>
        </w:rPr>
        <w:t>Wording of promise not </w:t>
      </w:r>
      <w:r>
        <w:rPr>
          <w:rFonts w:ascii="Arial"/>
          <w:b/>
          <w:spacing w:val="-2"/>
          <w:sz w:val="18"/>
        </w:rPr>
        <w:t>decisive</w:t>
      </w:r>
    </w:p>
    <w:p>
      <w:pPr>
        <w:pStyle w:val="BodyText"/>
        <w:spacing w:before="41"/>
        <w:rPr>
          <w:rFonts w:ascii="Arial"/>
          <w:b/>
          <w:sz w:val="18"/>
        </w:rPr>
      </w:pPr>
    </w:p>
    <w:p>
      <w:pPr>
        <w:pStyle w:val="Heading2"/>
      </w:pPr>
      <w:r>
        <w:rPr/>
        <w:t>4-</w:t>
      </w:r>
      <w:r>
        <w:rPr>
          <w:spacing w:val="-5"/>
        </w:rPr>
        <w:t>029</w:t>
      </w:r>
    </w:p>
    <w:p>
      <w:pPr>
        <w:pStyle w:val="BodyText"/>
        <w:spacing w:line="235" w:lineRule="auto" w:before="203"/>
        <w:ind w:left="165" w:right="167"/>
        <w:jc w:val="both"/>
      </w:pPr>
      <w:bookmarkStart w:name="_bookmark328" w:id="330"/>
      <w:bookmarkEnd w:id="330"/>
      <w:r>
        <w:rPr/>
      </w:r>
      <w:r>
        <w:rPr/>
        <w:t>The question whether consideration is past is one of fact: the wording of the promise is not </w:t>
      </w:r>
      <w:r>
        <w:rPr/>
        <w:t>decisive. Thus in </w:t>
      </w:r>
      <w:r>
        <w:rPr>
          <w:rFonts w:ascii="Arial" w:hAnsi="Arial"/>
          <w:i/>
        </w:rPr>
        <w:t>Re McArdle </w:t>
      </w:r>
      <w:r>
        <w:rPr>
          <w:color w:val="005DA1"/>
          <w:u w:val="single" w:color="005DA1"/>
          <w:vertAlign w:val="superscript"/>
        </w:rPr>
        <w:t>196</w:t>
      </w:r>
      <w:r>
        <w:rPr>
          <w:color w:val="005DA1"/>
          <w:vertAlign w:val="baseline"/>
        </w:rPr>
        <w:t> </w:t>
      </w:r>
      <w:r>
        <w:rPr>
          <w:vertAlign w:val="baseline"/>
        </w:rPr>
        <w:t>a promise made “in consideration of your carrying out” certain work was held to be gratuitous on the ground that the work had already been done. Conversely, a promise made “in </w:t>
      </w:r>
      <w:bookmarkStart w:name="_bookmark329" w:id="331"/>
      <w:bookmarkEnd w:id="331"/>
      <w:r>
        <w:rPr>
          <w:vertAlign w:val="baseline"/>
        </w:rPr>
        <w:t>consideration</w:t>
      </w:r>
      <w:r>
        <w:rPr>
          <w:vertAlign w:val="baseline"/>
        </w:rPr>
        <w:t> of your having today advanced … £750” has been held to be binding on proof that the advance was made at the same time as the promise. </w:t>
      </w:r>
      <w:r>
        <w:rPr>
          <w:color w:val="005DA1"/>
          <w:u w:val="single" w:color="005DA1"/>
          <w:vertAlign w:val="superscript"/>
        </w:rPr>
        <w:t>197</w:t>
      </w:r>
    </w:p>
    <w:p>
      <w:pPr>
        <w:pStyle w:val="BodyText"/>
      </w:pPr>
    </w:p>
    <w:p>
      <w:pPr>
        <w:pStyle w:val="BodyText"/>
        <w:spacing w:before="36"/>
      </w:pPr>
    </w:p>
    <w:p>
      <w:pPr>
        <w:spacing w:before="0"/>
        <w:ind w:left="164" w:right="0" w:firstLine="0"/>
        <w:jc w:val="left"/>
        <w:rPr>
          <w:rFonts w:ascii="Arial" w:hAnsi="Arial"/>
          <w:b/>
          <w:sz w:val="18"/>
        </w:rPr>
      </w:pPr>
      <w:r>
        <w:rPr>
          <w:rFonts w:ascii="Arial" w:hAnsi="Arial"/>
          <w:b/>
          <w:sz w:val="18"/>
        </w:rPr>
        <w:t>Past act done at promisor’s </w:t>
      </w:r>
      <w:r>
        <w:rPr>
          <w:rFonts w:ascii="Arial" w:hAnsi="Arial"/>
          <w:b/>
          <w:spacing w:val="-2"/>
          <w:sz w:val="18"/>
        </w:rPr>
        <w:t>request</w:t>
      </w:r>
    </w:p>
    <w:p>
      <w:pPr>
        <w:pStyle w:val="BodyText"/>
        <w:spacing w:before="42"/>
        <w:rPr>
          <w:rFonts w:ascii="Arial"/>
          <w:b/>
          <w:sz w:val="18"/>
        </w:rPr>
      </w:pPr>
    </w:p>
    <w:p>
      <w:pPr>
        <w:pStyle w:val="Heading2"/>
        <w:ind w:left="164"/>
      </w:pPr>
      <w:r>
        <w:rPr/>
        <w:t>4-</w:t>
      </w:r>
      <w:r>
        <w:rPr>
          <w:spacing w:val="-5"/>
        </w:rPr>
        <w:t>030</w:t>
      </w:r>
    </w:p>
    <w:p>
      <w:pPr>
        <w:pStyle w:val="BodyText"/>
        <w:spacing w:line="235" w:lineRule="auto" w:before="202"/>
        <w:ind w:left="164" w:right="167"/>
        <w:jc w:val="both"/>
      </w:pPr>
      <w:bookmarkStart w:name="_bookmark330" w:id="332"/>
      <w:bookmarkEnd w:id="332"/>
      <w:r>
        <w:rPr/>
      </w:r>
      <w:r>
        <w:rPr/>
        <w:t>An act done before the promise was made can be consideration for the promise if three conditions</w:t>
      </w:r>
      <w:r>
        <w:rPr>
          <w:spacing w:val="80"/>
        </w:rPr>
        <w:t> </w:t>
      </w:r>
      <w:r>
        <w:rPr/>
        <w:t>are satisfied. </w:t>
      </w:r>
      <w:r>
        <w:rPr>
          <w:color w:val="005DA1"/>
          <w:u w:val="single" w:color="005DA1"/>
          <w:vertAlign w:val="superscript"/>
        </w:rPr>
        <w:t>198</w:t>
      </w:r>
      <w:r>
        <w:rPr>
          <w:color w:val="005DA1"/>
          <w:vertAlign w:val="baseline"/>
        </w:rPr>
        <w:t> </w:t>
      </w:r>
      <w:r>
        <w:rPr>
          <w:vertAlign w:val="baseline"/>
        </w:rPr>
        <w:t>First, the act must have been done at the request of the promisor </w:t>
      </w:r>
      <w:r>
        <w:rPr>
          <w:color w:val="005DA1"/>
          <w:u w:val="single" w:color="005DA1"/>
          <w:vertAlign w:val="superscript"/>
        </w:rPr>
        <w:t>199</w:t>
      </w:r>
      <w:r>
        <w:rPr>
          <w:vertAlign w:val="baseline"/>
        </w:rPr>
        <w:t>; secondly, it </w:t>
      </w:r>
      <w:bookmarkStart w:name="_bookmark331" w:id="333"/>
      <w:bookmarkEnd w:id="333"/>
      <w:r>
        <w:rPr>
          <w:vertAlign w:val="baseline"/>
        </w:rPr>
        <w:t>must</w:t>
      </w:r>
      <w:r>
        <w:rPr>
          <w:vertAlign w:val="baseline"/>
        </w:rPr>
        <w:t> have been understood that payment would be made; and thirdly, the payment, if it had been promised in advance, must have been legally recoverable. </w:t>
      </w:r>
      <w:r>
        <w:rPr>
          <w:color w:val="005DA1"/>
          <w:u w:val="single" w:color="005DA1"/>
          <w:vertAlign w:val="superscript"/>
        </w:rPr>
        <w:t>200</w:t>
      </w:r>
      <w:r>
        <w:rPr>
          <w:color w:val="005DA1"/>
          <w:vertAlign w:val="baseline"/>
        </w:rPr>
        <w:t> </w:t>
      </w:r>
      <w:r>
        <w:rPr>
          <w:vertAlign w:val="baseline"/>
        </w:rPr>
        <w:t>In such a case the promisee is, quite </w:t>
      </w:r>
      <w:bookmarkStart w:name="_bookmark332" w:id="334"/>
      <w:bookmarkEnd w:id="334"/>
      <w:r>
        <w:rPr>
          <w:vertAlign w:val="baseline"/>
        </w:rPr>
        <w:t>apart</w:t>
      </w:r>
      <w:r>
        <w:rPr>
          <w:vertAlign w:val="baseline"/>
        </w:rPr>
        <w:t> from the subsequent promise, entitled to a quantum meruit for his services. The promise can be regarded either as fixing the amount of that quantum meruit </w:t>
      </w:r>
      <w:r>
        <w:rPr>
          <w:color w:val="005DA1"/>
          <w:u w:val="single" w:color="005DA1"/>
          <w:vertAlign w:val="superscript"/>
        </w:rPr>
        <w:t>201</w:t>
      </w:r>
      <w:r>
        <w:rPr>
          <w:color w:val="005DA1"/>
          <w:vertAlign w:val="baseline"/>
        </w:rPr>
        <w:t> </w:t>
      </w:r>
      <w:r>
        <w:rPr>
          <w:vertAlign w:val="baseline"/>
        </w:rPr>
        <w:t>or as being given in consideration of the promisee’s releasing his quantum meruit claim. On the other hand, a past service for </w:t>
      </w:r>
      <w:r>
        <w:rPr>
          <w:vertAlign w:val="baseline"/>
        </w:rPr>
        <w:t>which </w:t>
      </w:r>
      <w:bookmarkStart w:name="_bookmark333" w:id="335"/>
      <w:bookmarkEnd w:id="335"/>
      <w:r>
        <w:rPr>
          <w:vertAlign w:val="baseline"/>
        </w:rPr>
        <w:t>payment</w:t>
      </w:r>
      <w:r>
        <w:rPr>
          <w:vertAlign w:val="baseline"/>
        </w:rPr>
        <w:t> was not expected, or one for which payment, though expected, is not legally recoverable, is no consideration for a subsequent promise to pay for it. </w:t>
      </w:r>
      <w:r>
        <w:rPr>
          <w:color w:val="005DA1"/>
          <w:u w:val="single" w:color="005DA1"/>
          <w:vertAlign w:val="superscript"/>
        </w:rPr>
        <w:t>202</w:t>
      </w:r>
    </w:p>
    <w:p>
      <w:pPr>
        <w:pStyle w:val="BodyText"/>
        <w:spacing w:after="0" w:line="235" w:lineRule="auto"/>
        <w:jc w:val="both"/>
        <w:sectPr>
          <w:pgSz w:w="11900" w:h="16840"/>
          <w:pgMar w:header="971" w:footer="0" w:top="1160" w:bottom="280" w:left="1275" w:right="1275"/>
        </w:sectPr>
      </w:pPr>
    </w:p>
    <w:p>
      <w:pPr>
        <w:pStyle w:val="BodyText"/>
        <w:rPr>
          <w:sz w:val="18"/>
        </w:rPr>
      </w:pPr>
    </w:p>
    <w:p>
      <w:pPr>
        <w:pStyle w:val="BodyText"/>
        <w:spacing w:before="119"/>
        <w:rPr>
          <w:sz w:val="18"/>
        </w:rPr>
      </w:pPr>
    </w:p>
    <w:p>
      <w:pPr>
        <w:spacing w:before="0"/>
        <w:ind w:left="165" w:right="0" w:firstLine="0"/>
        <w:jc w:val="left"/>
        <w:rPr>
          <w:rFonts w:ascii="Arial" w:hAnsi="Arial"/>
          <w:b/>
          <w:sz w:val="18"/>
        </w:rPr>
      </w:pPr>
      <w:r>
        <w:rPr>
          <w:rFonts w:ascii="Arial" w:hAnsi="Arial"/>
          <w:b/>
          <w:sz w:val="18"/>
        </w:rPr>
        <w:t>Past promise given at promisor’s </w:t>
      </w:r>
      <w:r>
        <w:rPr>
          <w:rFonts w:ascii="Arial" w:hAnsi="Arial"/>
          <w:b/>
          <w:spacing w:val="-2"/>
          <w:sz w:val="18"/>
        </w:rPr>
        <w:t>request</w:t>
      </w:r>
    </w:p>
    <w:p>
      <w:pPr>
        <w:pStyle w:val="BodyText"/>
        <w:spacing w:before="41"/>
        <w:rPr>
          <w:rFonts w:ascii="Arial"/>
          <w:b/>
          <w:sz w:val="18"/>
        </w:rPr>
      </w:pPr>
    </w:p>
    <w:p>
      <w:pPr>
        <w:pStyle w:val="Heading2"/>
        <w:spacing w:before="1"/>
      </w:pPr>
      <w:r>
        <w:rPr/>
        <w:t>4-</w:t>
      </w:r>
      <w:r>
        <w:rPr>
          <w:spacing w:val="-5"/>
        </w:rPr>
        <w:t>031</w:t>
      </w:r>
    </w:p>
    <w:p>
      <w:pPr>
        <w:pStyle w:val="BodyText"/>
        <w:spacing w:line="235" w:lineRule="auto" w:before="202"/>
        <w:ind w:left="164" w:right="167"/>
        <w:jc w:val="both"/>
      </w:pPr>
      <w:r>
        <w:rPr/>
        <w:t>The principle stated in para. 4-030 above can apply not only where the consideration for A’s </w:t>
      </w:r>
      <w:r>
        <w:rPr/>
        <w:t>promise </w:t>
      </w:r>
      <w:bookmarkStart w:name="_bookmark334" w:id="336"/>
      <w:bookmarkEnd w:id="336"/>
      <w:r>
        <w:rPr/>
        <w:t>consists</w:t>
      </w:r>
      <w:r>
        <w:rPr/>
        <w:t> of a past </w:t>
      </w:r>
      <w:r>
        <w:rPr>
          <w:rFonts w:ascii="Arial" w:hAnsi="Arial"/>
          <w:i/>
        </w:rPr>
        <w:t>act </w:t>
      </w:r>
      <w:r>
        <w:rPr/>
        <w:t>done by B at A’s request, but also where it consists of an earlier </w:t>
      </w:r>
      <w:r>
        <w:rPr>
          <w:rFonts w:ascii="Arial" w:hAnsi="Arial"/>
          <w:i/>
        </w:rPr>
        <w:t>promise </w:t>
      </w:r>
      <w:r>
        <w:rPr/>
        <w:t>made by B at A’s request. Thus in </w:t>
      </w:r>
      <w:r>
        <w:rPr>
          <w:rFonts w:ascii="Arial" w:hAnsi="Arial"/>
          <w:i/>
        </w:rPr>
        <w:t>Pao On v Lau Yiu Long </w:t>
      </w:r>
      <w:r>
        <w:rPr>
          <w:color w:val="005DA1"/>
          <w:u w:val="single" w:color="005DA1"/>
          <w:vertAlign w:val="superscript"/>
        </w:rPr>
        <w:t>203</w:t>
      </w:r>
      <w:r>
        <w:rPr>
          <w:color w:val="005DA1"/>
          <w:vertAlign w:val="baseline"/>
        </w:rPr>
        <w:t> </w:t>
      </w:r>
      <w:r>
        <w:rPr>
          <w:vertAlign w:val="baseline"/>
        </w:rPr>
        <w:t>the claimants had entered into a contract with the X Co for the sale to that company of their shares in another company. Under that contract, the claimants were to be paid by an allotment of shares in the X Co, and they also promised not to sell 60 per cent of these shares for one year. This promise had been made at the request of the defendants, who held most of the shares in the X Co and who were anxious that the value of their holding should not be depressed by a sudden sale of all the shares allotted to the claimants. Later, the defendants </w:t>
      </w:r>
      <w:bookmarkStart w:name="_bookmark335" w:id="337"/>
      <w:bookmarkEnd w:id="337"/>
      <w:r>
        <w:rPr>
          <w:vertAlign w:val="baseline"/>
        </w:rPr>
        <w:t>gave</w:t>
      </w:r>
      <w:r>
        <w:rPr>
          <w:vertAlign w:val="baseline"/>
        </w:rPr>
        <w:t> the claimants a guarantee in which they promised to indemnify the claimants against any loss </w:t>
      </w:r>
      <w:bookmarkStart w:name="_bookmark336" w:id="338"/>
      <w:bookmarkEnd w:id="338"/>
      <w:r>
        <w:rPr>
          <w:vertAlign w:val="baseline"/>
        </w:rPr>
        <w:t>which</w:t>
      </w:r>
      <w:r>
        <w:rPr>
          <w:vertAlign w:val="baseline"/>
        </w:rPr>
        <w:t> they might suffer as a result of a fall in the value during the year of the shares in the X Co </w:t>
      </w:r>
      <w:r>
        <w:rPr>
          <w:color w:val="005DA1"/>
          <w:u w:val="single" w:color="005DA1"/>
          <w:vertAlign w:val="superscript"/>
        </w:rPr>
        <w:t>204</w:t>
      </w:r>
      <w:r>
        <w:rPr>
          <w:color w:val="005DA1"/>
          <w:vertAlign w:val="baseline"/>
        </w:rPr>
        <w:t> </w:t>
      </w:r>
      <w:r>
        <w:rPr>
          <w:vertAlign w:val="baseline"/>
        </w:rPr>
        <w:t>The Privy Council rejected the argument that the consideration for the guarantee was past. </w:t>
      </w:r>
      <w:r>
        <w:rPr>
          <w:color w:val="005DA1"/>
          <w:u w:val="single" w:color="005DA1"/>
          <w:vertAlign w:val="superscript"/>
        </w:rPr>
        <w:t>205</w:t>
      </w:r>
      <w:r>
        <w:rPr>
          <w:color w:val="005DA1"/>
          <w:vertAlign w:val="baseline"/>
        </w:rPr>
        <w:t> </w:t>
      </w:r>
      <w:r>
        <w:rPr>
          <w:vertAlign w:val="baseline"/>
        </w:rPr>
        <w:t>The claimants’ promise not to sell the shares in the X Co was good consideration for the guarantee; for although that promise had been made before the guarantee was given, it had been made at the defendants’ request and on the understanding that the claimants were, in return for making it, to receive some form of protection against the risk (to which their promise exposed them) of a fall in the value of the X Co’s shares.</w:t>
      </w:r>
    </w:p>
    <w:p>
      <w:pPr>
        <w:pStyle w:val="BodyText"/>
      </w:pPr>
    </w:p>
    <w:p>
      <w:pPr>
        <w:pStyle w:val="BodyText"/>
        <w:spacing w:before="33"/>
      </w:pPr>
    </w:p>
    <w:p>
      <w:pPr>
        <w:spacing w:before="0"/>
        <w:ind w:left="165" w:right="0" w:firstLine="0"/>
        <w:jc w:val="left"/>
        <w:rPr>
          <w:rFonts w:ascii="Arial"/>
          <w:b/>
          <w:sz w:val="18"/>
        </w:rPr>
      </w:pPr>
      <w:r>
        <w:rPr>
          <w:rFonts w:ascii="Arial"/>
          <w:b/>
          <w:sz w:val="18"/>
        </w:rPr>
        <w:t>Antecedent </w:t>
      </w:r>
      <w:r>
        <w:rPr>
          <w:rFonts w:ascii="Arial"/>
          <w:b/>
          <w:spacing w:val="-4"/>
          <w:sz w:val="18"/>
        </w:rPr>
        <w:t>debt</w:t>
      </w:r>
    </w:p>
    <w:p>
      <w:pPr>
        <w:pStyle w:val="BodyText"/>
        <w:spacing w:before="41"/>
        <w:rPr>
          <w:rFonts w:ascii="Arial"/>
          <w:b/>
          <w:sz w:val="18"/>
        </w:rPr>
      </w:pPr>
    </w:p>
    <w:p>
      <w:pPr>
        <w:pStyle w:val="Heading2"/>
      </w:pPr>
      <w:r>
        <w:rPr/>
        <w:t>4-</w:t>
      </w:r>
      <w:r>
        <w:rPr>
          <w:spacing w:val="-5"/>
        </w:rPr>
        <w:t>032</w:t>
      </w:r>
    </w:p>
    <w:p>
      <w:pPr>
        <w:pStyle w:val="BodyText"/>
        <w:spacing w:line="235" w:lineRule="auto" w:before="203"/>
        <w:ind w:left="164" w:right="167"/>
        <w:jc w:val="both"/>
      </w:pPr>
      <w:r>
        <w:rPr/>
        <w:t>In a number of cases it has been held that the mere existence of an antecedent debt does </w:t>
      </w:r>
      <w:r>
        <w:rPr/>
        <w:t>not </w:t>
      </w:r>
      <w:bookmarkStart w:name="_bookmark337" w:id="339"/>
      <w:bookmarkEnd w:id="339"/>
      <w:r>
        <w:rPr/>
        <w:t>constitute</w:t>
      </w:r>
      <w:r>
        <w:rPr/>
        <w:t> “value” for a transfer since it amounts only to past consideration. Accordingly, in </w:t>
      </w:r>
      <w:r>
        <w:rPr>
          <w:rFonts w:ascii="Arial" w:hAnsi="Arial"/>
          <w:i/>
        </w:rPr>
        <w:t>Roger v Comptoir d’Escompte de Paris </w:t>
      </w:r>
      <w:r>
        <w:rPr>
          <w:color w:val="005DA1"/>
          <w:u w:val="single" w:color="005DA1"/>
          <w:vertAlign w:val="superscript"/>
        </w:rPr>
        <w:t>206</w:t>
      </w:r>
      <w:r>
        <w:rPr>
          <w:color w:val="005DA1"/>
          <w:vertAlign w:val="baseline"/>
        </w:rPr>
        <w:t> </w:t>
      </w:r>
      <w:r>
        <w:rPr>
          <w:vertAlign w:val="baseline"/>
        </w:rPr>
        <w:t>it was held that a transfer of a bill of lading by a buyer in </w:t>
      </w:r>
      <w:bookmarkStart w:name="_bookmark338" w:id="340"/>
      <w:bookmarkEnd w:id="340"/>
      <w:r>
        <w:rPr>
          <w:vertAlign w:val="baseline"/>
        </w:rPr>
        <w:t>consideration</w:t>
      </w:r>
      <w:r>
        <w:rPr>
          <w:vertAlign w:val="baseline"/>
        </w:rPr>
        <w:t> of a debt already due from him to the transferee did not deprive the seller of his right of stoppage in transit </w:t>
      </w:r>
      <w:r>
        <w:rPr>
          <w:color w:val="005DA1"/>
          <w:u w:val="single" w:color="005DA1"/>
          <w:vertAlign w:val="superscript"/>
        </w:rPr>
        <w:t>207</w:t>
      </w:r>
      <w:r>
        <w:rPr>
          <w:vertAlign w:val="baseline"/>
        </w:rPr>
        <w:t>; in </w:t>
      </w:r>
      <w:r>
        <w:rPr>
          <w:rFonts w:ascii="Arial" w:hAnsi="Arial"/>
          <w:i/>
          <w:vertAlign w:val="baseline"/>
        </w:rPr>
        <w:t>Re Barker’s Estate </w:t>
      </w:r>
      <w:r>
        <w:rPr>
          <w:color w:val="005DA1"/>
          <w:u w:val="single" w:color="005DA1"/>
          <w:vertAlign w:val="superscript"/>
        </w:rPr>
        <w:t>208</w:t>
      </w:r>
      <w:r>
        <w:rPr>
          <w:color w:val="005DA1"/>
          <w:vertAlign w:val="baseline"/>
        </w:rPr>
        <w:t> </w:t>
      </w:r>
      <w:r>
        <w:rPr>
          <w:vertAlign w:val="baseline"/>
        </w:rPr>
        <w:t>a mortgage executed as security for an antecedent </w:t>
      </w:r>
      <w:bookmarkStart w:name="_bookmark339" w:id="341"/>
      <w:bookmarkEnd w:id="341"/>
      <w:r>
        <w:rPr>
          <w:vertAlign w:val="baseline"/>
        </w:rPr>
        <w:t>debt</w:t>
      </w:r>
      <w:r>
        <w:rPr>
          <w:vertAlign w:val="baseline"/>
        </w:rPr>
        <w:t> and not communicated to the creditor was held to be voluntary and hence a fraudulent conveyance in bankruptcy; and in </w:t>
      </w:r>
      <w:r>
        <w:rPr>
          <w:rFonts w:ascii="Arial" w:hAnsi="Arial"/>
          <w:i/>
          <w:vertAlign w:val="baseline"/>
        </w:rPr>
        <w:t>Wigan v English &amp; Scottish Law Life Assurance Society </w:t>
      </w:r>
      <w:r>
        <w:rPr>
          <w:color w:val="005DA1"/>
          <w:u w:val="single" w:color="005DA1"/>
          <w:vertAlign w:val="superscript"/>
        </w:rPr>
        <w:t>209</w:t>
      </w:r>
      <w:r>
        <w:rPr>
          <w:color w:val="005DA1"/>
          <w:vertAlign w:val="baseline"/>
        </w:rPr>
        <w:t> </w:t>
      </w:r>
      <w:r>
        <w:rPr>
          <w:vertAlign w:val="baseline"/>
        </w:rPr>
        <w:t>an assignment of an insurance policy which was made as security for an antecedent debt and had not been communicated to the creditor was held not to have been made (to him as assignee) “for</w:t>
      </w:r>
      <w:r>
        <w:rPr>
          <w:spacing w:val="40"/>
          <w:vertAlign w:val="baseline"/>
        </w:rPr>
        <w:t> </w:t>
      </w:r>
      <w:r>
        <w:rPr>
          <w:vertAlign w:val="baseline"/>
        </w:rPr>
        <w:t>valuable consideration” within a clause of the policy protecting the rights of such an assignee on the death of the assured by his own hand. These cases are not directly concerned with the question of whether such an antecedent debt can constitute consideration for a later </w:t>
      </w:r>
      <w:r>
        <w:rPr>
          <w:rFonts w:ascii="Arial" w:hAnsi="Arial"/>
          <w:i/>
          <w:vertAlign w:val="baseline"/>
        </w:rPr>
        <w:t>promise </w:t>
      </w:r>
      <w:r>
        <w:rPr>
          <w:vertAlign w:val="baseline"/>
        </w:rPr>
        <w:t>by the debtor: indeed, in </w:t>
      </w:r>
      <w:r>
        <w:rPr>
          <w:rFonts w:ascii="Arial" w:hAnsi="Arial"/>
          <w:i/>
          <w:vertAlign w:val="baseline"/>
        </w:rPr>
        <w:t>Wigan’s </w:t>
      </w:r>
      <w:r>
        <w:rPr>
          <w:vertAlign w:val="baseline"/>
        </w:rPr>
        <w:t>case such enforceability at common law could hardly have been disputed since</w:t>
      </w:r>
      <w:r>
        <w:rPr>
          <w:spacing w:val="80"/>
          <w:vertAlign w:val="baseline"/>
        </w:rPr>
        <w:t> </w:t>
      </w:r>
      <w:r>
        <w:rPr>
          <w:vertAlign w:val="baseline"/>
        </w:rPr>
        <w:t>the assignment was made in a deed. The cases may, however, be relevant by analogy to the enforceability of a promise made by the debtor to the creditor (e.g. of one to pay higher interest or to pay early); and, in principle, it seems that where the only possible consideration for such a promise is </w:t>
      </w:r>
      <w:bookmarkStart w:name="_bookmark340" w:id="342"/>
      <w:bookmarkEnd w:id="342"/>
      <w:r>
        <w:rPr>
          <w:vertAlign w:val="baseline"/>
        </w:rPr>
        <w:t>an</w:t>
      </w:r>
      <w:r>
        <w:rPr>
          <w:vertAlign w:val="baseline"/>
        </w:rPr>
        <w:t> antecedent debt owed by the promisor to the promisee, then such consideration is past, so that</w:t>
      </w:r>
      <w:r>
        <w:rPr>
          <w:spacing w:val="80"/>
          <w:vertAlign w:val="baseline"/>
        </w:rPr>
        <w:t> </w:t>
      </w:r>
      <w:r>
        <w:rPr>
          <w:vertAlign w:val="baseline"/>
        </w:rPr>
        <w:t>the promise is not contractually binding. </w:t>
      </w:r>
      <w:r>
        <w:rPr>
          <w:color w:val="005DA1"/>
          <w:u w:val="single" w:color="005DA1"/>
          <w:vertAlign w:val="superscript"/>
        </w:rPr>
        <w:t>210</w:t>
      </w:r>
      <w:r>
        <w:rPr>
          <w:color w:val="005DA1"/>
          <w:vertAlign w:val="baseline"/>
        </w:rPr>
        <w:t> </w:t>
      </w:r>
      <w:r>
        <w:rPr>
          <w:vertAlign w:val="baseline"/>
        </w:rPr>
        <w:t>In practice, however, the creditor (i.e. the promisee) will </w:t>
      </w:r>
      <w:bookmarkStart w:name="_bookmark341" w:id="343"/>
      <w:bookmarkEnd w:id="343"/>
      <w:r>
        <w:rPr>
          <w:vertAlign w:val="baseline"/>
        </w:rPr>
        <w:t>often</w:t>
      </w:r>
      <w:r>
        <w:rPr>
          <w:vertAlign w:val="baseline"/>
        </w:rPr>
        <w:t> be held to have provided consideration for such a promise if, on the strength of it, he forbears to sue for the debt. </w:t>
      </w:r>
      <w:r>
        <w:rPr>
          <w:color w:val="005DA1"/>
          <w:u w:val="single" w:color="005DA1"/>
          <w:vertAlign w:val="superscript"/>
        </w:rPr>
        <w:t>211</w:t>
      </w:r>
    </w:p>
    <w:p>
      <w:pPr>
        <w:pStyle w:val="BodyText"/>
      </w:pPr>
    </w:p>
    <w:p>
      <w:pPr>
        <w:pStyle w:val="BodyText"/>
        <w:spacing w:before="31"/>
      </w:pPr>
    </w:p>
    <w:p>
      <w:pPr>
        <w:spacing w:before="0"/>
        <w:ind w:left="165" w:right="0" w:firstLine="0"/>
        <w:jc w:val="left"/>
        <w:rPr>
          <w:rFonts w:ascii="Arial" w:hAnsi="Arial"/>
          <w:b/>
          <w:sz w:val="18"/>
        </w:rPr>
      </w:pPr>
      <w:r>
        <w:rPr>
          <w:rFonts w:ascii="Arial" w:hAnsi="Arial"/>
          <w:b/>
          <w:sz w:val="18"/>
        </w:rPr>
        <w:t>“Moral” </w:t>
      </w:r>
      <w:r>
        <w:rPr>
          <w:rFonts w:ascii="Arial" w:hAnsi="Arial"/>
          <w:b/>
          <w:spacing w:val="-2"/>
          <w:sz w:val="18"/>
        </w:rPr>
        <w:t>obligation</w:t>
      </w:r>
    </w:p>
    <w:p>
      <w:pPr>
        <w:pStyle w:val="BodyText"/>
        <w:spacing w:before="41"/>
        <w:rPr>
          <w:rFonts w:ascii="Arial"/>
          <w:b/>
          <w:sz w:val="18"/>
        </w:rPr>
      </w:pPr>
    </w:p>
    <w:p>
      <w:pPr>
        <w:pStyle w:val="Heading2"/>
      </w:pPr>
      <w:r>
        <w:rPr/>
        <w:t>4-</w:t>
      </w:r>
      <w:r>
        <w:rPr>
          <w:spacing w:val="-5"/>
        </w:rPr>
        <w:t>033</w:t>
      </w:r>
    </w:p>
    <w:p>
      <w:pPr>
        <w:pStyle w:val="BodyText"/>
        <w:spacing w:line="235" w:lineRule="auto" w:before="203"/>
        <w:ind w:left="165" w:right="167"/>
        <w:jc w:val="both"/>
      </w:pPr>
      <w:r>
        <w:rPr/>
        <w:t>In the eighteenth and early nineteenth centuries, an attempt was made (originally by Lord </w:t>
      </w:r>
      <w:r>
        <w:rPr/>
        <w:t>Mansfield) to define consideration so as to include certain pre-existing “moral” obligations. In accordance with</w:t>
      </w:r>
      <w:r>
        <w:rPr>
          <w:spacing w:val="40"/>
        </w:rPr>
        <w:t> </w:t>
      </w:r>
      <w:bookmarkStart w:name="_bookmark342" w:id="344"/>
      <w:bookmarkEnd w:id="344"/>
      <w:r>
        <w:rPr/>
        <w:t>this</w:t>
      </w:r>
      <w:r>
        <w:rPr/>
        <w:t> theory it was held that an executor was personally liable on a promise to pay a legacy if he had </w:t>
      </w:r>
      <w:bookmarkStart w:name="_bookmark343" w:id="345"/>
      <w:bookmarkEnd w:id="345"/>
      <w:r>
        <w:rPr/>
        <w:t>sufficient</w:t>
      </w:r>
      <w:r>
        <w:rPr/>
        <w:t> assets of the deceased in his hands to pay the deceased’s debts and legacies </w:t>
      </w:r>
      <w:r>
        <w:rPr>
          <w:color w:val="005DA1"/>
          <w:u w:val="single" w:color="005DA1"/>
          <w:vertAlign w:val="superscript"/>
        </w:rPr>
        <w:t>212</w:t>
      </w:r>
      <w:r>
        <w:rPr>
          <w:vertAlign w:val="baseline"/>
        </w:rPr>
        <w:t>; that a </w:t>
      </w:r>
      <w:bookmarkStart w:name="_bookmark344" w:id="346"/>
      <w:bookmarkEnd w:id="346"/>
      <w:r>
        <w:rPr>
          <w:vertAlign w:val="baseline"/>
        </w:rPr>
        <w:t>promise</w:t>
      </w:r>
      <w:r>
        <w:rPr>
          <w:vertAlign w:val="baseline"/>
        </w:rPr>
        <w:t> by a discharged bankrupt to pay a debt contracted before the discharge was binding </w:t>
      </w:r>
      <w:r>
        <w:rPr>
          <w:color w:val="005DA1"/>
          <w:u w:val="single" w:color="005DA1"/>
          <w:vertAlign w:val="superscript"/>
        </w:rPr>
        <w:t>213</w:t>
      </w:r>
      <w:r>
        <w:rPr>
          <w:vertAlign w:val="baseline"/>
        </w:rPr>
        <w:t>; and that a promise to pay a statute-barred debt </w:t>
      </w:r>
      <w:r>
        <w:rPr>
          <w:color w:val="005DA1"/>
          <w:u w:val="single" w:color="005DA1"/>
          <w:vertAlign w:val="superscript"/>
        </w:rPr>
        <w:t>214</w:t>
      </w:r>
      <w:r>
        <w:rPr>
          <w:color w:val="005DA1"/>
          <w:vertAlign w:val="baseline"/>
        </w:rPr>
        <w:t> </w:t>
      </w:r>
      <w:r>
        <w:rPr>
          <w:vertAlign w:val="baseline"/>
        </w:rPr>
        <w:t>or one contracted during minority </w:t>
      </w:r>
      <w:r>
        <w:rPr>
          <w:color w:val="005DA1"/>
          <w:u w:val="single" w:color="005DA1"/>
          <w:vertAlign w:val="superscript"/>
        </w:rPr>
        <w:t>215</w:t>
      </w:r>
      <w:r>
        <w:rPr>
          <w:color w:val="005DA1"/>
          <w:vertAlign w:val="baseline"/>
        </w:rPr>
        <w:t> </w:t>
      </w:r>
      <w:r>
        <w:rPr>
          <w:vertAlign w:val="baseline"/>
        </w:rPr>
        <w:t>was binding. In some</w:t>
      </w:r>
      <w:r>
        <w:rPr>
          <w:spacing w:val="19"/>
          <w:vertAlign w:val="baseline"/>
        </w:rPr>
        <w:t> </w:t>
      </w:r>
      <w:r>
        <w:rPr>
          <w:vertAlign w:val="baseline"/>
        </w:rPr>
        <w:t>of</w:t>
      </w:r>
      <w:r>
        <w:rPr>
          <w:spacing w:val="19"/>
          <w:vertAlign w:val="baseline"/>
        </w:rPr>
        <w:t> </w:t>
      </w:r>
      <w:r>
        <w:rPr>
          <w:vertAlign w:val="baseline"/>
        </w:rPr>
        <w:t>these</w:t>
      </w:r>
      <w:r>
        <w:rPr>
          <w:spacing w:val="19"/>
          <w:vertAlign w:val="baseline"/>
        </w:rPr>
        <w:t> </w:t>
      </w:r>
      <w:r>
        <w:rPr>
          <w:vertAlign w:val="baseline"/>
        </w:rPr>
        <w:t>cases,</w:t>
      </w:r>
      <w:r>
        <w:rPr>
          <w:spacing w:val="19"/>
          <w:vertAlign w:val="baseline"/>
        </w:rPr>
        <w:t> </w:t>
      </w:r>
      <w:r>
        <w:rPr>
          <w:vertAlign w:val="baseline"/>
        </w:rPr>
        <w:t>the</w:t>
      </w:r>
      <w:r>
        <w:rPr>
          <w:spacing w:val="19"/>
          <w:vertAlign w:val="baseline"/>
        </w:rPr>
        <w:t> </w:t>
      </w:r>
      <w:r>
        <w:rPr>
          <w:vertAlign w:val="baseline"/>
        </w:rPr>
        <w:t>consideration</w:t>
      </w:r>
      <w:r>
        <w:rPr>
          <w:spacing w:val="19"/>
          <w:vertAlign w:val="baseline"/>
        </w:rPr>
        <w:t> </w:t>
      </w:r>
      <w:r>
        <w:rPr>
          <w:vertAlign w:val="baseline"/>
        </w:rPr>
        <w:t>for</w:t>
      </w:r>
      <w:r>
        <w:rPr>
          <w:spacing w:val="19"/>
          <w:vertAlign w:val="baseline"/>
        </w:rPr>
        <w:t> </w:t>
      </w:r>
      <w:r>
        <w:rPr>
          <w:vertAlign w:val="baseline"/>
        </w:rPr>
        <w:t>the</w:t>
      </w:r>
      <w:r>
        <w:rPr>
          <w:spacing w:val="19"/>
          <w:vertAlign w:val="baseline"/>
        </w:rPr>
        <w:t> </w:t>
      </w:r>
      <w:r>
        <w:rPr>
          <w:vertAlign w:val="baseline"/>
        </w:rPr>
        <w:t>promise</w:t>
      </w:r>
      <w:r>
        <w:rPr>
          <w:spacing w:val="19"/>
          <w:vertAlign w:val="baseline"/>
        </w:rPr>
        <w:t> </w:t>
      </w:r>
      <w:r>
        <w:rPr>
          <w:vertAlign w:val="baseline"/>
        </w:rPr>
        <w:t>was</w:t>
      </w:r>
      <w:r>
        <w:rPr>
          <w:spacing w:val="19"/>
          <w:vertAlign w:val="baseline"/>
        </w:rPr>
        <w:t> </w:t>
      </w:r>
      <w:r>
        <w:rPr>
          <w:vertAlign w:val="baseline"/>
        </w:rPr>
        <w:t>said</w:t>
      </w:r>
      <w:r>
        <w:rPr>
          <w:spacing w:val="19"/>
          <w:vertAlign w:val="baseline"/>
        </w:rPr>
        <w:t> </w:t>
      </w:r>
      <w:r>
        <w:rPr>
          <w:vertAlign w:val="baseline"/>
        </w:rPr>
        <w:t>to</w:t>
      </w:r>
      <w:r>
        <w:rPr>
          <w:spacing w:val="19"/>
          <w:vertAlign w:val="baseline"/>
        </w:rPr>
        <w:t> </w:t>
      </w:r>
      <w:r>
        <w:rPr>
          <w:vertAlign w:val="baseline"/>
        </w:rPr>
        <w:t>be</w:t>
      </w:r>
      <w:r>
        <w:rPr>
          <w:spacing w:val="19"/>
          <w:vertAlign w:val="baseline"/>
        </w:rPr>
        <w:t> </w:t>
      </w:r>
      <w:r>
        <w:rPr>
          <w:vertAlign w:val="baseline"/>
        </w:rPr>
        <w:t>the</w:t>
      </w:r>
      <w:r>
        <w:rPr>
          <w:spacing w:val="19"/>
          <w:vertAlign w:val="baseline"/>
        </w:rPr>
        <w:t> </w:t>
      </w:r>
      <w:r>
        <w:rPr>
          <w:vertAlign w:val="baseline"/>
        </w:rPr>
        <w:t>“moral”</w:t>
      </w:r>
      <w:r>
        <w:rPr>
          <w:spacing w:val="19"/>
          <w:vertAlign w:val="baseline"/>
        </w:rPr>
        <w:t> </w:t>
      </w:r>
      <w:r>
        <w:rPr>
          <w:vertAlign w:val="baseline"/>
        </w:rPr>
        <w:t>obligation</w:t>
      </w:r>
      <w:r>
        <w:rPr>
          <w:spacing w:val="19"/>
          <w:vertAlign w:val="baseline"/>
        </w:rPr>
        <w:t> </w:t>
      </w:r>
      <w:r>
        <w:rPr>
          <w:vertAlign w:val="baseline"/>
        </w:rPr>
        <w:t>of</w:t>
      </w:r>
      <w:r>
        <w:rPr>
          <w:spacing w:val="19"/>
          <w:vertAlign w:val="baseline"/>
        </w:rPr>
        <w:t> </w:t>
      </w:r>
      <w:r>
        <w:rPr>
          <w:spacing w:val="-5"/>
          <w:vertAlign w:val="baseline"/>
        </w:rPr>
        <w:t>the</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r>
        <w:rPr/>
        <w:t>promisor to pay the debt. In this context, the term “moral obligation” was used in a narrow sense. </w:t>
      </w:r>
      <w:r>
        <w:rPr/>
        <w:t>It </w:t>
      </w:r>
      <w:bookmarkStart w:name="_bookmark345" w:id="347"/>
      <w:bookmarkEnd w:id="347"/>
      <w:r>
        <w:rPr/>
        <w:t>was</w:t>
      </w:r>
      <w:r>
        <w:rPr/>
        <w:t> restricted to cases in which the promisor’s previous obligation was not legally enforceable (or not enforceable in the particular court in which the action on the promise was brought </w:t>
      </w:r>
      <w:r>
        <w:rPr>
          <w:color w:val="005DA1"/>
          <w:u w:val="single" w:color="005DA1"/>
          <w:vertAlign w:val="superscript"/>
        </w:rPr>
        <w:t>216</w:t>
      </w:r>
      <w:r>
        <w:rPr>
          <w:vertAlign w:val="baseline"/>
        </w:rPr>
        <w:t>) because it suffered from some specific legal defect. It did not follow that any “moral obligation,” such as one </w:t>
      </w:r>
      <w:bookmarkStart w:name="_bookmark346" w:id="348"/>
      <w:bookmarkEnd w:id="348"/>
      <w:r>
        <w:rPr>
          <w:vertAlign w:val="baseline"/>
        </w:rPr>
        <w:t>which</w:t>
      </w:r>
      <w:r>
        <w:rPr>
          <w:vertAlign w:val="baseline"/>
        </w:rPr>
        <w:t> might be said to have arisen from the receipt of a past benefit, constituted consideration. Thus in </w:t>
      </w:r>
      <w:r>
        <w:rPr>
          <w:rFonts w:ascii="Arial" w:hAnsi="Arial"/>
          <w:i/>
          <w:vertAlign w:val="baseline"/>
        </w:rPr>
        <w:t>Eastwood v Kenyon </w:t>
      </w:r>
      <w:r>
        <w:rPr>
          <w:color w:val="005DA1"/>
          <w:u w:val="single" w:color="005DA1"/>
          <w:vertAlign w:val="superscript"/>
        </w:rPr>
        <w:t>217</w:t>
      </w:r>
      <w:r>
        <w:rPr>
          <w:color w:val="005DA1"/>
          <w:vertAlign w:val="baseline"/>
        </w:rPr>
        <w:t> </w:t>
      </w:r>
      <w:r>
        <w:rPr>
          <w:vertAlign w:val="baseline"/>
        </w:rPr>
        <w:t>the guardian of a young girl had raised a loan to pay for her maintenance and education, and to improve her estate. After she had come of age and married, her husband promised the guardian to pay the amount of the loan. In dismissing the guardian’s action on this promise, the court rejected the argument that the defendant’s promise was binding merely because</w:t>
      </w:r>
      <w:r>
        <w:rPr>
          <w:spacing w:val="40"/>
          <w:vertAlign w:val="baseline"/>
        </w:rPr>
        <w:t> </w:t>
      </w:r>
      <w:r>
        <w:rPr>
          <w:vertAlign w:val="baseline"/>
        </w:rPr>
        <w:t>he was under a moral obligation to perform it. Lord Denman C.J. said that this argument would </w:t>
      </w:r>
      <w:bookmarkStart w:name="_bookmark347" w:id="349"/>
      <w:bookmarkEnd w:id="349"/>
      <w:r>
        <w:rPr>
          <w:vertAlign w:val="baseline"/>
        </w:rPr>
        <w:t>“annihilate</w:t>
      </w:r>
      <w:r>
        <w:rPr>
          <w:vertAlign w:val="baseline"/>
        </w:rPr>
        <w:t> the necessity for any consideration at all, inasmuch as the mere fact of giving a promise creates a moral obligation to perform it.” </w:t>
      </w:r>
      <w:r>
        <w:rPr>
          <w:color w:val="005DA1"/>
          <w:u w:val="single" w:color="005DA1"/>
          <w:vertAlign w:val="superscript"/>
        </w:rPr>
        <w:t>218</w:t>
      </w:r>
      <w:r>
        <w:rPr>
          <w:color w:val="005DA1"/>
          <w:vertAlign w:val="baseline"/>
        </w:rPr>
        <w:t> </w:t>
      </w:r>
      <w:r>
        <w:rPr>
          <w:vertAlign w:val="baseline"/>
        </w:rPr>
        <w:t>The case also shows that the mere existence of an antecedent moral obligation (in the ordinary sense of the phrase) to reimburse the guardian did not amount to consideration for the husband’s promise. From this point of view, the case provides a classic illustration of the requirement that the consideration for a promise must not be past.</w:t>
      </w:r>
    </w:p>
    <w:p>
      <w:pPr>
        <w:pStyle w:val="BodyText"/>
      </w:pPr>
    </w:p>
    <w:p>
      <w:pPr>
        <w:pStyle w:val="BodyText"/>
        <w:spacing w:before="32"/>
      </w:pPr>
    </w:p>
    <w:p>
      <w:pPr>
        <w:spacing w:before="1"/>
        <w:ind w:left="165" w:right="0" w:firstLine="0"/>
        <w:jc w:val="both"/>
        <w:rPr>
          <w:rFonts w:ascii="Arial"/>
          <w:b/>
          <w:sz w:val="18"/>
        </w:rPr>
      </w:pPr>
      <w:r>
        <w:rPr>
          <w:rFonts w:ascii="Arial"/>
          <w:b/>
          <w:sz w:val="18"/>
        </w:rPr>
        <w:t>Defective obligations as consideration: present </w:t>
      </w:r>
      <w:r>
        <w:rPr>
          <w:rFonts w:ascii="Arial"/>
          <w:b/>
          <w:spacing w:val="-2"/>
          <w:sz w:val="18"/>
        </w:rPr>
        <w:t>position</w:t>
      </w:r>
    </w:p>
    <w:p>
      <w:pPr>
        <w:pStyle w:val="BodyText"/>
        <w:spacing w:before="41"/>
        <w:rPr>
          <w:rFonts w:ascii="Arial"/>
          <w:b/>
          <w:sz w:val="18"/>
        </w:rPr>
      </w:pPr>
    </w:p>
    <w:p>
      <w:pPr>
        <w:pStyle w:val="Heading2"/>
      </w:pPr>
      <w:r>
        <w:rPr/>
        <w:t>4-</w:t>
      </w:r>
      <w:r>
        <w:rPr>
          <w:spacing w:val="-5"/>
        </w:rPr>
        <w:t>034</w:t>
      </w:r>
    </w:p>
    <w:p>
      <w:pPr>
        <w:pStyle w:val="BodyText"/>
        <w:spacing w:line="235" w:lineRule="auto" w:before="203"/>
        <w:ind w:left="164" w:right="167"/>
        <w:jc w:val="both"/>
      </w:pPr>
      <w:bookmarkStart w:name="_bookmark348" w:id="350"/>
      <w:bookmarkEnd w:id="350"/>
      <w:r>
        <w:rPr/>
      </w:r>
      <w:r>
        <w:rPr/>
        <w:t>Many of the cases in which promises were held binding under the old “moral obligation” theory </w:t>
      </w:r>
      <w:r>
        <w:rPr>
          <w:color w:val="005DA1"/>
          <w:u w:val="single" w:color="005DA1"/>
          <w:vertAlign w:val="superscript"/>
        </w:rPr>
        <w:t>219</w:t>
      </w:r>
      <w:r>
        <w:rPr>
          <w:color w:val="005DA1"/>
          <w:vertAlign w:val="baseline"/>
        </w:rPr>
        <w:t> </w:t>
      </w:r>
      <w:bookmarkStart w:name="_bookmark349" w:id="351"/>
      <w:bookmarkEnd w:id="351"/>
      <w:r>
        <w:rPr>
          <w:color w:val="005DA1"/>
          <w:w w:val="92"/>
          <w:vertAlign w:val="baseline"/>
        </w:rPr>
      </w:r>
      <w:r>
        <w:rPr>
          <w:vertAlign w:val="baseline"/>
        </w:rPr>
        <w:t>would now go the other way. For example, an executor who has assets of the deceased in his hands </w:t>
      </w:r>
      <w:bookmarkStart w:name="_bookmark350" w:id="352"/>
      <w:bookmarkEnd w:id="352"/>
      <w:r>
        <w:rPr>
          <w:vertAlign w:val="baseline"/>
        </w:rPr>
        <w:t>is</w:t>
      </w:r>
      <w:r>
        <w:rPr>
          <w:vertAlign w:val="baseline"/>
        </w:rPr>
        <w:t> no longer personally liable on a promise to pay legacies </w:t>
      </w:r>
      <w:r>
        <w:rPr>
          <w:color w:val="005DA1"/>
          <w:u w:val="single" w:color="005DA1"/>
          <w:vertAlign w:val="superscript"/>
        </w:rPr>
        <w:t>220</w:t>
      </w:r>
      <w:r>
        <w:rPr>
          <w:vertAlign w:val="baseline"/>
        </w:rPr>
        <w:t>; a promise by a discharged bankrupt to </w:t>
      </w:r>
      <w:bookmarkStart w:name="_bookmark351" w:id="353"/>
      <w:bookmarkEnd w:id="353"/>
      <w:r>
        <w:rPr>
          <w:vertAlign w:val="baseline"/>
        </w:rPr>
        <w:t>pay</w:t>
      </w:r>
      <w:r>
        <w:rPr>
          <w:vertAlign w:val="baseline"/>
        </w:rPr>
        <w:t> in full debts incurred before his discharge is binding only if supported by fresh consideration </w:t>
      </w:r>
      <w:r>
        <w:rPr>
          <w:color w:val="005DA1"/>
          <w:u w:val="single" w:color="005DA1"/>
          <w:vertAlign w:val="superscript"/>
        </w:rPr>
        <w:t>221</w:t>
      </w:r>
      <w:r>
        <w:rPr>
          <w:vertAlign w:val="baseline"/>
        </w:rPr>
        <w:t>; and the same is true of a promise to pay a debt after it has become statute-barred. </w:t>
      </w:r>
      <w:r>
        <w:rPr>
          <w:color w:val="005DA1"/>
          <w:u w:val="single" w:color="005DA1"/>
          <w:vertAlign w:val="superscript"/>
        </w:rPr>
        <w:t>222</w:t>
      </w:r>
      <w:r>
        <w:rPr>
          <w:color w:val="005DA1"/>
          <w:vertAlign w:val="baseline"/>
        </w:rPr>
        <w:t> </w:t>
      </w:r>
      <w:r>
        <w:rPr>
          <w:vertAlign w:val="baseline"/>
        </w:rPr>
        <w:t>There is </w:t>
      </w:r>
      <w:bookmarkStart w:name="_bookmark352" w:id="354"/>
      <w:bookmarkEnd w:id="354"/>
      <w:r>
        <w:rPr>
          <w:vertAlign w:val="baseline"/>
        </w:rPr>
        <w:t>Australian</w:t>
      </w:r>
      <w:r>
        <w:rPr>
          <w:vertAlign w:val="baseline"/>
        </w:rPr>
        <w:t> authority in favour of the same rule where a company renewed a note that was originally </w:t>
      </w:r>
      <w:bookmarkStart w:name="_bookmark353" w:id="355"/>
      <w:bookmarkEnd w:id="355"/>
      <w:r>
        <w:rPr>
          <w:vertAlign w:val="baseline"/>
        </w:rPr>
        <w:t>ultra</w:t>
      </w:r>
      <w:r>
        <w:rPr>
          <w:vertAlign w:val="baseline"/>
        </w:rPr>
        <w:t> vires after it had been validated by subsequent legislation. </w:t>
      </w:r>
      <w:r>
        <w:rPr>
          <w:color w:val="005DA1"/>
          <w:u w:val="single" w:color="005DA1"/>
          <w:vertAlign w:val="superscript"/>
        </w:rPr>
        <w:t>223</w:t>
      </w:r>
      <w:r>
        <w:rPr>
          <w:color w:val="005DA1"/>
          <w:vertAlign w:val="baseline"/>
        </w:rPr>
        <w:t> </w:t>
      </w:r>
      <w:r>
        <w:rPr>
          <w:vertAlign w:val="baseline"/>
        </w:rPr>
        <w:t>On the other hand, a promise by</w:t>
      </w:r>
      <w:r>
        <w:rPr>
          <w:spacing w:val="40"/>
          <w:vertAlign w:val="baseline"/>
        </w:rPr>
        <w:t> </w:t>
      </w:r>
      <w:bookmarkStart w:name="_bookmark354" w:id="356"/>
      <w:bookmarkEnd w:id="356"/>
      <w:r>
        <w:rPr>
          <w:vertAlign w:val="baseline"/>
        </w:rPr>
        <w:t>an</w:t>
      </w:r>
      <w:r>
        <w:rPr>
          <w:vertAlign w:val="baseline"/>
        </w:rPr>
        <w:t> adult to pay a debt (or to perform some other obligation) contracted during minority is enforceable </w:t>
      </w:r>
      <w:r>
        <w:rPr>
          <w:color w:val="005DA1"/>
          <w:u w:val="single" w:color="005DA1"/>
          <w:vertAlign w:val="superscript"/>
        </w:rPr>
        <w:t>224</w:t>
      </w:r>
      <w:r>
        <w:rPr>
          <w:vertAlign w:val="baseline"/>
        </w:rPr>
        <w:t>; and in </w:t>
      </w:r>
      <w:r>
        <w:rPr>
          <w:rFonts w:ascii="Arial" w:hAnsi="Arial"/>
          <w:i/>
          <w:vertAlign w:val="baseline"/>
        </w:rPr>
        <w:t>Eastwood v Kenyon </w:t>
      </w:r>
      <w:r>
        <w:rPr>
          <w:color w:val="005DA1"/>
          <w:u w:val="single" w:color="005DA1"/>
          <w:vertAlign w:val="superscript"/>
        </w:rPr>
        <w:t>225</w:t>
      </w:r>
      <w:r>
        <w:rPr>
          <w:color w:val="005DA1"/>
          <w:vertAlign w:val="baseline"/>
        </w:rPr>
        <w:t> </w:t>
      </w:r>
      <w:r>
        <w:rPr>
          <w:vertAlign w:val="baseline"/>
        </w:rPr>
        <w:t>Lord Denman did not purport to overrule the “moral obligation” theory in its original narrow sense, that a promise to discharge an earlier obligation which suffered </w:t>
      </w:r>
      <w:bookmarkStart w:name="_bookmark355" w:id="357"/>
      <w:bookmarkEnd w:id="357"/>
      <w:r>
        <w:rPr>
          <w:vertAlign w:val="baseline"/>
        </w:rPr>
        <w:t>from</w:t>
      </w:r>
      <w:r>
        <w:rPr>
          <w:vertAlign w:val="baseline"/>
        </w:rPr>
        <w:t> some specific legal defect might be binding. In this sense the theory was again recognised by Lord Denman himself in </w:t>
      </w:r>
      <w:r>
        <w:rPr>
          <w:rFonts w:ascii="Arial" w:hAnsi="Arial"/>
          <w:i/>
          <w:vertAlign w:val="baseline"/>
        </w:rPr>
        <w:t>Flight v Reed</w:t>
      </w:r>
      <w:r>
        <w:rPr>
          <w:vertAlign w:val="baseline"/>
        </w:rPr>
        <w:t>. </w:t>
      </w:r>
      <w:r>
        <w:rPr>
          <w:color w:val="005DA1"/>
          <w:u w:val="single" w:color="005DA1"/>
          <w:vertAlign w:val="superscript"/>
        </w:rPr>
        <w:t>226</w:t>
      </w:r>
      <w:r>
        <w:rPr>
          <w:color w:val="005DA1"/>
          <w:vertAlign w:val="baseline"/>
        </w:rPr>
        <w:t> </w:t>
      </w:r>
      <w:r>
        <w:rPr>
          <w:vertAlign w:val="baseline"/>
        </w:rPr>
        <w:t>That case supports the view that a promise to repay a loan made after the repeal of the legislation against usury was not invalid for want of consideration merely because the original loan was usurious. Of course an action on such a promise might, under the modern view of past consideration, fail because the loan was an antecedent debt; but this objection would be overcome if the promisee’s forbearance to enforce the loan could be regarded as consideration for the promise in accordance with the requirements stated in paras 4-058 and 4-060, </w:t>
      </w:r>
      <w:r>
        <w:rPr>
          <w:spacing w:val="-2"/>
          <w:vertAlign w:val="baseline"/>
        </w:rPr>
        <w:t>below.</w:t>
      </w:r>
    </w:p>
    <w:p>
      <w:pPr>
        <w:pStyle w:val="BodyText"/>
      </w:pPr>
    </w:p>
    <w:p>
      <w:pPr>
        <w:pStyle w:val="BodyText"/>
        <w:spacing w:before="31"/>
      </w:pPr>
    </w:p>
    <w:p>
      <w:pPr>
        <w:spacing w:before="0"/>
        <w:ind w:left="164" w:right="0" w:firstLine="0"/>
        <w:jc w:val="left"/>
        <w:rPr>
          <w:rFonts w:ascii="Arial"/>
          <w:b/>
          <w:sz w:val="18"/>
        </w:rPr>
      </w:pPr>
      <w:r>
        <w:rPr>
          <w:rFonts w:ascii="Arial"/>
          <w:b/>
          <w:sz w:val="18"/>
        </w:rPr>
        <w:t>Bills of </w:t>
      </w:r>
      <w:r>
        <w:rPr>
          <w:rFonts w:ascii="Arial"/>
          <w:b/>
          <w:spacing w:val="-2"/>
          <w:sz w:val="18"/>
        </w:rPr>
        <w:t>exchange</w:t>
      </w:r>
    </w:p>
    <w:p>
      <w:pPr>
        <w:pStyle w:val="BodyText"/>
        <w:spacing w:before="42"/>
        <w:rPr>
          <w:rFonts w:ascii="Arial"/>
          <w:b/>
          <w:sz w:val="18"/>
        </w:rPr>
      </w:pPr>
    </w:p>
    <w:p>
      <w:pPr>
        <w:pStyle w:val="Heading2"/>
        <w:ind w:left="164"/>
      </w:pPr>
      <w:r>
        <w:rPr/>
        <w:t>4-</w:t>
      </w:r>
      <w:r>
        <w:rPr>
          <w:spacing w:val="-5"/>
        </w:rPr>
        <w:t>035</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356" w:id="358"/>
      <w:bookmarkEnd w:id="358"/>
      <w:r>
        <w:rPr>
          <w:rFonts w:ascii="Times New Roman" w:hAnsi="Times New Roman"/>
          <w:spacing w:val="-13"/>
        </w:rPr>
      </w:r>
      <w:r>
        <w:rPr/>
        <w:t>Under s.27(1)(b) of the Bills of Exchange Act 1882, an “antecedent debt or liability” </w:t>
      </w:r>
      <w:r>
        <w:rPr/>
        <w:t>constitutes </w:t>
      </w:r>
      <w:bookmarkStart w:name="_bookmark357" w:id="359"/>
      <w:bookmarkEnd w:id="359"/>
      <w:r>
        <w:rPr/>
        <w:t>valuable</w:t>
      </w:r>
      <w:r>
        <w:rPr>
          <w:spacing w:val="18"/>
        </w:rPr>
        <w:t> </w:t>
      </w:r>
      <w:r>
        <w:rPr/>
        <w:t>consideration</w:t>
      </w:r>
      <w:r>
        <w:rPr>
          <w:spacing w:val="19"/>
        </w:rPr>
        <w:t> </w:t>
      </w:r>
      <w:r>
        <w:rPr/>
        <w:t>for</w:t>
      </w:r>
      <w:r>
        <w:rPr>
          <w:spacing w:val="19"/>
        </w:rPr>
        <w:t> </w:t>
      </w:r>
      <w:r>
        <w:rPr/>
        <w:t>a</w:t>
      </w:r>
      <w:r>
        <w:rPr>
          <w:spacing w:val="19"/>
        </w:rPr>
        <w:t> </w:t>
      </w:r>
      <w:r>
        <w:rPr/>
        <w:t>bill</w:t>
      </w:r>
      <w:r>
        <w:rPr>
          <w:spacing w:val="19"/>
        </w:rPr>
        <w:t> </w:t>
      </w:r>
      <w:r>
        <w:rPr/>
        <w:t>of</w:t>
      </w:r>
      <w:r>
        <w:rPr>
          <w:spacing w:val="19"/>
        </w:rPr>
        <w:t> </w:t>
      </w:r>
      <w:r>
        <w:rPr/>
        <w:t>exchange.</w:t>
      </w:r>
      <w:r>
        <w:rPr>
          <w:spacing w:val="19"/>
        </w:rPr>
        <w:t> </w:t>
      </w:r>
      <w:r>
        <w:rPr>
          <w:color w:val="005DA1"/>
          <w:u w:val="single" w:color="005DA1"/>
          <w:vertAlign w:val="superscript"/>
        </w:rPr>
        <w:t>227</w:t>
      </w:r>
      <w:r>
        <w:rPr>
          <w:color w:val="005DA1"/>
          <w:spacing w:val="19"/>
          <w:vertAlign w:val="baseline"/>
        </w:rPr>
        <w:t> </w:t>
      </w:r>
      <w:r>
        <w:rPr>
          <w:vertAlign w:val="baseline"/>
        </w:rPr>
        <w:t>In</w:t>
      </w:r>
      <w:r>
        <w:rPr>
          <w:spacing w:val="19"/>
          <w:vertAlign w:val="baseline"/>
        </w:rPr>
        <w:t> </w:t>
      </w:r>
      <w:r>
        <w:rPr>
          <w:vertAlign w:val="baseline"/>
        </w:rPr>
        <w:t>many</w:t>
      </w:r>
      <w:r>
        <w:rPr>
          <w:spacing w:val="19"/>
          <w:vertAlign w:val="baseline"/>
        </w:rPr>
        <w:t> </w:t>
      </w:r>
      <w:r>
        <w:rPr>
          <w:vertAlign w:val="baseline"/>
        </w:rPr>
        <w:t>cases,</w:t>
      </w:r>
      <w:r>
        <w:rPr>
          <w:spacing w:val="19"/>
          <w:vertAlign w:val="baseline"/>
        </w:rPr>
        <w:t> </w:t>
      </w:r>
      <w:r>
        <w:rPr>
          <w:vertAlign w:val="baseline"/>
        </w:rPr>
        <w:t>such</w:t>
      </w:r>
      <w:r>
        <w:rPr>
          <w:spacing w:val="18"/>
          <w:vertAlign w:val="baseline"/>
        </w:rPr>
        <w:t> </w:t>
      </w:r>
      <w:r>
        <w:rPr>
          <w:vertAlign w:val="baseline"/>
        </w:rPr>
        <w:t>a</w:t>
      </w:r>
      <w:r>
        <w:rPr>
          <w:spacing w:val="19"/>
          <w:vertAlign w:val="baseline"/>
        </w:rPr>
        <w:t> </w:t>
      </w:r>
      <w:r>
        <w:rPr>
          <w:vertAlign w:val="baseline"/>
        </w:rPr>
        <w:t>consideration</w:t>
      </w:r>
      <w:r>
        <w:rPr>
          <w:spacing w:val="19"/>
          <w:vertAlign w:val="baseline"/>
        </w:rPr>
        <w:t> </w:t>
      </w:r>
      <w:r>
        <w:rPr>
          <w:vertAlign w:val="baseline"/>
        </w:rPr>
        <w:t>would</w:t>
      </w:r>
      <w:r>
        <w:rPr>
          <w:spacing w:val="19"/>
          <w:vertAlign w:val="baseline"/>
        </w:rPr>
        <w:t> </w:t>
      </w:r>
      <w:r>
        <w:rPr>
          <w:vertAlign w:val="baseline"/>
        </w:rPr>
        <w:t>not</w:t>
      </w:r>
      <w:r>
        <w:rPr>
          <w:spacing w:val="19"/>
          <w:vertAlign w:val="baseline"/>
        </w:rPr>
        <w:t> </w:t>
      </w:r>
      <w:r>
        <w:rPr>
          <w:spacing w:val="-5"/>
          <w:vertAlign w:val="baseline"/>
        </w:rPr>
        <w:t>be</w:t>
      </w:r>
    </w:p>
    <w:p>
      <w:pPr>
        <w:pStyle w:val="BodyText"/>
        <w:spacing w:line="235" w:lineRule="auto" w:before="120"/>
        <w:ind w:left="165" w:right="167"/>
        <w:jc w:val="both"/>
      </w:pPr>
      <w:bookmarkStart w:name="_bookmark358" w:id="360"/>
      <w:bookmarkEnd w:id="360"/>
      <w:r>
        <w:rPr/>
      </w:r>
      <w:r>
        <w:rPr/>
        <w:t>past: it could be said to consist in the forbearance of the creditor to sue for the debt </w:t>
      </w:r>
      <w:r>
        <w:rPr>
          <w:color w:val="005DA1"/>
          <w:u w:val="single" w:color="005DA1"/>
          <w:vertAlign w:val="superscript"/>
        </w:rPr>
        <w:t>228</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color w:val="005DA1"/>
          <w:spacing w:val="31"/>
          <w:vertAlign w:val="baseline"/>
        </w:rPr>
        <w:t> </w:t>
      </w:r>
      <w:r>
        <w:rPr>
          <w:vertAlign w:val="baseline"/>
        </w:rPr>
        <w:t>or in </w:t>
      </w:r>
      <w:r>
        <w:rPr>
          <w:vertAlign w:val="baseline"/>
        </w:rPr>
        <w:t>his treating the bill as conditional payment. </w:t>
      </w:r>
      <w:r>
        <w:rPr>
          <w:color w:val="005DA1"/>
          <w:u w:val="single" w:color="005DA1"/>
          <w:vertAlign w:val="superscript"/>
        </w:rPr>
        <w:t>229</w:t>
      </w:r>
      <w:r>
        <w:rPr>
          <w:color w:val="005DA1"/>
          <w:vertAlign w:val="baseline"/>
        </w:rPr>
        <w:t> </w:t>
      </w:r>
      <w:r>
        <w:rPr>
          <w:vertAlign w:val="baseline"/>
        </w:rPr>
        <w:t>But s.27(1)(b) could apply even though, for some reason, this analysis were not possible; and in such cases it would constitute an exception to the rule that</w:t>
      </w:r>
      <w:r>
        <w:rPr>
          <w:spacing w:val="80"/>
          <w:vertAlign w:val="baseline"/>
        </w:rPr>
        <w:t> </w:t>
      </w:r>
      <w:r>
        <w:rPr>
          <w:vertAlign w:val="baseline"/>
        </w:rPr>
        <w:t>past consideration is no consideration.</w:t>
      </w:r>
    </w:p>
    <w:p>
      <w:pPr>
        <w:pStyle w:val="BodyText"/>
      </w:pPr>
    </w:p>
    <w:p>
      <w:pPr>
        <w:pStyle w:val="BodyText"/>
        <w:spacing w:before="37"/>
      </w:pPr>
    </w:p>
    <w:p>
      <w:pPr>
        <w:spacing w:before="0"/>
        <w:ind w:left="165" w:right="0" w:firstLine="0"/>
        <w:jc w:val="both"/>
        <w:rPr>
          <w:rFonts w:ascii="Arial"/>
          <w:b/>
          <w:sz w:val="18"/>
        </w:rPr>
      </w:pPr>
      <w:r>
        <w:rPr>
          <w:rFonts w:ascii="Arial"/>
          <w:b/>
          <w:sz w:val="18"/>
        </w:rPr>
        <w:t>Acknowledgments of statute-barred </w:t>
      </w:r>
      <w:r>
        <w:rPr>
          <w:rFonts w:ascii="Arial"/>
          <w:b/>
          <w:spacing w:val="-2"/>
          <w:sz w:val="18"/>
        </w:rPr>
        <w:t>debts</w:t>
      </w:r>
    </w:p>
    <w:p>
      <w:pPr>
        <w:pStyle w:val="BodyText"/>
        <w:spacing w:before="41"/>
        <w:rPr>
          <w:rFonts w:ascii="Arial"/>
          <w:b/>
          <w:sz w:val="18"/>
        </w:rPr>
      </w:pPr>
    </w:p>
    <w:p>
      <w:pPr>
        <w:pStyle w:val="Heading2"/>
      </w:pPr>
      <w:r>
        <w:rPr/>
        <w:t>4-</w:t>
      </w:r>
      <w:r>
        <w:rPr>
          <w:spacing w:val="-5"/>
        </w:rPr>
        <w:t>036</w:t>
      </w:r>
    </w:p>
    <w:p>
      <w:pPr>
        <w:pStyle w:val="BodyText"/>
        <w:spacing w:before="92"/>
        <w:rPr>
          <w:rFonts w:ascii="Arial"/>
          <w:b/>
        </w:rPr>
      </w:pPr>
    </w:p>
    <w:p>
      <w:pPr>
        <w:pStyle w:val="BodyText"/>
        <w:spacing w:line="235" w:lineRule="auto" w:before="1"/>
        <w:ind w:left="165" w:right="166"/>
      </w:pPr>
      <w:r>
        <w:rPr>
          <w:position w:val="-2"/>
        </w:rPr>
        <w:drawing>
          <wp:inline distT="0" distB="0" distL="0" distR="0">
            <wp:extent cx="107988" cy="10798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32"/>
        </w:rPr>
        <w:t> </w:t>
      </w:r>
      <w:bookmarkStart w:name="_bookmark359" w:id="361"/>
      <w:bookmarkEnd w:id="361"/>
      <w:r>
        <w:rPr>
          <w:rFonts w:ascii="Times New Roman" w:hAnsi="Times New Roman"/>
          <w:spacing w:val="-16"/>
        </w:rPr>
      </w:r>
      <w:r>
        <w:rPr/>
        <w:t>A</w:t>
      </w:r>
      <w:r>
        <w:rPr>
          <w:spacing w:val="26"/>
        </w:rPr>
        <w:t> </w:t>
      </w:r>
      <w:r>
        <w:rPr/>
        <w:t>further</w:t>
      </w:r>
      <w:r>
        <w:rPr>
          <w:spacing w:val="26"/>
        </w:rPr>
        <w:t> </w:t>
      </w:r>
      <w:r>
        <w:rPr/>
        <w:t>qualification</w:t>
      </w:r>
      <w:r>
        <w:rPr>
          <w:spacing w:val="26"/>
        </w:rPr>
        <w:t> </w:t>
      </w:r>
      <w:r>
        <w:rPr/>
        <w:t>of</w:t>
      </w:r>
      <w:r>
        <w:rPr>
          <w:spacing w:val="26"/>
        </w:rPr>
        <w:t> </w:t>
      </w:r>
      <w:r>
        <w:rPr/>
        <w:t>the</w:t>
      </w:r>
      <w:r>
        <w:rPr>
          <w:spacing w:val="26"/>
        </w:rPr>
        <w:t> </w:t>
      </w:r>
      <w:r>
        <w:rPr/>
        <w:t>past</w:t>
      </w:r>
      <w:r>
        <w:rPr>
          <w:spacing w:val="26"/>
        </w:rPr>
        <w:t> </w:t>
      </w:r>
      <w:r>
        <w:rPr/>
        <w:t>consideration</w:t>
      </w:r>
      <w:r>
        <w:rPr>
          <w:spacing w:val="26"/>
        </w:rPr>
        <w:t> </w:t>
      </w:r>
      <w:r>
        <w:rPr/>
        <w:t>rule</w:t>
      </w:r>
      <w:r>
        <w:rPr>
          <w:spacing w:val="26"/>
        </w:rPr>
        <w:t> </w:t>
      </w:r>
      <w:r>
        <w:rPr/>
        <w:t>is</w:t>
      </w:r>
      <w:r>
        <w:rPr>
          <w:spacing w:val="26"/>
        </w:rPr>
        <w:t> </w:t>
      </w:r>
      <w:r>
        <w:rPr/>
        <w:t>contained</w:t>
      </w:r>
      <w:r>
        <w:rPr>
          <w:spacing w:val="26"/>
        </w:rPr>
        <w:t> </w:t>
      </w:r>
      <w:r>
        <w:rPr/>
        <w:t>in</w:t>
      </w:r>
      <w:r>
        <w:rPr>
          <w:spacing w:val="26"/>
        </w:rPr>
        <w:t> </w:t>
      </w:r>
      <w:r>
        <w:rPr/>
        <w:t>s.29(5)</w:t>
      </w:r>
      <w:r>
        <w:rPr>
          <w:spacing w:val="26"/>
        </w:rPr>
        <w:t> </w:t>
      </w:r>
      <w:r>
        <w:rPr/>
        <w:t>of</w:t>
      </w:r>
      <w:r>
        <w:rPr>
          <w:spacing w:val="26"/>
        </w:rPr>
        <w:t> </w:t>
      </w:r>
      <w:r>
        <w:rPr/>
        <w:t>the</w:t>
      </w:r>
      <w:r>
        <w:rPr>
          <w:spacing w:val="26"/>
        </w:rPr>
        <w:t> </w:t>
      </w:r>
      <w:r>
        <w:rPr/>
        <w:t>Limitation</w:t>
      </w:r>
      <w:r>
        <w:rPr>
          <w:spacing w:val="26"/>
        </w:rPr>
        <w:t> </w:t>
      </w:r>
      <w:r>
        <w:rPr/>
        <w:t>Act 1980.</w:t>
      </w:r>
      <w:r>
        <w:rPr>
          <w:spacing w:val="16"/>
        </w:rPr>
        <w:t> </w:t>
      </w:r>
      <w:r>
        <w:rPr/>
        <w:t>This</w:t>
      </w:r>
      <w:r>
        <w:rPr>
          <w:spacing w:val="17"/>
        </w:rPr>
        <w:t> </w:t>
      </w:r>
      <w:r>
        <w:rPr/>
        <w:t>provides</w:t>
      </w:r>
      <w:r>
        <w:rPr>
          <w:spacing w:val="17"/>
        </w:rPr>
        <w:t> </w:t>
      </w:r>
      <w:r>
        <w:rPr/>
        <w:t>(inter</w:t>
      </w:r>
      <w:r>
        <w:rPr>
          <w:spacing w:val="17"/>
        </w:rPr>
        <w:t> </w:t>
      </w:r>
      <w:r>
        <w:rPr/>
        <w:t>alia)</w:t>
      </w:r>
      <w:r>
        <w:rPr>
          <w:spacing w:val="17"/>
        </w:rPr>
        <w:t> </w:t>
      </w:r>
      <w:r>
        <w:rPr/>
        <w:t>that,</w:t>
      </w:r>
      <w:r>
        <w:rPr>
          <w:spacing w:val="17"/>
        </w:rPr>
        <w:t> </w:t>
      </w:r>
      <w:r>
        <w:rPr/>
        <w:t>where</w:t>
      </w:r>
      <w:r>
        <w:rPr>
          <w:spacing w:val="17"/>
        </w:rPr>
        <w:t> </w:t>
      </w:r>
      <w:r>
        <w:rPr/>
        <w:t>a</w:t>
      </w:r>
      <w:r>
        <w:rPr>
          <w:spacing w:val="17"/>
        </w:rPr>
        <w:t> </w:t>
      </w:r>
      <w:r>
        <w:rPr/>
        <w:t>debtor</w:t>
      </w:r>
      <w:r>
        <w:rPr>
          <w:spacing w:val="17"/>
        </w:rPr>
        <w:t> </w:t>
      </w:r>
      <w:r>
        <w:rPr/>
        <w:t>in</w:t>
      </w:r>
      <w:r>
        <w:rPr>
          <w:spacing w:val="17"/>
        </w:rPr>
        <w:t> </w:t>
      </w:r>
      <w:r>
        <w:rPr/>
        <w:t>a</w:t>
      </w:r>
      <w:r>
        <w:rPr>
          <w:spacing w:val="17"/>
        </w:rPr>
        <w:t> </w:t>
      </w:r>
      <w:r>
        <w:rPr/>
        <w:t>writing</w:t>
      </w:r>
      <w:r>
        <w:rPr>
          <w:spacing w:val="17"/>
        </w:rPr>
        <w:t> </w:t>
      </w:r>
      <w:r>
        <w:rPr/>
        <w:t>signed</w:t>
      </w:r>
      <w:r>
        <w:rPr>
          <w:spacing w:val="17"/>
        </w:rPr>
        <w:t> </w:t>
      </w:r>
      <w:r>
        <w:rPr/>
        <w:t>by</w:t>
      </w:r>
      <w:r>
        <w:rPr>
          <w:spacing w:val="17"/>
        </w:rPr>
        <w:t> </w:t>
      </w:r>
      <w:r>
        <w:rPr/>
        <w:t>him</w:t>
      </w:r>
      <w:r>
        <w:rPr>
          <w:spacing w:val="16"/>
        </w:rPr>
        <w:t> </w:t>
      </w:r>
      <w:r>
        <w:rPr>
          <w:color w:val="005DA1"/>
          <w:u w:val="single" w:color="005DA1"/>
          <w:vertAlign w:val="superscript"/>
        </w:rPr>
        <w:t>230</w:t>
      </w:r>
      <w:r>
        <w:rPr>
          <w:color w:val="005DA1"/>
          <w:spacing w:val="17"/>
          <w:vertAlign w:val="baseline"/>
        </w:rPr>
        <w:t> </w:t>
      </w:r>
      <w:r>
        <w:rPr>
          <w:vertAlign w:val="baseline"/>
        </w:rPr>
        <w:t>“acknowledges”</w:t>
      </w:r>
      <w:r>
        <w:rPr>
          <w:spacing w:val="17"/>
          <w:vertAlign w:val="baseline"/>
        </w:rPr>
        <w:t> </w:t>
      </w:r>
      <w:r>
        <w:rPr>
          <w:spacing w:val="-10"/>
          <w:vertAlign w:val="baseline"/>
        </w:rPr>
        <w:t>a</w:t>
      </w:r>
    </w:p>
    <w:p>
      <w:pPr>
        <w:pStyle w:val="BodyText"/>
        <w:spacing w:after="0" w:line="235" w:lineRule="auto"/>
        <w:sectPr>
          <w:pgSz w:w="11900" w:h="16840"/>
          <w:pgMar w:header="971" w:footer="0" w:top="1160" w:bottom="280" w:left="1275" w:right="1275"/>
        </w:sectPr>
      </w:pPr>
    </w:p>
    <w:p>
      <w:pPr>
        <w:pStyle w:val="BodyText"/>
        <w:spacing w:before="144"/>
      </w:pPr>
    </w:p>
    <w:p>
      <w:pPr>
        <w:pStyle w:val="BodyText"/>
        <w:spacing w:line="235" w:lineRule="auto" w:before="1"/>
        <w:ind w:left="165" w:right="167"/>
        <w:jc w:val="both"/>
      </w:pPr>
      <w:bookmarkStart w:name="_bookmark360" w:id="362"/>
      <w:bookmarkEnd w:id="362"/>
      <w:r>
        <w:rPr/>
      </w:r>
      <w:bookmarkStart w:name="_bookmark361" w:id="363"/>
      <w:bookmarkEnd w:id="363"/>
      <w:r>
        <w:rPr/>
      </w:r>
      <w:r>
        <w:rPr/>
        <w:t>debt, </w:t>
      </w:r>
      <w:r>
        <w:rPr>
          <w:color w:val="005DA1"/>
          <w:u w:val="single" w:color="005DA1"/>
          <w:vertAlign w:val="superscript"/>
        </w:rPr>
        <w:t>231</w:t>
      </w:r>
      <w:r>
        <w:rPr>
          <w:color w:val="005DA1"/>
          <w:spacing w:val="80"/>
          <w:w w:val="150"/>
          <w:vertAlign w:val="baseline"/>
        </w:rPr>
        <w:t> </w:t>
      </w:r>
      <w:r>
        <w:rPr>
          <w:color w:val="005DA1"/>
          <w:spacing w:val="-19"/>
          <w:position w:val="-2"/>
          <w:vertAlign w:val="baseline"/>
        </w:rPr>
        <w:drawing>
          <wp:inline distT="0" distB="0" distL="0" distR="0">
            <wp:extent cx="107988" cy="107988"/>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hAnsi="Times New Roman"/>
          <w:color w:val="005DA1"/>
          <w:spacing w:val="33"/>
          <w:vertAlign w:val="baseline"/>
        </w:rPr>
        <w:t> </w:t>
      </w:r>
      <w:r>
        <w:rPr>
          <w:vertAlign w:val="baseline"/>
        </w:rPr>
        <w:t>it shall be deemed to have accrued on and not before the date of the </w:t>
      </w:r>
      <w:r>
        <w:rPr>
          <w:vertAlign w:val="baseline"/>
        </w:rPr>
        <w:t>acknowledgment. An “acknowledgment” need not take the form of a promise</w:t>
      </w:r>
      <w:r>
        <w:rPr>
          <w:spacing w:val="-1"/>
          <w:vertAlign w:val="baseline"/>
        </w:rPr>
        <w:t> </w:t>
      </w:r>
      <w:r>
        <w:rPr>
          <w:color w:val="005DA1"/>
          <w:u w:val="single" w:color="005DA1"/>
          <w:vertAlign w:val="superscript"/>
        </w:rPr>
        <w:t>232</w:t>
      </w:r>
      <w:r>
        <w:rPr>
          <w:vertAlign w:val="baseline"/>
        </w:rPr>
        <w:t>; but if it does take this form the promise can extend the period of limitation even though the only consideration for it was the antecedent debt, </w:t>
      </w:r>
      <w:bookmarkStart w:name="_bookmark362" w:id="364"/>
      <w:bookmarkEnd w:id="364"/>
      <w:r>
        <w:rPr>
          <w:vertAlign w:val="baseline"/>
        </w:rPr>
        <w:t>and</w:t>
      </w:r>
      <w:r>
        <w:rPr>
          <w:vertAlign w:val="baseline"/>
        </w:rPr>
        <w:t> thus past. Further acknowledgments made within such an extended period or periods have the </w:t>
      </w:r>
      <w:bookmarkStart w:name="_bookmark363" w:id="365"/>
      <w:bookmarkEnd w:id="365"/>
      <w:r>
        <w:rPr>
          <w:vertAlign w:val="baseline"/>
        </w:rPr>
        <w:t>same</w:t>
      </w:r>
      <w:r>
        <w:rPr>
          <w:vertAlign w:val="baseline"/>
        </w:rPr>
        <w:t> effect. </w:t>
      </w:r>
      <w:r>
        <w:rPr>
          <w:color w:val="005DA1"/>
          <w:u w:val="single" w:color="005DA1"/>
          <w:vertAlign w:val="superscript"/>
        </w:rPr>
        <w:t>233</w:t>
      </w:r>
      <w:r>
        <w:rPr>
          <w:color w:val="005DA1"/>
          <w:vertAlign w:val="baseline"/>
        </w:rPr>
        <w:t> </w:t>
      </w:r>
      <w:r>
        <w:rPr>
          <w:vertAlign w:val="baseline"/>
        </w:rPr>
        <w:t>But once the debt has become statute-barred the right to sue for it cannot be revived </w:t>
      </w:r>
      <w:bookmarkStart w:name="_bookmark364" w:id="366"/>
      <w:bookmarkEnd w:id="366"/>
      <w:r>
        <w:rPr>
          <w:vertAlign w:val="baseline"/>
        </w:rPr>
        <w:t>by</w:t>
      </w:r>
      <w:r>
        <w:rPr>
          <w:vertAlign w:val="baseline"/>
        </w:rPr>
        <w:t> any subsequent acknowledgment </w:t>
      </w:r>
      <w:r>
        <w:rPr>
          <w:color w:val="005DA1"/>
          <w:u w:val="single" w:color="005DA1"/>
          <w:vertAlign w:val="superscript"/>
        </w:rPr>
        <w:t>234</w:t>
      </w:r>
      <w:r>
        <w:rPr>
          <w:vertAlign w:val="baseline"/>
        </w:rPr>
        <w:t>: to this extent, the old “moral obligation” theory, as applied to statute-barred debts, </w:t>
      </w:r>
      <w:r>
        <w:rPr>
          <w:color w:val="005DA1"/>
          <w:u w:val="single" w:color="005DA1"/>
          <w:vertAlign w:val="superscript"/>
        </w:rPr>
        <w:t>235</w:t>
      </w:r>
      <w:r>
        <w:rPr>
          <w:color w:val="005DA1"/>
          <w:vertAlign w:val="baseline"/>
        </w:rPr>
        <w:t> </w:t>
      </w:r>
      <w:r>
        <w:rPr>
          <w:vertAlign w:val="baseline"/>
        </w:rPr>
        <w:t>has been reversed.</w:t>
      </w:r>
    </w:p>
    <w:p>
      <w:pPr>
        <w:pStyle w:val="BodyText"/>
      </w:pPr>
    </w:p>
    <w:p>
      <w:pPr>
        <w:pStyle w:val="BodyText"/>
        <w:spacing w:before="37"/>
      </w:pPr>
      <w:r>
        <w:rPr/>
        <mc:AlternateContent>
          <mc:Choice Requires="wps">
            <w:drawing>
              <wp:anchor distT="0" distB="0" distL="0" distR="0" allowOverlap="1" layoutInCell="1" locked="0" behindDoc="1" simplePos="0" relativeHeight="487603712">
                <wp:simplePos x="0" y="0"/>
                <wp:positionH relativeFrom="page">
                  <wp:posOffset>914400</wp:posOffset>
                </wp:positionH>
                <wp:positionV relativeFrom="paragraph">
                  <wp:posOffset>184903</wp:posOffset>
                </wp:positionV>
                <wp:extent cx="5724525"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5934pt;width:450.75pt;height:.1pt;mso-position-horizontal-relative:page;mso-position-vertical-relative:paragraph;z-index:-15712768;mso-wrap-distance-left:0;mso-wrap-distance-right:0" id="docshape16"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170880">
                <wp:simplePos x="0" y="0"/>
                <wp:positionH relativeFrom="page">
                  <wp:posOffset>914400</wp:posOffset>
                </wp:positionH>
                <wp:positionV relativeFrom="paragraph">
                  <wp:posOffset>97116</wp:posOffset>
                </wp:positionV>
                <wp:extent cx="4953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45600"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before="5"/>
      </w:pPr>
    </w:p>
    <w:p>
      <w:pPr>
        <w:tabs>
          <w:tab w:pos="705" w:val="left" w:leader="none"/>
        </w:tabs>
        <w:spacing w:before="0"/>
        <w:ind w:left="165" w:right="0" w:firstLine="0"/>
        <w:jc w:val="left"/>
        <w:rPr>
          <w:sz w:val="20"/>
        </w:rPr>
      </w:pPr>
      <w:bookmarkStart w:name="_bookmark365" w:id="367"/>
      <w:bookmarkEnd w:id="367"/>
      <w:r>
        <w:rPr/>
      </w:r>
      <w:hyperlink w:history="true" w:anchor="_bookmark296">
        <w:r>
          <w:rPr>
            <w:color w:val="005DA1"/>
            <w:spacing w:val="-4"/>
            <w:position w:val="5"/>
            <w:sz w:val="14"/>
            <w:u w:val="single" w:color="005DA1"/>
          </w:rPr>
          <w:t>160</w:t>
        </w:r>
      </w:hyperlink>
      <w:r>
        <w:rPr>
          <w:spacing w:val="-4"/>
          <w:position w:val="5"/>
          <w:sz w:val="14"/>
        </w:rPr>
        <w:t>.</w:t>
      </w:r>
      <w:r>
        <w:rPr>
          <w:position w:val="5"/>
          <w:sz w:val="14"/>
        </w:rPr>
        <w:tab/>
      </w:r>
      <w:r>
        <w:rPr>
          <w:rFonts w:ascii="Arial"/>
          <w:i/>
          <w:sz w:val="20"/>
        </w:rPr>
        <w:t>Dent</w:t>
      </w:r>
      <w:r>
        <w:rPr>
          <w:rFonts w:ascii="Arial"/>
          <w:i/>
          <w:spacing w:val="-1"/>
          <w:sz w:val="20"/>
        </w:rPr>
        <w:t> </w:t>
      </w:r>
      <w:r>
        <w:rPr>
          <w:rFonts w:ascii="Arial"/>
          <w:i/>
          <w:sz w:val="20"/>
        </w:rPr>
        <w:t>v Bennett (1839) 4 My. &amp; Cr. 269</w:t>
      </w:r>
      <w:r>
        <w:rPr>
          <w:sz w:val="20"/>
        </w:rPr>
        <w:t>; </w:t>
      </w:r>
      <w:r>
        <w:rPr>
          <w:rFonts w:ascii="Arial"/>
          <w:i/>
          <w:sz w:val="20"/>
        </w:rPr>
        <w:t>Eastwood v Kenyon (1840) 11 A. &amp; E. </w:t>
      </w:r>
      <w:r>
        <w:rPr>
          <w:rFonts w:ascii="Arial"/>
          <w:i/>
          <w:spacing w:val="-4"/>
          <w:sz w:val="20"/>
        </w:rPr>
        <w:t>438</w:t>
      </w:r>
      <w:r>
        <w:rPr>
          <w:spacing w:val="-4"/>
          <w:sz w:val="20"/>
        </w:rPr>
        <w:t>.</w:t>
      </w:r>
    </w:p>
    <w:p>
      <w:pPr>
        <w:pStyle w:val="BodyText"/>
        <w:spacing w:before="9"/>
      </w:pPr>
    </w:p>
    <w:p>
      <w:pPr>
        <w:spacing w:line="235" w:lineRule="auto" w:before="0"/>
        <w:ind w:left="705" w:right="167" w:hanging="541"/>
        <w:jc w:val="both"/>
        <w:rPr>
          <w:sz w:val="20"/>
        </w:rPr>
      </w:pPr>
      <w:bookmarkStart w:name="_bookmark366" w:id="368"/>
      <w:bookmarkEnd w:id="368"/>
      <w:r>
        <w:rPr/>
      </w:r>
      <w:hyperlink w:history="true" w:anchor="_bookmark297">
        <w:r>
          <w:rPr>
            <w:color w:val="005DA1"/>
            <w:position w:val="5"/>
            <w:sz w:val="14"/>
            <w:u w:val="single" w:color="005DA1"/>
          </w:rPr>
          <w:t>161</w:t>
        </w:r>
      </w:hyperlink>
      <w:r>
        <w:rPr>
          <w:position w:val="5"/>
          <w:sz w:val="14"/>
        </w:rPr>
        <w:t>.</w:t>
      </w:r>
      <w:r>
        <w:rPr>
          <w:spacing w:val="80"/>
          <w:position w:val="5"/>
          <w:sz w:val="14"/>
        </w:rPr>
        <w:t>  </w:t>
      </w:r>
      <w:r>
        <w:rPr>
          <w:rFonts w:ascii="Arial" w:hAnsi="Arial"/>
          <w:i/>
          <w:sz w:val="20"/>
        </w:rPr>
        <w:t>Thorner v Field (1612) 1 Bulst. 120</w:t>
      </w:r>
      <w:r>
        <w:rPr>
          <w:sz w:val="20"/>
        </w:rPr>
        <w:t>; </w:t>
      </w:r>
      <w:r>
        <w:rPr>
          <w:rFonts w:ascii="Arial" w:hAnsi="Arial"/>
          <w:i/>
          <w:sz w:val="20"/>
        </w:rPr>
        <w:t>Roscorla v Thomas (1842) 3 Q.B. 234</w:t>
      </w:r>
      <w:r>
        <w:rPr>
          <w:sz w:val="20"/>
        </w:rPr>
        <w:t>. In the latter case </w:t>
      </w:r>
      <w:r>
        <w:rPr>
          <w:sz w:val="20"/>
        </w:rPr>
        <w:t>an oral warranty was given at the time of sale (see (1842) 11 L.J.Q.B. 214 and 6 Jur. 929) but this was presumably considered at the time to be “void” for want of written evidence.</w:t>
      </w:r>
    </w:p>
    <w:p>
      <w:pPr>
        <w:pStyle w:val="BodyText"/>
        <w:spacing w:before="9"/>
      </w:pPr>
    </w:p>
    <w:p>
      <w:pPr>
        <w:spacing w:line="235" w:lineRule="auto" w:before="0"/>
        <w:ind w:left="705" w:right="167" w:hanging="541"/>
        <w:jc w:val="both"/>
        <w:rPr>
          <w:sz w:val="20"/>
        </w:rPr>
      </w:pPr>
      <w:bookmarkStart w:name="_bookmark367" w:id="369"/>
      <w:bookmarkEnd w:id="369"/>
      <w:r>
        <w:rPr/>
      </w:r>
      <w:hyperlink w:history="true" w:anchor="_bookmark298">
        <w:r>
          <w:rPr>
            <w:color w:val="005DA1"/>
            <w:position w:val="5"/>
            <w:sz w:val="14"/>
            <w:u w:val="single" w:color="005DA1"/>
          </w:rPr>
          <w:t>162</w:t>
        </w:r>
      </w:hyperlink>
      <w:r>
        <w:rPr>
          <w:position w:val="5"/>
          <w:sz w:val="14"/>
        </w:rPr>
        <w:t>.</w:t>
      </w:r>
      <w:r>
        <w:rPr>
          <w:spacing w:val="80"/>
          <w:position w:val="5"/>
          <w:sz w:val="14"/>
        </w:rPr>
        <w:t>  </w:t>
      </w:r>
      <w:r>
        <w:rPr>
          <w:sz w:val="20"/>
        </w:rPr>
        <w:t>Such “other consideration” may be provided by “the exchange of one obligation from one party for another from a different party”: </w:t>
      </w:r>
      <w:r>
        <w:rPr>
          <w:rFonts w:ascii="Arial" w:hAnsi="Arial"/>
          <w:i/>
          <w:sz w:val="20"/>
        </w:rPr>
        <w:t>Classic Maritime Inc v Lion Diversified Holdings Berhad [2009] EWHC 1142 (Comm), [2010] 1 Lloyd’s Rep. 59 </w:t>
      </w:r>
      <w:r>
        <w:rPr>
          <w:sz w:val="20"/>
        </w:rPr>
        <w:t>at [46], where a contract between A </w:t>
      </w:r>
      <w:r>
        <w:rPr>
          <w:sz w:val="20"/>
        </w:rPr>
        <w:t>and B required B to provide a guarantee from D and A had instead accepted one from C. The consideration in this case was, for the reason given in para.4-027 below, </w:t>
      </w:r>
      <w:r>
        <w:rPr>
          <w:rFonts w:ascii="Arial" w:hAnsi="Arial"/>
          <w:i/>
          <w:sz w:val="20"/>
        </w:rPr>
        <w:t>not </w:t>
      </w:r>
      <w:r>
        <w:rPr>
          <w:sz w:val="20"/>
        </w:rPr>
        <w:t>past.</w:t>
      </w:r>
    </w:p>
    <w:p>
      <w:pPr>
        <w:pStyle w:val="BodyText"/>
        <w:spacing w:before="8"/>
      </w:pPr>
    </w:p>
    <w:p>
      <w:pPr>
        <w:tabs>
          <w:tab w:pos="705" w:val="left" w:leader="none"/>
        </w:tabs>
        <w:spacing w:line="235" w:lineRule="auto" w:before="0"/>
        <w:ind w:left="705" w:right="168" w:hanging="541"/>
        <w:jc w:val="left"/>
        <w:rPr>
          <w:sz w:val="20"/>
        </w:rPr>
      </w:pPr>
      <w:bookmarkStart w:name="_bookmark368" w:id="370"/>
      <w:bookmarkEnd w:id="370"/>
      <w:r>
        <w:rPr/>
      </w:r>
      <w:hyperlink w:history="true" w:anchor="_bookmark299">
        <w:r>
          <w:rPr>
            <w:color w:val="005DA1"/>
            <w:spacing w:val="-4"/>
            <w:position w:val="5"/>
            <w:sz w:val="14"/>
            <w:u w:val="single" w:color="005DA1"/>
          </w:rPr>
          <w:t>163</w:t>
        </w:r>
      </w:hyperlink>
      <w:r>
        <w:rPr>
          <w:spacing w:val="-4"/>
          <w:position w:val="5"/>
          <w:sz w:val="14"/>
        </w:rPr>
        <w:t>.</w:t>
      </w:r>
      <w:r>
        <w:rPr>
          <w:position w:val="5"/>
          <w:sz w:val="14"/>
        </w:rPr>
        <w:tab/>
      </w:r>
      <w:r>
        <w:rPr>
          <w:sz w:val="20"/>
        </w:rPr>
        <w:t>See</w:t>
      </w:r>
      <w:r>
        <w:rPr>
          <w:spacing w:val="19"/>
          <w:sz w:val="20"/>
        </w:rPr>
        <w:t> </w:t>
      </w:r>
      <w:r>
        <w:rPr>
          <w:sz w:val="20"/>
        </w:rPr>
        <w:t>the</w:t>
      </w:r>
      <w:r>
        <w:rPr>
          <w:spacing w:val="19"/>
          <w:sz w:val="20"/>
        </w:rPr>
        <w:t> </w:t>
      </w:r>
      <w:r>
        <w:rPr>
          <w:sz w:val="20"/>
        </w:rPr>
        <w:t>facts</w:t>
      </w:r>
      <w:r>
        <w:rPr>
          <w:spacing w:val="19"/>
          <w:sz w:val="20"/>
        </w:rPr>
        <w:t> </w:t>
      </w:r>
      <w:r>
        <w:rPr>
          <w:sz w:val="20"/>
        </w:rPr>
        <w:t>of</w:t>
      </w:r>
      <w:r>
        <w:rPr>
          <w:spacing w:val="19"/>
          <w:sz w:val="20"/>
        </w:rPr>
        <w:t> </w:t>
      </w:r>
      <w:r>
        <w:rPr>
          <w:rFonts w:ascii="Arial"/>
          <w:i/>
          <w:sz w:val="20"/>
        </w:rPr>
        <w:t>Simpson</w:t>
      </w:r>
      <w:r>
        <w:rPr>
          <w:rFonts w:ascii="Arial"/>
          <w:i/>
          <w:spacing w:val="19"/>
          <w:sz w:val="20"/>
        </w:rPr>
        <w:t> </w:t>
      </w:r>
      <w:r>
        <w:rPr>
          <w:rFonts w:ascii="Arial"/>
          <w:i/>
          <w:sz w:val="20"/>
        </w:rPr>
        <w:t>v</w:t>
      </w:r>
      <w:r>
        <w:rPr>
          <w:rFonts w:ascii="Arial"/>
          <w:i/>
          <w:spacing w:val="19"/>
          <w:sz w:val="20"/>
        </w:rPr>
        <w:t> </w:t>
      </w:r>
      <w:r>
        <w:rPr>
          <w:rFonts w:ascii="Arial"/>
          <w:i/>
          <w:sz w:val="20"/>
        </w:rPr>
        <w:t>John</w:t>
      </w:r>
      <w:r>
        <w:rPr>
          <w:rFonts w:ascii="Arial"/>
          <w:i/>
          <w:spacing w:val="19"/>
          <w:sz w:val="20"/>
        </w:rPr>
        <w:t> </w:t>
      </w:r>
      <w:r>
        <w:rPr>
          <w:rFonts w:ascii="Arial"/>
          <w:i/>
          <w:sz w:val="20"/>
        </w:rPr>
        <w:t>Reynolds</w:t>
      </w:r>
      <w:r>
        <w:rPr>
          <w:rFonts w:ascii="Arial"/>
          <w:i/>
          <w:spacing w:val="19"/>
          <w:sz w:val="20"/>
        </w:rPr>
        <w:t> </w:t>
      </w:r>
      <w:r>
        <w:rPr>
          <w:rFonts w:ascii="Arial"/>
          <w:i/>
          <w:sz w:val="20"/>
        </w:rPr>
        <w:t>[1975]</w:t>
      </w:r>
      <w:r>
        <w:rPr>
          <w:rFonts w:ascii="Arial"/>
          <w:i/>
          <w:spacing w:val="19"/>
          <w:sz w:val="20"/>
        </w:rPr>
        <w:t> </w:t>
      </w:r>
      <w:r>
        <w:rPr>
          <w:rFonts w:ascii="Arial"/>
          <w:i/>
          <w:sz w:val="20"/>
        </w:rPr>
        <w:t>1</w:t>
      </w:r>
      <w:r>
        <w:rPr>
          <w:rFonts w:ascii="Arial"/>
          <w:i/>
          <w:spacing w:val="19"/>
          <w:sz w:val="20"/>
        </w:rPr>
        <w:t> </w:t>
      </w:r>
      <w:r>
        <w:rPr>
          <w:rFonts w:ascii="Arial"/>
          <w:i/>
          <w:sz w:val="20"/>
        </w:rPr>
        <w:t>W.L.R.</w:t>
      </w:r>
      <w:r>
        <w:rPr>
          <w:rFonts w:ascii="Arial"/>
          <w:i/>
          <w:spacing w:val="19"/>
          <w:sz w:val="20"/>
        </w:rPr>
        <w:t> </w:t>
      </w:r>
      <w:r>
        <w:rPr>
          <w:rFonts w:ascii="Arial"/>
          <w:i/>
          <w:sz w:val="20"/>
        </w:rPr>
        <w:t>617</w:t>
      </w:r>
      <w:r>
        <w:rPr>
          <w:sz w:val="20"/>
        </w:rPr>
        <w:t>,</w:t>
      </w:r>
      <w:r>
        <w:rPr>
          <w:spacing w:val="19"/>
          <w:sz w:val="20"/>
        </w:rPr>
        <w:t> </w:t>
      </w:r>
      <w:r>
        <w:rPr>
          <w:sz w:val="20"/>
        </w:rPr>
        <w:t>where</w:t>
      </w:r>
      <w:r>
        <w:rPr>
          <w:spacing w:val="19"/>
          <w:sz w:val="20"/>
        </w:rPr>
        <w:t> </w:t>
      </w:r>
      <w:r>
        <w:rPr>
          <w:sz w:val="20"/>
        </w:rPr>
        <w:t>such</w:t>
      </w:r>
      <w:r>
        <w:rPr>
          <w:spacing w:val="19"/>
          <w:sz w:val="20"/>
        </w:rPr>
        <w:t> </w:t>
      </w:r>
      <w:r>
        <w:rPr>
          <w:sz w:val="20"/>
        </w:rPr>
        <w:t>a</w:t>
      </w:r>
      <w:r>
        <w:rPr>
          <w:spacing w:val="19"/>
          <w:sz w:val="20"/>
        </w:rPr>
        <w:t> </w:t>
      </w:r>
      <w:r>
        <w:rPr>
          <w:sz w:val="20"/>
        </w:rPr>
        <w:t>payment</w:t>
      </w:r>
      <w:r>
        <w:rPr>
          <w:spacing w:val="19"/>
          <w:sz w:val="20"/>
        </w:rPr>
        <w:t> </w:t>
      </w:r>
      <w:r>
        <w:rPr>
          <w:sz w:val="20"/>
        </w:rPr>
        <w:t>was held to be voluntary for tax purposes and cf. </w:t>
      </w:r>
      <w:r>
        <w:rPr>
          <w:rFonts w:ascii="Arial"/>
          <w:i/>
          <w:sz w:val="20"/>
        </w:rPr>
        <w:t>Murray v Goodhews [1978] 1 W.L.R. 499</w:t>
      </w:r>
      <w:r>
        <w:rPr>
          <w:sz w:val="20"/>
        </w:rPr>
        <w:t>.</w:t>
      </w:r>
    </w:p>
    <w:p>
      <w:pPr>
        <w:pStyle w:val="BodyText"/>
        <w:spacing w:before="9"/>
      </w:pPr>
    </w:p>
    <w:p>
      <w:pPr>
        <w:spacing w:line="235" w:lineRule="auto" w:before="0"/>
        <w:ind w:left="705" w:right="167" w:hanging="541"/>
        <w:jc w:val="both"/>
        <w:rPr>
          <w:sz w:val="20"/>
        </w:rPr>
      </w:pPr>
      <w:bookmarkStart w:name="_bookmark369" w:id="371"/>
      <w:bookmarkEnd w:id="371"/>
      <w:r>
        <w:rPr/>
      </w:r>
      <w:hyperlink w:history="true" w:anchor="_bookmark300">
        <w:r>
          <w:rPr>
            <w:color w:val="005DA1"/>
            <w:position w:val="5"/>
            <w:sz w:val="14"/>
            <w:u w:val="single" w:color="005DA1"/>
          </w:rPr>
          <w:t>164</w:t>
        </w:r>
      </w:hyperlink>
      <w:r>
        <w:rPr>
          <w:position w:val="5"/>
          <w:sz w:val="14"/>
        </w:rPr>
        <w:t>.</w:t>
      </w:r>
      <w:r>
        <w:rPr>
          <w:spacing w:val="80"/>
          <w:position w:val="5"/>
          <w:sz w:val="14"/>
        </w:rPr>
        <w:t>  </w:t>
      </w:r>
      <w:r>
        <w:rPr>
          <w:sz w:val="20"/>
        </w:rPr>
        <w:t>e.g. </w:t>
      </w:r>
      <w:r>
        <w:rPr>
          <w:rFonts w:ascii="Arial"/>
          <w:i/>
          <w:sz w:val="20"/>
        </w:rPr>
        <w:t>Bell v Lever Bros. Ltd [1932] A.C. 1616 </w:t>
      </w:r>
      <w:r>
        <w:rPr>
          <w:sz w:val="20"/>
        </w:rPr>
        <w:t>(where the value of the rights given up in return for the payment was uncertain in amount since it included not only future salary but also </w:t>
      </w:r>
      <w:r>
        <w:rPr>
          <w:sz w:val="20"/>
        </w:rPr>
        <w:t>possible future commission).</w:t>
      </w:r>
    </w:p>
    <w:p>
      <w:pPr>
        <w:pStyle w:val="BodyText"/>
        <w:spacing w:before="9"/>
      </w:pPr>
    </w:p>
    <w:p>
      <w:pPr>
        <w:tabs>
          <w:tab w:pos="705" w:val="left" w:leader="none"/>
        </w:tabs>
        <w:spacing w:line="235" w:lineRule="auto" w:before="0"/>
        <w:ind w:left="705" w:right="168" w:hanging="541"/>
        <w:jc w:val="left"/>
        <w:rPr>
          <w:sz w:val="20"/>
        </w:rPr>
      </w:pPr>
      <w:bookmarkStart w:name="_bookmark370" w:id="372"/>
      <w:bookmarkEnd w:id="372"/>
      <w:r>
        <w:rPr/>
      </w:r>
      <w:hyperlink w:history="true" w:anchor="_bookmark301">
        <w:r>
          <w:rPr>
            <w:color w:val="005DA1"/>
            <w:spacing w:val="-4"/>
            <w:position w:val="5"/>
            <w:sz w:val="14"/>
            <w:u w:val="single" w:color="005DA1"/>
          </w:rPr>
          <w:t>165</w:t>
        </w:r>
      </w:hyperlink>
      <w:r>
        <w:rPr>
          <w:spacing w:val="-4"/>
          <w:position w:val="5"/>
          <w:sz w:val="14"/>
        </w:rPr>
        <w:t>.</w:t>
      </w:r>
      <w:r>
        <w:rPr>
          <w:position w:val="5"/>
          <w:sz w:val="14"/>
        </w:rPr>
        <w:tab/>
      </w:r>
      <w:r>
        <w:rPr>
          <w:sz w:val="20"/>
        </w:rPr>
        <w:t>cf.</w:t>
      </w:r>
      <w:r>
        <w:rPr>
          <w:spacing w:val="22"/>
          <w:sz w:val="20"/>
        </w:rPr>
        <w:t> </w:t>
      </w:r>
      <w:r>
        <w:rPr>
          <w:rFonts w:ascii="Arial" w:hAnsi="Arial"/>
          <w:i/>
          <w:sz w:val="20"/>
        </w:rPr>
        <w:t>Wyatt</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Kreglinger</w:t>
      </w:r>
      <w:r>
        <w:rPr>
          <w:rFonts w:ascii="Arial" w:hAnsi="Arial"/>
          <w:i/>
          <w:spacing w:val="23"/>
          <w:sz w:val="20"/>
        </w:rPr>
        <w:t> </w:t>
      </w:r>
      <w:r>
        <w:rPr>
          <w:rFonts w:ascii="Arial" w:hAnsi="Arial"/>
          <w:i/>
          <w:sz w:val="20"/>
        </w:rPr>
        <w:t>and</w:t>
      </w:r>
      <w:r>
        <w:rPr>
          <w:rFonts w:ascii="Arial" w:hAnsi="Arial"/>
          <w:i/>
          <w:spacing w:val="23"/>
          <w:sz w:val="20"/>
        </w:rPr>
        <w:t> </w:t>
      </w:r>
      <w:r>
        <w:rPr>
          <w:rFonts w:ascii="Arial" w:hAnsi="Arial"/>
          <w:i/>
          <w:sz w:val="20"/>
        </w:rPr>
        <w:t>Fernau</w:t>
      </w:r>
      <w:r>
        <w:rPr>
          <w:rFonts w:ascii="Arial" w:hAnsi="Arial"/>
          <w:i/>
          <w:spacing w:val="23"/>
          <w:sz w:val="20"/>
        </w:rPr>
        <w:t> </w:t>
      </w:r>
      <w:r>
        <w:rPr>
          <w:rFonts w:ascii="Arial" w:hAnsi="Arial"/>
          <w:i/>
          <w:sz w:val="20"/>
        </w:rPr>
        <w:t>[1933]</w:t>
      </w:r>
      <w:r>
        <w:rPr>
          <w:rFonts w:ascii="Arial" w:hAnsi="Arial"/>
          <w:i/>
          <w:spacing w:val="23"/>
          <w:sz w:val="20"/>
        </w:rPr>
        <w:t> </w:t>
      </w:r>
      <w:r>
        <w:rPr>
          <w:rFonts w:ascii="Arial" w:hAnsi="Arial"/>
          <w:i/>
          <w:sz w:val="20"/>
        </w:rPr>
        <w:t>1</w:t>
      </w:r>
      <w:r>
        <w:rPr>
          <w:rFonts w:ascii="Arial" w:hAnsi="Arial"/>
          <w:i/>
          <w:spacing w:val="23"/>
          <w:sz w:val="20"/>
        </w:rPr>
        <w:t> </w:t>
      </w:r>
      <w:r>
        <w:rPr>
          <w:rFonts w:ascii="Arial" w:hAnsi="Arial"/>
          <w:i/>
          <w:sz w:val="20"/>
        </w:rPr>
        <w:t>K.B.</w:t>
      </w:r>
      <w:r>
        <w:rPr>
          <w:rFonts w:ascii="Arial" w:hAnsi="Arial"/>
          <w:i/>
          <w:spacing w:val="23"/>
          <w:sz w:val="20"/>
        </w:rPr>
        <w:t> </w:t>
      </w:r>
      <w:r>
        <w:rPr>
          <w:rFonts w:ascii="Arial" w:hAnsi="Arial"/>
          <w:i/>
          <w:sz w:val="20"/>
        </w:rPr>
        <w:t>793</w:t>
      </w:r>
      <w:r>
        <w:rPr>
          <w:rFonts w:ascii="Arial" w:hAnsi="Arial"/>
          <w:i/>
          <w:spacing w:val="-30"/>
          <w:sz w:val="20"/>
        </w:rPr>
        <w:t> </w:t>
      </w:r>
      <w:r>
        <w:rPr>
          <w:sz w:val="20"/>
        </w:rPr>
        <w:t>—where</w:t>
      </w:r>
      <w:r>
        <w:rPr>
          <w:spacing w:val="23"/>
          <w:sz w:val="20"/>
        </w:rPr>
        <w:t> </w:t>
      </w:r>
      <w:r>
        <w:rPr>
          <w:sz w:val="20"/>
        </w:rPr>
        <w:t>the</w:t>
      </w:r>
      <w:r>
        <w:rPr>
          <w:spacing w:val="23"/>
          <w:sz w:val="20"/>
        </w:rPr>
        <w:t> </w:t>
      </w:r>
      <w:r>
        <w:rPr>
          <w:sz w:val="20"/>
        </w:rPr>
        <w:t>ex-employee’s</w:t>
      </w:r>
      <w:r>
        <w:rPr>
          <w:spacing w:val="23"/>
          <w:sz w:val="20"/>
        </w:rPr>
        <w:t> </w:t>
      </w:r>
      <w:r>
        <w:rPr>
          <w:sz w:val="20"/>
        </w:rPr>
        <w:t>claim</w:t>
      </w:r>
      <w:r>
        <w:rPr>
          <w:spacing w:val="23"/>
          <w:sz w:val="20"/>
        </w:rPr>
        <w:t> </w:t>
      </w:r>
      <w:r>
        <w:rPr>
          <w:sz w:val="20"/>
        </w:rPr>
        <w:t>would have succeeded if the restraint undertaken by him had not been invalid (below, para.16-115).</w:t>
      </w:r>
    </w:p>
    <w:p>
      <w:pPr>
        <w:pStyle w:val="BodyText"/>
        <w:spacing w:before="9"/>
      </w:pPr>
    </w:p>
    <w:p>
      <w:pPr>
        <w:spacing w:line="235" w:lineRule="auto" w:before="0"/>
        <w:ind w:left="705" w:right="168" w:hanging="541"/>
        <w:jc w:val="both"/>
        <w:rPr>
          <w:sz w:val="20"/>
        </w:rPr>
      </w:pPr>
      <w:bookmarkStart w:name="_bookmark371" w:id="373"/>
      <w:bookmarkEnd w:id="373"/>
      <w:r>
        <w:rPr/>
      </w:r>
      <w:hyperlink w:history="true" w:anchor="_bookmark302">
        <w:r>
          <w:rPr>
            <w:color w:val="005DA1"/>
            <w:position w:val="5"/>
            <w:sz w:val="14"/>
            <w:u w:val="single" w:color="005DA1"/>
          </w:rPr>
          <w:t>166</w:t>
        </w:r>
      </w:hyperlink>
      <w:r>
        <w:rPr>
          <w:position w:val="5"/>
          <w:sz w:val="14"/>
        </w:rPr>
        <w:t>.</w:t>
      </w:r>
      <w:r>
        <w:rPr>
          <w:spacing w:val="80"/>
          <w:position w:val="5"/>
          <w:sz w:val="14"/>
        </w:rPr>
        <w:t>  </w:t>
      </w:r>
      <w:r>
        <w:rPr>
          <w:rFonts w:ascii="Arial" w:hAnsi="Arial"/>
          <w:i/>
          <w:sz w:val="20"/>
        </w:rPr>
        <w:t>Thornton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Jenkyns</w:t>
      </w:r>
      <w:r>
        <w:rPr>
          <w:rFonts w:ascii="Arial" w:hAnsi="Arial"/>
          <w:i/>
          <w:spacing w:val="-1"/>
          <w:sz w:val="20"/>
        </w:rPr>
        <w:t> </w:t>
      </w:r>
      <w:r>
        <w:rPr>
          <w:rFonts w:ascii="Arial" w:hAnsi="Arial"/>
          <w:i/>
          <w:sz w:val="20"/>
        </w:rPr>
        <w:t>(1840)</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M.</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G.</w:t>
      </w:r>
      <w:r>
        <w:rPr>
          <w:rFonts w:ascii="Arial" w:hAnsi="Arial"/>
          <w:i/>
          <w:spacing w:val="-1"/>
          <w:sz w:val="20"/>
        </w:rPr>
        <w:t> </w:t>
      </w:r>
      <w:r>
        <w:rPr>
          <w:rFonts w:ascii="Arial" w:hAnsi="Arial"/>
          <w:i/>
          <w:sz w:val="20"/>
        </w:rPr>
        <w:t>166</w:t>
      </w:r>
      <w:r>
        <w:rPr>
          <w:sz w:val="20"/>
        </w:rPr>
        <w:t>;</w:t>
      </w:r>
      <w:r>
        <w:rPr>
          <w:spacing w:val="-1"/>
          <w:sz w:val="20"/>
        </w:rPr>
        <w:t> </w:t>
      </w:r>
      <w:r>
        <w:rPr>
          <w:rFonts w:ascii="Arial" w:hAnsi="Arial"/>
          <w:i/>
          <w:sz w:val="20"/>
        </w:rPr>
        <w:t>Tanner</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Moore</w:t>
      </w:r>
      <w:r>
        <w:rPr>
          <w:rFonts w:ascii="Arial" w:hAnsi="Arial"/>
          <w:i/>
          <w:spacing w:val="-1"/>
          <w:sz w:val="20"/>
        </w:rPr>
        <w:t> </w:t>
      </w:r>
      <w:r>
        <w:rPr>
          <w:rFonts w:ascii="Arial" w:hAnsi="Arial"/>
          <w:i/>
          <w:sz w:val="20"/>
        </w:rPr>
        <w:t>(1846)</w:t>
      </w:r>
      <w:r>
        <w:rPr>
          <w:rFonts w:ascii="Arial" w:hAnsi="Arial"/>
          <w:i/>
          <w:spacing w:val="-1"/>
          <w:sz w:val="20"/>
        </w:rPr>
        <w:t> </w:t>
      </w:r>
      <w:r>
        <w:rPr>
          <w:rFonts w:ascii="Arial" w:hAnsi="Arial"/>
          <w:i/>
          <w:sz w:val="20"/>
        </w:rPr>
        <w:t>9</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z w:val="20"/>
        </w:rPr>
        <w:t>1</w:t>
      </w:r>
      <w:r>
        <w:rPr>
          <w:sz w:val="20"/>
        </w:rPr>
        <w:t>;</w:t>
      </w:r>
      <w:r>
        <w:rPr>
          <w:spacing w:val="-1"/>
          <w:sz w:val="20"/>
        </w:rPr>
        <w:t> </w:t>
      </w:r>
      <w:r>
        <w:rPr>
          <w:rFonts w:ascii="Arial" w:hAnsi="Arial"/>
          <w:i/>
          <w:sz w:val="20"/>
        </w:rPr>
        <w:t>Lictor</w:t>
      </w:r>
      <w:r>
        <w:rPr>
          <w:rFonts w:ascii="Arial" w:hAnsi="Arial"/>
          <w:i/>
          <w:spacing w:val="-1"/>
          <w:sz w:val="20"/>
        </w:rPr>
        <w:t> </w:t>
      </w:r>
      <w:r>
        <w:rPr>
          <w:rFonts w:ascii="Arial" w:hAnsi="Arial"/>
          <w:i/>
          <w:sz w:val="20"/>
        </w:rPr>
        <w:t>Anstalt</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MIR Steel UK Ltd [2015] EWHC 3316 (Ch) </w:t>
      </w:r>
      <w:r>
        <w:rPr>
          <w:sz w:val="20"/>
        </w:rPr>
        <w:t>at [223] (“whole matter can be construed as a single transaction”); cf. the discussion of </w:t>
      </w:r>
      <w:r>
        <w:rPr>
          <w:rFonts w:ascii="Arial" w:hAnsi="Arial"/>
          <w:i/>
          <w:sz w:val="20"/>
        </w:rPr>
        <w:t>Halifax B.S. v Edell [1992] Ch. 436</w:t>
      </w:r>
      <w:r>
        <w:rPr>
          <w:sz w:val="20"/>
        </w:rPr>
        <w:t>, below, para.18-016.</w:t>
      </w:r>
    </w:p>
    <w:p>
      <w:pPr>
        <w:pStyle w:val="BodyText"/>
        <w:spacing w:before="9"/>
      </w:pPr>
    </w:p>
    <w:p>
      <w:pPr>
        <w:tabs>
          <w:tab w:pos="705" w:val="left" w:leader="none"/>
        </w:tabs>
        <w:spacing w:line="235" w:lineRule="auto" w:before="0"/>
        <w:ind w:left="705" w:right="168" w:hanging="541"/>
        <w:jc w:val="left"/>
        <w:rPr>
          <w:sz w:val="20"/>
        </w:rPr>
      </w:pPr>
      <w:bookmarkStart w:name="_bookmark372" w:id="374"/>
      <w:bookmarkEnd w:id="374"/>
      <w:r>
        <w:rPr/>
      </w:r>
      <w:hyperlink w:history="true" w:anchor="_bookmark303">
        <w:r>
          <w:rPr>
            <w:color w:val="005DA1"/>
            <w:spacing w:val="-4"/>
            <w:position w:val="5"/>
            <w:sz w:val="14"/>
            <w:u w:val="single" w:color="005DA1"/>
          </w:rPr>
          <w:t>167</w:t>
        </w:r>
      </w:hyperlink>
      <w:r>
        <w:rPr>
          <w:spacing w:val="-4"/>
          <w:position w:val="5"/>
          <w:sz w:val="14"/>
        </w:rPr>
        <w:t>.</w:t>
      </w:r>
      <w:r>
        <w:rPr>
          <w:position w:val="5"/>
          <w:sz w:val="14"/>
        </w:rPr>
        <w:tab/>
      </w:r>
      <w:r>
        <w:rPr>
          <w:rFonts w:ascii="Arial"/>
          <w:i/>
          <w:sz w:val="20"/>
        </w:rPr>
        <w:t>Westminster City Council v Duke of Westminster [1991] 4 All E.R. 136, 145</w:t>
      </w:r>
      <w:r>
        <w:rPr>
          <w:rFonts w:ascii="Arial"/>
          <w:i/>
          <w:spacing w:val="-1"/>
          <w:sz w:val="20"/>
        </w:rPr>
        <w:t> </w:t>
      </w:r>
      <w:r>
        <w:rPr>
          <w:sz w:val="20"/>
        </w:rPr>
        <w:t>(reversed in part </w:t>
      </w:r>
      <w:r>
        <w:rPr>
          <w:sz w:val="20"/>
        </w:rPr>
        <w:t>on another ground </w:t>
      </w:r>
      <w:r>
        <w:rPr>
          <w:rFonts w:ascii="Arial"/>
          <w:i/>
          <w:sz w:val="20"/>
        </w:rPr>
        <w:t>(1992) 24 H.L.R. 572</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373" w:id="375"/>
      <w:bookmarkEnd w:id="375"/>
      <w:r>
        <w:rPr/>
      </w:r>
      <w:hyperlink w:history="true" w:anchor="_bookmark304">
        <w:r>
          <w:rPr>
            <w:color w:val="005DA1"/>
            <w:spacing w:val="-4"/>
            <w:position w:val="5"/>
            <w:sz w:val="14"/>
            <w:u w:val="single" w:color="005DA1"/>
          </w:rPr>
          <w:t>168</w:t>
        </w:r>
      </w:hyperlink>
      <w:r>
        <w:rPr>
          <w:spacing w:val="-4"/>
          <w:position w:val="5"/>
          <w:sz w:val="14"/>
        </w:rPr>
        <w:t>.</w:t>
      </w:r>
      <w:r>
        <w:rPr>
          <w:position w:val="5"/>
          <w:sz w:val="14"/>
        </w:rPr>
        <w:tab/>
      </w:r>
      <w:r>
        <w:rPr>
          <w:rFonts w:ascii="Arial" w:hAnsi="Arial"/>
          <w:i/>
          <w:sz w:val="20"/>
        </w:rPr>
        <w:t>Classic Maritime Inc v Lion Diversified Holdings Berhad [2009] EWHC 1142 (Comm), [2010] </w:t>
      </w:r>
      <w:r>
        <w:rPr>
          <w:rFonts w:ascii="Arial" w:hAnsi="Arial"/>
          <w:i/>
          <w:sz w:val="20"/>
        </w:rPr>
        <w:t>1 Lloyd’s Rep. 59 </w:t>
      </w:r>
      <w:r>
        <w:rPr>
          <w:sz w:val="20"/>
        </w:rPr>
        <w:t>at [45], where para.4-027 above is cited at [46] with apparent approval.</w:t>
      </w:r>
    </w:p>
    <w:p>
      <w:pPr>
        <w:pStyle w:val="BodyText"/>
        <w:spacing w:before="10"/>
      </w:pPr>
    </w:p>
    <w:p>
      <w:pPr>
        <w:pStyle w:val="BodyText"/>
        <w:tabs>
          <w:tab w:pos="705" w:val="left" w:leader="none"/>
        </w:tabs>
        <w:spacing w:line="235" w:lineRule="auto"/>
        <w:ind w:left="705" w:right="168" w:hanging="541"/>
      </w:pPr>
      <w:bookmarkStart w:name="_bookmark374" w:id="376"/>
      <w:bookmarkEnd w:id="376"/>
      <w:r>
        <w:rPr/>
      </w:r>
      <w:hyperlink w:history="true" w:anchor="_bookmark305">
        <w:r>
          <w:rPr>
            <w:color w:val="005DA1"/>
            <w:spacing w:val="-4"/>
            <w:position w:val="5"/>
            <w:sz w:val="14"/>
            <w:u w:val="single" w:color="005DA1"/>
          </w:rPr>
          <w:t>169</w:t>
        </w:r>
      </w:hyperlink>
      <w:r>
        <w:rPr>
          <w:spacing w:val="-4"/>
          <w:position w:val="5"/>
          <w:sz w:val="14"/>
        </w:rPr>
        <w:t>.</w:t>
      </w:r>
      <w:r>
        <w:rPr>
          <w:position w:val="5"/>
          <w:sz w:val="14"/>
        </w:rPr>
        <w:tab/>
      </w:r>
      <w:r>
        <w:rPr>
          <w:rFonts w:ascii="Arial" w:hAnsi="Arial"/>
          <w:i/>
        </w:rPr>
        <w:t>Classic Maritime </w:t>
      </w:r>
      <w:r>
        <w:rPr/>
        <w:t>case, above n.167 at [46]; in that case, the “same parties” would be A and </w:t>
      </w:r>
      <w:r>
        <w:rPr/>
        <w:t>B;</w:t>
      </w:r>
      <w:r>
        <w:rPr>
          <w:spacing w:val="40"/>
        </w:rPr>
        <w:t> </w:t>
      </w:r>
      <w:r>
        <w:rPr/>
        <w:t>in the manufacturer’s guarantee cases, they would be buyer and seller.</w:t>
      </w:r>
    </w:p>
    <w:p>
      <w:pPr>
        <w:pStyle w:val="BodyText"/>
        <w:spacing w:before="9"/>
      </w:pPr>
    </w:p>
    <w:p>
      <w:pPr>
        <w:tabs>
          <w:tab w:pos="705" w:val="left" w:leader="none"/>
        </w:tabs>
        <w:spacing w:line="235" w:lineRule="auto" w:before="0"/>
        <w:ind w:left="705" w:right="168" w:hanging="541"/>
        <w:jc w:val="left"/>
        <w:rPr>
          <w:sz w:val="20"/>
        </w:rPr>
      </w:pPr>
      <w:bookmarkStart w:name="_bookmark375" w:id="377"/>
      <w:bookmarkEnd w:id="377"/>
      <w:r>
        <w:rPr/>
      </w:r>
      <w:hyperlink w:history="true" w:anchor="_bookmark306">
        <w:r>
          <w:rPr>
            <w:color w:val="005DA1"/>
            <w:spacing w:val="-4"/>
            <w:position w:val="5"/>
            <w:sz w:val="14"/>
            <w:u w:val="single" w:color="005DA1"/>
          </w:rPr>
          <w:t>170</w:t>
        </w:r>
      </w:hyperlink>
      <w:r>
        <w:rPr>
          <w:spacing w:val="-4"/>
          <w:position w:val="5"/>
          <w:sz w:val="14"/>
        </w:rPr>
        <w:t>.</w:t>
      </w:r>
      <w:r>
        <w:rPr>
          <w:position w:val="5"/>
          <w:sz w:val="14"/>
        </w:rPr>
        <w:tab/>
      </w:r>
      <w:r>
        <w:rPr>
          <w:sz w:val="20"/>
        </w:rPr>
        <w:t>i.e.</w:t>
      </w:r>
      <w:r>
        <w:rPr>
          <w:spacing w:val="-1"/>
          <w:sz w:val="20"/>
        </w:rPr>
        <w:t> </w:t>
      </w:r>
      <w:r>
        <w:rPr>
          <w:sz w:val="20"/>
        </w:rPr>
        <w:t>by</w:t>
      </w:r>
      <w:r>
        <w:rPr>
          <w:spacing w:val="-1"/>
          <w:sz w:val="20"/>
        </w:rPr>
        <w:t> </w:t>
      </w:r>
      <w:r>
        <w:rPr>
          <w:sz w:val="20"/>
        </w:rPr>
        <w:t>C</w:t>
      </w:r>
      <w:r>
        <w:rPr>
          <w:spacing w:val="-1"/>
          <w:sz w:val="20"/>
        </w:rPr>
        <w:t> </w:t>
      </w:r>
      <w:r>
        <w:rPr>
          <w:sz w:val="20"/>
        </w:rPr>
        <w:t>in</w:t>
      </w:r>
      <w:r>
        <w:rPr>
          <w:spacing w:val="-1"/>
          <w:sz w:val="20"/>
        </w:rPr>
        <w:t> </w:t>
      </w:r>
      <w:r>
        <w:rPr>
          <w:sz w:val="20"/>
        </w:rPr>
        <w:t>the</w:t>
      </w:r>
      <w:r>
        <w:rPr>
          <w:spacing w:val="-1"/>
          <w:sz w:val="20"/>
        </w:rPr>
        <w:t> </w:t>
      </w:r>
      <w:r>
        <w:rPr>
          <w:rFonts w:ascii="Arial" w:hAnsi="Arial"/>
          <w:i/>
          <w:sz w:val="20"/>
        </w:rPr>
        <w:t>Classic</w:t>
      </w:r>
      <w:r>
        <w:rPr>
          <w:rFonts w:ascii="Arial" w:hAnsi="Arial"/>
          <w:i/>
          <w:spacing w:val="-1"/>
          <w:sz w:val="20"/>
        </w:rPr>
        <w:t> </w:t>
      </w:r>
      <w:r>
        <w:rPr>
          <w:rFonts w:ascii="Arial" w:hAnsi="Arial"/>
          <w:i/>
          <w:sz w:val="20"/>
        </w:rPr>
        <w:t>Maritime</w:t>
      </w:r>
      <w:r>
        <w:rPr>
          <w:rFonts w:ascii="Arial" w:hAnsi="Arial"/>
          <w:i/>
          <w:spacing w:val="-1"/>
          <w:sz w:val="20"/>
        </w:rPr>
        <w:t> </w:t>
      </w:r>
      <w:r>
        <w:rPr>
          <w:sz w:val="20"/>
        </w:rPr>
        <w:t>case,</w:t>
      </w:r>
      <w:r>
        <w:rPr>
          <w:spacing w:val="-1"/>
          <w:sz w:val="20"/>
        </w:rPr>
        <w:t> </w:t>
      </w:r>
      <w:r>
        <w:rPr>
          <w:sz w:val="20"/>
        </w:rPr>
        <w:t>and</w:t>
      </w:r>
      <w:r>
        <w:rPr>
          <w:spacing w:val="-1"/>
          <w:sz w:val="20"/>
        </w:rPr>
        <w:t> </w:t>
      </w:r>
      <w:r>
        <w:rPr>
          <w:sz w:val="20"/>
        </w:rPr>
        <w:t>by</w:t>
      </w:r>
      <w:r>
        <w:rPr>
          <w:spacing w:val="-1"/>
          <w:sz w:val="20"/>
        </w:rPr>
        <w:t> </w:t>
      </w:r>
      <w:r>
        <w:rPr>
          <w:sz w:val="20"/>
        </w:rPr>
        <w:t>the</w:t>
      </w:r>
      <w:r>
        <w:rPr>
          <w:spacing w:val="-1"/>
          <w:sz w:val="20"/>
        </w:rPr>
        <w:t> </w:t>
      </w:r>
      <w:r>
        <w:rPr>
          <w:sz w:val="20"/>
        </w:rPr>
        <w:t>manufacturer</w:t>
      </w:r>
      <w:r>
        <w:rPr>
          <w:spacing w:val="-1"/>
          <w:sz w:val="20"/>
        </w:rPr>
        <w:t> </w:t>
      </w:r>
      <w:r>
        <w:rPr>
          <w:sz w:val="20"/>
        </w:rPr>
        <w:t>in</w:t>
      </w:r>
      <w:r>
        <w:rPr>
          <w:spacing w:val="-1"/>
          <w:sz w:val="20"/>
        </w:rPr>
        <w:t> </w:t>
      </w:r>
      <w:r>
        <w:rPr>
          <w:sz w:val="20"/>
        </w:rPr>
        <w:t>the</w:t>
      </w:r>
      <w:r>
        <w:rPr>
          <w:spacing w:val="-1"/>
          <w:sz w:val="20"/>
        </w:rPr>
        <w:t> </w:t>
      </w:r>
      <w:r>
        <w:rPr>
          <w:sz w:val="20"/>
        </w:rPr>
        <w:t>manufacturer’s</w:t>
      </w:r>
      <w:r>
        <w:rPr>
          <w:spacing w:val="-1"/>
          <w:sz w:val="20"/>
        </w:rPr>
        <w:t> </w:t>
      </w:r>
      <w:r>
        <w:rPr>
          <w:sz w:val="20"/>
        </w:rPr>
        <w:t>guarantee </w:t>
      </w:r>
      <w:r>
        <w:rPr>
          <w:spacing w:val="-2"/>
          <w:sz w:val="20"/>
        </w:rPr>
        <w:t>cases.</w:t>
      </w:r>
    </w:p>
    <w:p>
      <w:pPr>
        <w:pStyle w:val="BodyText"/>
        <w:spacing w:before="9"/>
      </w:pPr>
    </w:p>
    <w:p>
      <w:pPr>
        <w:pStyle w:val="BodyText"/>
        <w:spacing w:line="235" w:lineRule="auto"/>
        <w:ind w:left="705" w:right="167" w:hanging="541"/>
        <w:jc w:val="both"/>
      </w:pPr>
      <w:bookmarkStart w:name="_bookmark376" w:id="378"/>
      <w:bookmarkEnd w:id="378"/>
      <w:r>
        <w:rPr/>
      </w:r>
      <w:hyperlink w:history="true" w:anchor="_bookmark307">
        <w:r>
          <w:rPr>
            <w:color w:val="005DA1"/>
            <w:position w:val="5"/>
            <w:sz w:val="14"/>
            <w:u w:val="single" w:color="005DA1"/>
          </w:rPr>
          <w:t>171</w:t>
        </w:r>
      </w:hyperlink>
      <w:r>
        <w:rPr>
          <w:position w:val="5"/>
          <w:sz w:val="14"/>
        </w:rPr>
        <w:t>.</w:t>
      </w:r>
      <w:r>
        <w:rPr>
          <w:spacing w:val="80"/>
          <w:w w:val="150"/>
          <w:position w:val="5"/>
          <w:sz w:val="14"/>
        </w:rPr>
        <w:t> </w:t>
      </w:r>
      <w:r>
        <w:rPr/>
        <w:t>SI 2002/3045, reg.15; for definitions of “consumer”, “consumer guarantee” and “guarantor”, </w:t>
      </w:r>
      <w:r>
        <w:rPr/>
        <w:t>see reg.2. Regulation 15(1) required the goods to be “offered with” the guarantee; and these words seem to exclude the case where no mention was made of the guarantee until </w:t>
      </w:r>
      <w:r>
        <w:rPr>
          <w:rFonts w:ascii="Arial" w:hAnsi="Arial"/>
          <w:i/>
        </w:rPr>
        <w:t>after </w:t>
      </w:r>
      <w:r>
        <w:rPr/>
        <w:t>the supply contract had been made, as in the situation described above in n.160 to para.4-026.</w:t>
      </w:r>
    </w:p>
    <w:p>
      <w:pPr>
        <w:pStyle w:val="BodyText"/>
        <w:spacing w:before="9"/>
      </w:pPr>
    </w:p>
    <w:p>
      <w:pPr>
        <w:pStyle w:val="BodyText"/>
        <w:spacing w:line="235" w:lineRule="auto"/>
        <w:ind w:left="705" w:right="167" w:hanging="541"/>
        <w:jc w:val="both"/>
      </w:pPr>
      <w:bookmarkStart w:name="_bookmark377" w:id="379"/>
      <w:bookmarkEnd w:id="379"/>
      <w:r>
        <w:rPr/>
      </w:r>
      <w:hyperlink w:history="true" w:anchor="_bookmark308">
        <w:r>
          <w:rPr>
            <w:color w:val="005DA1"/>
            <w:position w:val="5"/>
            <w:sz w:val="14"/>
            <w:u w:val="single" w:color="005DA1"/>
          </w:rPr>
          <w:t>172</w:t>
        </w:r>
      </w:hyperlink>
      <w:r>
        <w:rPr>
          <w:position w:val="5"/>
          <w:sz w:val="14"/>
        </w:rPr>
        <w:t>.</w:t>
      </w:r>
      <w:r>
        <w:rPr>
          <w:spacing w:val="40"/>
          <w:position w:val="5"/>
          <w:sz w:val="14"/>
        </w:rPr>
        <w:t>  </w:t>
      </w:r>
      <w:r>
        <w:rPr/>
        <w:t>Consumer Rights Act 2015, s.60 and Sch.1, para.53. The Consumer Rights Act 2015 applies to contracts made on or after October 1, 2015; and presumably also to consumer </w:t>
      </w:r>
      <w:r>
        <w:rPr/>
        <w:t>guarantees given on or after that date.</w:t>
      </w:r>
    </w:p>
    <w:p>
      <w:pPr>
        <w:pStyle w:val="BodyText"/>
        <w:spacing w:after="0" w:line="235" w:lineRule="auto"/>
        <w:jc w:val="both"/>
        <w:sectPr>
          <w:pgSz w:w="11900" w:h="16840"/>
          <w:pgMar w:header="971" w:footer="0" w:top="1160" w:bottom="280" w:left="1275" w:right="1275"/>
        </w:sectPr>
      </w:pPr>
    </w:p>
    <w:p>
      <w:pPr>
        <w:pStyle w:val="BodyText"/>
        <w:spacing w:before="81"/>
      </w:pPr>
    </w:p>
    <w:p>
      <w:pPr>
        <w:pStyle w:val="BodyText"/>
        <w:tabs>
          <w:tab w:pos="705" w:val="left" w:leader="none"/>
        </w:tabs>
        <w:ind w:left="165"/>
      </w:pPr>
      <w:hyperlink w:history="true" w:anchor="_bookmark308">
        <w:r>
          <w:rPr>
            <w:color w:val="005DA1"/>
            <w:spacing w:val="-4"/>
            <w:position w:val="5"/>
            <w:sz w:val="14"/>
            <w:u w:val="single" w:color="005DA1"/>
          </w:rPr>
          <w:t>173</w:t>
        </w:r>
      </w:hyperlink>
      <w:r>
        <w:rPr>
          <w:spacing w:val="-4"/>
          <w:position w:val="5"/>
          <w:sz w:val="14"/>
        </w:rPr>
        <w:t>.</w:t>
      </w:r>
      <w:r>
        <w:rPr>
          <w:position w:val="5"/>
          <w:sz w:val="14"/>
        </w:rPr>
        <w:tab/>
      </w:r>
      <w:r>
        <w:rPr/>
        <w:t>The 2015 Act is fully discussed in Vol.II, Ch.38; for its s.30, see Vol.II, para.38-</w:t>
      </w:r>
      <w:r>
        <w:rPr>
          <w:spacing w:val="-4"/>
        </w:rPr>
        <w:t>491.</w:t>
      </w:r>
    </w:p>
    <w:p>
      <w:pPr>
        <w:pStyle w:val="BodyText"/>
        <w:spacing w:before="5"/>
      </w:pPr>
    </w:p>
    <w:p>
      <w:pPr>
        <w:pStyle w:val="BodyText"/>
        <w:tabs>
          <w:tab w:pos="705" w:val="left" w:leader="none"/>
        </w:tabs>
        <w:ind w:left="165"/>
      </w:pPr>
      <w:bookmarkStart w:name="_bookmark378" w:id="380"/>
      <w:bookmarkEnd w:id="380"/>
      <w:r>
        <w:rPr/>
      </w:r>
      <w:hyperlink w:history="true" w:anchor="_bookmark309">
        <w:r>
          <w:rPr>
            <w:color w:val="005DA1"/>
            <w:spacing w:val="-4"/>
            <w:position w:val="5"/>
            <w:sz w:val="14"/>
            <w:u w:val="single" w:color="005DA1"/>
          </w:rPr>
          <w:t>174</w:t>
        </w:r>
      </w:hyperlink>
      <w:r>
        <w:rPr>
          <w:spacing w:val="-4"/>
          <w:position w:val="5"/>
          <w:sz w:val="14"/>
        </w:rPr>
        <w:t>.</w:t>
      </w:r>
      <w:r>
        <w:rPr>
          <w:position w:val="5"/>
          <w:sz w:val="14"/>
        </w:rPr>
        <w:tab/>
      </w:r>
      <w:r>
        <w:rPr/>
        <w:t>ibid., s.30(1); “guarantee” is defined in </w:t>
      </w:r>
      <w:r>
        <w:rPr>
          <w:spacing w:val="-2"/>
        </w:rPr>
        <w:t>s.30(2).</w:t>
      </w:r>
    </w:p>
    <w:p>
      <w:pPr>
        <w:pStyle w:val="BodyText"/>
        <w:spacing w:before="9"/>
      </w:pPr>
    </w:p>
    <w:p>
      <w:pPr>
        <w:pStyle w:val="BodyText"/>
        <w:tabs>
          <w:tab w:pos="705" w:val="left" w:leader="none"/>
        </w:tabs>
        <w:spacing w:line="235" w:lineRule="auto"/>
        <w:ind w:left="705" w:right="168" w:hanging="541"/>
      </w:pPr>
      <w:bookmarkStart w:name="_bookmark379" w:id="381"/>
      <w:bookmarkEnd w:id="381"/>
      <w:r>
        <w:rPr/>
      </w:r>
      <w:hyperlink w:history="true" w:anchor="_bookmark310">
        <w:r>
          <w:rPr>
            <w:color w:val="005DA1"/>
            <w:spacing w:val="-4"/>
            <w:position w:val="5"/>
            <w:sz w:val="14"/>
            <w:u w:val="single" w:color="005DA1"/>
          </w:rPr>
          <w:t>175</w:t>
        </w:r>
      </w:hyperlink>
      <w:r>
        <w:rPr>
          <w:spacing w:val="-4"/>
          <w:position w:val="5"/>
          <w:sz w:val="14"/>
        </w:rPr>
        <w:t>.</w:t>
      </w:r>
      <w:r>
        <w:rPr>
          <w:position w:val="5"/>
          <w:sz w:val="14"/>
        </w:rPr>
        <w:tab/>
      </w:r>
      <w:r>
        <w:rPr/>
        <w:t>The words “to the consumer” do not occur in s.30(3), but they do form part of the definition of </w:t>
      </w:r>
      <w:r>
        <w:rPr/>
        <w:t>a “guarantee” in s.30(2), which applies for the purposes of s.30(3).</w:t>
      </w:r>
    </w:p>
    <w:p>
      <w:pPr>
        <w:pStyle w:val="BodyText"/>
        <w:spacing w:before="5"/>
      </w:pPr>
    </w:p>
    <w:p>
      <w:pPr>
        <w:pStyle w:val="BodyText"/>
        <w:tabs>
          <w:tab w:pos="705" w:val="left" w:leader="none"/>
        </w:tabs>
        <w:ind w:left="165"/>
      </w:pPr>
      <w:bookmarkStart w:name="_bookmark380" w:id="382"/>
      <w:bookmarkEnd w:id="382"/>
      <w:r>
        <w:rPr/>
      </w:r>
      <w:hyperlink w:history="true" w:anchor="_bookmark311">
        <w:r>
          <w:rPr>
            <w:color w:val="005DA1"/>
            <w:spacing w:val="-4"/>
            <w:position w:val="5"/>
            <w:sz w:val="14"/>
            <w:u w:val="single" w:color="005DA1"/>
          </w:rPr>
          <w:t>176</w:t>
        </w:r>
      </w:hyperlink>
      <w:r>
        <w:rPr>
          <w:spacing w:val="-4"/>
          <w:position w:val="5"/>
          <w:sz w:val="14"/>
        </w:rPr>
        <w:t>.</w:t>
      </w:r>
      <w:r>
        <w:rPr>
          <w:position w:val="5"/>
          <w:sz w:val="14"/>
        </w:rPr>
        <w:tab/>
      </w:r>
      <w:r>
        <w:rPr/>
        <w:t>Consumer Rights Act 2015, s.3(1), italics </w:t>
      </w:r>
      <w:r>
        <w:rPr>
          <w:spacing w:val="-2"/>
        </w:rPr>
        <w:t>supplied.</w:t>
      </w:r>
    </w:p>
    <w:p>
      <w:pPr>
        <w:pStyle w:val="BodyText"/>
        <w:spacing w:before="5"/>
      </w:pPr>
    </w:p>
    <w:p>
      <w:pPr>
        <w:tabs>
          <w:tab w:pos="705" w:val="left" w:leader="none"/>
        </w:tabs>
        <w:spacing w:before="0"/>
        <w:ind w:left="165" w:right="0" w:firstLine="0"/>
        <w:jc w:val="left"/>
        <w:rPr>
          <w:sz w:val="20"/>
        </w:rPr>
      </w:pPr>
      <w:bookmarkStart w:name="_bookmark381" w:id="383"/>
      <w:bookmarkEnd w:id="383"/>
      <w:r>
        <w:rPr/>
      </w:r>
      <w:hyperlink w:history="true" w:anchor="_bookmark311">
        <w:r>
          <w:rPr>
            <w:color w:val="005DA1"/>
            <w:spacing w:val="-4"/>
            <w:position w:val="5"/>
            <w:sz w:val="14"/>
            <w:u w:val="single" w:color="005DA1"/>
          </w:rPr>
          <w:t>177</w:t>
        </w:r>
      </w:hyperlink>
      <w:r>
        <w:rPr>
          <w:spacing w:val="-4"/>
          <w:position w:val="5"/>
          <w:sz w:val="14"/>
        </w:rPr>
        <w:t>.</w:t>
      </w:r>
      <w:r>
        <w:rPr>
          <w:position w:val="5"/>
          <w:sz w:val="14"/>
        </w:rPr>
        <w:tab/>
      </w:r>
      <w:r>
        <w:rPr>
          <w:sz w:val="20"/>
        </w:rPr>
        <w:t>ibid.,</w:t>
      </w:r>
      <w:r>
        <w:rPr>
          <w:spacing w:val="-2"/>
          <w:sz w:val="20"/>
        </w:rPr>
        <w:t> s.30(1).</w:t>
      </w:r>
    </w:p>
    <w:p>
      <w:pPr>
        <w:pStyle w:val="BodyText"/>
        <w:spacing w:before="5"/>
      </w:pPr>
    </w:p>
    <w:p>
      <w:pPr>
        <w:tabs>
          <w:tab w:pos="705" w:val="left" w:leader="none"/>
        </w:tabs>
        <w:spacing w:before="0"/>
        <w:ind w:left="165" w:right="0" w:firstLine="0"/>
        <w:jc w:val="left"/>
        <w:rPr>
          <w:sz w:val="20"/>
        </w:rPr>
      </w:pPr>
      <w:bookmarkStart w:name="_bookmark382" w:id="384"/>
      <w:bookmarkEnd w:id="384"/>
      <w:r>
        <w:rPr/>
      </w:r>
      <w:hyperlink w:history="true" w:anchor="_bookmark312">
        <w:r>
          <w:rPr>
            <w:color w:val="005DA1"/>
            <w:spacing w:val="-4"/>
            <w:position w:val="5"/>
            <w:sz w:val="14"/>
            <w:u w:val="single" w:color="005DA1"/>
          </w:rPr>
          <w:t>178</w:t>
        </w:r>
      </w:hyperlink>
      <w:r>
        <w:rPr>
          <w:spacing w:val="-4"/>
          <w:position w:val="5"/>
          <w:sz w:val="14"/>
        </w:rPr>
        <w:t>.</w:t>
      </w:r>
      <w:r>
        <w:rPr>
          <w:position w:val="5"/>
          <w:sz w:val="14"/>
        </w:rPr>
        <w:tab/>
      </w:r>
      <w:r>
        <w:rPr>
          <w:sz w:val="20"/>
        </w:rPr>
        <w:t>ibid.,</w:t>
      </w:r>
      <w:r>
        <w:rPr>
          <w:spacing w:val="-2"/>
          <w:sz w:val="20"/>
        </w:rPr>
        <w:t> s.33(1).</w:t>
      </w:r>
    </w:p>
    <w:p>
      <w:pPr>
        <w:pStyle w:val="BodyText"/>
        <w:spacing w:before="5"/>
      </w:pPr>
    </w:p>
    <w:p>
      <w:pPr>
        <w:tabs>
          <w:tab w:pos="705" w:val="left" w:leader="none"/>
        </w:tabs>
        <w:spacing w:before="0"/>
        <w:ind w:left="165" w:right="0" w:firstLine="0"/>
        <w:jc w:val="left"/>
        <w:rPr>
          <w:sz w:val="20"/>
        </w:rPr>
      </w:pPr>
      <w:bookmarkStart w:name="_bookmark383" w:id="385"/>
      <w:bookmarkEnd w:id="385"/>
      <w:r>
        <w:rPr/>
      </w:r>
      <w:hyperlink w:history="true" w:anchor="_bookmark313">
        <w:r>
          <w:rPr>
            <w:color w:val="005DA1"/>
            <w:spacing w:val="-4"/>
            <w:position w:val="5"/>
            <w:sz w:val="14"/>
            <w:u w:val="single" w:color="005DA1"/>
          </w:rPr>
          <w:t>179</w:t>
        </w:r>
      </w:hyperlink>
      <w:r>
        <w:rPr>
          <w:spacing w:val="-4"/>
          <w:position w:val="5"/>
          <w:sz w:val="14"/>
        </w:rPr>
        <w:t>.</w:t>
      </w:r>
      <w:r>
        <w:rPr>
          <w:position w:val="5"/>
          <w:sz w:val="14"/>
        </w:rPr>
        <w:tab/>
      </w:r>
      <w:r>
        <w:rPr>
          <w:sz w:val="20"/>
        </w:rPr>
        <w:t>ibid.,</w:t>
      </w:r>
      <w:r>
        <w:rPr>
          <w:spacing w:val="-2"/>
          <w:sz w:val="20"/>
        </w:rPr>
        <w:t> s.48(1).</w:t>
      </w:r>
    </w:p>
    <w:p>
      <w:pPr>
        <w:pStyle w:val="BodyText"/>
        <w:spacing w:before="5"/>
      </w:pPr>
    </w:p>
    <w:p>
      <w:pPr>
        <w:tabs>
          <w:tab w:pos="705" w:val="left" w:leader="none"/>
        </w:tabs>
        <w:spacing w:before="0"/>
        <w:ind w:left="165" w:right="0" w:firstLine="0"/>
        <w:jc w:val="left"/>
        <w:rPr>
          <w:sz w:val="20"/>
        </w:rPr>
      </w:pPr>
      <w:bookmarkStart w:name="_bookmark384" w:id="386"/>
      <w:bookmarkEnd w:id="386"/>
      <w:r>
        <w:rPr/>
      </w:r>
      <w:hyperlink w:history="true" w:anchor="_bookmark314">
        <w:r>
          <w:rPr>
            <w:color w:val="005DA1"/>
            <w:spacing w:val="-4"/>
            <w:position w:val="5"/>
            <w:sz w:val="14"/>
            <w:u w:val="single" w:color="005DA1"/>
          </w:rPr>
          <w:t>180</w:t>
        </w:r>
      </w:hyperlink>
      <w:r>
        <w:rPr>
          <w:spacing w:val="-4"/>
          <w:position w:val="5"/>
          <w:sz w:val="14"/>
        </w:rPr>
        <w:t>.</w:t>
      </w:r>
      <w:r>
        <w:rPr>
          <w:position w:val="5"/>
          <w:sz w:val="14"/>
        </w:rPr>
        <w:tab/>
      </w:r>
      <w:r>
        <w:rPr>
          <w:sz w:val="20"/>
        </w:rPr>
        <w:t>SI </w:t>
      </w:r>
      <w:r>
        <w:rPr>
          <w:spacing w:val="-2"/>
          <w:sz w:val="20"/>
        </w:rPr>
        <w:t>2013/3134.</w:t>
      </w:r>
    </w:p>
    <w:p>
      <w:pPr>
        <w:pStyle w:val="BodyText"/>
        <w:spacing w:before="5"/>
      </w:pPr>
    </w:p>
    <w:p>
      <w:pPr>
        <w:tabs>
          <w:tab w:pos="705" w:val="left" w:leader="none"/>
        </w:tabs>
        <w:spacing w:before="0"/>
        <w:ind w:left="165" w:right="0" w:firstLine="0"/>
        <w:jc w:val="left"/>
        <w:rPr>
          <w:sz w:val="20"/>
        </w:rPr>
      </w:pPr>
      <w:bookmarkStart w:name="_bookmark385" w:id="387"/>
      <w:bookmarkEnd w:id="387"/>
      <w:r>
        <w:rPr/>
      </w:r>
      <w:hyperlink w:history="true" w:anchor="_bookmark315">
        <w:r>
          <w:rPr>
            <w:color w:val="005DA1"/>
            <w:spacing w:val="-4"/>
            <w:position w:val="5"/>
            <w:sz w:val="14"/>
            <w:u w:val="single" w:color="005DA1"/>
          </w:rPr>
          <w:t>181</w:t>
        </w:r>
      </w:hyperlink>
      <w:r>
        <w:rPr>
          <w:spacing w:val="-4"/>
          <w:position w:val="5"/>
          <w:sz w:val="14"/>
        </w:rPr>
        <w:t>.</w:t>
      </w:r>
      <w:r>
        <w:rPr>
          <w:position w:val="5"/>
          <w:sz w:val="14"/>
        </w:rPr>
        <w:tab/>
      </w:r>
      <w:r>
        <w:rPr>
          <w:sz w:val="20"/>
        </w:rPr>
        <w:t>Italics </w:t>
      </w:r>
      <w:r>
        <w:rPr>
          <w:spacing w:val="-2"/>
          <w:sz w:val="20"/>
        </w:rPr>
        <w:t>supplied.</w:t>
      </w:r>
    </w:p>
    <w:p>
      <w:pPr>
        <w:pStyle w:val="BodyText"/>
        <w:spacing w:before="5"/>
      </w:pPr>
    </w:p>
    <w:p>
      <w:pPr>
        <w:pStyle w:val="BodyText"/>
        <w:tabs>
          <w:tab w:pos="705" w:val="left" w:leader="none"/>
        </w:tabs>
        <w:spacing w:before="1"/>
        <w:ind w:left="165"/>
      </w:pPr>
      <w:bookmarkStart w:name="_bookmark386" w:id="388"/>
      <w:bookmarkEnd w:id="388"/>
      <w:r>
        <w:rPr/>
      </w:r>
      <w:hyperlink w:history="true" w:anchor="_bookmark315">
        <w:r>
          <w:rPr>
            <w:color w:val="005DA1"/>
            <w:spacing w:val="-4"/>
            <w:position w:val="5"/>
            <w:sz w:val="14"/>
            <w:u w:val="single" w:color="005DA1"/>
          </w:rPr>
          <w:t>182</w:t>
        </w:r>
      </w:hyperlink>
      <w:r>
        <w:rPr>
          <w:spacing w:val="-4"/>
          <w:position w:val="5"/>
          <w:sz w:val="14"/>
        </w:rPr>
        <w:t>.</w:t>
      </w:r>
      <w:r>
        <w:rPr>
          <w:position w:val="5"/>
          <w:sz w:val="14"/>
        </w:rPr>
        <w:tab/>
      </w:r>
      <w:r>
        <w:rPr/>
        <w:t>Trader” and “consumer” are defined in SI 2013/3134 </w:t>
      </w:r>
      <w:r>
        <w:rPr>
          <w:spacing w:val="-2"/>
        </w:rPr>
        <w:t>reg.4.</w:t>
      </w:r>
    </w:p>
    <w:p>
      <w:pPr>
        <w:pStyle w:val="BodyText"/>
        <w:spacing w:before="4"/>
      </w:pPr>
    </w:p>
    <w:p>
      <w:pPr>
        <w:pStyle w:val="BodyText"/>
        <w:tabs>
          <w:tab w:pos="705" w:val="left" w:leader="none"/>
        </w:tabs>
        <w:spacing w:before="1"/>
        <w:ind w:left="165"/>
      </w:pPr>
      <w:bookmarkStart w:name="_bookmark387" w:id="389"/>
      <w:bookmarkEnd w:id="389"/>
      <w:r>
        <w:rPr/>
      </w:r>
      <w:hyperlink w:history="true" w:anchor="_bookmark316">
        <w:r>
          <w:rPr>
            <w:color w:val="005DA1"/>
            <w:spacing w:val="-4"/>
            <w:position w:val="5"/>
            <w:sz w:val="14"/>
            <w:u w:val="single" w:color="005DA1"/>
          </w:rPr>
          <w:t>183</w:t>
        </w:r>
      </w:hyperlink>
      <w:r>
        <w:rPr>
          <w:spacing w:val="-4"/>
          <w:position w:val="5"/>
          <w:sz w:val="14"/>
        </w:rPr>
        <w:t>.</w:t>
      </w:r>
      <w:r>
        <w:rPr>
          <w:position w:val="5"/>
          <w:sz w:val="14"/>
        </w:rPr>
        <w:tab/>
      </w:r>
      <w:r>
        <w:rPr/>
        <w:t>Quoted at n.173 </w:t>
      </w:r>
      <w:r>
        <w:rPr>
          <w:spacing w:val="-2"/>
        </w:rPr>
        <w:t>above.</w:t>
      </w:r>
    </w:p>
    <w:p>
      <w:pPr>
        <w:pStyle w:val="BodyText"/>
        <w:spacing w:before="8"/>
      </w:pPr>
    </w:p>
    <w:p>
      <w:pPr>
        <w:pStyle w:val="BodyText"/>
        <w:spacing w:line="235" w:lineRule="auto"/>
        <w:ind w:left="705" w:right="167" w:hanging="541"/>
        <w:jc w:val="both"/>
      </w:pPr>
      <w:bookmarkStart w:name="_bookmark388" w:id="390"/>
      <w:bookmarkEnd w:id="390"/>
      <w:r>
        <w:rPr/>
      </w:r>
      <w:hyperlink w:history="true" w:anchor="_bookmark317">
        <w:r>
          <w:rPr>
            <w:color w:val="005DA1"/>
            <w:position w:val="5"/>
            <w:sz w:val="14"/>
            <w:u w:val="single" w:color="005DA1"/>
          </w:rPr>
          <w:t>184</w:t>
        </w:r>
      </w:hyperlink>
      <w:r>
        <w:rPr>
          <w:position w:val="5"/>
          <w:sz w:val="14"/>
        </w:rPr>
        <w:t>.</w:t>
      </w:r>
      <w:r>
        <w:rPr>
          <w:spacing w:val="40"/>
          <w:position w:val="5"/>
          <w:sz w:val="14"/>
        </w:rPr>
        <w:t>  </w:t>
      </w:r>
      <w:r>
        <w:rPr/>
        <w:t>SI 2013/3134, reg.9(3), Sch.1, para.(h); reg.10(1) Sch.2 para.(q); reg.13(1) and Sch.2, </w:t>
      </w:r>
      <w:r>
        <w:rPr/>
        <w:t>para.(q). Regulation 9 specifies the information requirements for “on premises” contracts; reg.10 those</w:t>
      </w:r>
      <w:r>
        <w:rPr>
          <w:spacing w:val="40"/>
        </w:rPr>
        <w:t> </w:t>
      </w:r>
      <w:r>
        <w:rPr/>
        <w:t>for “off-premises” contracts and; reg.13 those for “distance” contracts. These expressions are defined in reg.5. The point to be stressed here is that an “on premises” contract is defined in reg.5 as “a contract … which is neither a distance contract nor an off-premises contract.” It follows that between them the three categories of contracts must cover all supply contracts covered by the Regulations.</w:t>
      </w:r>
    </w:p>
    <w:p>
      <w:pPr>
        <w:pStyle w:val="BodyText"/>
        <w:spacing w:before="4"/>
      </w:pPr>
    </w:p>
    <w:p>
      <w:pPr>
        <w:pStyle w:val="BodyText"/>
        <w:tabs>
          <w:tab w:pos="705" w:val="left" w:leader="none"/>
        </w:tabs>
        <w:ind w:left="165"/>
      </w:pPr>
      <w:bookmarkStart w:name="_bookmark389" w:id="391"/>
      <w:bookmarkEnd w:id="391"/>
      <w:r>
        <w:rPr/>
      </w:r>
      <w:hyperlink w:history="true" w:anchor="_bookmark318">
        <w:r>
          <w:rPr>
            <w:color w:val="005DA1"/>
            <w:spacing w:val="-4"/>
            <w:position w:val="5"/>
            <w:sz w:val="14"/>
            <w:u w:val="single" w:color="005DA1"/>
          </w:rPr>
          <w:t>185</w:t>
        </w:r>
      </w:hyperlink>
      <w:r>
        <w:rPr>
          <w:spacing w:val="-4"/>
          <w:position w:val="5"/>
          <w:sz w:val="14"/>
        </w:rPr>
        <w:t>.</w:t>
      </w:r>
      <w:r>
        <w:rPr>
          <w:position w:val="5"/>
          <w:sz w:val="14"/>
        </w:rPr>
        <w:tab/>
      </w:r>
      <w:r>
        <w:rPr/>
        <w:t>SI 2013/3134, regs 9(3), 10(5), </w:t>
      </w:r>
      <w:r>
        <w:rPr>
          <w:spacing w:val="-2"/>
        </w:rPr>
        <w:t>13(6).</w:t>
      </w:r>
    </w:p>
    <w:p>
      <w:pPr>
        <w:pStyle w:val="BodyText"/>
        <w:spacing w:before="5"/>
      </w:pPr>
    </w:p>
    <w:p>
      <w:pPr>
        <w:pStyle w:val="BodyText"/>
        <w:tabs>
          <w:tab w:pos="705" w:val="left" w:leader="none"/>
        </w:tabs>
        <w:ind w:left="165"/>
      </w:pPr>
      <w:bookmarkStart w:name="_bookmark390" w:id="392"/>
      <w:bookmarkEnd w:id="392"/>
      <w:r>
        <w:rPr/>
      </w:r>
      <w:hyperlink w:history="true" w:anchor="_bookmark319">
        <w:r>
          <w:rPr>
            <w:color w:val="005DA1"/>
            <w:spacing w:val="-4"/>
            <w:position w:val="5"/>
            <w:sz w:val="14"/>
            <w:u w:val="single" w:color="005DA1"/>
          </w:rPr>
          <w:t>186</w:t>
        </w:r>
      </w:hyperlink>
      <w:r>
        <w:rPr>
          <w:spacing w:val="-4"/>
          <w:position w:val="5"/>
          <w:sz w:val="14"/>
        </w:rPr>
        <w:t>.</w:t>
      </w:r>
      <w:r>
        <w:rPr>
          <w:position w:val="5"/>
          <w:sz w:val="14"/>
        </w:rPr>
        <w:tab/>
      </w:r>
      <w:r>
        <w:rPr/>
        <w:t>As defined by </w:t>
      </w:r>
      <w:r>
        <w:rPr>
          <w:spacing w:val="-2"/>
        </w:rPr>
        <w:t>reg.5.</w:t>
      </w:r>
    </w:p>
    <w:p>
      <w:pPr>
        <w:pStyle w:val="BodyText"/>
        <w:spacing w:before="5"/>
      </w:pPr>
    </w:p>
    <w:p>
      <w:pPr>
        <w:pStyle w:val="BodyText"/>
        <w:tabs>
          <w:tab w:pos="705" w:val="left" w:leader="none"/>
        </w:tabs>
        <w:ind w:left="165"/>
      </w:pPr>
      <w:bookmarkStart w:name="_bookmark391" w:id="393"/>
      <w:bookmarkEnd w:id="393"/>
      <w:r>
        <w:rPr/>
      </w:r>
      <w:hyperlink w:history="true" w:anchor="_bookmark320">
        <w:r>
          <w:rPr>
            <w:color w:val="005DA1"/>
            <w:spacing w:val="-4"/>
            <w:position w:val="5"/>
            <w:sz w:val="14"/>
            <w:u w:val="single" w:color="005DA1"/>
          </w:rPr>
          <w:t>187</w:t>
        </w:r>
      </w:hyperlink>
      <w:r>
        <w:rPr>
          <w:spacing w:val="-4"/>
          <w:position w:val="5"/>
          <w:sz w:val="14"/>
        </w:rPr>
        <w:t>.</w:t>
      </w:r>
      <w:r>
        <w:rPr>
          <w:position w:val="5"/>
          <w:sz w:val="14"/>
        </w:rPr>
        <w:tab/>
      </w:r>
      <w:r>
        <w:rPr/>
        <w:t>See at nn.186-188 </w:t>
      </w:r>
      <w:r>
        <w:rPr>
          <w:spacing w:val="-2"/>
        </w:rPr>
        <w:t>below.</w:t>
      </w:r>
    </w:p>
    <w:p>
      <w:pPr>
        <w:pStyle w:val="BodyText"/>
        <w:spacing w:before="5"/>
      </w:pPr>
    </w:p>
    <w:p>
      <w:pPr>
        <w:pStyle w:val="ListParagraph"/>
        <w:numPr>
          <w:ilvl w:val="0"/>
          <w:numId w:val="1"/>
        </w:numPr>
        <w:tabs>
          <w:tab w:pos="705" w:val="left" w:leader="none"/>
        </w:tabs>
        <w:spacing w:line="240" w:lineRule="auto" w:before="0" w:after="0"/>
        <w:ind w:left="705" w:right="0" w:hanging="540"/>
        <w:jc w:val="left"/>
        <w:rPr>
          <w:sz w:val="20"/>
        </w:rPr>
      </w:pPr>
      <w:bookmarkStart w:name="_bookmark392" w:id="394"/>
      <w:bookmarkEnd w:id="394"/>
      <w:r>
        <w:rPr/>
      </w:r>
      <w:r>
        <w:rPr>
          <w:spacing w:val="-2"/>
          <w:sz w:val="20"/>
        </w:rPr>
        <w:t>s.12(2).</w:t>
      </w:r>
    </w:p>
    <w:p>
      <w:pPr>
        <w:pStyle w:val="BodyText"/>
        <w:spacing w:before="5"/>
      </w:pPr>
    </w:p>
    <w:p>
      <w:pPr>
        <w:pStyle w:val="ListParagraph"/>
        <w:numPr>
          <w:ilvl w:val="0"/>
          <w:numId w:val="1"/>
        </w:numPr>
        <w:tabs>
          <w:tab w:pos="705" w:val="left" w:leader="none"/>
        </w:tabs>
        <w:spacing w:line="240" w:lineRule="auto" w:before="0" w:after="0"/>
        <w:ind w:left="705" w:right="0" w:hanging="540"/>
        <w:jc w:val="left"/>
        <w:rPr>
          <w:sz w:val="20"/>
        </w:rPr>
      </w:pPr>
      <w:bookmarkStart w:name="_bookmark393" w:id="395"/>
      <w:bookmarkEnd w:id="395"/>
      <w:r>
        <w:rPr/>
      </w:r>
      <w:r>
        <w:rPr>
          <w:spacing w:val="-2"/>
          <w:sz w:val="20"/>
        </w:rPr>
        <w:t>s.37(2).</w:t>
      </w:r>
    </w:p>
    <w:p>
      <w:pPr>
        <w:pStyle w:val="BodyText"/>
        <w:spacing w:before="5"/>
      </w:pPr>
    </w:p>
    <w:p>
      <w:pPr>
        <w:pStyle w:val="ListParagraph"/>
        <w:numPr>
          <w:ilvl w:val="0"/>
          <w:numId w:val="1"/>
        </w:numPr>
        <w:tabs>
          <w:tab w:pos="705" w:val="left" w:leader="none"/>
        </w:tabs>
        <w:spacing w:line="240" w:lineRule="auto" w:before="0" w:after="0"/>
        <w:ind w:left="705" w:right="0" w:hanging="540"/>
        <w:jc w:val="left"/>
        <w:rPr>
          <w:sz w:val="20"/>
        </w:rPr>
      </w:pPr>
      <w:bookmarkStart w:name="_bookmark394" w:id="396"/>
      <w:bookmarkEnd w:id="396"/>
      <w:r>
        <w:rPr/>
      </w:r>
      <w:r>
        <w:rPr>
          <w:spacing w:val="-2"/>
          <w:sz w:val="20"/>
        </w:rPr>
        <w:t>s.50(3).</w:t>
      </w:r>
    </w:p>
    <w:p>
      <w:pPr>
        <w:pStyle w:val="BodyText"/>
        <w:spacing w:before="9"/>
      </w:pPr>
    </w:p>
    <w:p>
      <w:pPr>
        <w:pStyle w:val="BodyText"/>
        <w:spacing w:line="235" w:lineRule="auto"/>
        <w:ind w:left="705" w:right="167" w:hanging="541"/>
        <w:jc w:val="both"/>
      </w:pPr>
      <w:bookmarkStart w:name="_bookmark395" w:id="397"/>
      <w:bookmarkEnd w:id="397"/>
      <w:r>
        <w:rPr/>
      </w:r>
      <w:hyperlink w:history="true" w:anchor="_bookmark323">
        <w:r>
          <w:rPr>
            <w:color w:val="005DA1"/>
            <w:position w:val="5"/>
            <w:sz w:val="14"/>
            <w:u w:val="single" w:color="005DA1"/>
          </w:rPr>
          <w:t>191</w:t>
        </w:r>
      </w:hyperlink>
      <w:r>
        <w:rPr>
          <w:position w:val="5"/>
          <w:sz w:val="14"/>
        </w:rPr>
        <w:t>.</w:t>
      </w:r>
      <w:r>
        <w:rPr>
          <w:spacing w:val="80"/>
          <w:w w:val="150"/>
          <w:position w:val="5"/>
          <w:sz w:val="14"/>
        </w:rPr>
        <w:t> </w:t>
      </w:r>
      <w:r>
        <w:rPr/>
        <w:t>ss.3(1), 33(1), 48(1). There is some awkwardness in the idea that the fact of the trader’s informing the consumer of the existence of a guarantee given to the consumer by a third </w:t>
      </w:r>
      <w:r>
        <w:rPr/>
        <w:t>party (the guarantor) can make that guarantee a term of the contract between the trader and the </w:t>
      </w:r>
      <w:r>
        <w:rPr>
          <w:spacing w:val="-2"/>
        </w:rPr>
        <w:t>consumer.</w:t>
      </w:r>
    </w:p>
    <w:p>
      <w:pPr>
        <w:pStyle w:val="BodyText"/>
        <w:spacing w:before="8"/>
      </w:pPr>
    </w:p>
    <w:p>
      <w:pPr>
        <w:pStyle w:val="BodyText"/>
        <w:spacing w:line="235" w:lineRule="auto"/>
        <w:ind w:left="705" w:right="167" w:hanging="541"/>
        <w:jc w:val="both"/>
      </w:pPr>
      <w:bookmarkStart w:name="_bookmark396" w:id="398"/>
      <w:bookmarkEnd w:id="398"/>
      <w:r>
        <w:rPr/>
      </w:r>
      <w:hyperlink w:history="true" w:anchor="_bookmark324">
        <w:r>
          <w:rPr>
            <w:color w:val="005DA1"/>
            <w:position w:val="5"/>
            <w:sz w:val="14"/>
            <w:u w:val="single" w:color="005DA1"/>
          </w:rPr>
          <w:t>192</w:t>
        </w:r>
      </w:hyperlink>
      <w:r>
        <w:rPr>
          <w:position w:val="5"/>
          <w:sz w:val="14"/>
        </w:rPr>
        <w:t>.</w:t>
      </w:r>
      <w:r>
        <w:rPr>
          <w:spacing w:val="80"/>
          <w:position w:val="5"/>
          <w:sz w:val="14"/>
        </w:rPr>
        <w:t>  </w:t>
      </w:r>
      <w:r>
        <w:rPr/>
        <w:t>ss.12(2), 37(2) and 50(3) seem to make the </w:t>
      </w:r>
      <w:r>
        <w:rPr>
          <w:rFonts w:ascii="Arial"/>
          <w:i/>
        </w:rPr>
        <w:t>content </w:t>
      </w:r>
      <w:r>
        <w:rPr/>
        <w:t>of the information to be given by the trader (not the </w:t>
      </w:r>
      <w:r>
        <w:rPr>
          <w:rFonts w:ascii="Arial"/>
          <w:i/>
        </w:rPr>
        <w:t>duty </w:t>
      </w:r>
      <w:r>
        <w:rPr/>
        <w:t>to give it) a term of the contract and the content of a third party guarantee can scarcely bind the trader since it contains no promise by him; nor does the fact of </w:t>
      </w:r>
      <w:r>
        <w:rPr/>
        <w:t>incorporation</w:t>
      </w:r>
      <w:r>
        <w:rPr>
          <w:spacing w:val="40"/>
        </w:rPr>
        <w:t> </w:t>
      </w:r>
      <w:r>
        <w:rPr/>
        <w:t>of the content of the guarantee in the contract between trader and consumer of itself help to resolve the question whether such incorporation can give rise to a legal relationship between consumer and guarantor.</w:t>
      </w:r>
    </w:p>
    <w:p>
      <w:pPr>
        <w:pStyle w:val="BodyText"/>
        <w:spacing w:before="8"/>
      </w:pPr>
    </w:p>
    <w:p>
      <w:pPr>
        <w:pStyle w:val="BodyText"/>
        <w:spacing w:line="235" w:lineRule="auto"/>
        <w:ind w:left="705" w:right="167" w:hanging="541"/>
        <w:jc w:val="both"/>
      </w:pPr>
      <w:bookmarkStart w:name="_bookmark397" w:id="399"/>
      <w:bookmarkEnd w:id="399"/>
      <w:r>
        <w:rPr/>
      </w:r>
      <w:hyperlink w:history="true" w:anchor="_bookmark325">
        <w:r>
          <w:rPr>
            <w:color w:val="005DA1"/>
            <w:position w:val="5"/>
            <w:sz w:val="14"/>
            <w:u w:val="single" w:color="005DA1"/>
          </w:rPr>
          <w:t>193</w:t>
        </w:r>
      </w:hyperlink>
      <w:r>
        <w:rPr>
          <w:position w:val="5"/>
          <w:sz w:val="14"/>
        </w:rPr>
        <w:t>.</w:t>
      </w:r>
      <w:r>
        <w:rPr>
          <w:spacing w:val="80"/>
          <w:position w:val="5"/>
          <w:sz w:val="14"/>
        </w:rPr>
        <w:t> </w:t>
      </w:r>
      <w:r>
        <w:rPr/>
        <w:t>By virtue of amendments to the 2013 Regulations by the Consumer Protection </w:t>
      </w:r>
      <w:r>
        <w:rPr/>
        <w:t>(Amendment) Regulations 2014, SI 2014/870, the “information requirements” set out in Schs 1 and 2 of the 2013 Regulations apply to contracts for the supply of goods, services and digital content: SI 2014/870, reg.9(3) and (4).</w:t>
      </w:r>
    </w:p>
    <w:p>
      <w:pPr>
        <w:pStyle w:val="BodyText"/>
        <w:spacing w:after="0" w:line="235" w:lineRule="auto"/>
        <w:jc w:val="both"/>
        <w:sectPr>
          <w:pgSz w:w="11900" w:h="16840"/>
          <w:pgMar w:header="971" w:footer="0" w:top="1160" w:bottom="280" w:left="1275" w:right="1275"/>
        </w:sectPr>
      </w:pPr>
    </w:p>
    <w:p>
      <w:pPr>
        <w:pStyle w:val="BodyText"/>
        <w:spacing w:before="84"/>
      </w:pPr>
    </w:p>
    <w:p>
      <w:pPr>
        <w:pStyle w:val="BodyText"/>
        <w:tabs>
          <w:tab w:pos="705" w:val="left" w:leader="none"/>
        </w:tabs>
        <w:spacing w:line="235" w:lineRule="auto" w:before="1"/>
        <w:ind w:left="705" w:right="168" w:hanging="541"/>
      </w:pPr>
      <w:hyperlink w:history="true" w:anchor="_bookmark326">
        <w:r>
          <w:rPr>
            <w:color w:val="005DA1"/>
            <w:spacing w:val="-4"/>
            <w:position w:val="5"/>
            <w:sz w:val="14"/>
            <w:u w:val="single" w:color="005DA1"/>
          </w:rPr>
          <w:t>194</w:t>
        </w:r>
      </w:hyperlink>
      <w:r>
        <w:rPr>
          <w:spacing w:val="-4"/>
          <w:position w:val="5"/>
          <w:sz w:val="14"/>
        </w:rPr>
        <w:t>.</w:t>
      </w:r>
      <w:r>
        <w:rPr>
          <w:position w:val="5"/>
          <w:sz w:val="14"/>
        </w:rPr>
        <w:tab/>
      </w:r>
      <w:r>
        <w:rPr/>
        <w:t>e.g.</w:t>
      </w:r>
      <w:r>
        <w:rPr>
          <w:spacing w:val="40"/>
        </w:rPr>
        <w:t> </w:t>
      </w:r>
      <w:r>
        <w:rPr/>
        <w:t>because</w:t>
      </w:r>
      <w:r>
        <w:rPr>
          <w:spacing w:val="40"/>
        </w:rPr>
        <w:t> </w:t>
      </w:r>
      <w:r>
        <w:rPr/>
        <w:t>the</w:t>
      </w:r>
      <w:r>
        <w:rPr>
          <w:spacing w:val="40"/>
        </w:rPr>
        <w:t> </w:t>
      </w:r>
      <w:r>
        <w:rPr/>
        <w:t>designated</w:t>
      </w:r>
      <w:r>
        <w:rPr>
          <w:spacing w:val="40"/>
        </w:rPr>
        <w:t> </w:t>
      </w:r>
      <w:r>
        <w:rPr/>
        <w:t>beneficiary</w:t>
      </w:r>
      <w:r>
        <w:rPr>
          <w:spacing w:val="40"/>
        </w:rPr>
        <w:t> </w:t>
      </w:r>
      <w:r>
        <w:rPr/>
        <w:t>of</w:t>
      </w:r>
      <w:r>
        <w:rPr>
          <w:spacing w:val="40"/>
        </w:rPr>
        <w:t> </w:t>
      </w:r>
      <w:r>
        <w:rPr/>
        <w:t>the</w:t>
      </w:r>
      <w:r>
        <w:rPr>
          <w:spacing w:val="40"/>
        </w:rPr>
        <w:t> </w:t>
      </w:r>
      <w:r>
        <w:rPr/>
        <w:t>guarantee</w:t>
      </w:r>
      <w:r>
        <w:rPr>
          <w:spacing w:val="40"/>
        </w:rPr>
        <w:t> </w:t>
      </w:r>
      <w:r>
        <w:rPr/>
        <w:t>was</w:t>
      </w:r>
      <w:r>
        <w:rPr>
          <w:spacing w:val="40"/>
        </w:rPr>
        <w:t> </w:t>
      </w:r>
      <w:r>
        <w:rPr/>
        <w:t>not</w:t>
      </w:r>
      <w:r>
        <w:rPr>
          <w:spacing w:val="40"/>
        </w:rPr>
        <w:t> </w:t>
      </w:r>
      <w:r>
        <w:rPr/>
        <w:t>an</w:t>
      </w:r>
      <w:r>
        <w:rPr>
          <w:spacing w:val="40"/>
        </w:rPr>
        <w:t> </w:t>
      </w:r>
      <w:r>
        <w:rPr/>
        <w:t>“individual”:</w:t>
      </w:r>
      <w:r>
        <w:rPr>
          <w:spacing w:val="40"/>
        </w:rPr>
        <w:t> </w:t>
      </w:r>
      <w:r>
        <w:rPr/>
        <w:t>see</w:t>
      </w:r>
      <w:r>
        <w:rPr>
          <w:spacing w:val="40"/>
        </w:rPr>
        <w:t> </w:t>
      </w:r>
      <w:r>
        <w:rPr/>
        <w:t>the definitions of “consumer” in reg.4 of the 2013 Regulations and in s.2 of the 2015 Act.</w:t>
      </w:r>
    </w:p>
    <w:p>
      <w:pPr>
        <w:pStyle w:val="BodyText"/>
        <w:spacing w:before="5"/>
      </w:pPr>
    </w:p>
    <w:p>
      <w:pPr>
        <w:pStyle w:val="BodyText"/>
        <w:tabs>
          <w:tab w:pos="705" w:val="left" w:leader="none"/>
        </w:tabs>
        <w:ind w:left="165"/>
      </w:pPr>
      <w:bookmarkStart w:name="_bookmark398" w:id="400"/>
      <w:bookmarkEnd w:id="400"/>
      <w:r>
        <w:rPr/>
      </w:r>
      <w:hyperlink w:history="true" w:anchor="_bookmark327">
        <w:r>
          <w:rPr>
            <w:color w:val="005DA1"/>
            <w:spacing w:val="-4"/>
            <w:position w:val="5"/>
            <w:sz w:val="14"/>
            <w:u w:val="single" w:color="005DA1"/>
          </w:rPr>
          <w:t>195</w:t>
        </w:r>
      </w:hyperlink>
      <w:r>
        <w:rPr>
          <w:spacing w:val="-4"/>
          <w:position w:val="5"/>
          <w:sz w:val="14"/>
        </w:rPr>
        <w:t>.</w:t>
      </w:r>
      <w:r>
        <w:rPr>
          <w:position w:val="5"/>
          <w:sz w:val="14"/>
        </w:rPr>
        <w:tab/>
      </w:r>
      <w:r>
        <w:rPr/>
        <w:t>For these requirements in the present context, see below, paras 18-010, 18-</w:t>
      </w:r>
      <w:r>
        <w:rPr>
          <w:spacing w:val="-4"/>
        </w:rPr>
        <w:t>011.</w:t>
      </w:r>
    </w:p>
    <w:p>
      <w:pPr>
        <w:pStyle w:val="BodyText"/>
        <w:spacing w:before="5"/>
      </w:pPr>
    </w:p>
    <w:p>
      <w:pPr>
        <w:tabs>
          <w:tab w:pos="705" w:val="left" w:leader="none"/>
        </w:tabs>
        <w:spacing w:before="0"/>
        <w:ind w:left="165" w:right="0" w:firstLine="0"/>
        <w:jc w:val="left"/>
        <w:rPr>
          <w:sz w:val="20"/>
        </w:rPr>
      </w:pPr>
      <w:bookmarkStart w:name="_bookmark399" w:id="401"/>
      <w:bookmarkEnd w:id="401"/>
      <w:r>
        <w:rPr/>
      </w:r>
      <w:hyperlink w:history="true" w:anchor="_bookmark328">
        <w:r>
          <w:rPr>
            <w:color w:val="005DA1"/>
            <w:spacing w:val="-4"/>
            <w:position w:val="5"/>
            <w:sz w:val="14"/>
            <w:u w:val="single" w:color="005DA1"/>
          </w:rPr>
          <w:t>196</w:t>
        </w:r>
      </w:hyperlink>
      <w:r>
        <w:rPr>
          <w:spacing w:val="-4"/>
          <w:position w:val="5"/>
          <w:sz w:val="14"/>
        </w:rPr>
        <w:t>.</w:t>
      </w:r>
      <w:r>
        <w:rPr>
          <w:position w:val="5"/>
          <w:sz w:val="14"/>
        </w:rPr>
        <w:tab/>
      </w:r>
      <w:r>
        <w:rPr>
          <w:rFonts w:ascii="Arial"/>
          <w:i/>
          <w:sz w:val="20"/>
        </w:rPr>
        <w:t>[1951]</w:t>
      </w:r>
      <w:r>
        <w:rPr>
          <w:rFonts w:ascii="Arial"/>
          <w:i/>
          <w:spacing w:val="-2"/>
          <w:sz w:val="20"/>
        </w:rPr>
        <w:t> </w:t>
      </w:r>
      <w:r>
        <w:rPr>
          <w:rFonts w:ascii="Arial"/>
          <w:i/>
          <w:sz w:val="20"/>
        </w:rPr>
        <w:t>Ch. </w:t>
      </w:r>
      <w:r>
        <w:rPr>
          <w:rFonts w:ascii="Arial"/>
          <w:i/>
          <w:spacing w:val="-4"/>
          <w:sz w:val="20"/>
        </w:rPr>
        <w:t>669</w:t>
      </w:r>
      <w:r>
        <w:rPr>
          <w:spacing w:val="-4"/>
          <w:sz w:val="20"/>
        </w:rPr>
        <w:t>.</w:t>
      </w:r>
    </w:p>
    <w:p>
      <w:pPr>
        <w:pStyle w:val="BodyText"/>
        <w:spacing w:before="9"/>
      </w:pPr>
    </w:p>
    <w:p>
      <w:pPr>
        <w:spacing w:line="235" w:lineRule="auto" w:before="0"/>
        <w:ind w:left="705" w:right="168" w:hanging="541"/>
        <w:jc w:val="both"/>
        <w:rPr>
          <w:sz w:val="20"/>
        </w:rPr>
      </w:pPr>
      <w:bookmarkStart w:name="_bookmark400" w:id="402"/>
      <w:bookmarkEnd w:id="402"/>
      <w:r>
        <w:rPr/>
      </w:r>
      <w:hyperlink w:history="true" w:anchor="_bookmark329">
        <w:r>
          <w:rPr>
            <w:color w:val="005DA1"/>
            <w:position w:val="5"/>
            <w:sz w:val="14"/>
            <w:u w:val="single" w:color="005DA1"/>
          </w:rPr>
          <w:t>197</w:t>
        </w:r>
      </w:hyperlink>
      <w:r>
        <w:rPr>
          <w:position w:val="5"/>
          <w:sz w:val="14"/>
        </w:rPr>
        <w:t>.</w:t>
      </w:r>
      <w:r>
        <w:rPr>
          <w:spacing w:val="80"/>
          <w:w w:val="150"/>
          <w:position w:val="5"/>
          <w:sz w:val="14"/>
        </w:rPr>
        <w:t> </w:t>
      </w:r>
      <w:r>
        <w:rPr>
          <w:rFonts w:ascii="Arial"/>
          <w:i/>
          <w:sz w:val="20"/>
        </w:rPr>
        <w:t>Goldshede</w:t>
      </w:r>
      <w:r>
        <w:rPr>
          <w:rFonts w:ascii="Arial"/>
          <w:i/>
          <w:spacing w:val="40"/>
          <w:sz w:val="20"/>
        </w:rPr>
        <w:t> </w:t>
      </w:r>
      <w:r>
        <w:rPr>
          <w:rFonts w:ascii="Arial"/>
          <w:i/>
          <w:sz w:val="20"/>
        </w:rPr>
        <w:t>v</w:t>
      </w:r>
      <w:r>
        <w:rPr>
          <w:rFonts w:ascii="Arial"/>
          <w:i/>
          <w:spacing w:val="40"/>
          <w:sz w:val="20"/>
        </w:rPr>
        <w:t> </w:t>
      </w:r>
      <w:r>
        <w:rPr>
          <w:rFonts w:ascii="Arial"/>
          <w:i/>
          <w:sz w:val="20"/>
        </w:rPr>
        <w:t>Swan</w:t>
      </w:r>
      <w:r>
        <w:rPr>
          <w:rFonts w:ascii="Arial"/>
          <w:i/>
          <w:spacing w:val="40"/>
          <w:sz w:val="20"/>
        </w:rPr>
        <w:t> </w:t>
      </w:r>
      <w:r>
        <w:rPr>
          <w:rFonts w:ascii="Arial"/>
          <w:i/>
          <w:sz w:val="20"/>
        </w:rPr>
        <w:t>(1847)</w:t>
      </w:r>
      <w:r>
        <w:rPr>
          <w:rFonts w:ascii="Arial"/>
          <w:i/>
          <w:spacing w:val="40"/>
          <w:sz w:val="20"/>
        </w:rPr>
        <w:t> </w:t>
      </w:r>
      <w:r>
        <w:rPr>
          <w:rFonts w:ascii="Arial"/>
          <w:i/>
          <w:sz w:val="20"/>
        </w:rPr>
        <w:t>1</w:t>
      </w:r>
      <w:r>
        <w:rPr>
          <w:rFonts w:ascii="Arial"/>
          <w:i/>
          <w:spacing w:val="40"/>
          <w:sz w:val="20"/>
        </w:rPr>
        <w:t> </w:t>
      </w:r>
      <w:r>
        <w:rPr>
          <w:rFonts w:ascii="Arial"/>
          <w:i/>
          <w:sz w:val="20"/>
        </w:rPr>
        <w:t>Ex.</w:t>
      </w:r>
      <w:r>
        <w:rPr>
          <w:rFonts w:ascii="Arial"/>
          <w:i/>
          <w:spacing w:val="40"/>
          <w:sz w:val="20"/>
        </w:rPr>
        <w:t> </w:t>
      </w:r>
      <w:r>
        <w:rPr>
          <w:rFonts w:ascii="Arial"/>
          <w:i/>
          <w:sz w:val="20"/>
        </w:rPr>
        <w:t>154</w:t>
      </w:r>
      <w:r>
        <w:rPr>
          <w:sz w:val="20"/>
        </w:rPr>
        <w:t>.</w:t>
      </w:r>
      <w:r>
        <w:rPr>
          <w:spacing w:val="40"/>
          <w:sz w:val="20"/>
        </w:rPr>
        <w:t> </w:t>
      </w:r>
      <w:r>
        <w:rPr>
          <w:sz w:val="20"/>
        </w:rPr>
        <w:t>In</w:t>
      </w:r>
      <w:r>
        <w:rPr>
          <w:spacing w:val="40"/>
          <w:sz w:val="20"/>
        </w:rPr>
        <w:t> </w:t>
      </w:r>
      <w:r>
        <w:rPr>
          <w:sz w:val="20"/>
        </w:rPr>
        <w:t>such</w:t>
      </w:r>
      <w:r>
        <w:rPr>
          <w:spacing w:val="40"/>
          <w:sz w:val="20"/>
        </w:rPr>
        <w:t> </w:t>
      </w:r>
      <w:r>
        <w:rPr>
          <w:sz w:val="20"/>
        </w:rPr>
        <w:t>cases,</w:t>
      </w:r>
      <w:r>
        <w:rPr>
          <w:spacing w:val="40"/>
          <w:sz w:val="20"/>
        </w:rPr>
        <w:t> </w:t>
      </w:r>
      <w:r>
        <w:rPr>
          <w:sz w:val="20"/>
        </w:rPr>
        <w:t>the</w:t>
      </w:r>
      <w:r>
        <w:rPr>
          <w:spacing w:val="40"/>
          <w:sz w:val="20"/>
        </w:rPr>
        <w:t> </w:t>
      </w:r>
      <w:r>
        <w:rPr>
          <w:sz w:val="20"/>
        </w:rPr>
        <w:t>burden</w:t>
      </w:r>
      <w:r>
        <w:rPr>
          <w:spacing w:val="40"/>
          <w:sz w:val="20"/>
        </w:rPr>
        <w:t> </w:t>
      </w:r>
      <w:r>
        <w:rPr>
          <w:sz w:val="20"/>
        </w:rPr>
        <w:t>of</w:t>
      </w:r>
      <w:r>
        <w:rPr>
          <w:spacing w:val="40"/>
          <w:sz w:val="20"/>
        </w:rPr>
        <w:t> </w:t>
      </w:r>
      <w:r>
        <w:rPr>
          <w:sz w:val="20"/>
        </w:rPr>
        <w:t>proving</w:t>
      </w:r>
      <w:r>
        <w:rPr>
          <w:spacing w:val="40"/>
          <w:sz w:val="20"/>
        </w:rPr>
        <w:t> </w:t>
      </w:r>
      <w:r>
        <w:rPr>
          <w:sz w:val="20"/>
        </w:rPr>
        <w:t>that</w:t>
      </w:r>
      <w:r>
        <w:rPr>
          <w:spacing w:val="40"/>
          <w:sz w:val="20"/>
        </w:rPr>
        <w:t> </w:t>
      </w:r>
      <w:r>
        <w:rPr>
          <w:sz w:val="20"/>
        </w:rPr>
        <w:t>the consideration is not past lies on the person seeking to enforce the promise: </w:t>
      </w:r>
      <w:r>
        <w:rPr>
          <w:rFonts w:ascii="Arial"/>
          <w:i/>
          <w:sz w:val="20"/>
        </w:rPr>
        <w:t>Savage v </w:t>
      </w:r>
      <w:r>
        <w:rPr>
          <w:rFonts w:ascii="Arial"/>
          <w:i/>
          <w:sz w:val="20"/>
        </w:rPr>
        <w:t>Uwechia [1961] 1 W.L.R. 455</w:t>
      </w:r>
      <w:r>
        <w:rPr>
          <w:sz w:val="20"/>
        </w:rPr>
        <w:t>.</w:t>
      </w:r>
    </w:p>
    <w:p>
      <w:pPr>
        <w:pStyle w:val="BodyText"/>
        <w:spacing w:before="9"/>
      </w:pPr>
    </w:p>
    <w:p>
      <w:pPr>
        <w:pStyle w:val="BodyText"/>
        <w:spacing w:line="235" w:lineRule="auto"/>
        <w:ind w:left="705" w:right="167" w:hanging="541"/>
        <w:jc w:val="both"/>
      </w:pPr>
      <w:bookmarkStart w:name="_bookmark401" w:id="403"/>
      <w:bookmarkEnd w:id="403"/>
      <w:r>
        <w:rPr/>
      </w:r>
      <w:hyperlink w:history="true" w:anchor="_bookmark330">
        <w:r>
          <w:rPr>
            <w:color w:val="005DA1"/>
            <w:position w:val="5"/>
            <w:sz w:val="14"/>
            <w:u w:val="single" w:color="005DA1"/>
          </w:rPr>
          <w:t>198</w:t>
        </w:r>
      </w:hyperlink>
      <w:r>
        <w:rPr>
          <w:position w:val="5"/>
          <w:sz w:val="14"/>
        </w:rPr>
        <w:t>.</w:t>
      </w:r>
      <w:r>
        <w:rPr>
          <w:spacing w:val="80"/>
          <w:position w:val="5"/>
          <w:sz w:val="14"/>
        </w:rPr>
        <w:t>  </w:t>
      </w:r>
      <w:r>
        <w:rPr/>
        <w:t>Paragraph 3-029 of the 31st edition of this book (para.4-030 of the present edition) was cited with apparent approval in </w:t>
      </w:r>
      <w:r>
        <w:rPr>
          <w:rFonts w:ascii="Arial"/>
          <w:i/>
        </w:rPr>
        <w:t>Lictor Anstalt v MIR Steel UK Ltd [2014] EWHC 3316 (Ch) </w:t>
      </w:r>
      <w:r>
        <w:rPr/>
        <w:t>at [221], where it was held at [224] that none of the three conditions listed in the text above after </w:t>
      </w:r>
      <w:r>
        <w:rPr/>
        <w:t>n.196 was satisfied but that the consideration was, for the reason given in para.4-027 at n.169, not </w:t>
      </w:r>
      <w:r>
        <w:rPr>
          <w:spacing w:val="-2"/>
        </w:rPr>
        <w:t>past.</w:t>
      </w:r>
    </w:p>
    <w:p>
      <w:pPr>
        <w:pStyle w:val="BodyText"/>
        <w:spacing w:before="8"/>
      </w:pPr>
    </w:p>
    <w:p>
      <w:pPr>
        <w:tabs>
          <w:tab w:pos="705" w:val="left" w:leader="none"/>
        </w:tabs>
        <w:spacing w:line="235" w:lineRule="auto" w:before="0"/>
        <w:ind w:left="705" w:right="168" w:hanging="541"/>
        <w:jc w:val="left"/>
        <w:rPr>
          <w:sz w:val="20"/>
        </w:rPr>
      </w:pPr>
      <w:bookmarkStart w:name="_bookmark402" w:id="404"/>
      <w:bookmarkEnd w:id="404"/>
      <w:r>
        <w:rPr/>
      </w:r>
      <w:hyperlink w:history="true" w:anchor="_bookmark330">
        <w:r>
          <w:rPr>
            <w:color w:val="005DA1"/>
            <w:spacing w:val="-4"/>
            <w:position w:val="5"/>
            <w:sz w:val="14"/>
            <w:u w:val="single" w:color="005DA1"/>
          </w:rPr>
          <w:t>199</w:t>
        </w:r>
      </w:hyperlink>
      <w:r>
        <w:rPr>
          <w:spacing w:val="-4"/>
          <w:position w:val="5"/>
          <w:sz w:val="14"/>
        </w:rPr>
        <w:t>.</w:t>
      </w:r>
      <w:r>
        <w:rPr>
          <w:position w:val="5"/>
          <w:sz w:val="14"/>
        </w:rPr>
        <w:tab/>
      </w:r>
      <w:r>
        <w:rPr>
          <w:sz w:val="20"/>
        </w:rPr>
        <w:t>See</w:t>
      </w:r>
      <w:r>
        <w:rPr>
          <w:spacing w:val="40"/>
          <w:sz w:val="20"/>
        </w:rPr>
        <w:t> </w:t>
      </w:r>
      <w:r>
        <w:rPr>
          <w:rFonts w:ascii="Arial"/>
          <w:i/>
          <w:sz w:val="20"/>
        </w:rPr>
        <w:t>Southwark</w:t>
      </w:r>
      <w:r>
        <w:rPr>
          <w:rFonts w:ascii="Arial"/>
          <w:i/>
          <w:spacing w:val="40"/>
          <w:sz w:val="20"/>
        </w:rPr>
        <w:t> </w:t>
      </w:r>
      <w:r>
        <w:rPr>
          <w:rFonts w:ascii="Arial"/>
          <w:i/>
          <w:sz w:val="20"/>
        </w:rPr>
        <w:t>LBC</w:t>
      </w:r>
      <w:r>
        <w:rPr>
          <w:rFonts w:ascii="Arial"/>
          <w:i/>
          <w:spacing w:val="40"/>
          <w:sz w:val="20"/>
        </w:rPr>
        <w:t> </w:t>
      </w:r>
      <w:r>
        <w:rPr>
          <w:rFonts w:ascii="Arial"/>
          <w:i/>
          <w:sz w:val="20"/>
        </w:rPr>
        <w:t>v</w:t>
      </w:r>
      <w:r>
        <w:rPr>
          <w:rFonts w:ascii="Arial"/>
          <w:i/>
          <w:spacing w:val="40"/>
          <w:sz w:val="20"/>
        </w:rPr>
        <w:t> </w:t>
      </w:r>
      <w:r>
        <w:rPr>
          <w:rFonts w:ascii="Arial"/>
          <w:i/>
          <w:sz w:val="20"/>
        </w:rPr>
        <w:t>Logan</w:t>
      </w:r>
      <w:r>
        <w:rPr>
          <w:rFonts w:ascii="Arial"/>
          <w:i/>
          <w:spacing w:val="40"/>
          <w:sz w:val="20"/>
        </w:rPr>
        <w:t> </w:t>
      </w:r>
      <w:r>
        <w:rPr>
          <w:rFonts w:ascii="Arial"/>
          <w:i/>
          <w:sz w:val="20"/>
        </w:rPr>
        <w:t>(1996)</w:t>
      </w:r>
      <w:r>
        <w:rPr>
          <w:rFonts w:ascii="Arial"/>
          <w:i/>
          <w:spacing w:val="40"/>
          <w:sz w:val="20"/>
        </w:rPr>
        <w:t> </w:t>
      </w:r>
      <w:r>
        <w:rPr>
          <w:rFonts w:ascii="Arial"/>
          <w:i/>
          <w:sz w:val="20"/>
        </w:rPr>
        <w:t>8</w:t>
      </w:r>
      <w:r>
        <w:rPr>
          <w:rFonts w:ascii="Arial"/>
          <w:i/>
          <w:spacing w:val="40"/>
          <w:sz w:val="20"/>
        </w:rPr>
        <w:t> </w:t>
      </w:r>
      <w:r>
        <w:rPr>
          <w:rFonts w:ascii="Arial"/>
          <w:i/>
          <w:sz w:val="20"/>
        </w:rPr>
        <w:t>Admin.L.R.</w:t>
      </w:r>
      <w:r>
        <w:rPr>
          <w:rFonts w:ascii="Arial"/>
          <w:i/>
          <w:spacing w:val="40"/>
          <w:sz w:val="20"/>
        </w:rPr>
        <w:t> </w:t>
      </w:r>
      <w:r>
        <w:rPr>
          <w:rFonts w:ascii="Arial"/>
          <w:i/>
          <w:sz w:val="20"/>
        </w:rPr>
        <w:t>292</w:t>
      </w:r>
      <w:r>
        <w:rPr>
          <w:rFonts w:ascii="Arial"/>
          <w:i/>
          <w:spacing w:val="40"/>
          <w:sz w:val="20"/>
        </w:rPr>
        <w:t> </w:t>
      </w:r>
      <w:r>
        <w:rPr>
          <w:sz w:val="20"/>
        </w:rPr>
        <w:t>(where</w:t>
      </w:r>
      <w:r>
        <w:rPr>
          <w:spacing w:val="40"/>
          <w:sz w:val="20"/>
        </w:rPr>
        <w:t> </w:t>
      </w:r>
      <w:r>
        <w:rPr>
          <w:sz w:val="20"/>
        </w:rPr>
        <w:t>this</w:t>
      </w:r>
      <w:r>
        <w:rPr>
          <w:spacing w:val="40"/>
          <w:sz w:val="20"/>
        </w:rPr>
        <w:t> </w:t>
      </w:r>
      <w:r>
        <w:rPr>
          <w:sz w:val="20"/>
        </w:rPr>
        <w:t>requirement</w:t>
      </w:r>
      <w:r>
        <w:rPr>
          <w:spacing w:val="40"/>
          <w:sz w:val="20"/>
        </w:rPr>
        <w:t> </w:t>
      </w:r>
      <w:r>
        <w:rPr>
          <w:sz w:val="20"/>
        </w:rPr>
        <w:t>was</w:t>
      </w:r>
      <w:r>
        <w:rPr>
          <w:spacing w:val="40"/>
          <w:sz w:val="20"/>
        </w:rPr>
        <w:t> </w:t>
      </w:r>
      <w:r>
        <w:rPr>
          <w:sz w:val="20"/>
        </w:rPr>
        <w:t>not</w:t>
      </w:r>
      <w:r>
        <w:rPr>
          <w:spacing w:val="40"/>
          <w:sz w:val="20"/>
        </w:rPr>
        <w:t> </w:t>
      </w:r>
      <w:r>
        <w:rPr>
          <w:spacing w:val="-2"/>
          <w:sz w:val="20"/>
        </w:rPr>
        <w:t>satisfied).</w:t>
      </w:r>
    </w:p>
    <w:p>
      <w:pPr>
        <w:pStyle w:val="BodyText"/>
        <w:spacing w:before="5"/>
      </w:pPr>
    </w:p>
    <w:p>
      <w:pPr>
        <w:tabs>
          <w:tab w:pos="705" w:val="left" w:leader="none"/>
        </w:tabs>
        <w:spacing w:before="1"/>
        <w:ind w:left="165" w:right="0" w:firstLine="0"/>
        <w:jc w:val="left"/>
        <w:rPr>
          <w:sz w:val="20"/>
        </w:rPr>
      </w:pPr>
      <w:bookmarkStart w:name="_bookmark403" w:id="405"/>
      <w:bookmarkEnd w:id="405"/>
      <w:r>
        <w:rPr/>
      </w:r>
      <w:hyperlink w:history="true" w:anchor="_bookmark331">
        <w:r>
          <w:rPr>
            <w:color w:val="005DA1"/>
            <w:spacing w:val="-4"/>
            <w:position w:val="5"/>
            <w:sz w:val="14"/>
            <w:u w:val="single" w:color="005DA1"/>
          </w:rPr>
          <w:t>200</w:t>
        </w:r>
      </w:hyperlink>
      <w:r>
        <w:rPr>
          <w:spacing w:val="-4"/>
          <w:position w:val="5"/>
          <w:sz w:val="14"/>
        </w:rPr>
        <w:t>.</w:t>
      </w:r>
      <w:r>
        <w:rPr>
          <w:position w:val="5"/>
          <w:sz w:val="14"/>
        </w:rPr>
        <w:tab/>
      </w:r>
      <w:r>
        <w:rPr>
          <w:rFonts w:ascii="Arial" w:hAnsi="Arial"/>
          <w:i/>
          <w:sz w:val="20"/>
        </w:rPr>
        <w:t>Re</w:t>
      </w:r>
      <w:r>
        <w:rPr>
          <w:rFonts w:ascii="Arial" w:hAnsi="Arial"/>
          <w:i/>
          <w:spacing w:val="-1"/>
          <w:sz w:val="20"/>
        </w:rPr>
        <w:t> </w:t>
      </w:r>
      <w:r>
        <w:rPr>
          <w:rFonts w:ascii="Arial" w:hAnsi="Arial"/>
          <w:i/>
          <w:sz w:val="20"/>
        </w:rPr>
        <w:t>Casey’s Patents [1892] 1 Ch. 104, 115–116</w:t>
      </w:r>
      <w:r>
        <w:rPr>
          <w:sz w:val="20"/>
        </w:rPr>
        <w:t>; cf. </w:t>
      </w:r>
      <w:r>
        <w:rPr>
          <w:rFonts w:ascii="Arial" w:hAnsi="Arial"/>
          <w:i/>
          <w:sz w:val="20"/>
        </w:rPr>
        <w:t>Lampleigh v Brathwait (1615) Hob. </w:t>
      </w:r>
      <w:r>
        <w:rPr>
          <w:rFonts w:ascii="Arial" w:hAnsi="Arial"/>
          <w:i/>
          <w:spacing w:val="-4"/>
          <w:sz w:val="20"/>
        </w:rPr>
        <w:t>105</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404" w:id="406"/>
      <w:bookmarkEnd w:id="406"/>
      <w:r>
        <w:rPr/>
      </w:r>
      <w:hyperlink w:history="true" w:anchor="_bookmark332">
        <w:r>
          <w:rPr>
            <w:color w:val="005DA1"/>
            <w:spacing w:val="-4"/>
            <w:position w:val="5"/>
            <w:sz w:val="14"/>
            <w:u w:val="single" w:color="005DA1"/>
          </w:rPr>
          <w:t>201</w:t>
        </w:r>
      </w:hyperlink>
      <w:r>
        <w:rPr>
          <w:spacing w:val="-4"/>
          <w:position w:val="5"/>
          <w:sz w:val="14"/>
        </w:rPr>
        <w:t>.</w:t>
      </w:r>
      <w:r>
        <w:rPr>
          <w:position w:val="5"/>
          <w:sz w:val="14"/>
        </w:rPr>
        <w:tab/>
      </w:r>
      <w:r>
        <w:rPr>
          <w:rFonts w:ascii="Arial"/>
          <w:i/>
          <w:sz w:val="20"/>
        </w:rPr>
        <w:t>Kennedy</w:t>
      </w:r>
      <w:r>
        <w:rPr>
          <w:rFonts w:ascii="Arial"/>
          <w:i/>
          <w:spacing w:val="24"/>
          <w:sz w:val="20"/>
        </w:rPr>
        <w:t> </w:t>
      </w:r>
      <w:r>
        <w:rPr>
          <w:rFonts w:ascii="Arial"/>
          <w:i/>
          <w:sz w:val="20"/>
        </w:rPr>
        <w:t>v</w:t>
      </w:r>
      <w:r>
        <w:rPr>
          <w:rFonts w:ascii="Arial"/>
          <w:i/>
          <w:spacing w:val="24"/>
          <w:sz w:val="20"/>
        </w:rPr>
        <w:t> </w:t>
      </w:r>
      <w:r>
        <w:rPr>
          <w:rFonts w:ascii="Arial"/>
          <w:i/>
          <w:sz w:val="20"/>
        </w:rPr>
        <w:t>Brown</w:t>
      </w:r>
      <w:r>
        <w:rPr>
          <w:rFonts w:ascii="Arial"/>
          <w:i/>
          <w:spacing w:val="24"/>
          <w:sz w:val="20"/>
        </w:rPr>
        <w:t> </w:t>
      </w:r>
      <w:r>
        <w:rPr>
          <w:rFonts w:ascii="Arial"/>
          <w:i/>
          <w:sz w:val="20"/>
        </w:rPr>
        <w:t>(1863)</w:t>
      </w:r>
      <w:r>
        <w:rPr>
          <w:rFonts w:ascii="Arial"/>
          <w:i/>
          <w:spacing w:val="24"/>
          <w:sz w:val="20"/>
        </w:rPr>
        <w:t> </w:t>
      </w:r>
      <w:r>
        <w:rPr>
          <w:rFonts w:ascii="Arial"/>
          <w:i/>
          <w:sz w:val="20"/>
        </w:rPr>
        <w:t>13</w:t>
      </w:r>
      <w:r>
        <w:rPr>
          <w:rFonts w:ascii="Arial"/>
          <w:i/>
          <w:spacing w:val="24"/>
          <w:sz w:val="20"/>
        </w:rPr>
        <w:t> </w:t>
      </w:r>
      <w:r>
        <w:rPr>
          <w:rFonts w:ascii="Arial"/>
          <w:i/>
          <w:sz w:val="20"/>
        </w:rPr>
        <w:t>C.B.(N.S.)</w:t>
      </w:r>
      <w:r>
        <w:rPr>
          <w:rFonts w:ascii="Arial"/>
          <w:i/>
          <w:spacing w:val="24"/>
          <w:sz w:val="20"/>
        </w:rPr>
        <w:t> </w:t>
      </w:r>
      <w:r>
        <w:rPr>
          <w:rFonts w:ascii="Arial"/>
          <w:i/>
          <w:sz w:val="20"/>
        </w:rPr>
        <w:t>677,</w:t>
      </w:r>
      <w:r>
        <w:rPr>
          <w:rFonts w:ascii="Arial"/>
          <w:i/>
          <w:spacing w:val="24"/>
          <w:sz w:val="20"/>
        </w:rPr>
        <w:t> </w:t>
      </w:r>
      <w:r>
        <w:rPr>
          <w:rFonts w:ascii="Arial"/>
          <w:i/>
          <w:sz w:val="20"/>
        </w:rPr>
        <w:t>740</w:t>
      </w:r>
      <w:r>
        <w:rPr>
          <w:sz w:val="20"/>
        </w:rPr>
        <w:t>;</w:t>
      </w:r>
      <w:r>
        <w:rPr>
          <w:spacing w:val="24"/>
          <w:sz w:val="20"/>
        </w:rPr>
        <w:t> </w:t>
      </w:r>
      <w:r>
        <w:rPr>
          <w:rFonts w:ascii="Arial"/>
          <w:i/>
          <w:sz w:val="20"/>
        </w:rPr>
        <w:t>Rondel</w:t>
      </w:r>
      <w:r>
        <w:rPr>
          <w:rFonts w:ascii="Arial"/>
          <w:i/>
          <w:spacing w:val="24"/>
          <w:sz w:val="20"/>
        </w:rPr>
        <w:t> </w:t>
      </w:r>
      <w:r>
        <w:rPr>
          <w:rFonts w:ascii="Arial"/>
          <w:i/>
          <w:sz w:val="20"/>
        </w:rPr>
        <w:t>v</w:t>
      </w:r>
      <w:r>
        <w:rPr>
          <w:rFonts w:ascii="Arial"/>
          <w:i/>
          <w:spacing w:val="24"/>
          <w:sz w:val="20"/>
        </w:rPr>
        <w:t> </w:t>
      </w:r>
      <w:r>
        <w:rPr>
          <w:rFonts w:ascii="Arial"/>
          <w:i/>
          <w:sz w:val="20"/>
        </w:rPr>
        <w:t>Worsley</w:t>
      </w:r>
      <w:r>
        <w:rPr>
          <w:rFonts w:ascii="Arial"/>
          <w:i/>
          <w:spacing w:val="24"/>
          <w:sz w:val="20"/>
        </w:rPr>
        <w:t> </w:t>
      </w:r>
      <w:r>
        <w:rPr>
          <w:rFonts w:ascii="Arial"/>
          <w:i/>
          <w:sz w:val="20"/>
        </w:rPr>
        <w:t>[1969]</w:t>
      </w:r>
      <w:r>
        <w:rPr>
          <w:rFonts w:ascii="Arial"/>
          <w:i/>
          <w:spacing w:val="24"/>
          <w:sz w:val="20"/>
        </w:rPr>
        <w:t> </w:t>
      </w:r>
      <w:r>
        <w:rPr>
          <w:rFonts w:ascii="Arial"/>
          <w:i/>
          <w:sz w:val="20"/>
        </w:rPr>
        <w:t>1</w:t>
      </w:r>
      <w:r>
        <w:rPr>
          <w:rFonts w:ascii="Arial"/>
          <w:i/>
          <w:spacing w:val="24"/>
          <w:sz w:val="20"/>
        </w:rPr>
        <w:t> </w:t>
      </w:r>
      <w:r>
        <w:rPr>
          <w:rFonts w:ascii="Arial"/>
          <w:i/>
          <w:sz w:val="20"/>
        </w:rPr>
        <w:t>A.C.</w:t>
      </w:r>
      <w:r>
        <w:rPr>
          <w:rFonts w:ascii="Arial"/>
          <w:i/>
          <w:spacing w:val="24"/>
          <w:sz w:val="20"/>
        </w:rPr>
        <w:t> </w:t>
      </w:r>
      <w:r>
        <w:rPr>
          <w:rFonts w:ascii="Arial"/>
          <w:i/>
          <w:sz w:val="20"/>
        </w:rPr>
        <w:t>191,</w:t>
      </w:r>
      <w:r>
        <w:rPr>
          <w:rFonts w:ascii="Arial"/>
          <w:i/>
          <w:spacing w:val="24"/>
          <w:sz w:val="20"/>
        </w:rPr>
        <w:t> </w:t>
      </w:r>
      <w:r>
        <w:rPr>
          <w:rFonts w:ascii="Arial"/>
          <w:i/>
          <w:sz w:val="20"/>
        </w:rPr>
        <w:t>236, 278, 287</w:t>
      </w:r>
      <w:r>
        <w:rPr>
          <w:sz w:val="20"/>
        </w:rPr>
        <w:t>, as to which, see n.200 below.</w:t>
      </w:r>
    </w:p>
    <w:p>
      <w:pPr>
        <w:pStyle w:val="BodyText"/>
        <w:spacing w:before="9"/>
      </w:pPr>
    </w:p>
    <w:p>
      <w:pPr>
        <w:pStyle w:val="BodyText"/>
        <w:spacing w:line="235" w:lineRule="auto" w:before="1"/>
        <w:ind w:left="705" w:right="167" w:hanging="541"/>
        <w:jc w:val="both"/>
        <w:rPr>
          <w:rFonts w:ascii="Arial" w:hAnsi="Arial"/>
          <w:i/>
        </w:rPr>
      </w:pPr>
      <w:bookmarkStart w:name="_bookmark405" w:id="407"/>
      <w:bookmarkEnd w:id="407"/>
      <w:r>
        <w:rPr/>
      </w:r>
      <w:hyperlink w:history="true" w:anchor="_bookmark333">
        <w:r>
          <w:rPr>
            <w:color w:val="005DA1"/>
            <w:position w:val="5"/>
            <w:sz w:val="14"/>
            <w:u w:val="single" w:color="005DA1"/>
          </w:rPr>
          <w:t>202</w:t>
        </w:r>
      </w:hyperlink>
      <w:r>
        <w:rPr>
          <w:position w:val="5"/>
          <w:sz w:val="14"/>
        </w:rPr>
        <w:t>.</w:t>
      </w:r>
      <w:r>
        <w:rPr>
          <w:spacing w:val="80"/>
          <w:position w:val="5"/>
          <w:sz w:val="14"/>
        </w:rPr>
        <w:t> </w:t>
      </w:r>
      <w:r>
        <w:rPr/>
        <w:t>See the authorities cited in the preceding note: promise to pay barrister for past </w:t>
      </w:r>
      <w:r>
        <w:rPr/>
        <w:t>professional services</w:t>
      </w:r>
      <w:r>
        <w:rPr>
          <w:spacing w:val="-1"/>
        </w:rPr>
        <w:t> </w:t>
      </w:r>
      <w:r>
        <w:rPr/>
        <w:t>not</w:t>
      </w:r>
      <w:r>
        <w:rPr>
          <w:spacing w:val="-1"/>
        </w:rPr>
        <w:t> </w:t>
      </w:r>
      <w:r>
        <w:rPr/>
        <w:t>binding</w:t>
      </w:r>
      <w:r>
        <w:rPr>
          <w:spacing w:val="-1"/>
        </w:rPr>
        <w:t> </w:t>
      </w:r>
      <w:r>
        <w:rPr/>
        <w:t>since</w:t>
      </w:r>
      <w:r>
        <w:rPr>
          <w:spacing w:val="-1"/>
        </w:rPr>
        <w:t> </w:t>
      </w:r>
      <w:r>
        <w:rPr/>
        <w:t>he</w:t>
      </w:r>
      <w:r>
        <w:rPr>
          <w:spacing w:val="-1"/>
        </w:rPr>
        <w:t> </w:t>
      </w:r>
      <w:r>
        <w:rPr/>
        <w:t>could</w:t>
      </w:r>
      <w:r>
        <w:rPr>
          <w:spacing w:val="-1"/>
        </w:rPr>
        <w:t> </w:t>
      </w:r>
      <w:r>
        <w:rPr/>
        <w:t>not</w:t>
      </w:r>
      <w:r>
        <w:rPr>
          <w:spacing w:val="-1"/>
        </w:rPr>
        <w:t> </w:t>
      </w:r>
      <w:r>
        <w:rPr/>
        <w:t>sue</w:t>
      </w:r>
      <w:r>
        <w:rPr>
          <w:spacing w:val="-1"/>
        </w:rPr>
        <w:t> </w:t>
      </w:r>
      <w:r>
        <w:rPr/>
        <w:t>for</w:t>
      </w:r>
      <w:r>
        <w:rPr>
          <w:spacing w:val="-1"/>
        </w:rPr>
        <w:t> </w:t>
      </w:r>
      <w:r>
        <w:rPr/>
        <w:t>his</w:t>
      </w:r>
      <w:r>
        <w:rPr>
          <w:spacing w:val="-1"/>
        </w:rPr>
        <w:t> </w:t>
      </w:r>
      <w:r>
        <w:rPr/>
        <w:t>fees;</w:t>
      </w:r>
      <w:r>
        <w:rPr>
          <w:spacing w:val="-1"/>
        </w:rPr>
        <w:t> </w:t>
      </w:r>
      <w:r>
        <w:rPr/>
        <w:t>see</w:t>
      </w:r>
      <w:r>
        <w:rPr>
          <w:spacing w:val="-1"/>
        </w:rPr>
        <w:t> </w:t>
      </w:r>
      <w:r>
        <w:rPr/>
        <w:t>now</w:t>
      </w:r>
      <w:r>
        <w:rPr>
          <w:spacing w:val="-1"/>
        </w:rPr>
        <w:t> </w:t>
      </w:r>
      <w:r>
        <w:rPr/>
        <w:t>Courts</w:t>
      </w:r>
      <w:r>
        <w:rPr>
          <w:spacing w:val="-1"/>
        </w:rPr>
        <w:t> </w:t>
      </w:r>
      <w:r>
        <w:rPr/>
        <w:t>and</w:t>
      </w:r>
      <w:r>
        <w:rPr>
          <w:spacing w:val="-1"/>
        </w:rPr>
        <w:t> </w:t>
      </w:r>
      <w:r>
        <w:rPr/>
        <w:t>Legal</w:t>
      </w:r>
      <w:r>
        <w:rPr>
          <w:spacing w:val="-1"/>
        </w:rPr>
        <w:t> </w:t>
      </w:r>
      <w:r>
        <w:rPr/>
        <w:t>Services</w:t>
      </w:r>
      <w:r>
        <w:rPr>
          <w:spacing w:val="-1"/>
        </w:rPr>
        <w:t> </w:t>
      </w:r>
      <w:r>
        <w:rPr/>
        <w:t>Act 1990, s.61. In </w:t>
      </w:r>
      <w:r>
        <w:rPr>
          <w:rFonts w:ascii="Arial" w:hAnsi="Arial"/>
          <w:i/>
        </w:rPr>
        <w:t>Arthur J.S. Hall Ltd v Simons [2002] 1 A.C. 615 </w:t>
      </w:r>
      <w:r>
        <w:rPr/>
        <w:t>the House of Lords disapproved the reasoning of </w:t>
      </w:r>
      <w:r>
        <w:rPr>
          <w:rFonts w:ascii="Arial" w:hAnsi="Arial"/>
          <w:i/>
        </w:rPr>
        <w:t>Rondel v Worsley </w:t>
      </w:r>
      <w:r>
        <w:rPr/>
        <w:t>above, n.199, so far as it relates to an advocate’s immunity from liability for negligence in the conduct of civil or (by a majority) criminal proceedings. This disapproval does not affect the point for which </w:t>
      </w:r>
      <w:r>
        <w:rPr>
          <w:rFonts w:ascii="Arial" w:hAnsi="Arial"/>
          <w:i/>
        </w:rPr>
        <w:t>Rondel v Worsley </w:t>
      </w:r>
      <w:r>
        <w:rPr/>
        <w:t>is cited in n.199 above i.e. the common law rule that a barrister cannot sue for his fees. Reference to this point is made, perhaps with some scepticism, in the </w:t>
      </w:r>
      <w:r>
        <w:rPr>
          <w:rFonts w:ascii="Arial" w:hAnsi="Arial"/>
          <w:i/>
        </w:rPr>
        <w:t>Arthur J.S. Hall </w:t>
      </w:r>
      <w:r>
        <w:rPr/>
        <w:t>case at pp.676 and 685. The disapproval in</w:t>
      </w:r>
      <w:r>
        <w:rPr>
          <w:spacing w:val="7"/>
        </w:rPr>
        <w:t> </w:t>
      </w:r>
      <w:r>
        <w:rPr>
          <w:rFonts w:ascii="Arial" w:hAnsi="Arial"/>
          <w:i/>
        </w:rPr>
        <w:t>Jones</w:t>
      </w:r>
      <w:r>
        <w:rPr>
          <w:rFonts w:ascii="Arial" w:hAnsi="Arial"/>
          <w:i/>
          <w:spacing w:val="7"/>
        </w:rPr>
        <w:t> </w:t>
      </w:r>
      <w:r>
        <w:rPr>
          <w:rFonts w:ascii="Arial" w:hAnsi="Arial"/>
          <w:i/>
        </w:rPr>
        <w:t>v</w:t>
      </w:r>
      <w:r>
        <w:rPr>
          <w:rFonts w:ascii="Arial" w:hAnsi="Arial"/>
          <w:i/>
          <w:spacing w:val="7"/>
        </w:rPr>
        <w:t> </w:t>
      </w:r>
      <w:r>
        <w:rPr>
          <w:rFonts w:ascii="Arial" w:hAnsi="Arial"/>
          <w:i/>
        </w:rPr>
        <w:t>Kaney</w:t>
      </w:r>
      <w:r>
        <w:rPr>
          <w:rFonts w:ascii="Arial" w:hAnsi="Arial"/>
          <w:i/>
          <w:spacing w:val="7"/>
        </w:rPr>
        <w:t> </w:t>
      </w:r>
      <w:r>
        <w:rPr>
          <w:rFonts w:ascii="Arial" w:hAnsi="Arial"/>
          <w:i/>
        </w:rPr>
        <w:t>[2011]</w:t>
      </w:r>
      <w:r>
        <w:rPr>
          <w:rFonts w:ascii="Arial" w:hAnsi="Arial"/>
          <w:i/>
          <w:spacing w:val="7"/>
        </w:rPr>
        <w:t> </w:t>
      </w:r>
      <w:r>
        <w:rPr>
          <w:rFonts w:ascii="Arial" w:hAnsi="Arial"/>
          <w:i/>
        </w:rPr>
        <w:t>UKSC</w:t>
      </w:r>
      <w:r>
        <w:rPr>
          <w:rFonts w:ascii="Arial" w:hAnsi="Arial"/>
          <w:i/>
          <w:spacing w:val="7"/>
        </w:rPr>
        <w:t> </w:t>
      </w:r>
      <w:r>
        <w:rPr>
          <w:rFonts w:ascii="Arial" w:hAnsi="Arial"/>
          <w:i/>
        </w:rPr>
        <w:t>13,</w:t>
      </w:r>
      <w:r>
        <w:rPr>
          <w:rFonts w:ascii="Arial" w:hAnsi="Arial"/>
          <w:i/>
          <w:spacing w:val="7"/>
        </w:rPr>
        <w:t> </w:t>
      </w:r>
      <w:r>
        <w:rPr>
          <w:rFonts w:ascii="Arial" w:hAnsi="Arial"/>
          <w:i/>
        </w:rPr>
        <w:t>[2011]</w:t>
      </w:r>
      <w:r>
        <w:rPr>
          <w:rFonts w:ascii="Arial" w:hAnsi="Arial"/>
          <w:i/>
          <w:spacing w:val="7"/>
        </w:rPr>
        <w:t> </w:t>
      </w:r>
      <w:r>
        <w:rPr>
          <w:rFonts w:ascii="Arial" w:hAnsi="Arial"/>
          <w:i/>
        </w:rPr>
        <w:t>2</w:t>
      </w:r>
      <w:r>
        <w:rPr>
          <w:rFonts w:ascii="Arial" w:hAnsi="Arial"/>
          <w:i/>
          <w:spacing w:val="7"/>
        </w:rPr>
        <w:t> </w:t>
      </w:r>
      <w:r>
        <w:rPr>
          <w:rFonts w:ascii="Arial" w:hAnsi="Arial"/>
          <w:i/>
        </w:rPr>
        <w:t>All</w:t>
      </w:r>
      <w:r>
        <w:rPr>
          <w:rFonts w:ascii="Arial" w:hAnsi="Arial"/>
          <w:i/>
          <w:spacing w:val="7"/>
        </w:rPr>
        <w:t> </w:t>
      </w:r>
      <w:r>
        <w:rPr>
          <w:rFonts w:ascii="Arial" w:hAnsi="Arial"/>
          <w:i/>
        </w:rPr>
        <w:t>E.R.</w:t>
      </w:r>
      <w:r>
        <w:rPr>
          <w:rFonts w:ascii="Arial" w:hAnsi="Arial"/>
          <w:i/>
          <w:spacing w:val="7"/>
        </w:rPr>
        <w:t> </w:t>
      </w:r>
      <w:r>
        <w:rPr>
          <w:rFonts w:ascii="Arial" w:hAnsi="Arial"/>
          <w:i/>
        </w:rPr>
        <w:t>671</w:t>
      </w:r>
      <w:r>
        <w:rPr>
          <w:rFonts w:ascii="Arial" w:hAnsi="Arial"/>
          <w:i/>
          <w:spacing w:val="7"/>
        </w:rPr>
        <w:t> </w:t>
      </w:r>
      <w:r>
        <w:rPr/>
        <w:t>at</w:t>
      </w:r>
      <w:r>
        <w:rPr>
          <w:spacing w:val="7"/>
        </w:rPr>
        <w:t> </w:t>
      </w:r>
      <w:r>
        <w:rPr/>
        <w:t>[46]</w:t>
      </w:r>
      <w:r>
        <w:rPr>
          <w:spacing w:val="7"/>
        </w:rPr>
        <w:t> </w:t>
      </w:r>
      <w:r>
        <w:rPr/>
        <w:t>of</w:t>
      </w:r>
      <w:r>
        <w:rPr>
          <w:spacing w:val="7"/>
        </w:rPr>
        <w:t> </w:t>
      </w:r>
      <w:r>
        <w:rPr/>
        <w:t>another</w:t>
      </w:r>
      <w:r>
        <w:rPr>
          <w:spacing w:val="7"/>
        </w:rPr>
        <w:t> </w:t>
      </w:r>
      <w:r>
        <w:rPr/>
        <w:t>dictum</w:t>
      </w:r>
      <w:r>
        <w:rPr>
          <w:spacing w:val="7"/>
        </w:rPr>
        <w:t> </w:t>
      </w:r>
      <w:r>
        <w:rPr/>
        <w:t>in</w:t>
      </w:r>
      <w:r>
        <w:rPr>
          <w:spacing w:val="7"/>
        </w:rPr>
        <w:t> </w:t>
      </w:r>
      <w:r>
        <w:rPr/>
        <w:t>the</w:t>
      </w:r>
      <w:r>
        <w:rPr>
          <w:spacing w:val="7"/>
        </w:rPr>
        <w:t> </w:t>
      </w:r>
      <w:r>
        <w:rPr>
          <w:rFonts w:ascii="Arial" w:hAnsi="Arial"/>
          <w:i/>
          <w:spacing w:val="-2"/>
        </w:rPr>
        <w:t>Arthur</w:t>
      </w:r>
    </w:p>
    <w:p>
      <w:pPr>
        <w:spacing w:line="235" w:lineRule="auto" w:before="0"/>
        <w:ind w:left="705" w:right="167" w:firstLine="0"/>
        <w:jc w:val="both"/>
        <w:rPr>
          <w:sz w:val="20"/>
        </w:rPr>
      </w:pPr>
      <w:r>
        <w:rPr>
          <w:rFonts w:ascii="Arial"/>
          <w:i/>
          <w:sz w:val="20"/>
        </w:rPr>
        <w:t>J.S. Hall </w:t>
      </w:r>
      <w:r>
        <w:rPr>
          <w:sz w:val="20"/>
        </w:rPr>
        <w:t>case has no bearing on the point here under discussion. </w:t>
      </w:r>
      <w:r>
        <w:rPr>
          <w:rFonts w:ascii="Arial"/>
          <w:i/>
          <w:sz w:val="20"/>
        </w:rPr>
        <w:t>Jones v Kaney </w:t>
      </w:r>
      <w:r>
        <w:rPr>
          <w:sz w:val="20"/>
        </w:rPr>
        <w:t>reverses </w:t>
      </w:r>
      <w:r>
        <w:rPr>
          <w:sz w:val="20"/>
        </w:rPr>
        <w:t>the former</w:t>
      </w:r>
      <w:r>
        <w:rPr>
          <w:spacing w:val="-2"/>
          <w:sz w:val="20"/>
        </w:rPr>
        <w:t> </w:t>
      </w:r>
      <w:r>
        <w:rPr>
          <w:sz w:val="20"/>
        </w:rPr>
        <w:t>rule</w:t>
      </w:r>
      <w:r>
        <w:rPr>
          <w:spacing w:val="-2"/>
          <w:sz w:val="20"/>
        </w:rPr>
        <w:t> </w:t>
      </w:r>
      <w:r>
        <w:rPr>
          <w:sz w:val="20"/>
        </w:rPr>
        <w:t>that</w:t>
      </w:r>
      <w:r>
        <w:rPr>
          <w:spacing w:val="-2"/>
          <w:sz w:val="20"/>
        </w:rPr>
        <w:t> </w:t>
      </w:r>
      <w:r>
        <w:rPr>
          <w:sz w:val="20"/>
        </w:rPr>
        <w:t>an</w:t>
      </w:r>
      <w:r>
        <w:rPr>
          <w:spacing w:val="-2"/>
          <w:sz w:val="20"/>
        </w:rPr>
        <w:t> </w:t>
      </w:r>
      <w:r>
        <w:rPr>
          <w:sz w:val="20"/>
        </w:rPr>
        <w:t>expert</w:t>
      </w:r>
      <w:r>
        <w:rPr>
          <w:spacing w:val="-2"/>
          <w:sz w:val="20"/>
        </w:rPr>
        <w:t> </w:t>
      </w:r>
      <w:r>
        <w:rPr>
          <w:sz w:val="20"/>
        </w:rPr>
        <w:t>witness</w:t>
      </w:r>
      <w:r>
        <w:rPr>
          <w:spacing w:val="-2"/>
          <w:sz w:val="20"/>
        </w:rPr>
        <w:t> </w:t>
      </w:r>
      <w:r>
        <w:rPr>
          <w:sz w:val="20"/>
        </w:rPr>
        <w:t>was</w:t>
      </w:r>
      <w:r>
        <w:rPr>
          <w:spacing w:val="-2"/>
          <w:sz w:val="20"/>
        </w:rPr>
        <w:t> </w:t>
      </w:r>
      <w:r>
        <w:rPr>
          <w:sz w:val="20"/>
        </w:rPr>
        <w:t>not</w:t>
      </w:r>
      <w:r>
        <w:rPr>
          <w:spacing w:val="-2"/>
          <w:sz w:val="20"/>
        </w:rPr>
        <w:t> </w:t>
      </w:r>
      <w:r>
        <w:rPr>
          <w:sz w:val="20"/>
        </w:rPr>
        <w:t>liable</w:t>
      </w:r>
      <w:r>
        <w:rPr>
          <w:spacing w:val="-2"/>
          <w:sz w:val="20"/>
        </w:rPr>
        <w:t> </w:t>
      </w:r>
      <w:r>
        <w:rPr>
          <w:sz w:val="20"/>
        </w:rPr>
        <w:t>in</w:t>
      </w:r>
      <w:r>
        <w:rPr>
          <w:spacing w:val="-2"/>
          <w:sz w:val="20"/>
        </w:rPr>
        <w:t> </w:t>
      </w:r>
      <w:r>
        <w:rPr>
          <w:sz w:val="20"/>
        </w:rPr>
        <w:t>damages</w:t>
      </w:r>
      <w:r>
        <w:rPr>
          <w:spacing w:val="-2"/>
          <w:sz w:val="20"/>
        </w:rPr>
        <w:t> </w:t>
      </w:r>
      <w:r>
        <w:rPr>
          <w:sz w:val="20"/>
        </w:rPr>
        <w:t>for</w:t>
      </w:r>
      <w:r>
        <w:rPr>
          <w:spacing w:val="-2"/>
          <w:sz w:val="20"/>
        </w:rPr>
        <w:t> </w:t>
      </w:r>
      <w:r>
        <w:rPr>
          <w:sz w:val="20"/>
        </w:rPr>
        <w:t>breach</w:t>
      </w:r>
      <w:r>
        <w:rPr>
          <w:spacing w:val="-2"/>
          <w:sz w:val="20"/>
        </w:rPr>
        <w:t> </w:t>
      </w:r>
      <w:r>
        <w:rPr>
          <w:sz w:val="20"/>
        </w:rPr>
        <w:t>of</w:t>
      </w:r>
      <w:r>
        <w:rPr>
          <w:spacing w:val="-2"/>
          <w:sz w:val="20"/>
        </w:rPr>
        <w:t> </w:t>
      </w:r>
      <w:r>
        <w:rPr>
          <w:sz w:val="20"/>
        </w:rPr>
        <w:t>duty</w:t>
      </w:r>
      <w:r>
        <w:rPr>
          <w:spacing w:val="-2"/>
          <w:sz w:val="20"/>
        </w:rPr>
        <w:t> </w:t>
      </w:r>
      <w:r>
        <w:rPr>
          <w:sz w:val="20"/>
        </w:rPr>
        <w:t>to</w:t>
      </w:r>
      <w:r>
        <w:rPr>
          <w:spacing w:val="-2"/>
          <w:sz w:val="20"/>
        </w:rPr>
        <w:t> </w:t>
      </w:r>
      <w:r>
        <w:rPr>
          <w:sz w:val="20"/>
        </w:rPr>
        <w:t>his</w:t>
      </w:r>
      <w:r>
        <w:rPr>
          <w:spacing w:val="-2"/>
          <w:sz w:val="20"/>
        </w:rPr>
        <w:t> </w:t>
      </w:r>
      <w:r>
        <w:rPr>
          <w:sz w:val="20"/>
        </w:rPr>
        <w:t>own</w:t>
      </w:r>
      <w:r>
        <w:rPr>
          <w:spacing w:val="-2"/>
          <w:sz w:val="20"/>
        </w:rPr>
        <w:t> </w:t>
      </w:r>
      <w:r>
        <w:rPr>
          <w:sz w:val="20"/>
        </w:rPr>
        <w:t>client; but there is no doubt that such a witness can sue for his fees: see </w:t>
      </w:r>
      <w:r>
        <w:rPr>
          <w:rFonts w:ascii="Arial"/>
          <w:i/>
          <w:sz w:val="20"/>
        </w:rPr>
        <w:t>Goulden v Wilson </w:t>
      </w:r>
      <w:r>
        <w:rPr>
          <w:rFonts w:ascii="Arial"/>
          <w:i/>
          <w:sz w:val="20"/>
        </w:rPr>
        <w:t>Barca [2000] 1 W.L.R. 167</w:t>
      </w:r>
      <w:r>
        <w:rPr>
          <w:sz w:val="20"/>
        </w:rPr>
        <w:t>.</w:t>
      </w:r>
    </w:p>
    <w:p>
      <w:pPr>
        <w:pStyle w:val="BodyText"/>
        <w:spacing w:before="1"/>
      </w:pPr>
    </w:p>
    <w:p>
      <w:pPr>
        <w:tabs>
          <w:tab w:pos="705" w:val="left" w:leader="none"/>
        </w:tabs>
        <w:spacing w:before="0"/>
        <w:ind w:left="165" w:right="0" w:firstLine="0"/>
        <w:jc w:val="left"/>
        <w:rPr>
          <w:sz w:val="20"/>
        </w:rPr>
      </w:pPr>
      <w:bookmarkStart w:name="_bookmark406" w:id="408"/>
      <w:bookmarkEnd w:id="408"/>
      <w:r>
        <w:rPr/>
      </w:r>
      <w:hyperlink w:history="true" w:anchor="_bookmark334">
        <w:r>
          <w:rPr>
            <w:color w:val="005DA1"/>
            <w:spacing w:val="-4"/>
            <w:position w:val="5"/>
            <w:sz w:val="14"/>
            <w:u w:val="single" w:color="005DA1"/>
          </w:rPr>
          <w:t>203</w:t>
        </w:r>
      </w:hyperlink>
      <w:r>
        <w:rPr>
          <w:spacing w:val="-4"/>
          <w:position w:val="5"/>
          <w:sz w:val="14"/>
        </w:rPr>
        <w:t>.</w:t>
      </w:r>
      <w:r>
        <w:rPr>
          <w:position w:val="5"/>
          <w:sz w:val="14"/>
        </w:rPr>
        <w:tab/>
      </w:r>
      <w:r>
        <w:rPr>
          <w:rFonts w:ascii="Arial"/>
          <w:i/>
          <w:sz w:val="20"/>
        </w:rPr>
        <w:t>[1980]</w:t>
      </w:r>
      <w:r>
        <w:rPr>
          <w:rFonts w:ascii="Arial"/>
          <w:i/>
          <w:spacing w:val="-2"/>
          <w:sz w:val="20"/>
        </w:rPr>
        <w:t> </w:t>
      </w:r>
      <w:r>
        <w:rPr>
          <w:rFonts w:ascii="Arial"/>
          <w:i/>
          <w:sz w:val="20"/>
        </w:rPr>
        <w:t>A.C. </w:t>
      </w:r>
      <w:r>
        <w:rPr>
          <w:rFonts w:ascii="Arial"/>
          <w:i/>
          <w:spacing w:val="-4"/>
          <w:sz w:val="20"/>
        </w:rPr>
        <w:t>614</w:t>
      </w:r>
      <w:r>
        <w:rPr>
          <w:spacing w:val="-4"/>
          <w:sz w:val="20"/>
        </w:rPr>
        <w:t>.</w:t>
      </w:r>
    </w:p>
    <w:p>
      <w:pPr>
        <w:pStyle w:val="BodyText"/>
        <w:spacing w:before="8"/>
      </w:pPr>
    </w:p>
    <w:p>
      <w:pPr>
        <w:pStyle w:val="BodyText"/>
        <w:tabs>
          <w:tab w:pos="705" w:val="left" w:leader="none"/>
        </w:tabs>
        <w:spacing w:line="235" w:lineRule="auto" w:before="1"/>
        <w:ind w:left="705" w:right="168" w:hanging="541"/>
      </w:pPr>
      <w:bookmarkStart w:name="_bookmark407" w:id="409"/>
      <w:bookmarkEnd w:id="409"/>
      <w:r>
        <w:rPr/>
      </w:r>
      <w:hyperlink w:history="true" w:anchor="_bookmark335">
        <w:r>
          <w:rPr>
            <w:color w:val="005DA1"/>
            <w:spacing w:val="-4"/>
            <w:position w:val="5"/>
            <w:sz w:val="14"/>
            <w:u w:val="single" w:color="005DA1"/>
          </w:rPr>
          <w:t>204</w:t>
        </w:r>
      </w:hyperlink>
      <w:r>
        <w:rPr>
          <w:spacing w:val="-4"/>
          <w:position w:val="5"/>
          <w:sz w:val="14"/>
        </w:rPr>
        <w:t>.</w:t>
      </w:r>
      <w:r>
        <w:rPr>
          <w:position w:val="5"/>
          <w:sz w:val="14"/>
        </w:rPr>
        <w:tab/>
      </w:r>
      <w:r>
        <w:rPr/>
        <w:t>This</w:t>
      </w:r>
      <w:r>
        <w:rPr>
          <w:spacing w:val="40"/>
        </w:rPr>
        <w:t> </w:t>
      </w:r>
      <w:r>
        <w:rPr/>
        <w:t>guarantee</w:t>
      </w:r>
      <w:r>
        <w:rPr>
          <w:spacing w:val="40"/>
        </w:rPr>
        <w:t> </w:t>
      </w:r>
      <w:r>
        <w:rPr/>
        <w:t>replaced</w:t>
      </w:r>
      <w:r>
        <w:rPr>
          <w:spacing w:val="40"/>
        </w:rPr>
        <w:t> </w:t>
      </w:r>
      <w:r>
        <w:rPr/>
        <w:t>an</w:t>
      </w:r>
      <w:r>
        <w:rPr>
          <w:spacing w:val="40"/>
        </w:rPr>
        <w:t> </w:t>
      </w:r>
      <w:r>
        <w:rPr/>
        <w:t>earlier</w:t>
      </w:r>
      <w:r>
        <w:rPr>
          <w:spacing w:val="40"/>
        </w:rPr>
        <w:t> </w:t>
      </w:r>
      <w:r>
        <w:rPr/>
        <w:t>agreement</w:t>
      </w:r>
      <w:r>
        <w:rPr>
          <w:spacing w:val="40"/>
        </w:rPr>
        <w:t> </w:t>
      </w:r>
      <w:r>
        <w:rPr/>
        <w:t>(made</w:t>
      </w:r>
      <w:r>
        <w:rPr>
          <w:spacing w:val="40"/>
        </w:rPr>
        <w:t> </w:t>
      </w:r>
      <w:r>
        <w:rPr/>
        <w:t>at</w:t>
      </w:r>
      <w:r>
        <w:rPr>
          <w:spacing w:val="40"/>
        </w:rPr>
        <w:t> </w:t>
      </w:r>
      <w:r>
        <w:rPr/>
        <w:t>the</w:t>
      </w:r>
      <w:r>
        <w:rPr>
          <w:spacing w:val="40"/>
        </w:rPr>
        <w:t> </w:t>
      </w:r>
      <w:r>
        <w:rPr/>
        <w:t>time</w:t>
      </w:r>
      <w:r>
        <w:rPr>
          <w:spacing w:val="40"/>
        </w:rPr>
        <w:t> </w:t>
      </w:r>
      <w:r>
        <w:rPr/>
        <w:t>of</w:t>
      </w:r>
      <w:r>
        <w:rPr>
          <w:spacing w:val="40"/>
        </w:rPr>
        <w:t> </w:t>
      </w:r>
      <w:r>
        <w:rPr/>
        <w:t>the</w:t>
      </w:r>
      <w:r>
        <w:rPr>
          <w:spacing w:val="40"/>
        </w:rPr>
        <w:t> </w:t>
      </w:r>
      <w:r>
        <w:rPr/>
        <w:t>principal</w:t>
      </w:r>
      <w:r>
        <w:rPr>
          <w:spacing w:val="40"/>
        </w:rPr>
        <w:t> </w:t>
      </w:r>
      <w:r>
        <w:rPr/>
        <w:t>sale</w:t>
      </w:r>
      <w:r>
        <w:rPr>
          <w:spacing w:val="40"/>
        </w:rPr>
        <w:t> </w:t>
      </w:r>
      <w:r>
        <w:rPr/>
        <w:t>but subsidiary to it) which was less favourable to the claimants.</w:t>
      </w:r>
    </w:p>
    <w:p>
      <w:pPr>
        <w:pStyle w:val="BodyText"/>
        <w:spacing w:before="9"/>
      </w:pPr>
    </w:p>
    <w:p>
      <w:pPr>
        <w:pStyle w:val="BodyText"/>
        <w:tabs>
          <w:tab w:pos="705" w:val="left" w:leader="none"/>
        </w:tabs>
        <w:spacing w:line="235" w:lineRule="auto"/>
        <w:ind w:left="705" w:right="168" w:hanging="541"/>
      </w:pPr>
      <w:bookmarkStart w:name="_bookmark408" w:id="410"/>
      <w:bookmarkEnd w:id="410"/>
      <w:r>
        <w:rPr/>
      </w:r>
      <w:hyperlink w:history="true" w:anchor="_bookmark336">
        <w:r>
          <w:rPr>
            <w:color w:val="005DA1"/>
            <w:spacing w:val="-4"/>
            <w:position w:val="5"/>
            <w:sz w:val="14"/>
            <w:u w:val="single" w:color="005DA1"/>
          </w:rPr>
          <w:t>205</w:t>
        </w:r>
      </w:hyperlink>
      <w:r>
        <w:rPr>
          <w:spacing w:val="-4"/>
          <w:position w:val="5"/>
          <w:sz w:val="14"/>
        </w:rPr>
        <w:t>.</w:t>
      </w:r>
      <w:r>
        <w:rPr>
          <w:position w:val="5"/>
          <w:sz w:val="14"/>
        </w:rPr>
        <w:tab/>
      </w:r>
      <w:r>
        <w:rPr/>
        <w:t>For</w:t>
      </w:r>
      <w:r>
        <w:rPr>
          <w:spacing w:val="20"/>
        </w:rPr>
        <w:t> </w:t>
      </w:r>
      <w:r>
        <w:rPr/>
        <w:t>the</w:t>
      </w:r>
      <w:r>
        <w:rPr>
          <w:spacing w:val="20"/>
        </w:rPr>
        <w:t> </w:t>
      </w:r>
      <w:r>
        <w:rPr/>
        <w:t>further</w:t>
      </w:r>
      <w:r>
        <w:rPr>
          <w:spacing w:val="20"/>
        </w:rPr>
        <w:t> </w:t>
      </w:r>
      <w:r>
        <w:rPr/>
        <w:t>argument</w:t>
      </w:r>
      <w:r>
        <w:rPr>
          <w:spacing w:val="20"/>
        </w:rPr>
        <w:t> </w:t>
      </w:r>
      <w:r>
        <w:rPr/>
        <w:t>that</w:t>
      </w:r>
      <w:r>
        <w:rPr>
          <w:spacing w:val="20"/>
        </w:rPr>
        <w:t> </w:t>
      </w:r>
      <w:r>
        <w:rPr/>
        <w:t>the</w:t>
      </w:r>
      <w:r>
        <w:rPr>
          <w:spacing w:val="20"/>
        </w:rPr>
        <w:t> </w:t>
      </w:r>
      <w:r>
        <w:rPr/>
        <w:t>consideration</w:t>
      </w:r>
      <w:r>
        <w:rPr>
          <w:spacing w:val="20"/>
        </w:rPr>
        <w:t> </w:t>
      </w:r>
      <w:r>
        <w:rPr/>
        <w:t>was</w:t>
      </w:r>
      <w:r>
        <w:rPr>
          <w:spacing w:val="20"/>
        </w:rPr>
        <w:t> </w:t>
      </w:r>
      <w:r>
        <w:rPr/>
        <w:t>no</w:t>
      </w:r>
      <w:r>
        <w:rPr>
          <w:spacing w:val="20"/>
        </w:rPr>
        <w:t> </w:t>
      </w:r>
      <w:r>
        <w:rPr/>
        <w:t>more</w:t>
      </w:r>
      <w:r>
        <w:rPr>
          <w:spacing w:val="20"/>
        </w:rPr>
        <w:t> </w:t>
      </w:r>
      <w:r>
        <w:rPr/>
        <w:t>than</w:t>
      </w:r>
      <w:r>
        <w:rPr>
          <w:spacing w:val="20"/>
        </w:rPr>
        <w:t> </w:t>
      </w:r>
      <w:r>
        <w:rPr/>
        <w:t>the</w:t>
      </w:r>
      <w:r>
        <w:rPr>
          <w:spacing w:val="20"/>
        </w:rPr>
        <w:t> </w:t>
      </w:r>
      <w:r>
        <w:rPr/>
        <w:t>promise</w:t>
      </w:r>
      <w:r>
        <w:rPr>
          <w:spacing w:val="20"/>
        </w:rPr>
        <w:t> </w:t>
      </w:r>
      <w:r>
        <w:rPr/>
        <w:t>to</w:t>
      </w:r>
      <w:r>
        <w:rPr>
          <w:spacing w:val="20"/>
        </w:rPr>
        <w:t> </w:t>
      </w:r>
      <w:r>
        <w:rPr/>
        <w:t>perform</w:t>
      </w:r>
      <w:r>
        <w:rPr>
          <w:spacing w:val="20"/>
        </w:rPr>
        <w:t> </w:t>
      </w:r>
      <w:r>
        <w:rPr/>
        <w:t>an existing contractual duty, see below, para.4-076.</w:t>
      </w:r>
    </w:p>
    <w:p>
      <w:pPr>
        <w:pStyle w:val="BodyText"/>
        <w:spacing w:before="5"/>
      </w:pPr>
    </w:p>
    <w:p>
      <w:pPr>
        <w:tabs>
          <w:tab w:pos="705" w:val="left" w:leader="none"/>
        </w:tabs>
        <w:spacing w:before="0"/>
        <w:ind w:left="165" w:right="0" w:firstLine="0"/>
        <w:jc w:val="left"/>
        <w:rPr>
          <w:sz w:val="20"/>
        </w:rPr>
      </w:pPr>
      <w:bookmarkStart w:name="_bookmark409" w:id="411"/>
      <w:bookmarkEnd w:id="411"/>
      <w:r>
        <w:rPr/>
      </w:r>
      <w:hyperlink w:history="true" w:anchor="_bookmark337">
        <w:r>
          <w:rPr>
            <w:color w:val="005DA1"/>
            <w:spacing w:val="-4"/>
            <w:position w:val="5"/>
            <w:sz w:val="14"/>
            <w:u w:val="single" w:color="005DA1"/>
          </w:rPr>
          <w:t>206</w:t>
        </w:r>
      </w:hyperlink>
      <w:r>
        <w:rPr>
          <w:spacing w:val="-4"/>
          <w:position w:val="5"/>
          <w:sz w:val="14"/>
        </w:rPr>
        <w:t>.</w:t>
      </w:r>
      <w:r>
        <w:rPr>
          <w:position w:val="5"/>
          <w:sz w:val="14"/>
        </w:rPr>
        <w:tab/>
      </w:r>
      <w:r>
        <w:rPr>
          <w:rFonts w:ascii="Arial"/>
          <w:i/>
          <w:sz w:val="20"/>
        </w:rPr>
        <w:t>(1869)</w:t>
      </w:r>
      <w:r>
        <w:rPr>
          <w:rFonts w:ascii="Arial"/>
          <w:i/>
          <w:spacing w:val="-2"/>
          <w:sz w:val="20"/>
        </w:rPr>
        <w:t> </w:t>
      </w:r>
      <w:r>
        <w:rPr>
          <w:rFonts w:ascii="Arial"/>
          <w:i/>
          <w:sz w:val="20"/>
        </w:rPr>
        <w:t>L.R. 2 P.C. </w:t>
      </w:r>
      <w:r>
        <w:rPr>
          <w:rFonts w:ascii="Arial"/>
          <w:i/>
          <w:spacing w:val="-4"/>
          <w:sz w:val="20"/>
        </w:rPr>
        <w:t>393</w:t>
      </w:r>
      <w:r>
        <w:rPr>
          <w:spacing w:val="-4"/>
          <w:sz w:val="20"/>
        </w:rPr>
        <w:t>.</w:t>
      </w:r>
    </w:p>
    <w:p>
      <w:pPr>
        <w:pStyle w:val="BodyText"/>
        <w:spacing w:before="5"/>
      </w:pPr>
    </w:p>
    <w:p>
      <w:pPr>
        <w:pStyle w:val="BodyText"/>
        <w:tabs>
          <w:tab w:pos="705" w:val="left" w:leader="none"/>
        </w:tabs>
        <w:ind w:left="165"/>
      </w:pPr>
      <w:bookmarkStart w:name="_bookmark410" w:id="412"/>
      <w:bookmarkEnd w:id="412"/>
      <w:r>
        <w:rPr/>
      </w:r>
      <w:hyperlink w:history="true" w:anchor="_bookmark338">
        <w:r>
          <w:rPr>
            <w:color w:val="005DA1"/>
            <w:spacing w:val="-4"/>
            <w:position w:val="5"/>
            <w:sz w:val="14"/>
            <w:u w:val="single" w:color="005DA1"/>
          </w:rPr>
          <w:t>207</w:t>
        </w:r>
      </w:hyperlink>
      <w:r>
        <w:rPr>
          <w:spacing w:val="-4"/>
          <w:position w:val="5"/>
          <w:sz w:val="14"/>
        </w:rPr>
        <w:t>.</w:t>
      </w:r>
      <w:r>
        <w:rPr>
          <w:position w:val="5"/>
          <w:sz w:val="14"/>
        </w:rPr>
        <w:tab/>
      </w:r>
      <w:r>
        <w:rPr/>
        <w:t>Below,</w:t>
      </w:r>
      <w:r>
        <w:rPr>
          <w:spacing w:val="-2"/>
        </w:rPr>
        <w:t> </w:t>
      </w:r>
      <w:r>
        <w:rPr/>
        <w:t>Vol.II, para.44-</w:t>
      </w:r>
      <w:r>
        <w:rPr>
          <w:spacing w:val="-4"/>
        </w:rPr>
        <w:t>326.</w:t>
      </w:r>
    </w:p>
    <w:p>
      <w:pPr>
        <w:pStyle w:val="BodyText"/>
        <w:spacing w:before="5"/>
      </w:pPr>
    </w:p>
    <w:p>
      <w:pPr>
        <w:tabs>
          <w:tab w:pos="705" w:val="left" w:leader="none"/>
        </w:tabs>
        <w:spacing w:before="1"/>
        <w:ind w:left="165" w:right="0" w:firstLine="0"/>
        <w:jc w:val="left"/>
        <w:rPr>
          <w:sz w:val="20"/>
        </w:rPr>
      </w:pPr>
      <w:bookmarkStart w:name="_bookmark411" w:id="413"/>
      <w:bookmarkEnd w:id="413"/>
      <w:r>
        <w:rPr/>
      </w:r>
      <w:hyperlink w:history="true" w:anchor="_bookmark338">
        <w:r>
          <w:rPr>
            <w:color w:val="005DA1"/>
            <w:spacing w:val="-4"/>
            <w:position w:val="5"/>
            <w:sz w:val="14"/>
            <w:u w:val="single" w:color="005DA1"/>
          </w:rPr>
          <w:t>208</w:t>
        </w:r>
      </w:hyperlink>
      <w:r>
        <w:rPr>
          <w:spacing w:val="-4"/>
          <w:position w:val="5"/>
          <w:sz w:val="14"/>
        </w:rPr>
        <w:t>.</w:t>
      </w:r>
      <w:r>
        <w:rPr>
          <w:position w:val="5"/>
          <w:sz w:val="14"/>
        </w:rPr>
        <w:tab/>
      </w:r>
      <w:r>
        <w:rPr>
          <w:rFonts w:ascii="Arial"/>
          <w:i/>
          <w:sz w:val="20"/>
        </w:rPr>
        <w:t>(1875)</w:t>
      </w:r>
      <w:r>
        <w:rPr>
          <w:rFonts w:ascii="Arial"/>
          <w:i/>
          <w:spacing w:val="-2"/>
          <w:sz w:val="20"/>
        </w:rPr>
        <w:t> </w:t>
      </w:r>
      <w:r>
        <w:rPr>
          <w:rFonts w:ascii="Arial"/>
          <w:i/>
          <w:sz w:val="20"/>
        </w:rPr>
        <w:t>44 L.J.Ch. </w:t>
      </w:r>
      <w:r>
        <w:rPr>
          <w:rFonts w:ascii="Arial"/>
          <w:i/>
          <w:spacing w:val="-4"/>
          <w:sz w:val="20"/>
        </w:rPr>
        <w:t>487</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412" w:id="414"/>
      <w:bookmarkEnd w:id="414"/>
      <w:r>
        <w:rPr/>
      </w:r>
      <w:hyperlink w:history="true" w:anchor="_bookmark339">
        <w:r>
          <w:rPr>
            <w:color w:val="005DA1"/>
            <w:spacing w:val="-4"/>
            <w:position w:val="5"/>
            <w:sz w:val="14"/>
            <w:u w:val="single" w:color="005DA1"/>
          </w:rPr>
          <w:t>209</w:t>
        </w:r>
      </w:hyperlink>
      <w:r>
        <w:rPr>
          <w:spacing w:val="-4"/>
          <w:position w:val="5"/>
          <w:sz w:val="14"/>
        </w:rPr>
        <w:t>.</w:t>
      </w:r>
      <w:r>
        <w:rPr>
          <w:position w:val="5"/>
          <w:sz w:val="14"/>
        </w:rPr>
        <w:tab/>
      </w:r>
      <w:r>
        <w:rPr>
          <w:rFonts w:ascii="Arial"/>
          <w:i/>
          <w:sz w:val="20"/>
        </w:rPr>
        <w:t>[1909]</w:t>
      </w:r>
      <w:r>
        <w:rPr>
          <w:rFonts w:ascii="Arial"/>
          <w:i/>
          <w:spacing w:val="-2"/>
          <w:sz w:val="20"/>
        </w:rPr>
        <w:t> </w:t>
      </w:r>
      <w:r>
        <w:rPr>
          <w:rFonts w:ascii="Arial"/>
          <w:i/>
          <w:sz w:val="20"/>
        </w:rPr>
        <w:t>1 Ch. </w:t>
      </w:r>
      <w:r>
        <w:rPr>
          <w:rFonts w:ascii="Arial"/>
          <w:i/>
          <w:spacing w:val="-4"/>
          <w:sz w:val="20"/>
        </w:rPr>
        <w:t>291</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413" w:id="415"/>
      <w:bookmarkEnd w:id="415"/>
      <w:r>
        <w:rPr/>
      </w:r>
      <w:hyperlink w:history="true" w:anchor="_bookmark340">
        <w:r>
          <w:rPr>
            <w:color w:val="005DA1"/>
            <w:spacing w:val="-4"/>
            <w:position w:val="5"/>
            <w:sz w:val="14"/>
            <w:u w:val="single" w:color="005DA1"/>
          </w:rPr>
          <w:t>210</w:t>
        </w:r>
      </w:hyperlink>
      <w:r>
        <w:rPr>
          <w:spacing w:val="-4"/>
          <w:position w:val="5"/>
          <w:sz w:val="14"/>
        </w:rPr>
        <w:t>.</w:t>
      </w:r>
      <w:r>
        <w:rPr>
          <w:position w:val="5"/>
          <w:sz w:val="14"/>
        </w:rPr>
        <w:tab/>
      </w:r>
      <w:r>
        <w:rPr>
          <w:sz w:val="20"/>
        </w:rPr>
        <w:t>e.g. </w:t>
      </w:r>
      <w:r>
        <w:rPr>
          <w:rFonts w:ascii="Arial"/>
          <w:i/>
          <w:sz w:val="20"/>
        </w:rPr>
        <w:t>Hopkinson v Logan (1839) 5 M. &amp; W. 241</w:t>
      </w:r>
      <w:r>
        <w:rPr>
          <w:rFonts w:ascii="Arial"/>
          <w:i/>
          <w:spacing w:val="-1"/>
          <w:sz w:val="20"/>
        </w:rPr>
        <w:t> </w:t>
      </w:r>
      <w:r>
        <w:rPr>
          <w:sz w:val="20"/>
        </w:rPr>
        <w:t>(promise fixing date of </w:t>
      </w:r>
      <w:r>
        <w:rPr>
          <w:spacing w:val="-2"/>
          <w:sz w:val="20"/>
        </w:rPr>
        <w:t>payment).</w:t>
      </w:r>
    </w:p>
    <w:p>
      <w:pPr>
        <w:pStyle w:val="BodyText"/>
        <w:spacing w:before="4"/>
      </w:pPr>
    </w:p>
    <w:p>
      <w:pPr>
        <w:pStyle w:val="BodyText"/>
        <w:tabs>
          <w:tab w:pos="705" w:val="left" w:leader="none"/>
        </w:tabs>
        <w:spacing w:before="1"/>
        <w:ind w:left="165"/>
      </w:pPr>
      <w:bookmarkStart w:name="_bookmark414" w:id="416"/>
      <w:bookmarkEnd w:id="416"/>
      <w:r>
        <w:rPr/>
      </w:r>
      <w:hyperlink w:history="true" w:anchor="_bookmark341">
        <w:r>
          <w:rPr>
            <w:color w:val="005DA1"/>
            <w:spacing w:val="-4"/>
            <w:position w:val="5"/>
            <w:sz w:val="14"/>
            <w:u w:val="single" w:color="005DA1"/>
          </w:rPr>
          <w:t>211</w:t>
        </w:r>
      </w:hyperlink>
      <w:r>
        <w:rPr>
          <w:spacing w:val="-4"/>
          <w:position w:val="5"/>
          <w:sz w:val="14"/>
        </w:rPr>
        <w:t>.</w:t>
      </w:r>
      <w:r>
        <w:rPr>
          <w:position w:val="5"/>
          <w:sz w:val="14"/>
        </w:rPr>
        <w:tab/>
      </w:r>
      <w:r>
        <w:rPr/>
        <w:t>Below,</w:t>
      </w:r>
      <w:r>
        <w:rPr>
          <w:spacing w:val="-2"/>
        </w:rPr>
        <w:t> </w:t>
      </w:r>
      <w:r>
        <w:rPr/>
        <w:t>paras 4-058, 4-</w:t>
      </w:r>
      <w:r>
        <w:rPr>
          <w:spacing w:val="-4"/>
        </w:rPr>
        <w:t>060.</w:t>
      </w:r>
    </w:p>
    <w:p>
      <w:pPr>
        <w:pStyle w:val="BodyText"/>
        <w:spacing w:before="4"/>
      </w:pPr>
    </w:p>
    <w:p>
      <w:pPr>
        <w:tabs>
          <w:tab w:pos="705" w:val="left" w:leader="none"/>
        </w:tabs>
        <w:spacing w:before="1"/>
        <w:ind w:left="165" w:right="0" w:firstLine="0"/>
        <w:jc w:val="left"/>
        <w:rPr>
          <w:sz w:val="20"/>
        </w:rPr>
      </w:pPr>
      <w:bookmarkStart w:name="_bookmark415" w:id="417"/>
      <w:bookmarkEnd w:id="417"/>
      <w:r>
        <w:rPr/>
      </w:r>
      <w:hyperlink w:history="true" w:anchor="_bookmark342">
        <w:r>
          <w:rPr>
            <w:color w:val="005DA1"/>
            <w:spacing w:val="-4"/>
            <w:position w:val="5"/>
            <w:sz w:val="14"/>
            <w:u w:val="single" w:color="005DA1"/>
          </w:rPr>
          <w:t>212</w:t>
        </w:r>
      </w:hyperlink>
      <w:r>
        <w:rPr>
          <w:spacing w:val="-4"/>
          <w:position w:val="5"/>
          <w:sz w:val="14"/>
        </w:rPr>
        <w:t>.</w:t>
      </w:r>
      <w:r>
        <w:rPr>
          <w:position w:val="5"/>
          <w:sz w:val="14"/>
        </w:rPr>
        <w:tab/>
      </w:r>
      <w:r>
        <w:rPr>
          <w:rFonts w:ascii="Arial"/>
          <w:i/>
          <w:sz w:val="20"/>
        </w:rPr>
        <w:t>Atkins</w:t>
      </w:r>
      <w:r>
        <w:rPr>
          <w:rFonts w:ascii="Arial"/>
          <w:i/>
          <w:spacing w:val="39"/>
          <w:sz w:val="20"/>
        </w:rPr>
        <w:t> </w:t>
      </w:r>
      <w:r>
        <w:rPr>
          <w:rFonts w:ascii="Arial"/>
          <w:i/>
          <w:sz w:val="20"/>
        </w:rPr>
        <w:t>v</w:t>
      </w:r>
      <w:r>
        <w:rPr>
          <w:rFonts w:ascii="Arial"/>
          <w:i/>
          <w:spacing w:val="40"/>
          <w:sz w:val="20"/>
        </w:rPr>
        <w:t> </w:t>
      </w:r>
      <w:r>
        <w:rPr>
          <w:rFonts w:ascii="Arial"/>
          <w:i/>
          <w:sz w:val="20"/>
        </w:rPr>
        <w:t>Hill</w:t>
      </w:r>
      <w:r>
        <w:rPr>
          <w:rFonts w:ascii="Arial"/>
          <w:i/>
          <w:spacing w:val="40"/>
          <w:sz w:val="20"/>
        </w:rPr>
        <w:t> </w:t>
      </w:r>
      <w:r>
        <w:rPr>
          <w:rFonts w:ascii="Arial"/>
          <w:i/>
          <w:sz w:val="20"/>
        </w:rPr>
        <w:t>(1775)</w:t>
      </w:r>
      <w:r>
        <w:rPr>
          <w:rFonts w:ascii="Arial"/>
          <w:i/>
          <w:spacing w:val="40"/>
          <w:sz w:val="20"/>
        </w:rPr>
        <w:t> </w:t>
      </w:r>
      <w:r>
        <w:rPr>
          <w:rFonts w:ascii="Arial"/>
          <w:i/>
          <w:sz w:val="20"/>
        </w:rPr>
        <w:t>1</w:t>
      </w:r>
      <w:r>
        <w:rPr>
          <w:rFonts w:ascii="Arial"/>
          <w:i/>
          <w:spacing w:val="40"/>
          <w:sz w:val="20"/>
        </w:rPr>
        <w:t> </w:t>
      </w:r>
      <w:r>
        <w:rPr>
          <w:rFonts w:ascii="Arial"/>
          <w:i/>
          <w:sz w:val="20"/>
        </w:rPr>
        <w:t>Cowp.</w:t>
      </w:r>
      <w:r>
        <w:rPr>
          <w:rFonts w:ascii="Arial"/>
          <w:i/>
          <w:spacing w:val="40"/>
          <w:sz w:val="20"/>
        </w:rPr>
        <w:t> </w:t>
      </w:r>
      <w:r>
        <w:rPr>
          <w:rFonts w:ascii="Arial"/>
          <w:i/>
          <w:sz w:val="20"/>
        </w:rPr>
        <w:t>284</w:t>
      </w:r>
      <w:r>
        <w:rPr>
          <w:sz w:val="20"/>
        </w:rPr>
        <w:t>;</w:t>
      </w:r>
      <w:r>
        <w:rPr>
          <w:spacing w:val="40"/>
          <w:sz w:val="20"/>
        </w:rPr>
        <w:t> </w:t>
      </w:r>
      <w:r>
        <w:rPr>
          <w:rFonts w:ascii="Arial"/>
          <w:i/>
          <w:sz w:val="20"/>
        </w:rPr>
        <w:t>Hawkes</w:t>
      </w:r>
      <w:r>
        <w:rPr>
          <w:rFonts w:ascii="Arial"/>
          <w:i/>
          <w:spacing w:val="39"/>
          <w:sz w:val="20"/>
        </w:rPr>
        <w:t> </w:t>
      </w:r>
      <w:r>
        <w:rPr>
          <w:rFonts w:ascii="Arial"/>
          <w:i/>
          <w:sz w:val="20"/>
        </w:rPr>
        <w:t>v</w:t>
      </w:r>
      <w:r>
        <w:rPr>
          <w:rFonts w:ascii="Arial"/>
          <w:i/>
          <w:spacing w:val="40"/>
          <w:sz w:val="20"/>
        </w:rPr>
        <w:t> </w:t>
      </w:r>
      <w:r>
        <w:rPr>
          <w:rFonts w:ascii="Arial"/>
          <w:i/>
          <w:sz w:val="20"/>
        </w:rPr>
        <w:t>Saunders</w:t>
      </w:r>
      <w:r>
        <w:rPr>
          <w:rFonts w:ascii="Arial"/>
          <w:i/>
          <w:spacing w:val="40"/>
          <w:sz w:val="20"/>
        </w:rPr>
        <w:t> </w:t>
      </w:r>
      <w:r>
        <w:rPr>
          <w:rFonts w:ascii="Arial"/>
          <w:i/>
          <w:sz w:val="20"/>
        </w:rPr>
        <w:t>(1782)</w:t>
      </w:r>
      <w:r>
        <w:rPr>
          <w:rFonts w:ascii="Arial"/>
          <w:i/>
          <w:spacing w:val="40"/>
          <w:sz w:val="20"/>
        </w:rPr>
        <w:t> </w:t>
      </w:r>
      <w:r>
        <w:rPr>
          <w:rFonts w:ascii="Arial"/>
          <w:i/>
          <w:sz w:val="20"/>
        </w:rPr>
        <w:t>1</w:t>
      </w:r>
      <w:r>
        <w:rPr>
          <w:rFonts w:ascii="Arial"/>
          <w:i/>
          <w:spacing w:val="40"/>
          <w:sz w:val="20"/>
        </w:rPr>
        <w:t> </w:t>
      </w:r>
      <w:r>
        <w:rPr>
          <w:rFonts w:ascii="Arial"/>
          <w:i/>
          <w:sz w:val="20"/>
        </w:rPr>
        <w:t>Cowp.</w:t>
      </w:r>
      <w:r>
        <w:rPr>
          <w:rFonts w:ascii="Arial"/>
          <w:i/>
          <w:spacing w:val="40"/>
          <w:sz w:val="20"/>
        </w:rPr>
        <w:t> </w:t>
      </w:r>
      <w:r>
        <w:rPr>
          <w:rFonts w:ascii="Arial"/>
          <w:i/>
          <w:sz w:val="20"/>
        </w:rPr>
        <w:t>289</w:t>
      </w:r>
      <w:r>
        <w:rPr>
          <w:sz w:val="20"/>
        </w:rPr>
        <w:t>;</w:t>
      </w:r>
      <w:r>
        <w:rPr>
          <w:spacing w:val="40"/>
          <w:sz w:val="20"/>
        </w:rPr>
        <w:t> </w:t>
      </w:r>
      <w:r>
        <w:rPr>
          <w:sz w:val="20"/>
        </w:rPr>
        <w:t>an</w:t>
      </w:r>
      <w:r>
        <w:rPr>
          <w:spacing w:val="40"/>
          <w:sz w:val="20"/>
        </w:rPr>
        <w:t> </w:t>
      </w:r>
      <w:r>
        <w:rPr>
          <w:spacing w:val="-2"/>
          <w:sz w:val="20"/>
        </w:rPr>
        <w:t>alternative</w:t>
      </w:r>
    </w:p>
    <w:p>
      <w:pPr>
        <w:spacing w:after="0"/>
        <w:jc w:val="left"/>
        <w:rPr>
          <w:sz w:val="20"/>
        </w:rPr>
        <w:sectPr>
          <w:pgSz w:w="11900" w:h="16840"/>
          <w:pgMar w:header="971" w:footer="0" w:top="1160" w:bottom="280" w:left="1275" w:right="1275"/>
        </w:sectPr>
      </w:pPr>
    </w:p>
    <w:p>
      <w:pPr>
        <w:pStyle w:val="BodyText"/>
        <w:spacing w:before="24"/>
      </w:pPr>
    </w:p>
    <w:p>
      <w:pPr>
        <w:pStyle w:val="BodyText"/>
        <w:spacing w:line="235" w:lineRule="auto" w:before="1"/>
        <w:ind w:left="705"/>
      </w:pPr>
      <w:r>
        <w:rPr/>
        <w:t>ground</w:t>
      </w:r>
      <w:r>
        <w:rPr>
          <w:spacing w:val="23"/>
        </w:rPr>
        <w:t> </w:t>
      </w:r>
      <w:r>
        <w:rPr/>
        <w:t>for</w:t>
      </w:r>
      <w:r>
        <w:rPr>
          <w:spacing w:val="23"/>
        </w:rPr>
        <w:t> </w:t>
      </w:r>
      <w:r>
        <w:rPr/>
        <w:t>the</w:t>
      </w:r>
      <w:r>
        <w:rPr>
          <w:spacing w:val="23"/>
        </w:rPr>
        <w:t> </w:t>
      </w:r>
      <w:r>
        <w:rPr/>
        <w:t>decision</w:t>
      </w:r>
      <w:r>
        <w:rPr>
          <w:spacing w:val="23"/>
        </w:rPr>
        <w:t> </w:t>
      </w:r>
      <w:r>
        <w:rPr/>
        <w:t>given</w:t>
      </w:r>
      <w:r>
        <w:rPr>
          <w:spacing w:val="23"/>
        </w:rPr>
        <w:t> </w:t>
      </w:r>
      <w:r>
        <w:rPr/>
        <w:t>by</w:t>
      </w:r>
      <w:r>
        <w:rPr>
          <w:spacing w:val="23"/>
        </w:rPr>
        <w:t> </w:t>
      </w:r>
      <w:r>
        <w:rPr/>
        <w:t>Buller</w:t>
      </w:r>
      <w:r>
        <w:rPr>
          <w:spacing w:val="23"/>
        </w:rPr>
        <w:t> </w:t>
      </w:r>
      <w:r>
        <w:rPr/>
        <w:t>J.</w:t>
      </w:r>
      <w:r>
        <w:rPr>
          <w:spacing w:val="23"/>
        </w:rPr>
        <w:t> </w:t>
      </w:r>
      <w:r>
        <w:rPr/>
        <w:t>was</w:t>
      </w:r>
      <w:r>
        <w:rPr>
          <w:spacing w:val="23"/>
        </w:rPr>
        <w:t> </w:t>
      </w:r>
      <w:r>
        <w:rPr/>
        <w:t>that</w:t>
      </w:r>
      <w:r>
        <w:rPr>
          <w:spacing w:val="23"/>
        </w:rPr>
        <w:t> </w:t>
      </w:r>
      <w:r>
        <w:rPr/>
        <w:t>the</w:t>
      </w:r>
      <w:r>
        <w:rPr>
          <w:spacing w:val="23"/>
        </w:rPr>
        <w:t> </w:t>
      </w:r>
      <w:r>
        <w:rPr/>
        <w:t>defendant’s</w:t>
      </w:r>
      <w:r>
        <w:rPr>
          <w:spacing w:val="23"/>
        </w:rPr>
        <w:t> </w:t>
      </w:r>
      <w:r>
        <w:rPr/>
        <w:t>equitable</w:t>
      </w:r>
      <w:r>
        <w:rPr>
          <w:spacing w:val="23"/>
        </w:rPr>
        <w:t> </w:t>
      </w:r>
      <w:r>
        <w:rPr/>
        <w:t>(as</w:t>
      </w:r>
      <w:r>
        <w:rPr>
          <w:spacing w:val="23"/>
        </w:rPr>
        <w:t> </w:t>
      </w:r>
      <w:r>
        <w:rPr/>
        <w:t>opposed</w:t>
      </w:r>
      <w:r>
        <w:rPr>
          <w:spacing w:val="23"/>
        </w:rPr>
        <w:t> </w:t>
      </w:r>
      <w:r>
        <w:rPr/>
        <w:t>to “moral”) obligation to pay the legacy was consideration for the promise.</w:t>
      </w:r>
    </w:p>
    <w:p>
      <w:pPr>
        <w:pStyle w:val="BodyText"/>
        <w:spacing w:before="5"/>
      </w:pPr>
    </w:p>
    <w:p>
      <w:pPr>
        <w:tabs>
          <w:tab w:pos="705" w:val="left" w:leader="none"/>
        </w:tabs>
        <w:spacing w:before="0"/>
        <w:ind w:left="165" w:right="0" w:firstLine="0"/>
        <w:jc w:val="left"/>
        <w:rPr>
          <w:sz w:val="20"/>
        </w:rPr>
      </w:pPr>
      <w:bookmarkStart w:name="_bookmark416" w:id="418"/>
      <w:bookmarkEnd w:id="418"/>
      <w:r>
        <w:rPr/>
      </w:r>
      <w:hyperlink w:history="true" w:anchor="_bookmark343">
        <w:r>
          <w:rPr>
            <w:color w:val="005DA1"/>
            <w:spacing w:val="-4"/>
            <w:position w:val="5"/>
            <w:sz w:val="14"/>
            <w:u w:val="single" w:color="005DA1"/>
          </w:rPr>
          <w:t>213</w:t>
        </w:r>
      </w:hyperlink>
      <w:r>
        <w:rPr>
          <w:spacing w:val="-4"/>
          <w:position w:val="5"/>
          <w:sz w:val="14"/>
        </w:rPr>
        <w:t>.</w:t>
      </w:r>
      <w:r>
        <w:rPr>
          <w:position w:val="5"/>
          <w:sz w:val="14"/>
        </w:rPr>
        <w:tab/>
      </w:r>
      <w:r>
        <w:rPr>
          <w:rFonts w:ascii="Arial"/>
          <w:i/>
          <w:sz w:val="20"/>
        </w:rPr>
        <w:t>Trueman v Fenton (1777) 2 Cowp. </w:t>
      </w:r>
      <w:r>
        <w:rPr>
          <w:rFonts w:ascii="Arial"/>
          <w:i/>
          <w:spacing w:val="-4"/>
          <w:sz w:val="20"/>
        </w:rPr>
        <w:t>544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17" w:id="419"/>
      <w:bookmarkEnd w:id="419"/>
      <w:r>
        <w:rPr/>
      </w:r>
      <w:hyperlink w:history="true" w:anchor="_bookmark344">
        <w:r>
          <w:rPr>
            <w:color w:val="005DA1"/>
            <w:spacing w:val="-4"/>
            <w:position w:val="5"/>
            <w:sz w:val="14"/>
            <w:u w:val="single" w:color="005DA1"/>
          </w:rPr>
          <w:t>214</w:t>
        </w:r>
      </w:hyperlink>
      <w:r>
        <w:rPr>
          <w:spacing w:val="-4"/>
          <w:position w:val="5"/>
          <w:sz w:val="14"/>
        </w:rPr>
        <w:t>.</w:t>
      </w:r>
      <w:r>
        <w:rPr>
          <w:position w:val="5"/>
          <w:sz w:val="14"/>
        </w:rPr>
        <w:tab/>
      </w:r>
      <w:r>
        <w:rPr>
          <w:rFonts w:ascii="Arial"/>
          <w:i/>
          <w:sz w:val="20"/>
        </w:rPr>
        <w:t>Hyeling v Hastings (1699) 1 Ld.Raym. </w:t>
      </w:r>
      <w:r>
        <w:rPr>
          <w:rFonts w:ascii="Arial"/>
          <w:i/>
          <w:spacing w:val="-4"/>
          <w:sz w:val="20"/>
        </w:rPr>
        <w:t>389</w:t>
      </w:r>
      <w:r>
        <w:rPr>
          <w:spacing w:val="-4"/>
          <w:sz w:val="20"/>
        </w:rPr>
        <w:t>.</w:t>
      </w:r>
    </w:p>
    <w:p>
      <w:pPr>
        <w:pStyle w:val="BodyText"/>
        <w:spacing w:before="9"/>
      </w:pPr>
    </w:p>
    <w:p>
      <w:pPr>
        <w:spacing w:line="235" w:lineRule="auto" w:before="0"/>
        <w:ind w:left="705" w:right="167" w:hanging="541"/>
        <w:jc w:val="both"/>
        <w:rPr>
          <w:sz w:val="20"/>
        </w:rPr>
      </w:pPr>
      <w:bookmarkStart w:name="_bookmark418" w:id="420"/>
      <w:bookmarkEnd w:id="420"/>
      <w:r>
        <w:rPr/>
      </w:r>
      <w:hyperlink w:history="true" w:anchor="_bookmark344">
        <w:r>
          <w:rPr>
            <w:color w:val="005DA1"/>
            <w:position w:val="5"/>
            <w:sz w:val="14"/>
            <w:u w:val="single" w:color="005DA1"/>
          </w:rPr>
          <w:t>215</w:t>
        </w:r>
      </w:hyperlink>
      <w:r>
        <w:rPr>
          <w:position w:val="5"/>
          <w:sz w:val="14"/>
        </w:rPr>
        <w:t>.</w:t>
      </w:r>
      <w:r>
        <w:rPr>
          <w:spacing w:val="80"/>
          <w:position w:val="5"/>
          <w:sz w:val="14"/>
        </w:rPr>
        <w:t> </w:t>
      </w:r>
      <w:r>
        <w:rPr>
          <w:sz w:val="20"/>
        </w:rPr>
        <w:t>Below, para.9-051, cf. </w:t>
      </w:r>
      <w:r>
        <w:rPr>
          <w:rFonts w:ascii="Arial" w:hAnsi="Arial"/>
          <w:i/>
          <w:sz w:val="20"/>
        </w:rPr>
        <w:t>Lee v Muggeridge (1813) 5 Taunt. 36 </w:t>
      </w:r>
      <w:r>
        <w:rPr>
          <w:sz w:val="20"/>
        </w:rPr>
        <w:t>(promise by a woman after her husband’s death to pay debt incurred during marriage); for attempts to restrict or define </w:t>
      </w:r>
      <w:r>
        <w:rPr>
          <w:sz w:val="20"/>
        </w:rPr>
        <w:t>the doctrine, see </w:t>
      </w:r>
      <w:r>
        <w:rPr>
          <w:rFonts w:ascii="Arial" w:hAnsi="Arial"/>
          <w:i/>
          <w:sz w:val="20"/>
        </w:rPr>
        <w:t>Littlefield v Shee (1831) 2 B. &amp; Ad. 811</w:t>
      </w:r>
      <w:r>
        <w:rPr>
          <w:sz w:val="20"/>
        </w:rPr>
        <w:t>; </w:t>
      </w:r>
      <w:r>
        <w:rPr>
          <w:rFonts w:ascii="Arial" w:hAnsi="Arial"/>
          <w:i/>
          <w:sz w:val="20"/>
        </w:rPr>
        <w:t>Meyer v Haworth (1838) 8 A. &amp; E. 467</w:t>
      </w:r>
      <w:r>
        <w:rPr>
          <w:sz w:val="20"/>
        </w:rPr>
        <w:t>.</w:t>
      </w:r>
    </w:p>
    <w:p>
      <w:pPr>
        <w:pStyle w:val="BodyText"/>
        <w:spacing w:before="5"/>
      </w:pPr>
    </w:p>
    <w:p>
      <w:pPr>
        <w:tabs>
          <w:tab w:pos="705" w:val="left" w:leader="none"/>
        </w:tabs>
        <w:spacing w:before="0"/>
        <w:ind w:left="165" w:right="0" w:firstLine="0"/>
        <w:jc w:val="left"/>
        <w:rPr>
          <w:sz w:val="20"/>
        </w:rPr>
      </w:pPr>
      <w:bookmarkStart w:name="_bookmark419" w:id="421"/>
      <w:bookmarkEnd w:id="421"/>
      <w:r>
        <w:rPr/>
      </w:r>
      <w:hyperlink w:history="true" w:anchor="_bookmark345">
        <w:r>
          <w:rPr>
            <w:color w:val="005DA1"/>
            <w:spacing w:val="-4"/>
            <w:position w:val="5"/>
            <w:sz w:val="14"/>
            <w:u w:val="single" w:color="005DA1"/>
          </w:rPr>
          <w:t>216</w:t>
        </w:r>
      </w:hyperlink>
      <w:r>
        <w:rPr>
          <w:spacing w:val="-4"/>
          <w:position w:val="5"/>
          <w:sz w:val="14"/>
        </w:rPr>
        <w:t>.</w:t>
      </w:r>
      <w:r>
        <w:rPr>
          <w:position w:val="5"/>
          <w:sz w:val="14"/>
        </w:rPr>
        <w:tab/>
      </w:r>
      <w:r>
        <w:rPr>
          <w:sz w:val="20"/>
        </w:rPr>
        <w:t>As</w:t>
      </w:r>
      <w:r>
        <w:rPr>
          <w:spacing w:val="-3"/>
          <w:sz w:val="20"/>
        </w:rPr>
        <w:t> </w:t>
      </w:r>
      <w:r>
        <w:rPr>
          <w:sz w:val="20"/>
        </w:rPr>
        <w:t>in</w:t>
      </w:r>
      <w:r>
        <w:rPr>
          <w:spacing w:val="-1"/>
          <w:sz w:val="20"/>
        </w:rPr>
        <w:t> </w:t>
      </w:r>
      <w:r>
        <w:rPr>
          <w:rFonts w:ascii="Arial"/>
          <w:i/>
          <w:sz w:val="20"/>
        </w:rPr>
        <w:t>Hawkes v Saunders</w:t>
      </w:r>
      <w:r>
        <w:rPr>
          <w:sz w:val="20"/>
        </w:rPr>
        <w:t>, above, </w:t>
      </w:r>
      <w:r>
        <w:rPr>
          <w:spacing w:val="-2"/>
          <w:sz w:val="20"/>
        </w:rPr>
        <w:t>n.210.</w:t>
      </w:r>
    </w:p>
    <w:p>
      <w:pPr>
        <w:pStyle w:val="BodyText"/>
        <w:spacing w:before="5"/>
      </w:pPr>
    </w:p>
    <w:p>
      <w:pPr>
        <w:tabs>
          <w:tab w:pos="705" w:val="left" w:leader="none"/>
        </w:tabs>
        <w:spacing w:before="0"/>
        <w:ind w:left="165" w:right="0" w:firstLine="0"/>
        <w:jc w:val="left"/>
        <w:rPr>
          <w:sz w:val="20"/>
        </w:rPr>
      </w:pPr>
      <w:bookmarkStart w:name="_bookmark420" w:id="422"/>
      <w:bookmarkEnd w:id="422"/>
      <w:r>
        <w:rPr/>
      </w:r>
      <w:hyperlink w:history="true" w:anchor="_bookmark346">
        <w:r>
          <w:rPr>
            <w:color w:val="005DA1"/>
            <w:spacing w:val="-4"/>
            <w:position w:val="5"/>
            <w:sz w:val="14"/>
            <w:u w:val="single" w:color="005DA1"/>
          </w:rPr>
          <w:t>217</w:t>
        </w:r>
      </w:hyperlink>
      <w:r>
        <w:rPr>
          <w:spacing w:val="-4"/>
          <w:position w:val="5"/>
          <w:sz w:val="14"/>
        </w:rPr>
        <w:t>.</w:t>
      </w:r>
      <w:r>
        <w:rPr>
          <w:position w:val="5"/>
          <w:sz w:val="14"/>
        </w:rPr>
        <w:tab/>
      </w:r>
      <w:r>
        <w:rPr>
          <w:rFonts w:ascii="Arial"/>
          <w:i/>
          <w:sz w:val="20"/>
        </w:rPr>
        <w:t>(1840)</w:t>
      </w:r>
      <w:r>
        <w:rPr>
          <w:rFonts w:ascii="Arial"/>
          <w:i/>
          <w:spacing w:val="-2"/>
          <w:sz w:val="20"/>
        </w:rPr>
        <w:t> </w:t>
      </w:r>
      <w:r>
        <w:rPr>
          <w:rFonts w:ascii="Arial"/>
          <w:i/>
          <w:sz w:val="20"/>
        </w:rPr>
        <w:t>11 A. &amp; E. </w:t>
      </w:r>
      <w:r>
        <w:rPr>
          <w:rFonts w:ascii="Arial"/>
          <w:i/>
          <w:spacing w:val="-4"/>
          <w:sz w:val="20"/>
        </w:rPr>
        <w:t>438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21" w:id="423"/>
      <w:bookmarkEnd w:id="423"/>
      <w:r>
        <w:rPr/>
      </w:r>
      <w:hyperlink w:history="true" w:anchor="_bookmark347">
        <w:r>
          <w:rPr>
            <w:color w:val="005DA1"/>
            <w:spacing w:val="-4"/>
            <w:position w:val="5"/>
            <w:sz w:val="14"/>
            <w:u w:val="single" w:color="005DA1"/>
          </w:rPr>
          <w:t>218</w:t>
        </w:r>
      </w:hyperlink>
      <w:r>
        <w:rPr>
          <w:spacing w:val="-4"/>
          <w:position w:val="5"/>
          <w:sz w:val="14"/>
        </w:rPr>
        <w:t>.</w:t>
      </w:r>
      <w:r>
        <w:rPr>
          <w:position w:val="5"/>
          <w:sz w:val="14"/>
        </w:rPr>
        <w:tab/>
      </w:r>
      <w:r>
        <w:rPr>
          <w:sz w:val="20"/>
        </w:rPr>
        <w:t>ibid., at </w:t>
      </w:r>
      <w:r>
        <w:rPr>
          <w:spacing w:val="-4"/>
          <w:sz w:val="20"/>
        </w:rPr>
        <w:t>450.</w:t>
      </w:r>
    </w:p>
    <w:p>
      <w:pPr>
        <w:pStyle w:val="BodyText"/>
        <w:spacing w:before="5"/>
      </w:pPr>
    </w:p>
    <w:p>
      <w:pPr>
        <w:tabs>
          <w:tab w:pos="705" w:val="left" w:leader="none"/>
        </w:tabs>
        <w:spacing w:before="0"/>
        <w:ind w:left="165" w:right="0" w:firstLine="0"/>
        <w:jc w:val="left"/>
        <w:rPr>
          <w:sz w:val="20"/>
        </w:rPr>
      </w:pPr>
      <w:bookmarkStart w:name="_bookmark422" w:id="424"/>
      <w:bookmarkEnd w:id="424"/>
      <w:r>
        <w:rPr/>
      </w:r>
      <w:hyperlink w:history="true" w:anchor="_bookmark348">
        <w:r>
          <w:rPr>
            <w:color w:val="005DA1"/>
            <w:spacing w:val="-4"/>
            <w:position w:val="5"/>
            <w:sz w:val="14"/>
            <w:u w:val="single" w:color="005DA1"/>
          </w:rPr>
          <w:t>219</w:t>
        </w:r>
      </w:hyperlink>
      <w:r>
        <w:rPr>
          <w:spacing w:val="-4"/>
          <w:position w:val="5"/>
          <w:sz w:val="14"/>
        </w:rPr>
        <w:t>.</w:t>
      </w:r>
      <w:r>
        <w:rPr>
          <w:position w:val="5"/>
          <w:sz w:val="14"/>
        </w:rPr>
        <w:tab/>
      </w:r>
      <w:r>
        <w:rPr>
          <w:sz w:val="20"/>
        </w:rPr>
        <w:t>Above, para.4-</w:t>
      </w:r>
      <w:r>
        <w:rPr>
          <w:spacing w:val="-4"/>
          <w:sz w:val="20"/>
        </w:rPr>
        <w:t>033.</w:t>
      </w:r>
    </w:p>
    <w:p>
      <w:pPr>
        <w:pStyle w:val="BodyText"/>
        <w:spacing w:before="9"/>
      </w:pPr>
    </w:p>
    <w:p>
      <w:pPr>
        <w:pStyle w:val="BodyText"/>
        <w:tabs>
          <w:tab w:pos="705" w:val="left" w:leader="none"/>
        </w:tabs>
        <w:spacing w:line="235" w:lineRule="auto"/>
        <w:ind w:left="705" w:right="167" w:hanging="541"/>
      </w:pPr>
      <w:bookmarkStart w:name="_bookmark423" w:id="425"/>
      <w:bookmarkEnd w:id="425"/>
      <w:r>
        <w:rPr/>
      </w:r>
      <w:hyperlink w:history="true" w:anchor="_bookmark349">
        <w:r>
          <w:rPr>
            <w:color w:val="005DA1"/>
            <w:spacing w:val="-4"/>
            <w:position w:val="5"/>
            <w:sz w:val="14"/>
            <w:u w:val="single" w:color="005DA1"/>
          </w:rPr>
          <w:t>220</w:t>
        </w:r>
      </w:hyperlink>
      <w:r>
        <w:rPr>
          <w:spacing w:val="-4"/>
          <w:position w:val="5"/>
          <w:sz w:val="14"/>
        </w:rPr>
        <w:t>.</w:t>
      </w:r>
      <w:r>
        <w:rPr>
          <w:position w:val="5"/>
          <w:sz w:val="14"/>
        </w:rPr>
        <w:tab/>
      </w:r>
      <w:r>
        <w:rPr/>
        <w:t>Williams, Mortimer and Sunnucks on Executors, Administrators and Probate (19th ed., </w:t>
      </w:r>
      <w:r>
        <w:rPr/>
        <w:t>2007), </w:t>
      </w:r>
      <w:r>
        <w:rPr>
          <w:spacing w:val="-2"/>
        </w:rPr>
        <w:t>para.55-80.</w:t>
      </w:r>
    </w:p>
    <w:p>
      <w:pPr>
        <w:pStyle w:val="BodyText"/>
        <w:spacing w:before="5"/>
      </w:pPr>
    </w:p>
    <w:p>
      <w:pPr>
        <w:tabs>
          <w:tab w:pos="705" w:val="left" w:leader="none"/>
        </w:tabs>
        <w:spacing w:line="227" w:lineRule="exact" w:before="1"/>
        <w:ind w:left="165" w:right="0" w:firstLine="0"/>
        <w:jc w:val="left"/>
        <w:rPr>
          <w:rFonts w:ascii="Arial"/>
          <w:i/>
          <w:sz w:val="20"/>
        </w:rPr>
      </w:pPr>
      <w:bookmarkStart w:name="_bookmark424" w:id="426"/>
      <w:bookmarkEnd w:id="426"/>
      <w:r>
        <w:rPr/>
      </w:r>
      <w:hyperlink w:history="true" w:anchor="_bookmark350">
        <w:r>
          <w:rPr>
            <w:color w:val="005DA1"/>
            <w:spacing w:val="-4"/>
            <w:position w:val="5"/>
            <w:sz w:val="14"/>
            <w:u w:val="single" w:color="005DA1"/>
          </w:rPr>
          <w:t>221</w:t>
        </w:r>
      </w:hyperlink>
      <w:r>
        <w:rPr>
          <w:spacing w:val="-4"/>
          <w:position w:val="5"/>
          <w:sz w:val="14"/>
        </w:rPr>
        <w:t>.</w:t>
      </w:r>
      <w:r>
        <w:rPr>
          <w:position w:val="5"/>
          <w:sz w:val="14"/>
        </w:rPr>
        <w:tab/>
      </w:r>
      <w:r>
        <w:rPr>
          <w:rFonts w:ascii="Arial"/>
          <w:i/>
          <w:sz w:val="20"/>
        </w:rPr>
        <w:t>Jakeman</w:t>
      </w:r>
      <w:r>
        <w:rPr>
          <w:rFonts w:ascii="Arial"/>
          <w:i/>
          <w:spacing w:val="-1"/>
          <w:sz w:val="20"/>
        </w:rPr>
        <w:t> </w:t>
      </w:r>
      <w:r>
        <w:rPr>
          <w:rFonts w:ascii="Arial"/>
          <w:i/>
          <w:sz w:val="20"/>
        </w:rPr>
        <w:t>v</w:t>
      </w:r>
      <w:r>
        <w:rPr>
          <w:rFonts w:ascii="Arial"/>
          <w:i/>
          <w:spacing w:val="2"/>
          <w:sz w:val="20"/>
        </w:rPr>
        <w:t> </w:t>
      </w:r>
      <w:r>
        <w:rPr>
          <w:rFonts w:ascii="Arial"/>
          <w:i/>
          <w:sz w:val="20"/>
        </w:rPr>
        <w:t>Cook</w:t>
      </w:r>
      <w:r>
        <w:rPr>
          <w:rFonts w:ascii="Arial"/>
          <w:i/>
          <w:spacing w:val="2"/>
          <w:sz w:val="20"/>
        </w:rPr>
        <w:t> </w:t>
      </w:r>
      <w:r>
        <w:rPr>
          <w:rFonts w:ascii="Arial"/>
          <w:i/>
          <w:sz w:val="20"/>
        </w:rPr>
        <w:t>(1878)</w:t>
      </w:r>
      <w:r>
        <w:rPr>
          <w:rFonts w:ascii="Arial"/>
          <w:i/>
          <w:spacing w:val="2"/>
          <w:sz w:val="20"/>
        </w:rPr>
        <w:t> </w:t>
      </w:r>
      <w:r>
        <w:rPr>
          <w:rFonts w:ascii="Arial"/>
          <w:i/>
          <w:sz w:val="20"/>
        </w:rPr>
        <w:t>4</w:t>
      </w:r>
      <w:r>
        <w:rPr>
          <w:rFonts w:ascii="Arial"/>
          <w:i/>
          <w:spacing w:val="2"/>
          <w:sz w:val="20"/>
        </w:rPr>
        <w:t> </w:t>
      </w:r>
      <w:r>
        <w:rPr>
          <w:rFonts w:ascii="Arial"/>
          <w:i/>
          <w:sz w:val="20"/>
        </w:rPr>
        <w:t>Ex.D.</w:t>
      </w:r>
      <w:r>
        <w:rPr>
          <w:rFonts w:ascii="Arial"/>
          <w:i/>
          <w:spacing w:val="2"/>
          <w:sz w:val="20"/>
        </w:rPr>
        <w:t> </w:t>
      </w:r>
      <w:r>
        <w:rPr>
          <w:rFonts w:ascii="Arial"/>
          <w:i/>
          <w:sz w:val="20"/>
        </w:rPr>
        <w:t>26</w:t>
      </w:r>
      <w:r>
        <w:rPr>
          <w:sz w:val="20"/>
        </w:rPr>
        <w:t>;</w:t>
      </w:r>
      <w:r>
        <w:rPr>
          <w:spacing w:val="2"/>
          <w:sz w:val="20"/>
        </w:rPr>
        <w:t> </w:t>
      </w:r>
      <w:r>
        <w:rPr>
          <w:rFonts w:ascii="Arial"/>
          <w:i/>
          <w:sz w:val="20"/>
        </w:rPr>
        <w:t>Re</w:t>
      </w:r>
      <w:r>
        <w:rPr>
          <w:rFonts w:ascii="Arial"/>
          <w:i/>
          <w:spacing w:val="2"/>
          <w:sz w:val="20"/>
        </w:rPr>
        <w:t> </w:t>
      </w:r>
      <w:r>
        <w:rPr>
          <w:rFonts w:ascii="Arial"/>
          <w:i/>
          <w:sz w:val="20"/>
        </w:rPr>
        <w:t>Bonacina</w:t>
      </w:r>
      <w:r>
        <w:rPr>
          <w:rFonts w:ascii="Arial"/>
          <w:i/>
          <w:spacing w:val="2"/>
          <w:sz w:val="20"/>
        </w:rPr>
        <w:t> </w:t>
      </w:r>
      <w:r>
        <w:rPr>
          <w:rFonts w:ascii="Arial"/>
          <w:i/>
          <w:sz w:val="20"/>
        </w:rPr>
        <w:t>[1912]</w:t>
      </w:r>
      <w:r>
        <w:rPr>
          <w:rFonts w:ascii="Arial"/>
          <w:i/>
          <w:spacing w:val="1"/>
          <w:sz w:val="20"/>
        </w:rPr>
        <w:t> </w:t>
      </w:r>
      <w:r>
        <w:rPr>
          <w:rFonts w:ascii="Arial"/>
          <w:i/>
          <w:sz w:val="20"/>
        </w:rPr>
        <w:t>2</w:t>
      </w:r>
      <w:r>
        <w:rPr>
          <w:rFonts w:ascii="Arial"/>
          <w:i/>
          <w:spacing w:val="2"/>
          <w:sz w:val="20"/>
        </w:rPr>
        <w:t> </w:t>
      </w:r>
      <w:r>
        <w:rPr>
          <w:rFonts w:ascii="Arial"/>
          <w:i/>
          <w:sz w:val="20"/>
        </w:rPr>
        <w:t>Ch.</w:t>
      </w:r>
      <w:r>
        <w:rPr>
          <w:rFonts w:ascii="Arial"/>
          <w:i/>
          <w:spacing w:val="2"/>
          <w:sz w:val="20"/>
        </w:rPr>
        <w:t> </w:t>
      </w:r>
      <w:r>
        <w:rPr>
          <w:rFonts w:ascii="Arial"/>
          <w:i/>
          <w:sz w:val="20"/>
        </w:rPr>
        <w:t>394</w:t>
      </w:r>
      <w:r>
        <w:rPr>
          <w:sz w:val="20"/>
        </w:rPr>
        <w:t>;</w:t>
      </w:r>
      <w:r>
        <w:rPr>
          <w:spacing w:val="2"/>
          <w:sz w:val="20"/>
        </w:rPr>
        <w:t> </w:t>
      </w:r>
      <w:r>
        <w:rPr>
          <w:rFonts w:ascii="Arial"/>
          <w:i/>
          <w:sz w:val="20"/>
        </w:rPr>
        <w:t>Wild</w:t>
      </w:r>
      <w:r>
        <w:rPr>
          <w:rFonts w:ascii="Arial"/>
          <w:i/>
          <w:spacing w:val="2"/>
          <w:sz w:val="20"/>
        </w:rPr>
        <w:t> </w:t>
      </w:r>
      <w:r>
        <w:rPr>
          <w:rFonts w:ascii="Arial"/>
          <w:i/>
          <w:sz w:val="20"/>
        </w:rPr>
        <w:t>v</w:t>
      </w:r>
      <w:r>
        <w:rPr>
          <w:rFonts w:ascii="Arial"/>
          <w:i/>
          <w:spacing w:val="2"/>
          <w:sz w:val="20"/>
        </w:rPr>
        <w:t> </w:t>
      </w:r>
      <w:r>
        <w:rPr>
          <w:rFonts w:ascii="Arial"/>
          <w:i/>
          <w:sz w:val="20"/>
        </w:rPr>
        <w:t>Tucker</w:t>
      </w:r>
      <w:r>
        <w:rPr>
          <w:rFonts w:ascii="Arial"/>
          <w:i/>
          <w:spacing w:val="2"/>
          <w:sz w:val="20"/>
        </w:rPr>
        <w:t> </w:t>
      </w:r>
      <w:r>
        <w:rPr>
          <w:rFonts w:ascii="Arial"/>
          <w:i/>
          <w:sz w:val="20"/>
        </w:rPr>
        <w:t>[1914]</w:t>
      </w:r>
      <w:r>
        <w:rPr>
          <w:rFonts w:ascii="Arial"/>
          <w:i/>
          <w:spacing w:val="2"/>
          <w:sz w:val="20"/>
        </w:rPr>
        <w:t> </w:t>
      </w:r>
      <w:r>
        <w:rPr>
          <w:rFonts w:ascii="Arial"/>
          <w:i/>
          <w:sz w:val="20"/>
        </w:rPr>
        <w:t>3</w:t>
      </w:r>
      <w:r>
        <w:rPr>
          <w:rFonts w:ascii="Arial"/>
          <w:i/>
          <w:spacing w:val="2"/>
          <w:sz w:val="20"/>
        </w:rPr>
        <w:t> </w:t>
      </w:r>
      <w:r>
        <w:rPr>
          <w:rFonts w:ascii="Arial"/>
          <w:i/>
          <w:spacing w:val="-4"/>
          <w:sz w:val="20"/>
        </w:rPr>
        <w:t>K.B.</w:t>
      </w:r>
    </w:p>
    <w:p>
      <w:pPr>
        <w:spacing w:line="227" w:lineRule="exact" w:before="0"/>
        <w:ind w:left="705" w:right="0" w:firstLine="0"/>
        <w:jc w:val="left"/>
        <w:rPr>
          <w:sz w:val="20"/>
        </w:rPr>
      </w:pPr>
      <w:r>
        <w:rPr>
          <w:rFonts w:ascii="Arial"/>
          <w:i/>
          <w:spacing w:val="-5"/>
          <w:sz w:val="20"/>
        </w:rPr>
        <w:t>36</w:t>
      </w:r>
      <w:r>
        <w:rPr>
          <w:spacing w:val="-5"/>
          <w:sz w:val="20"/>
        </w:rPr>
        <w:t>.</w:t>
      </w:r>
    </w:p>
    <w:p>
      <w:pPr>
        <w:pStyle w:val="BodyText"/>
        <w:spacing w:before="4"/>
      </w:pPr>
    </w:p>
    <w:p>
      <w:pPr>
        <w:pStyle w:val="BodyText"/>
        <w:tabs>
          <w:tab w:pos="705" w:val="left" w:leader="none"/>
        </w:tabs>
        <w:spacing w:line="227" w:lineRule="exact" w:before="1"/>
        <w:ind w:left="165"/>
      </w:pPr>
      <w:bookmarkStart w:name="_bookmark425" w:id="427"/>
      <w:bookmarkEnd w:id="427"/>
      <w:r>
        <w:rPr/>
      </w:r>
      <w:hyperlink w:history="true" w:anchor="_bookmark351">
        <w:r>
          <w:rPr>
            <w:color w:val="005DA1"/>
            <w:spacing w:val="-4"/>
            <w:position w:val="5"/>
            <w:sz w:val="14"/>
            <w:u w:val="single" w:color="005DA1"/>
          </w:rPr>
          <w:t>222</w:t>
        </w:r>
      </w:hyperlink>
      <w:r>
        <w:rPr>
          <w:spacing w:val="-4"/>
          <w:position w:val="5"/>
          <w:sz w:val="14"/>
        </w:rPr>
        <w:t>.</w:t>
      </w:r>
      <w:r>
        <w:rPr>
          <w:position w:val="5"/>
          <w:sz w:val="14"/>
        </w:rPr>
        <w:tab/>
      </w:r>
      <w:r>
        <w:rPr/>
        <w:t>Limitation</w:t>
      </w:r>
      <w:r>
        <w:rPr>
          <w:spacing w:val="50"/>
        </w:rPr>
        <w:t> </w:t>
      </w:r>
      <w:r>
        <w:rPr/>
        <w:t>Act</w:t>
      </w:r>
      <w:r>
        <w:rPr>
          <w:spacing w:val="50"/>
        </w:rPr>
        <w:t> </w:t>
      </w:r>
      <w:r>
        <w:rPr/>
        <w:t>1980,</w:t>
      </w:r>
      <w:r>
        <w:rPr>
          <w:spacing w:val="50"/>
        </w:rPr>
        <w:t> </w:t>
      </w:r>
      <w:r>
        <w:rPr/>
        <w:t>s.29(7)</w:t>
      </w:r>
      <w:r>
        <w:rPr>
          <w:spacing w:val="50"/>
        </w:rPr>
        <w:t> </w:t>
      </w:r>
      <w:r>
        <w:rPr/>
        <w:t>(below</w:t>
      </w:r>
      <w:r>
        <w:rPr>
          <w:spacing w:val="50"/>
        </w:rPr>
        <w:t> </w:t>
      </w:r>
      <w:r>
        <w:rPr/>
        <w:t>para.4-036);</w:t>
      </w:r>
      <w:r>
        <w:rPr>
          <w:spacing w:val="50"/>
        </w:rPr>
        <w:t> </w:t>
      </w:r>
      <w:r>
        <w:rPr/>
        <w:t>cf.,</w:t>
      </w:r>
      <w:r>
        <w:rPr>
          <w:spacing w:val="50"/>
        </w:rPr>
        <w:t> </w:t>
      </w:r>
      <w:r>
        <w:rPr/>
        <w:t>as</w:t>
      </w:r>
      <w:r>
        <w:rPr>
          <w:spacing w:val="50"/>
        </w:rPr>
        <w:t> </w:t>
      </w:r>
      <w:r>
        <w:rPr/>
        <w:t>to</w:t>
      </w:r>
      <w:r>
        <w:rPr>
          <w:spacing w:val="50"/>
        </w:rPr>
        <w:t> </w:t>
      </w:r>
      <w:r>
        <w:rPr/>
        <w:t>time</w:t>
      </w:r>
      <w:r>
        <w:rPr>
          <w:spacing w:val="50"/>
        </w:rPr>
        <w:t> </w:t>
      </w:r>
      <w:r>
        <w:rPr/>
        <w:t>bars</w:t>
      </w:r>
      <w:r>
        <w:rPr>
          <w:spacing w:val="50"/>
        </w:rPr>
        <w:t> </w:t>
      </w:r>
      <w:r>
        <w:rPr/>
        <w:t>imposed</w:t>
      </w:r>
      <w:r>
        <w:rPr>
          <w:spacing w:val="50"/>
        </w:rPr>
        <w:t> </w:t>
      </w:r>
      <w:r>
        <w:rPr/>
        <w:t>by</w:t>
      </w:r>
      <w:r>
        <w:rPr>
          <w:spacing w:val="50"/>
        </w:rPr>
        <w:t> </w:t>
      </w:r>
      <w:r>
        <w:rPr>
          <w:spacing w:val="-2"/>
        </w:rPr>
        <w:t>contract,</w:t>
      </w:r>
    </w:p>
    <w:p>
      <w:pPr>
        <w:spacing w:line="227" w:lineRule="exact" w:before="0"/>
        <w:ind w:left="705" w:right="0" w:firstLine="0"/>
        <w:jc w:val="left"/>
        <w:rPr>
          <w:sz w:val="20"/>
        </w:rPr>
      </w:pPr>
      <w:r>
        <w:rPr>
          <w:rFonts w:ascii="Arial" w:hAnsi="Arial"/>
          <w:i/>
          <w:sz w:val="20"/>
        </w:rPr>
        <w:t>Nippon Yusen Kaisha v Pacifica Navegaceon SA (The Ion) [1980] 2 Lloyd’s Rep. 245, </w:t>
      </w:r>
      <w:r>
        <w:rPr>
          <w:rFonts w:ascii="Arial" w:hAnsi="Arial"/>
          <w:i/>
          <w:spacing w:val="-4"/>
          <w:sz w:val="20"/>
        </w:rPr>
        <w:t>249</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426" w:id="428"/>
      <w:bookmarkEnd w:id="428"/>
      <w:r>
        <w:rPr/>
      </w:r>
      <w:hyperlink w:history="true" w:anchor="_bookmark352">
        <w:r>
          <w:rPr>
            <w:color w:val="005DA1"/>
            <w:spacing w:val="-4"/>
            <w:position w:val="5"/>
            <w:sz w:val="14"/>
            <w:u w:val="single" w:color="005DA1"/>
          </w:rPr>
          <w:t>223</w:t>
        </w:r>
      </w:hyperlink>
      <w:r>
        <w:rPr>
          <w:spacing w:val="-4"/>
          <w:position w:val="5"/>
          <w:sz w:val="14"/>
        </w:rPr>
        <w:t>.</w:t>
      </w:r>
      <w:r>
        <w:rPr>
          <w:position w:val="5"/>
          <w:sz w:val="14"/>
        </w:rPr>
        <w:tab/>
      </w:r>
      <w:r>
        <w:rPr>
          <w:rFonts w:ascii="Arial"/>
          <w:i/>
          <w:sz w:val="20"/>
        </w:rPr>
        <w:t>Sharp v Ellis (1971) 20 F.L.R. </w:t>
      </w:r>
      <w:r>
        <w:rPr>
          <w:rFonts w:ascii="Arial"/>
          <w:i/>
          <w:spacing w:val="-4"/>
          <w:sz w:val="20"/>
        </w:rPr>
        <w:t>199</w:t>
      </w:r>
      <w:r>
        <w:rPr>
          <w:spacing w:val="-4"/>
          <w:sz w:val="20"/>
        </w:rPr>
        <w:t>.</w:t>
      </w:r>
    </w:p>
    <w:p>
      <w:pPr>
        <w:pStyle w:val="BodyText"/>
        <w:spacing w:before="8"/>
      </w:pPr>
    </w:p>
    <w:p>
      <w:pPr>
        <w:pStyle w:val="BodyText"/>
        <w:tabs>
          <w:tab w:pos="705" w:val="left" w:leader="none"/>
        </w:tabs>
        <w:spacing w:line="235" w:lineRule="auto"/>
        <w:ind w:left="705" w:right="168" w:hanging="541"/>
      </w:pPr>
      <w:bookmarkStart w:name="_bookmark427" w:id="429"/>
      <w:bookmarkEnd w:id="429"/>
      <w:r>
        <w:rPr/>
      </w:r>
      <w:hyperlink w:history="true" w:anchor="_bookmark353">
        <w:r>
          <w:rPr>
            <w:color w:val="005DA1"/>
            <w:spacing w:val="-4"/>
            <w:position w:val="5"/>
            <w:sz w:val="14"/>
            <w:u w:val="single" w:color="005DA1"/>
          </w:rPr>
          <w:t>224</w:t>
        </w:r>
      </w:hyperlink>
      <w:r>
        <w:rPr>
          <w:spacing w:val="-4"/>
          <w:position w:val="5"/>
          <w:sz w:val="14"/>
        </w:rPr>
        <w:t>.</w:t>
      </w:r>
      <w:r>
        <w:rPr>
          <w:position w:val="5"/>
          <w:sz w:val="14"/>
        </w:rPr>
        <w:tab/>
      </w:r>
      <w:r>
        <w:rPr/>
        <w:t>Minors’ Contracts Act 1987, ss.1 and 4, repealing Infants Relief Act 1874, s.2 and Betting and Loans (Infants) Act 1892, s.5.</w:t>
      </w:r>
    </w:p>
    <w:p>
      <w:pPr>
        <w:pStyle w:val="BodyText"/>
        <w:spacing w:before="6"/>
      </w:pPr>
    </w:p>
    <w:p>
      <w:pPr>
        <w:tabs>
          <w:tab w:pos="705" w:val="left" w:leader="none"/>
        </w:tabs>
        <w:spacing w:before="0"/>
        <w:ind w:left="165" w:right="0" w:firstLine="0"/>
        <w:jc w:val="left"/>
        <w:rPr>
          <w:sz w:val="20"/>
        </w:rPr>
      </w:pPr>
      <w:bookmarkStart w:name="_bookmark428" w:id="430"/>
      <w:bookmarkEnd w:id="430"/>
      <w:r>
        <w:rPr/>
      </w:r>
      <w:hyperlink w:history="true" w:anchor="_bookmark354">
        <w:r>
          <w:rPr>
            <w:color w:val="005DA1"/>
            <w:spacing w:val="-4"/>
            <w:position w:val="5"/>
            <w:sz w:val="14"/>
            <w:u w:val="single" w:color="005DA1"/>
          </w:rPr>
          <w:t>225</w:t>
        </w:r>
      </w:hyperlink>
      <w:r>
        <w:rPr>
          <w:spacing w:val="-4"/>
          <w:position w:val="5"/>
          <w:sz w:val="14"/>
        </w:rPr>
        <w:t>.</w:t>
      </w:r>
      <w:r>
        <w:rPr>
          <w:position w:val="5"/>
          <w:sz w:val="14"/>
        </w:rPr>
        <w:tab/>
      </w:r>
      <w:r>
        <w:rPr>
          <w:rFonts w:ascii="Arial"/>
          <w:i/>
          <w:sz w:val="20"/>
        </w:rPr>
        <w:t>(1840)</w:t>
      </w:r>
      <w:r>
        <w:rPr>
          <w:rFonts w:ascii="Arial"/>
          <w:i/>
          <w:spacing w:val="-1"/>
          <w:sz w:val="20"/>
        </w:rPr>
        <w:t> </w:t>
      </w:r>
      <w:r>
        <w:rPr>
          <w:rFonts w:ascii="Arial"/>
          <w:i/>
          <w:sz w:val="20"/>
        </w:rPr>
        <w:t>11 A. &amp; E. 438</w:t>
      </w:r>
      <w:r>
        <w:rPr>
          <w:sz w:val="20"/>
        </w:rPr>
        <w:t>; above, para.4-</w:t>
      </w:r>
      <w:r>
        <w:rPr>
          <w:spacing w:val="-4"/>
          <w:sz w:val="20"/>
        </w:rPr>
        <w:t>033.</w:t>
      </w:r>
    </w:p>
    <w:p>
      <w:pPr>
        <w:pStyle w:val="BodyText"/>
        <w:spacing w:before="9"/>
      </w:pPr>
    </w:p>
    <w:p>
      <w:pPr>
        <w:tabs>
          <w:tab w:pos="705" w:val="left" w:leader="none"/>
        </w:tabs>
        <w:spacing w:line="235" w:lineRule="auto" w:before="0"/>
        <w:ind w:left="705" w:right="168" w:hanging="541"/>
        <w:jc w:val="left"/>
        <w:rPr>
          <w:sz w:val="20"/>
        </w:rPr>
      </w:pPr>
      <w:bookmarkStart w:name="_bookmark429" w:id="431"/>
      <w:bookmarkEnd w:id="431"/>
      <w:r>
        <w:rPr/>
      </w:r>
      <w:hyperlink w:history="true" w:anchor="_bookmark355">
        <w:r>
          <w:rPr>
            <w:color w:val="005DA1"/>
            <w:spacing w:val="-4"/>
            <w:position w:val="5"/>
            <w:sz w:val="14"/>
            <w:u w:val="single" w:color="005DA1"/>
          </w:rPr>
          <w:t>226</w:t>
        </w:r>
      </w:hyperlink>
      <w:r>
        <w:rPr>
          <w:spacing w:val="-4"/>
          <w:position w:val="5"/>
          <w:sz w:val="14"/>
        </w:rPr>
        <w:t>.</w:t>
      </w:r>
      <w:r>
        <w:rPr>
          <w:position w:val="5"/>
          <w:sz w:val="14"/>
        </w:rPr>
        <w:tab/>
      </w:r>
      <w:r>
        <w:rPr>
          <w:rFonts w:ascii="Arial"/>
          <w:i/>
          <w:sz w:val="20"/>
        </w:rPr>
        <w:t>(1863) 1 H. &amp; C. 703</w:t>
      </w:r>
      <w:r>
        <w:rPr>
          <w:sz w:val="20"/>
        </w:rPr>
        <w:t>; mentioned with approval by Scrutton L.J. in </w:t>
      </w:r>
      <w:r>
        <w:rPr>
          <w:rFonts w:ascii="Arial"/>
          <w:i/>
          <w:sz w:val="20"/>
        </w:rPr>
        <w:t>J. Evans &amp; Co v Heathcote</w:t>
      </w:r>
      <w:r>
        <w:rPr>
          <w:rFonts w:ascii="Arial"/>
          <w:i/>
          <w:spacing w:val="40"/>
          <w:sz w:val="20"/>
        </w:rPr>
        <w:t> </w:t>
      </w:r>
      <w:r>
        <w:rPr>
          <w:rFonts w:ascii="Arial"/>
          <w:i/>
          <w:sz w:val="20"/>
        </w:rPr>
        <w:t>[1918] 1 K.B. 418, 437</w:t>
      </w:r>
      <w:r>
        <w:rPr>
          <w:sz w:val="20"/>
        </w:rPr>
        <w:t>.</w:t>
      </w:r>
    </w:p>
    <w:p>
      <w:pPr>
        <w:pStyle w:val="BodyText"/>
        <w:spacing w:before="5"/>
      </w:pPr>
    </w:p>
    <w:p>
      <w:pPr>
        <w:pStyle w:val="BodyText"/>
        <w:tabs>
          <w:tab w:pos="705" w:val="left" w:leader="none"/>
        </w:tabs>
        <w:ind w:left="165"/>
      </w:pPr>
      <w:bookmarkStart w:name="_bookmark430" w:id="432"/>
      <w:bookmarkEnd w:id="432"/>
      <w:r>
        <w:rPr/>
      </w:r>
      <w:hyperlink w:history="true" w:anchor="_bookmark356">
        <w:r>
          <w:rPr>
            <w:color w:val="005DA1"/>
            <w:spacing w:val="-4"/>
            <w:position w:val="5"/>
            <w:sz w:val="14"/>
            <w:u w:val="single" w:color="005DA1"/>
          </w:rPr>
          <w:t>227</w:t>
        </w:r>
      </w:hyperlink>
      <w:r>
        <w:rPr>
          <w:spacing w:val="-4"/>
          <w:position w:val="5"/>
          <w:sz w:val="14"/>
        </w:rPr>
        <w:t>.</w:t>
      </w:r>
      <w:r>
        <w:rPr>
          <w:position w:val="5"/>
          <w:sz w:val="14"/>
        </w:rPr>
        <w:tab/>
      </w:r>
      <w:r>
        <w:rPr/>
        <w:t>Below,</w:t>
      </w:r>
      <w:r>
        <w:rPr>
          <w:spacing w:val="-2"/>
        </w:rPr>
        <w:t> </w:t>
      </w:r>
      <w:r>
        <w:rPr/>
        <w:t>Vol.II, para.34-</w:t>
      </w:r>
      <w:r>
        <w:rPr>
          <w:spacing w:val="-4"/>
        </w:rPr>
        <w:t>062.</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5536">
            <wp:simplePos x="0" y="0"/>
            <wp:positionH relativeFrom="page">
              <wp:posOffset>1257846</wp:posOffset>
            </wp:positionH>
            <wp:positionV relativeFrom="paragraph">
              <wp:posOffset>160377</wp:posOffset>
            </wp:positionV>
            <wp:extent cx="107988" cy="107988"/>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431" w:id="433"/>
      <w:bookmarkEnd w:id="433"/>
      <w:r>
        <w:rPr/>
      </w:r>
      <w:hyperlink w:history="true" w:anchor="_bookmark357">
        <w:r>
          <w:rPr>
            <w:color w:val="005DA1"/>
            <w:spacing w:val="-4"/>
            <w:sz w:val="14"/>
            <w:u w:val="single" w:color="005DA1"/>
          </w:rPr>
          <w:t>228</w:t>
        </w:r>
      </w:hyperlink>
      <w:r>
        <w:rPr>
          <w:spacing w:val="-4"/>
          <w:sz w:val="14"/>
        </w:rPr>
        <w:t>.</w:t>
      </w:r>
    </w:p>
    <w:p>
      <w:pPr>
        <w:pStyle w:val="BodyText"/>
        <w:spacing w:line="235" w:lineRule="auto" w:before="212"/>
        <w:ind w:left="165" w:right="167" w:firstLine="170"/>
        <w:jc w:val="both"/>
      </w:pPr>
      <w:r>
        <w:rPr/>
        <w:br w:type="column"/>
      </w:r>
      <w:r>
        <w:rPr/>
        <w:t>See </w:t>
      </w:r>
      <w:r>
        <w:rPr>
          <w:rFonts w:ascii="Arial" w:hAnsi="Arial"/>
          <w:i/>
        </w:rPr>
        <w:t>Banque Cantonale de Genève v Sanomi [2016] EWHC 3353 (Comm)</w:t>
      </w:r>
      <w:r>
        <w:rPr/>
        <w:t>, where</w:t>
      </w:r>
      <w:r>
        <w:rPr>
          <w:spacing w:val="40"/>
        </w:rPr>
        <w:t> </w:t>
      </w:r>
      <w:r>
        <w:rPr/>
        <w:t>forbearance to sue, “both promised and actual” (at [62]) was held to be consideration for two promissory notes. No reliance was placed on Bills of Exchange Act s.27(1)(b) though this provision applies, by virtue of s.89(1) of the 1882 Act, to promissory notes “with the </w:t>
      </w:r>
      <w:r>
        <w:rPr/>
        <w:t>necessary </w:t>
      </w:r>
      <w:r>
        <w:rPr>
          <w:spacing w:val="-2"/>
        </w:rPr>
        <w:t>modifications”.</w:t>
      </w:r>
    </w:p>
    <w:p>
      <w:pPr>
        <w:pStyle w:val="BodyText"/>
        <w:spacing w:after="0" w:line="235" w:lineRule="auto"/>
        <w:jc w:val="both"/>
        <w:sectPr>
          <w:type w:val="continuous"/>
          <w:pgSz w:w="11900" w:h="16840"/>
          <w:pgMar w:header="971" w:footer="0" w:top="3760" w:bottom="280" w:left="1275" w:right="1275"/>
          <w:cols w:num="2" w:equalWidth="0">
            <w:col w:w="478" w:space="63"/>
            <w:col w:w="8809"/>
          </w:cols>
        </w:sectPr>
      </w:pPr>
    </w:p>
    <w:p>
      <w:pPr>
        <w:pStyle w:val="BodyText"/>
        <w:spacing w:before="4"/>
      </w:pPr>
    </w:p>
    <w:p>
      <w:pPr>
        <w:tabs>
          <w:tab w:pos="705" w:val="left" w:leader="none"/>
        </w:tabs>
        <w:spacing w:before="0"/>
        <w:ind w:left="165" w:right="0" w:firstLine="0"/>
        <w:jc w:val="left"/>
        <w:rPr>
          <w:sz w:val="20"/>
        </w:rPr>
      </w:pPr>
      <w:bookmarkStart w:name="_bookmark432" w:id="434"/>
      <w:bookmarkEnd w:id="434"/>
      <w:r>
        <w:rPr/>
      </w:r>
      <w:hyperlink w:history="true" w:anchor="_bookmark358">
        <w:r>
          <w:rPr>
            <w:color w:val="005DA1"/>
            <w:spacing w:val="-4"/>
            <w:position w:val="5"/>
            <w:sz w:val="14"/>
            <w:u w:val="single" w:color="005DA1"/>
          </w:rPr>
          <w:t>229</w:t>
        </w:r>
      </w:hyperlink>
      <w:r>
        <w:rPr>
          <w:spacing w:val="-4"/>
          <w:position w:val="5"/>
          <w:sz w:val="14"/>
        </w:rPr>
        <w:t>.</w:t>
      </w:r>
      <w:r>
        <w:rPr>
          <w:position w:val="5"/>
          <w:sz w:val="14"/>
        </w:rPr>
        <w:tab/>
      </w:r>
      <w:r>
        <w:rPr>
          <w:sz w:val="20"/>
        </w:rPr>
        <w:t>See</w:t>
      </w:r>
      <w:r>
        <w:rPr>
          <w:spacing w:val="-1"/>
          <w:sz w:val="20"/>
        </w:rPr>
        <w:t> </w:t>
      </w:r>
      <w:r>
        <w:rPr>
          <w:rFonts w:ascii="Arial" w:hAnsi="Arial"/>
          <w:i/>
          <w:sz w:val="20"/>
        </w:rPr>
        <w:t>Currie v Misa (1875) L.R. 10 Ex. 153</w:t>
      </w:r>
      <w:r>
        <w:rPr>
          <w:rFonts w:ascii="Arial" w:hAnsi="Arial"/>
          <w:i/>
          <w:spacing w:val="-1"/>
          <w:sz w:val="20"/>
        </w:rPr>
        <w:t> </w:t>
      </w:r>
      <w:r>
        <w:rPr>
          <w:sz w:val="20"/>
        </w:rPr>
        <w:t>and cf. below, paras 4-058—4-</w:t>
      </w:r>
      <w:r>
        <w:rPr>
          <w:spacing w:val="-4"/>
          <w:sz w:val="20"/>
        </w:rPr>
        <w:t>061.</w:t>
      </w:r>
    </w:p>
    <w:p>
      <w:pPr>
        <w:pStyle w:val="BodyText"/>
        <w:spacing w:before="9"/>
      </w:pPr>
    </w:p>
    <w:p>
      <w:pPr>
        <w:spacing w:line="235" w:lineRule="auto" w:before="0"/>
        <w:ind w:left="705" w:right="167" w:hanging="541"/>
        <w:jc w:val="both"/>
        <w:rPr>
          <w:rFonts w:ascii="Arial" w:hAnsi="Arial"/>
          <w:i/>
          <w:sz w:val="20"/>
        </w:rPr>
      </w:pPr>
      <w:bookmarkStart w:name="_bookmark433" w:id="435"/>
      <w:bookmarkEnd w:id="435"/>
      <w:r>
        <w:rPr/>
      </w:r>
      <w:hyperlink w:history="true" w:anchor="_bookmark359">
        <w:r>
          <w:rPr>
            <w:color w:val="005DA1"/>
            <w:position w:val="5"/>
            <w:sz w:val="14"/>
            <w:u w:val="single" w:color="005DA1"/>
          </w:rPr>
          <w:t>230</w:t>
        </w:r>
      </w:hyperlink>
      <w:r>
        <w:rPr>
          <w:position w:val="5"/>
          <w:sz w:val="14"/>
        </w:rPr>
        <w:t>.</w:t>
      </w:r>
      <w:r>
        <w:rPr>
          <w:spacing w:val="40"/>
          <w:position w:val="5"/>
          <w:sz w:val="14"/>
        </w:rPr>
        <w:t>  </w:t>
      </w:r>
      <w:r>
        <w:rPr>
          <w:sz w:val="20"/>
        </w:rPr>
        <w:t>Limitation Act 1980, s.30(1). An inscription of a person’s name, typed on a telex document, is a sufficient signature for the present purpose: </w:t>
      </w:r>
      <w:r>
        <w:rPr>
          <w:rFonts w:ascii="Arial" w:hAnsi="Arial"/>
          <w:i/>
          <w:sz w:val="20"/>
        </w:rPr>
        <w:t>Good Challenger Navegante SA </w:t>
      </w:r>
      <w:r>
        <w:rPr>
          <w:rFonts w:ascii="Arial" w:hAnsi="Arial"/>
          <w:i/>
          <w:sz w:val="20"/>
        </w:rPr>
        <w:t>v Metalexportimport</w:t>
      </w:r>
      <w:r>
        <w:rPr>
          <w:rFonts w:ascii="Arial" w:hAnsi="Arial"/>
          <w:i/>
          <w:spacing w:val="5"/>
          <w:sz w:val="20"/>
        </w:rPr>
        <w:t> </w:t>
      </w:r>
      <w:r>
        <w:rPr>
          <w:rFonts w:ascii="Arial" w:hAnsi="Arial"/>
          <w:i/>
          <w:sz w:val="20"/>
        </w:rPr>
        <w:t>SA</w:t>
      </w:r>
      <w:r>
        <w:rPr>
          <w:rFonts w:ascii="Arial" w:hAnsi="Arial"/>
          <w:i/>
          <w:spacing w:val="5"/>
          <w:sz w:val="20"/>
        </w:rPr>
        <w:t> </w:t>
      </w:r>
      <w:r>
        <w:rPr>
          <w:rFonts w:ascii="Arial" w:hAnsi="Arial"/>
          <w:i/>
          <w:sz w:val="20"/>
        </w:rPr>
        <w:t>(The</w:t>
      </w:r>
      <w:r>
        <w:rPr>
          <w:rFonts w:ascii="Arial" w:hAnsi="Arial"/>
          <w:i/>
          <w:spacing w:val="5"/>
          <w:sz w:val="20"/>
        </w:rPr>
        <w:t> </w:t>
      </w:r>
      <w:r>
        <w:rPr>
          <w:rFonts w:ascii="Arial" w:hAnsi="Arial"/>
          <w:i/>
          <w:sz w:val="20"/>
        </w:rPr>
        <w:t>Good</w:t>
      </w:r>
      <w:r>
        <w:rPr>
          <w:rFonts w:ascii="Arial" w:hAnsi="Arial"/>
          <w:i/>
          <w:spacing w:val="5"/>
          <w:sz w:val="20"/>
        </w:rPr>
        <w:t> </w:t>
      </w:r>
      <w:r>
        <w:rPr>
          <w:rFonts w:ascii="Arial" w:hAnsi="Arial"/>
          <w:i/>
          <w:sz w:val="20"/>
        </w:rPr>
        <w:t>Challenger)</w:t>
      </w:r>
      <w:r>
        <w:rPr>
          <w:rFonts w:ascii="Arial" w:hAnsi="Arial"/>
          <w:i/>
          <w:spacing w:val="5"/>
          <w:sz w:val="20"/>
        </w:rPr>
        <w:t> </w:t>
      </w:r>
      <w:r>
        <w:rPr>
          <w:rFonts w:ascii="Arial" w:hAnsi="Arial"/>
          <w:i/>
          <w:sz w:val="20"/>
        </w:rPr>
        <w:t>[2003]</w:t>
      </w:r>
      <w:r>
        <w:rPr>
          <w:rFonts w:ascii="Arial" w:hAnsi="Arial"/>
          <w:i/>
          <w:spacing w:val="5"/>
          <w:sz w:val="20"/>
        </w:rPr>
        <w:t> </w:t>
      </w:r>
      <w:r>
        <w:rPr>
          <w:rFonts w:ascii="Arial" w:hAnsi="Arial"/>
          <w:i/>
          <w:sz w:val="20"/>
        </w:rPr>
        <w:t>EWCA</w:t>
      </w:r>
      <w:r>
        <w:rPr>
          <w:rFonts w:ascii="Arial" w:hAnsi="Arial"/>
          <w:i/>
          <w:spacing w:val="5"/>
          <w:sz w:val="20"/>
        </w:rPr>
        <w:t> </w:t>
      </w:r>
      <w:r>
        <w:rPr>
          <w:rFonts w:ascii="Arial" w:hAnsi="Arial"/>
          <w:i/>
          <w:sz w:val="20"/>
        </w:rPr>
        <w:t>Civ</w:t>
      </w:r>
      <w:r>
        <w:rPr>
          <w:rFonts w:ascii="Arial" w:hAnsi="Arial"/>
          <w:i/>
          <w:spacing w:val="5"/>
          <w:sz w:val="20"/>
        </w:rPr>
        <w:t> </w:t>
      </w:r>
      <w:r>
        <w:rPr>
          <w:rFonts w:ascii="Arial" w:hAnsi="Arial"/>
          <w:i/>
          <w:sz w:val="20"/>
        </w:rPr>
        <w:t>1668,</w:t>
      </w:r>
      <w:r>
        <w:rPr>
          <w:rFonts w:ascii="Arial" w:hAnsi="Arial"/>
          <w:i/>
          <w:spacing w:val="5"/>
          <w:sz w:val="20"/>
        </w:rPr>
        <w:t> </w:t>
      </w:r>
      <w:r>
        <w:rPr>
          <w:rFonts w:ascii="Arial" w:hAnsi="Arial"/>
          <w:i/>
          <w:sz w:val="20"/>
        </w:rPr>
        <w:t>[2004]</w:t>
      </w:r>
      <w:r>
        <w:rPr>
          <w:rFonts w:ascii="Arial" w:hAnsi="Arial"/>
          <w:i/>
          <w:spacing w:val="5"/>
          <w:sz w:val="20"/>
        </w:rPr>
        <w:t> </w:t>
      </w:r>
      <w:r>
        <w:rPr>
          <w:rFonts w:ascii="Arial" w:hAnsi="Arial"/>
          <w:i/>
          <w:sz w:val="20"/>
        </w:rPr>
        <w:t>1</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z w:val="20"/>
        </w:rPr>
        <w:t>Rep.</w:t>
      </w:r>
      <w:r>
        <w:rPr>
          <w:rFonts w:ascii="Arial" w:hAnsi="Arial"/>
          <w:i/>
          <w:spacing w:val="5"/>
          <w:sz w:val="20"/>
        </w:rPr>
        <w:t> </w:t>
      </w:r>
      <w:r>
        <w:rPr>
          <w:rFonts w:ascii="Arial" w:hAnsi="Arial"/>
          <w:i/>
          <w:spacing w:val="-5"/>
          <w:sz w:val="20"/>
        </w:rPr>
        <w:t>67</w:t>
      </w:r>
    </w:p>
    <w:p>
      <w:pPr>
        <w:pStyle w:val="BodyText"/>
        <w:spacing w:line="225" w:lineRule="exact"/>
        <w:ind w:left="705"/>
        <w:jc w:val="both"/>
      </w:pPr>
      <w:r>
        <w:rPr/>
        <w:t>at </w:t>
      </w:r>
      <w:r>
        <w:rPr>
          <w:spacing w:val="-2"/>
        </w:rPr>
        <w:t>[20]–[28].</w:t>
      </w: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6048">
            <wp:simplePos x="0" y="0"/>
            <wp:positionH relativeFrom="page">
              <wp:posOffset>1257846</wp:posOffset>
            </wp:positionH>
            <wp:positionV relativeFrom="paragraph">
              <wp:posOffset>160338</wp:posOffset>
            </wp:positionV>
            <wp:extent cx="107988" cy="107988"/>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434" w:id="436"/>
      <w:bookmarkEnd w:id="436"/>
      <w:r>
        <w:rPr/>
      </w:r>
      <w:hyperlink w:history="true" w:anchor="_bookmark360">
        <w:r>
          <w:rPr>
            <w:color w:val="005DA1"/>
            <w:spacing w:val="-4"/>
            <w:sz w:val="14"/>
            <w:u w:val="single" w:color="005DA1"/>
          </w:rPr>
          <w:t>231</w:t>
        </w:r>
      </w:hyperlink>
      <w:r>
        <w:rPr>
          <w:spacing w:val="-4"/>
          <w:sz w:val="14"/>
        </w:rPr>
        <w:t>.</w:t>
      </w:r>
    </w:p>
    <w:p>
      <w:pPr>
        <w:pStyle w:val="BodyText"/>
        <w:spacing w:line="235" w:lineRule="auto" w:before="212"/>
        <w:ind w:left="165" w:right="167" w:firstLine="170"/>
        <w:jc w:val="both"/>
      </w:pPr>
      <w:r>
        <w:rPr/>
        <w:br w:type="column"/>
      </w:r>
      <w:r>
        <w:rPr/>
        <w:t>Section 29(5) is expressed to apply also to “any … other liquidated claim” (s.29(5)(a)). </w:t>
      </w:r>
      <w:r>
        <w:rPr/>
        <w:t>In </w:t>
      </w:r>
      <w:r>
        <w:rPr>
          <w:rFonts w:ascii="Arial" w:hAnsi="Arial"/>
          <w:i/>
        </w:rPr>
        <w:t>Barnett v Creggy [2016] EWCA Civ 1004, [2017] P.N.L.R. 4 </w:t>
      </w:r>
      <w:r>
        <w:rPr/>
        <w:t>a majority of the Court of Appeal held that the words here quoted could include a claim against a trustee for money paid away in breach of his fiduciary duty, but (unanimously) that these words did not apply to the claim for “equitable</w:t>
      </w:r>
      <w:r>
        <w:rPr>
          <w:spacing w:val="-2"/>
        </w:rPr>
        <w:t> </w:t>
      </w:r>
      <w:r>
        <w:rPr/>
        <w:t>compensation”</w:t>
      </w:r>
      <w:r>
        <w:rPr>
          <w:spacing w:val="-2"/>
        </w:rPr>
        <w:t> </w:t>
      </w:r>
      <w:r>
        <w:rPr/>
        <w:t>since</w:t>
      </w:r>
      <w:r>
        <w:rPr>
          <w:spacing w:val="-2"/>
        </w:rPr>
        <w:t> </w:t>
      </w:r>
      <w:r>
        <w:rPr/>
        <w:t>this</w:t>
      </w:r>
      <w:r>
        <w:rPr>
          <w:spacing w:val="-2"/>
        </w:rPr>
        <w:t> </w:t>
      </w:r>
      <w:r>
        <w:rPr/>
        <w:t>was</w:t>
      </w:r>
      <w:r>
        <w:rPr>
          <w:spacing w:val="-2"/>
        </w:rPr>
        <w:t> </w:t>
      </w:r>
      <w:r>
        <w:rPr/>
        <w:t>“equivalent</w:t>
      </w:r>
      <w:r>
        <w:rPr>
          <w:spacing w:val="-2"/>
        </w:rPr>
        <w:t> </w:t>
      </w:r>
      <w:r>
        <w:rPr/>
        <w:t>to</w:t>
      </w:r>
      <w:r>
        <w:rPr>
          <w:spacing w:val="-2"/>
        </w:rPr>
        <w:t> </w:t>
      </w:r>
      <w:r>
        <w:rPr/>
        <w:t>a</w:t>
      </w:r>
      <w:r>
        <w:rPr>
          <w:spacing w:val="-2"/>
        </w:rPr>
        <w:t> </w:t>
      </w:r>
      <w:r>
        <w:rPr/>
        <w:t>claim</w:t>
      </w:r>
      <w:r>
        <w:rPr>
          <w:spacing w:val="-2"/>
        </w:rPr>
        <w:t> </w:t>
      </w:r>
      <w:r>
        <w:rPr/>
        <w:t>for</w:t>
      </w:r>
      <w:r>
        <w:rPr>
          <w:spacing w:val="-2"/>
        </w:rPr>
        <w:t> </w:t>
      </w:r>
      <w:r>
        <w:rPr/>
        <w:t>damages”</w:t>
      </w:r>
      <w:r>
        <w:rPr>
          <w:spacing w:val="-2"/>
        </w:rPr>
        <w:t> </w:t>
      </w:r>
      <w:r>
        <w:rPr/>
        <w:t>(at</w:t>
      </w:r>
      <w:r>
        <w:rPr>
          <w:spacing w:val="-2"/>
        </w:rPr>
        <w:t> </w:t>
      </w:r>
      <w:r>
        <w:rPr/>
        <w:t>[37])</w:t>
      </w:r>
      <w:r>
        <w:rPr>
          <w:spacing w:val="-2"/>
        </w:rPr>
        <w:t> </w:t>
      </w:r>
      <w:r>
        <w:rPr/>
        <w:t>and</w:t>
      </w:r>
      <w:r>
        <w:rPr>
          <w:spacing w:val="-2"/>
        </w:rPr>
        <w:t> </w:t>
      </w:r>
      <w:r>
        <w:rPr/>
        <w:t>so</w:t>
      </w:r>
      <w:r>
        <w:rPr>
          <w:spacing w:val="-2"/>
        </w:rPr>
        <w:t> </w:t>
      </w:r>
      <w:r>
        <w:rPr/>
        <w:t>not a “liquidated claim” within s.29(5)(a), (at [40], [54], [55]).</w:t>
      </w:r>
    </w:p>
    <w:p>
      <w:pPr>
        <w:pStyle w:val="BodyText"/>
        <w:spacing w:after="0" w:line="235" w:lineRule="auto"/>
        <w:jc w:val="both"/>
        <w:sectPr>
          <w:type w:val="continuous"/>
          <w:pgSz w:w="11900" w:h="16840"/>
          <w:pgMar w:header="971" w:footer="0" w:top="3760" w:bottom="280" w:left="1275" w:right="1275"/>
          <w:cols w:num="2" w:equalWidth="0">
            <w:col w:w="478" w:space="63"/>
            <w:col w:w="8809"/>
          </w:cols>
        </w:sectPr>
      </w:pPr>
    </w:p>
    <w:p>
      <w:pPr>
        <w:pStyle w:val="BodyText"/>
        <w:spacing w:before="84"/>
      </w:pPr>
    </w:p>
    <w:p>
      <w:pPr>
        <w:spacing w:line="235" w:lineRule="auto" w:before="1"/>
        <w:ind w:left="705" w:right="167" w:hanging="541"/>
        <w:jc w:val="both"/>
        <w:rPr>
          <w:rFonts w:ascii="Arial" w:hAnsi="Arial"/>
          <w:i/>
          <w:sz w:val="20"/>
        </w:rPr>
      </w:pPr>
      <w:hyperlink w:history="true" w:anchor="_bookmark361">
        <w:r>
          <w:rPr>
            <w:color w:val="005DA1"/>
            <w:position w:val="5"/>
            <w:sz w:val="14"/>
            <w:u w:val="single" w:color="005DA1"/>
          </w:rPr>
          <w:t>232</w:t>
        </w:r>
      </w:hyperlink>
      <w:r>
        <w:rPr>
          <w:position w:val="5"/>
          <w:sz w:val="14"/>
        </w:rPr>
        <w:t>.</w:t>
      </w:r>
      <w:r>
        <w:rPr>
          <w:spacing w:val="80"/>
          <w:position w:val="5"/>
          <w:sz w:val="14"/>
        </w:rPr>
        <w:t>  </w:t>
      </w:r>
      <w:r>
        <w:rPr>
          <w:rFonts w:ascii="Arial" w:hAnsi="Arial"/>
          <w:i/>
          <w:sz w:val="20"/>
        </w:rPr>
        <w:t>Lia Oil SA v ERG Petroli [2007] EWHC 505 (Comm), [2007] 2 Lloyd’s Rep. 509</w:t>
      </w:r>
      <w:r>
        <w:rPr>
          <w:sz w:val="20"/>
        </w:rPr>
        <w:t>; an admission</w:t>
      </w:r>
      <w:r>
        <w:rPr>
          <w:spacing w:val="80"/>
          <w:sz w:val="20"/>
        </w:rPr>
        <w:t> </w:t>
      </w:r>
      <w:r>
        <w:rPr>
          <w:sz w:val="20"/>
        </w:rPr>
        <w:t>of liability suffices: </w:t>
      </w:r>
      <w:r>
        <w:rPr>
          <w:rFonts w:ascii="Arial" w:hAnsi="Arial"/>
          <w:i/>
          <w:sz w:val="20"/>
        </w:rPr>
        <w:t>Surrendra Overseas Ltd v Government of Sri Lanka [1977] 1 W.L.R. 481</w:t>
      </w:r>
      <w:r>
        <w:rPr>
          <w:sz w:val="20"/>
        </w:rPr>
        <w:t>;</w:t>
      </w:r>
      <w:r>
        <w:rPr>
          <w:spacing w:val="40"/>
          <w:sz w:val="20"/>
        </w:rPr>
        <w:t> </w:t>
      </w:r>
      <w:r>
        <w:rPr>
          <w:sz w:val="20"/>
        </w:rPr>
        <w:t>see further </w:t>
      </w:r>
      <w:r>
        <w:rPr>
          <w:rFonts w:ascii="Arial" w:hAnsi="Arial"/>
          <w:i/>
          <w:sz w:val="20"/>
        </w:rPr>
        <w:t>Bradford &amp; Bingley plc v Rashid [2006] UKHL 37, [2006] 1 W.L.R. 2066</w:t>
      </w:r>
      <w:r>
        <w:rPr>
          <w:sz w:val="20"/>
        </w:rPr>
        <w:t>, where a debtor’s</w:t>
      </w:r>
      <w:r>
        <w:rPr>
          <w:spacing w:val="-2"/>
          <w:sz w:val="20"/>
        </w:rPr>
        <w:t> </w:t>
      </w:r>
      <w:r>
        <w:rPr>
          <w:sz w:val="20"/>
        </w:rPr>
        <w:t>statement</w:t>
      </w:r>
      <w:r>
        <w:rPr>
          <w:spacing w:val="-2"/>
          <w:sz w:val="20"/>
        </w:rPr>
        <w:t> </w:t>
      </w:r>
      <w:r>
        <w:rPr>
          <w:sz w:val="20"/>
        </w:rPr>
        <w:t>that</w:t>
      </w:r>
      <w:r>
        <w:rPr>
          <w:spacing w:val="-2"/>
          <w:sz w:val="20"/>
        </w:rPr>
        <w:t> </w:t>
      </w:r>
      <w:r>
        <w:rPr>
          <w:sz w:val="20"/>
        </w:rPr>
        <w:t>he</w:t>
      </w:r>
      <w:r>
        <w:rPr>
          <w:spacing w:val="-2"/>
          <w:sz w:val="20"/>
        </w:rPr>
        <w:t> </w:t>
      </w:r>
      <w:r>
        <w:rPr>
          <w:sz w:val="20"/>
        </w:rPr>
        <w:t>was</w:t>
      </w:r>
      <w:r>
        <w:rPr>
          <w:spacing w:val="-2"/>
          <w:sz w:val="20"/>
        </w:rPr>
        <w:t> </w:t>
      </w:r>
      <w:r>
        <w:rPr>
          <w:sz w:val="20"/>
        </w:rPr>
        <w:t>not</w:t>
      </w:r>
      <w:r>
        <w:rPr>
          <w:spacing w:val="-2"/>
          <w:sz w:val="20"/>
        </w:rPr>
        <w:t> </w:t>
      </w:r>
      <w:r>
        <w:rPr>
          <w:sz w:val="20"/>
        </w:rPr>
        <w:t>in</w:t>
      </w:r>
      <w:r>
        <w:rPr>
          <w:spacing w:val="-2"/>
          <w:sz w:val="20"/>
        </w:rPr>
        <w:t> </w:t>
      </w:r>
      <w:r>
        <w:rPr>
          <w:sz w:val="20"/>
        </w:rPr>
        <w:t>a</w:t>
      </w:r>
      <w:r>
        <w:rPr>
          <w:spacing w:val="-2"/>
          <w:sz w:val="20"/>
        </w:rPr>
        <w:t> </w:t>
      </w:r>
      <w:r>
        <w:rPr>
          <w:sz w:val="20"/>
        </w:rPr>
        <w:t>position</w:t>
      </w:r>
      <w:r>
        <w:rPr>
          <w:spacing w:val="-2"/>
          <w:sz w:val="20"/>
        </w:rPr>
        <w:t> </w:t>
      </w:r>
      <w:r>
        <w:rPr>
          <w:sz w:val="20"/>
        </w:rPr>
        <w:t>to</w:t>
      </w:r>
      <w:r>
        <w:rPr>
          <w:spacing w:val="-2"/>
          <w:sz w:val="20"/>
        </w:rPr>
        <w:t> </w:t>
      </w:r>
      <w:r>
        <w:rPr>
          <w:sz w:val="20"/>
        </w:rPr>
        <w:t>pay</w:t>
      </w:r>
      <w:r>
        <w:rPr>
          <w:spacing w:val="-2"/>
          <w:sz w:val="20"/>
        </w:rPr>
        <w:t> </w:t>
      </w:r>
      <w:r>
        <w:rPr>
          <w:sz w:val="20"/>
        </w:rPr>
        <w:t>“the</w:t>
      </w:r>
      <w:r>
        <w:rPr>
          <w:spacing w:val="-2"/>
          <w:sz w:val="20"/>
        </w:rPr>
        <w:t> </w:t>
      </w:r>
      <w:r>
        <w:rPr>
          <w:sz w:val="20"/>
        </w:rPr>
        <w:t>outstanding</w:t>
      </w:r>
      <w:r>
        <w:rPr>
          <w:spacing w:val="-2"/>
          <w:sz w:val="20"/>
        </w:rPr>
        <w:t> </w:t>
      </w:r>
      <w:r>
        <w:rPr>
          <w:sz w:val="20"/>
        </w:rPr>
        <w:t>amount</w:t>
      </w:r>
      <w:r>
        <w:rPr>
          <w:spacing w:val="-2"/>
          <w:sz w:val="20"/>
        </w:rPr>
        <w:t> </w:t>
      </w:r>
      <w:r>
        <w:rPr>
          <w:sz w:val="20"/>
        </w:rPr>
        <w:t>due</w:t>
      </w:r>
      <w:r>
        <w:rPr>
          <w:spacing w:val="-2"/>
          <w:sz w:val="20"/>
        </w:rPr>
        <w:t> </w:t>
      </w:r>
      <w:r>
        <w:rPr>
          <w:sz w:val="20"/>
        </w:rPr>
        <w:t>to</w:t>
      </w:r>
      <w:r>
        <w:rPr>
          <w:spacing w:val="-2"/>
          <w:sz w:val="20"/>
        </w:rPr>
        <w:t> </w:t>
      </w:r>
      <w:r>
        <w:rPr>
          <w:sz w:val="20"/>
        </w:rPr>
        <w:t>you”</w:t>
      </w:r>
      <w:r>
        <w:rPr>
          <w:spacing w:val="-2"/>
          <w:sz w:val="20"/>
        </w:rPr>
        <w:t> </w:t>
      </w:r>
      <w:r>
        <w:rPr>
          <w:sz w:val="20"/>
        </w:rPr>
        <w:t>was held to amount to an “acknowledgement within section 29(5)” even though it contained </w:t>
      </w:r>
      <w:r>
        <w:rPr>
          <w:sz w:val="20"/>
        </w:rPr>
        <w:t>no admission of the amount (or undisputed amount) of the debt; cf. </w:t>
      </w:r>
      <w:r>
        <w:rPr>
          <w:rFonts w:ascii="Arial" w:hAnsi="Arial"/>
          <w:i/>
          <w:sz w:val="20"/>
        </w:rPr>
        <w:t>Re Overmark Smith Warden Ltd [1982] 1 W.L.R. 1195 </w:t>
      </w:r>
      <w:r>
        <w:rPr>
          <w:sz w:val="20"/>
        </w:rPr>
        <w:t>(“statement of affairs” by insolvent company). An express </w:t>
      </w:r>
      <w:r>
        <w:rPr>
          <w:rFonts w:ascii="Arial" w:hAnsi="Arial"/>
          <w:i/>
          <w:sz w:val="20"/>
        </w:rPr>
        <w:t>denial </w:t>
      </w:r>
      <w:r>
        <w:rPr>
          <w:sz w:val="20"/>
        </w:rPr>
        <w:t>of liability is not an acknowledgement within s.29(5): </w:t>
      </w:r>
      <w:r>
        <w:rPr>
          <w:rFonts w:ascii="Arial" w:hAnsi="Arial"/>
          <w:i/>
          <w:sz w:val="20"/>
        </w:rPr>
        <w:t>Revenue and Customs Commissioners v Benchdollar Ltd [2009] EWHC 1310 (Ch), [2010] 1 All E.R. 174</w:t>
      </w:r>
      <w:r>
        <w:rPr>
          <w:sz w:val="20"/>
        </w:rPr>
        <w:t>; and the same is true of a letter from</w:t>
      </w:r>
      <w:r>
        <w:rPr>
          <w:spacing w:val="40"/>
          <w:sz w:val="20"/>
        </w:rPr>
        <w:t> </w:t>
      </w:r>
      <w:r>
        <w:rPr>
          <w:sz w:val="20"/>
        </w:rPr>
        <w:t>the</w:t>
      </w:r>
      <w:r>
        <w:rPr>
          <w:spacing w:val="40"/>
          <w:sz w:val="20"/>
        </w:rPr>
        <w:t> </w:t>
      </w:r>
      <w:r>
        <w:rPr>
          <w:sz w:val="20"/>
        </w:rPr>
        <w:t>debtor</w:t>
      </w:r>
      <w:r>
        <w:rPr>
          <w:spacing w:val="40"/>
          <w:sz w:val="20"/>
        </w:rPr>
        <w:t> </w:t>
      </w:r>
      <w:r>
        <w:rPr>
          <w:sz w:val="20"/>
        </w:rPr>
        <w:t>merely</w:t>
      </w:r>
      <w:r>
        <w:rPr>
          <w:spacing w:val="40"/>
          <w:sz w:val="20"/>
        </w:rPr>
        <w:t> </w:t>
      </w:r>
      <w:r>
        <w:rPr>
          <w:sz w:val="20"/>
        </w:rPr>
        <w:t>questioning</w:t>
      </w:r>
      <w:r>
        <w:rPr>
          <w:spacing w:val="40"/>
          <w:sz w:val="20"/>
        </w:rPr>
        <w:t> </w:t>
      </w:r>
      <w:r>
        <w:rPr>
          <w:sz w:val="20"/>
        </w:rPr>
        <w:t>the</w:t>
      </w:r>
      <w:r>
        <w:rPr>
          <w:spacing w:val="40"/>
          <w:sz w:val="20"/>
        </w:rPr>
        <w:t> </w:t>
      </w:r>
      <w:r>
        <w:rPr>
          <w:sz w:val="20"/>
        </w:rPr>
        <w:t>amount</w:t>
      </w:r>
      <w:r>
        <w:rPr>
          <w:spacing w:val="40"/>
          <w:sz w:val="20"/>
        </w:rPr>
        <w:t> </w:t>
      </w:r>
      <w:r>
        <w:rPr>
          <w:sz w:val="20"/>
        </w:rPr>
        <w:t>claimed:</w:t>
      </w:r>
      <w:r>
        <w:rPr>
          <w:spacing w:val="40"/>
          <w:sz w:val="20"/>
        </w:rPr>
        <w:t> </w:t>
      </w:r>
      <w:r>
        <w:rPr>
          <w:rFonts w:ascii="Arial" w:hAnsi="Arial"/>
          <w:i/>
          <w:sz w:val="20"/>
        </w:rPr>
        <w:t>Phillips</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Bath</w:t>
      </w:r>
      <w:r>
        <w:rPr>
          <w:rFonts w:ascii="Arial" w:hAnsi="Arial"/>
          <w:i/>
          <w:spacing w:val="40"/>
          <w:sz w:val="20"/>
        </w:rPr>
        <w:t> </w:t>
      </w:r>
      <w:r>
        <w:rPr>
          <w:rFonts w:ascii="Arial" w:hAnsi="Arial"/>
          <w:i/>
          <w:sz w:val="20"/>
        </w:rPr>
        <w:t>Housing</w:t>
      </w:r>
      <w:r>
        <w:rPr>
          <w:rFonts w:ascii="Arial" w:hAnsi="Arial"/>
          <w:i/>
          <w:spacing w:val="80"/>
          <w:sz w:val="20"/>
        </w:rPr>
        <w:t> </w:t>
      </w:r>
      <w:r>
        <w:rPr>
          <w:rFonts w:ascii="Arial" w:hAnsi="Arial"/>
          <w:i/>
          <w:sz w:val="20"/>
        </w:rPr>
        <w:t>Co-operation Ltd [2012] EWCA Civ 1591, [2013] 1 W.L.R. 1479 </w:t>
      </w:r>
      <w:r>
        <w:rPr>
          <w:sz w:val="20"/>
        </w:rPr>
        <w:t>at [53], [58]. For the analogous question of what amounts to an acknowledgement by an occupier of land of the owner’s title for the</w:t>
      </w:r>
      <w:r>
        <w:rPr>
          <w:spacing w:val="21"/>
          <w:sz w:val="20"/>
        </w:rPr>
        <w:t> </w:t>
      </w:r>
      <w:r>
        <w:rPr>
          <w:sz w:val="20"/>
        </w:rPr>
        <w:t>purposes</w:t>
      </w:r>
      <w:r>
        <w:rPr>
          <w:spacing w:val="21"/>
          <w:sz w:val="20"/>
        </w:rPr>
        <w:t> </w:t>
      </w:r>
      <w:r>
        <w:rPr>
          <w:sz w:val="20"/>
        </w:rPr>
        <w:t>of</w:t>
      </w:r>
      <w:r>
        <w:rPr>
          <w:spacing w:val="21"/>
          <w:sz w:val="20"/>
        </w:rPr>
        <w:t> </w:t>
      </w:r>
      <w:r>
        <w:rPr>
          <w:sz w:val="20"/>
        </w:rPr>
        <w:t>Limitation</w:t>
      </w:r>
      <w:r>
        <w:rPr>
          <w:spacing w:val="21"/>
          <w:sz w:val="20"/>
        </w:rPr>
        <w:t> </w:t>
      </w:r>
      <w:r>
        <w:rPr>
          <w:sz w:val="20"/>
        </w:rPr>
        <w:t>Act</w:t>
      </w:r>
      <w:r>
        <w:rPr>
          <w:spacing w:val="21"/>
          <w:sz w:val="20"/>
        </w:rPr>
        <w:t> </w:t>
      </w:r>
      <w:r>
        <w:rPr>
          <w:sz w:val="20"/>
        </w:rPr>
        <w:t>1980,</w:t>
      </w:r>
      <w:r>
        <w:rPr>
          <w:spacing w:val="21"/>
          <w:sz w:val="20"/>
        </w:rPr>
        <w:t> </w:t>
      </w:r>
      <w:r>
        <w:rPr>
          <w:sz w:val="20"/>
        </w:rPr>
        <w:t>s.29(a),</w:t>
      </w:r>
      <w:r>
        <w:rPr>
          <w:spacing w:val="21"/>
          <w:sz w:val="20"/>
        </w:rPr>
        <w:t> </w:t>
      </w:r>
      <w:r>
        <w:rPr>
          <w:sz w:val="20"/>
        </w:rPr>
        <w:t>see</w:t>
      </w:r>
      <w:r>
        <w:rPr>
          <w:spacing w:val="21"/>
          <w:sz w:val="20"/>
        </w:rPr>
        <w:t> </w:t>
      </w:r>
      <w:r>
        <w:rPr>
          <w:rFonts w:ascii="Arial" w:hAnsi="Arial"/>
          <w:i/>
          <w:sz w:val="20"/>
        </w:rPr>
        <w:t>Ofalue</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Bossert</w:t>
      </w:r>
      <w:r>
        <w:rPr>
          <w:rFonts w:ascii="Arial" w:hAnsi="Arial"/>
          <w:i/>
          <w:spacing w:val="21"/>
          <w:sz w:val="20"/>
        </w:rPr>
        <w:t> </w:t>
      </w:r>
      <w:r>
        <w:rPr>
          <w:rFonts w:ascii="Arial" w:hAnsi="Arial"/>
          <w:i/>
          <w:sz w:val="20"/>
        </w:rPr>
        <w:t>[2009]</w:t>
      </w:r>
      <w:r>
        <w:rPr>
          <w:rFonts w:ascii="Arial" w:hAnsi="Arial"/>
          <w:i/>
          <w:spacing w:val="21"/>
          <w:sz w:val="20"/>
        </w:rPr>
        <w:t> </w:t>
      </w:r>
      <w:r>
        <w:rPr>
          <w:rFonts w:ascii="Arial" w:hAnsi="Arial"/>
          <w:i/>
          <w:sz w:val="20"/>
        </w:rPr>
        <w:t>UKHL</w:t>
      </w:r>
      <w:r>
        <w:rPr>
          <w:rFonts w:ascii="Arial" w:hAnsi="Arial"/>
          <w:i/>
          <w:spacing w:val="21"/>
          <w:sz w:val="20"/>
        </w:rPr>
        <w:t> </w:t>
      </w:r>
      <w:r>
        <w:rPr>
          <w:rFonts w:ascii="Arial" w:hAnsi="Arial"/>
          <w:i/>
          <w:sz w:val="20"/>
        </w:rPr>
        <w:t>16,</w:t>
      </w:r>
      <w:r>
        <w:rPr>
          <w:rFonts w:ascii="Arial" w:hAnsi="Arial"/>
          <w:i/>
          <w:spacing w:val="21"/>
          <w:sz w:val="20"/>
        </w:rPr>
        <w:t> </w:t>
      </w:r>
      <w:r>
        <w:rPr>
          <w:rFonts w:ascii="Arial" w:hAnsi="Arial"/>
          <w:i/>
          <w:sz w:val="20"/>
        </w:rPr>
        <w:t>[2009]</w:t>
      </w:r>
      <w:r>
        <w:rPr>
          <w:rFonts w:ascii="Arial" w:hAnsi="Arial"/>
          <w:i/>
          <w:spacing w:val="21"/>
          <w:sz w:val="20"/>
        </w:rPr>
        <w:t> </w:t>
      </w:r>
      <w:r>
        <w:rPr>
          <w:rFonts w:ascii="Arial" w:hAnsi="Arial"/>
          <w:i/>
          <w:spacing w:val="-10"/>
          <w:sz w:val="20"/>
        </w:rPr>
        <w:t>1</w:t>
      </w:r>
    </w:p>
    <w:p>
      <w:pPr>
        <w:spacing w:line="221" w:lineRule="exact" w:before="0"/>
        <w:ind w:left="705" w:right="0" w:firstLine="0"/>
        <w:jc w:val="left"/>
        <w:rPr>
          <w:sz w:val="20"/>
        </w:rPr>
      </w:pPr>
      <w:r>
        <w:rPr>
          <w:rFonts w:ascii="Arial"/>
          <w:i/>
          <w:sz w:val="20"/>
        </w:rPr>
        <w:t>A.C.</w:t>
      </w:r>
      <w:r>
        <w:rPr>
          <w:rFonts w:ascii="Arial"/>
          <w:i/>
          <w:spacing w:val="-2"/>
          <w:sz w:val="20"/>
        </w:rPr>
        <w:t> </w:t>
      </w:r>
      <w:r>
        <w:rPr>
          <w:rFonts w:ascii="Arial"/>
          <w:i/>
          <w:spacing w:val="-4"/>
          <w:sz w:val="20"/>
        </w:rPr>
        <w:t>290</w:t>
      </w:r>
      <w:r>
        <w:rPr>
          <w:spacing w:val="-4"/>
          <w:sz w:val="20"/>
        </w:rPr>
        <w:t>.</w:t>
      </w:r>
    </w:p>
    <w:p>
      <w:pPr>
        <w:pStyle w:val="BodyText"/>
        <w:spacing w:before="5"/>
      </w:pPr>
    </w:p>
    <w:p>
      <w:pPr>
        <w:pStyle w:val="BodyText"/>
        <w:tabs>
          <w:tab w:pos="705" w:val="left" w:leader="none"/>
        </w:tabs>
        <w:ind w:left="165"/>
      </w:pPr>
      <w:bookmarkStart w:name="_bookmark435" w:id="437"/>
      <w:bookmarkEnd w:id="437"/>
      <w:r>
        <w:rPr/>
      </w:r>
      <w:hyperlink w:history="true" w:anchor="_bookmark362">
        <w:r>
          <w:rPr>
            <w:color w:val="005DA1"/>
            <w:spacing w:val="-4"/>
            <w:position w:val="5"/>
            <w:sz w:val="14"/>
            <w:u w:val="single" w:color="005DA1"/>
          </w:rPr>
          <w:t>233</w:t>
        </w:r>
      </w:hyperlink>
      <w:r>
        <w:rPr>
          <w:spacing w:val="-4"/>
          <w:position w:val="5"/>
          <w:sz w:val="14"/>
        </w:rPr>
        <w:t>.</w:t>
      </w:r>
      <w:r>
        <w:rPr>
          <w:position w:val="5"/>
          <w:sz w:val="14"/>
        </w:rPr>
        <w:tab/>
      </w:r>
      <w:r>
        <w:rPr/>
        <w:t>Limitation Act 1980, </w:t>
      </w:r>
      <w:r>
        <w:rPr>
          <w:spacing w:val="-2"/>
        </w:rPr>
        <w:t>s.29(7).</w:t>
      </w:r>
    </w:p>
    <w:p>
      <w:pPr>
        <w:pStyle w:val="BodyText"/>
        <w:spacing w:before="5"/>
      </w:pPr>
    </w:p>
    <w:p>
      <w:pPr>
        <w:tabs>
          <w:tab w:pos="705" w:val="left" w:leader="none"/>
        </w:tabs>
        <w:spacing w:before="0"/>
        <w:ind w:left="165" w:right="0" w:firstLine="0"/>
        <w:jc w:val="left"/>
        <w:rPr>
          <w:sz w:val="20"/>
        </w:rPr>
      </w:pPr>
      <w:bookmarkStart w:name="_bookmark436" w:id="438"/>
      <w:bookmarkEnd w:id="438"/>
      <w:r>
        <w:rPr/>
      </w:r>
      <w:hyperlink w:history="true" w:anchor="_bookmark363">
        <w:r>
          <w:rPr>
            <w:color w:val="005DA1"/>
            <w:spacing w:val="-4"/>
            <w:position w:val="5"/>
            <w:sz w:val="14"/>
            <w:u w:val="single" w:color="005DA1"/>
          </w:rPr>
          <w:t>234</w:t>
        </w:r>
      </w:hyperlink>
      <w:r>
        <w:rPr>
          <w:spacing w:val="-4"/>
          <w:position w:val="5"/>
          <w:sz w:val="14"/>
        </w:rPr>
        <w:t>.</w:t>
      </w:r>
      <w:r>
        <w:rPr>
          <w:position w:val="5"/>
          <w:sz w:val="14"/>
        </w:rPr>
        <w:tab/>
      </w:r>
      <w:r>
        <w:rPr>
          <w:spacing w:val="-2"/>
          <w:sz w:val="20"/>
        </w:rPr>
        <w:t>ibid.</w:t>
      </w:r>
    </w:p>
    <w:p>
      <w:pPr>
        <w:pStyle w:val="BodyText"/>
        <w:spacing w:before="5"/>
      </w:pPr>
    </w:p>
    <w:p>
      <w:pPr>
        <w:tabs>
          <w:tab w:pos="705" w:val="left" w:leader="none"/>
        </w:tabs>
        <w:spacing w:before="0"/>
        <w:ind w:left="165" w:right="0" w:firstLine="0"/>
        <w:jc w:val="left"/>
        <w:rPr>
          <w:sz w:val="20"/>
        </w:rPr>
      </w:pPr>
      <w:bookmarkStart w:name="_bookmark437" w:id="439"/>
      <w:bookmarkEnd w:id="439"/>
      <w:r>
        <w:rPr/>
      </w:r>
      <w:hyperlink w:history="true" w:anchor="_bookmark364">
        <w:r>
          <w:rPr>
            <w:color w:val="005DA1"/>
            <w:spacing w:val="-4"/>
            <w:position w:val="5"/>
            <w:sz w:val="14"/>
            <w:u w:val="single" w:color="005DA1"/>
          </w:rPr>
          <w:t>235</w:t>
        </w:r>
      </w:hyperlink>
      <w:r>
        <w:rPr>
          <w:spacing w:val="-4"/>
          <w:position w:val="5"/>
          <w:sz w:val="14"/>
        </w:rPr>
        <w:t>.</w:t>
      </w:r>
      <w:r>
        <w:rPr>
          <w:position w:val="5"/>
          <w:sz w:val="14"/>
        </w:rPr>
        <w:tab/>
      </w:r>
      <w:r>
        <w:rPr>
          <w:sz w:val="20"/>
        </w:rPr>
        <w:t>Above, para.4-</w:t>
      </w:r>
      <w:r>
        <w:rPr>
          <w:spacing w:val="-4"/>
          <w:sz w:val="20"/>
        </w:rPr>
        <w:t>033.</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727" w:right="2730"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72416">
                <wp:simplePos x="0" y="0"/>
                <wp:positionH relativeFrom="page">
                  <wp:posOffset>4707940</wp:posOffset>
                </wp:positionH>
                <wp:positionV relativeFrom="paragraph">
                  <wp:posOffset>377436</wp:posOffset>
                </wp:positionV>
                <wp:extent cx="4254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44064" from="370.70401pt,29.719406pt" to="374.04001pt,29.719406pt" stroked="true" strokeweight=".428pt" strokecolor="#005da1">
                <v:stroke dashstyle="solid"/>
                <w10:wrap type="none"/>
              </v:line>
            </w:pict>
          </mc:Fallback>
        </mc:AlternateContent>
      </w: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4 - Consideration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6. - Consideration must Move From The </w:t>
      </w:r>
      <w:r>
        <w:rPr>
          <w:rFonts w:ascii="Arial"/>
          <w:b/>
          <w:spacing w:val="-2"/>
          <w:sz w:val="24"/>
        </w:rPr>
        <w:t>Promisee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Promisee must provide </w:t>
      </w:r>
      <w:r>
        <w:rPr>
          <w:rFonts w:ascii="Arial"/>
          <w:b/>
          <w:spacing w:val="-2"/>
          <w:sz w:val="18"/>
        </w:rPr>
        <w:t>consideration</w:t>
      </w:r>
    </w:p>
    <w:p>
      <w:pPr>
        <w:pStyle w:val="BodyText"/>
        <w:spacing w:before="41"/>
        <w:rPr>
          <w:rFonts w:ascii="Arial"/>
          <w:b/>
          <w:sz w:val="18"/>
        </w:rPr>
      </w:pPr>
    </w:p>
    <w:p>
      <w:pPr>
        <w:pStyle w:val="Heading2"/>
      </w:pPr>
      <w:r>
        <w:rPr/>
        <w:t>4-</w:t>
      </w:r>
      <w:r>
        <w:rPr>
          <w:spacing w:val="-5"/>
        </w:rPr>
        <w:t>037</w:t>
      </w:r>
    </w:p>
    <w:p>
      <w:pPr>
        <w:pStyle w:val="BodyText"/>
        <w:spacing w:line="235" w:lineRule="auto" w:before="203"/>
        <w:ind w:left="165" w:right="167"/>
        <w:jc w:val="both"/>
      </w:pPr>
      <w:bookmarkStart w:name="_bookmark438" w:id="440"/>
      <w:bookmarkEnd w:id="440"/>
      <w:r>
        <w:rPr/>
      </w:r>
      <w:r>
        <w:rPr/>
        <w:t>The rule that “consideration must move from the promisee” </w:t>
      </w:r>
      <w:r>
        <w:rPr>
          <w:color w:val="005DA1"/>
          <w:u w:val="single" w:color="005DA1"/>
          <w:vertAlign w:val="superscript"/>
        </w:rPr>
        <w:t>236</w:t>
      </w:r>
      <w:r>
        <w:rPr>
          <w:color w:val="005DA1"/>
          <w:vertAlign w:val="baseline"/>
        </w:rPr>
        <w:t> </w:t>
      </w:r>
      <w:r>
        <w:rPr>
          <w:vertAlign w:val="baseline"/>
        </w:rPr>
        <w:t>means that a person can enforce a promise only if he himself provided consideration for it. Thus if A promises B to pay a sum of </w:t>
      </w:r>
      <w:r>
        <w:rPr>
          <w:vertAlign w:val="baseline"/>
        </w:rPr>
        <w:t>money</w:t>
      </w:r>
      <w:r>
        <w:rPr>
          <w:spacing w:val="40"/>
          <w:vertAlign w:val="baseline"/>
        </w:rPr>
        <w:t> </w:t>
      </w:r>
      <w:r>
        <w:rPr>
          <w:vertAlign w:val="baseline"/>
        </w:rPr>
        <w:t>to B if C will paint A’s house and C does so, B cannot enforce the promise (unless, of course, he procured, or expressly or impliedly undertook to procure, C to do the work). It is, however, not necessary for the promisee to provide the whole consideration for the promise: thus he can enforce a </w:t>
      </w:r>
      <w:bookmarkStart w:name="_bookmark439" w:id="441"/>
      <w:bookmarkEnd w:id="441"/>
      <w:r>
        <w:rPr>
          <w:vertAlign w:val="baseline"/>
        </w:rPr>
        <w:t>promise</w:t>
      </w:r>
      <w:r>
        <w:rPr>
          <w:spacing w:val="21"/>
          <w:vertAlign w:val="baseline"/>
        </w:rPr>
        <w:t> </w:t>
      </w:r>
      <w:r>
        <w:rPr>
          <w:vertAlign w:val="baseline"/>
        </w:rPr>
        <w:t>part</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consideration</w:t>
      </w:r>
      <w:r>
        <w:rPr>
          <w:spacing w:val="21"/>
          <w:vertAlign w:val="baseline"/>
        </w:rPr>
        <w:t> </w:t>
      </w:r>
      <w:r>
        <w:rPr>
          <w:vertAlign w:val="baseline"/>
        </w:rPr>
        <w:t>for</w:t>
      </w:r>
      <w:r>
        <w:rPr>
          <w:spacing w:val="21"/>
          <w:vertAlign w:val="baseline"/>
        </w:rPr>
        <w:t> </w:t>
      </w:r>
      <w:r>
        <w:rPr>
          <w:vertAlign w:val="baseline"/>
        </w:rPr>
        <w:t>which</w:t>
      </w:r>
      <w:r>
        <w:rPr>
          <w:spacing w:val="21"/>
          <w:vertAlign w:val="baseline"/>
        </w:rPr>
        <w:t> </w:t>
      </w:r>
      <w:r>
        <w:rPr>
          <w:vertAlign w:val="baseline"/>
        </w:rPr>
        <w:t>was</w:t>
      </w:r>
      <w:r>
        <w:rPr>
          <w:spacing w:val="21"/>
          <w:vertAlign w:val="baseline"/>
        </w:rPr>
        <w:t> </w:t>
      </w:r>
      <w:r>
        <w:rPr>
          <w:vertAlign w:val="baseline"/>
        </w:rPr>
        <w:t>provided</w:t>
      </w:r>
      <w:r>
        <w:rPr>
          <w:spacing w:val="21"/>
          <w:vertAlign w:val="baseline"/>
        </w:rPr>
        <w:t> </w:t>
      </w:r>
      <w:r>
        <w:rPr>
          <w:vertAlign w:val="baseline"/>
        </w:rPr>
        <w:t>by</w:t>
      </w:r>
      <w:r>
        <w:rPr>
          <w:spacing w:val="21"/>
          <w:vertAlign w:val="baseline"/>
        </w:rPr>
        <w:t> </w:t>
      </w:r>
      <w:r>
        <w:rPr>
          <w:vertAlign w:val="baseline"/>
        </w:rPr>
        <w:t>his</w:t>
      </w:r>
      <w:r>
        <w:rPr>
          <w:spacing w:val="21"/>
          <w:vertAlign w:val="baseline"/>
        </w:rPr>
        <w:t> </w:t>
      </w:r>
      <w:r>
        <w:rPr>
          <w:vertAlign w:val="baseline"/>
        </w:rPr>
        <w:t>agent</w:t>
      </w:r>
      <w:r>
        <w:rPr>
          <w:spacing w:val="21"/>
          <w:vertAlign w:val="baseline"/>
        </w:rPr>
        <w:t> </w:t>
      </w:r>
      <w:r>
        <w:rPr>
          <w:vertAlign w:val="baseline"/>
        </w:rPr>
        <w:t>or</w:t>
      </w:r>
      <w:r>
        <w:rPr>
          <w:spacing w:val="21"/>
          <w:vertAlign w:val="baseline"/>
        </w:rPr>
        <w:t> </w:t>
      </w:r>
      <w:r>
        <w:rPr>
          <w:vertAlign w:val="baseline"/>
        </w:rPr>
        <w:t>partner</w:t>
      </w:r>
      <w:r>
        <w:rPr>
          <w:spacing w:val="21"/>
          <w:vertAlign w:val="baseline"/>
        </w:rPr>
        <w:t> </w:t>
      </w:r>
      <w:r>
        <w:rPr>
          <w:vertAlign w:val="baseline"/>
        </w:rPr>
        <w:t>or</w:t>
      </w:r>
      <w:r>
        <w:rPr>
          <w:spacing w:val="21"/>
          <w:vertAlign w:val="baseline"/>
        </w:rPr>
        <w:t> </w:t>
      </w:r>
      <w:r>
        <w:rPr>
          <w:vertAlign w:val="baseline"/>
        </w:rPr>
        <w:t>by</w:t>
      </w:r>
      <w:r>
        <w:rPr>
          <w:spacing w:val="21"/>
          <w:vertAlign w:val="baseline"/>
        </w:rPr>
        <w:t> </w:t>
      </w:r>
      <w:r>
        <w:rPr>
          <w:vertAlign w:val="baseline"/>
        </w:rPr>
        <w:t>some</w:t>
      </w:r>
      <w:r>
        <w:rPr>
          <w:spacing w:val="21"/>
          <w:vertAlign w:val="baseline"/>
        </w:rPr>
        <w:t> </w:t>
      </w:r>
      <w:r>
        <w:rPr>
          <w:vertAlign w:val="baseline"/>
        </w:rPr>
        <w:t>other co-promisee. </w:t>
      </w:r>
      <w:r>
        <w:rPr>
          <w:color w:val="005DA1"/>
          <w:u w:val="single" w:color="005DA1"/>
          <w:vertAlign w:val="superscript"/>
        </w:rPr>
        <w:t>237</w:t>
      </w:r>
    </w:p>
    <w:p>
      <w:pPr>
        <w:pStyle w:val="BodyText"/>
      </w:pPr>
    </w:p>
    <w:p>
      <w:pPr>
        <w:pStyle w:val="BodyText"/>
        <w:spacing w:before="36"/>
      </w:pPr>
    </w:p>
    <w:p>
      <w:pPr>
        <w:spacing w:before="0"/>
        <w:ind w:left="165" w:right="0" w:firstLine="0"/>
        <w:jc w:val="left"/>
        <w:rPr>
          <w:rFonts w:ascii="Arial"/>
          <w:b/>
          <w:sz w:val="18"/>
        </w:rPr>
      </w:pPr>
      <w:r>
        <w:rPr>
          <w:rFonts w:ascii="Arial"/>
          <w:b/>
          <w:sz w:val="18"/>
        </w:rPr>
        <w:t>Benefit to promisor </w:t>
      </w:r>
      <w:r>
        <w:rPr>
          <w:rFonts w:ascii="Arial"/>
          <w:b/>
          <w:spacing w:val="-2"/>
          <w:sz w:val="18"/>
        </w:rPr>
        <w:t>sufficient</w:t>
      </w:r>
    </w:p>
    <w:p>
      <w:pPr>
        <w:pStyle w:val="BodyText"/>
        <w:spacing w:before="41"/>
        <w:rPr>
          <w:rFonts w:ascii="Arial"/>
          <w:b/>
          <w:sz w:val="18"/>
        </w:rPr>
      </w:pPr>
    </w:p>
    <w:p>
      <w:pPr>
        <w:pStyle w:val="Heading2"/>
      </w:pPr>
      <w:r>
        <w:rPr/>
        <w:t>4-</w:t>
      </w:r>
      <w:r>
        <w:rPr>
          <w:spacing w:val="-5"/>
        </w:rPr>
        <w:t>038</w:t>
      </w:r>
    </w:p>
    <w:p>
      <w:pPr>
        <w:pStyle w:val="BodyText"/>
        <w:spacing w:line="235" w:lineRule="auto" w:before="203"/>
        <w:ind w:left="164" w:right="167"/>
        <w:jc w:val="both"/>
      </w:pPr>
      <w:r>
        <w:rPr/>
        <w:t>The requirement that consideration must move from the promisee is most generally satisfied where some detriment is suffered by him: e.g. where he parts with money or goods, or renders services, in exchange for the promise. But the requirement may equally well be satisfied where the </w:t>
      </w:r>
      <w:r>
        <w:rPr/>
        <w:t>promisee confers a benefit on the promisor without suffering any detriment. This point is illustrated by two rules </w:t>
      </w:r>
      <w:bookmarkStart w:name="_bookmark440" w:id="442"/>
      <w:bookmarkEnd w:id="442"/>
      <w:r>
        <w:rPr/>
        <w:t>to</w:t>
      </w:r>
      <w:r>
        <w:rPr/>
        <w:t> be discussed later in this chapter. The first is that performance of an existing contractual duty (or a promise to perform such a duty) can constitute consideration if it benefits the promisor </w:t>
      </w:r>
      <w:r>
        <w:rPr>
          <w:color w:val="005DA1"/>
          <w:u w:val="single" w:color="005DA1"/>
          <w:vertAlign w:val="superscript"/>
        </w:rPr>
        <w:t>238</w:t>
      </w:r>
      <w:r>
        <w:rPr>
          <w:vertAlign w:val="baseline"/>
        </w:rPr>
        <w:t>: this benefit </w:t>
      </w:r>
      <w:bookmarkStart w:name="_bookmark441" w:id="443"/>
      <w:bookmarkEnd w:id="443"/>
      <w:r>
        <w:rPr>
          <w:vertAlign w:val="baseline"/>
        </w:rPr>
        <w:t>is</w:t>
      </w:r>
      <w:r>
        <w:rPr>
          <w:vertAlign w:val="baseline"/>
        </w:rPr>
        <w:t> conferred by, and so “moves” from, the promisee in that it is conferred by him, even though it may </w:t>
      </w:r>
      <w:bookmarkStart w:name="_bookmark442" w:id="444"/>
      <w:bookmarkEnd w:id="444"/>
      <w:r>
        <w:rPr>
          <w:vertAlign w:val="baseline"/>
        </w:rPr>
        <w:t>cause</w:t>
      </w:r>
      <w:r>
        <w:rPr>
          <w:vertAlign w:val="baseline"/>
        </w:rPr>
        <w:t> him no detriment </w:t>
      </w:r>
      <w:r>
        <w:rPr>
          <w:color w:val="005DA1"/>
          <w:u w:val="single" w:color="005DA1"/>
          <w:vertAlign w:val="superscript"/>
        </w:rPr>
        <w:t>239</w:t>
      </w:r>
      <w:r>
        <w:rPr>
          <w:color w:val="005DA1"/>
          <w:vertAlign w:val="baseline"/>
        </w:rPr>
        <w:t> </w:t>
      </w:r>
      <w:r>
        <w:rPr>
          <w:vertAlign w:val="baseline"/>
        </w:rPr>
        <w:t>in the sense that he was already bound to do the acts in question. The second is that a composition agreement between a debtor and his creditors is binding </w:t>
      </w:r>
      <w:r>
        <w:rPr>
          <w:color w:val="005DA1"/>
          <w:u w:val="single" w:color="005DA1"/>
          <w:vertAlign w:val="superscript"/>
        </w:rPr>
        <w:t>240</w:t>
      </w:r>
      <w:r>
        <w:rPr>
          <w:color w:val="005DA1"/>
          <w:vertAlign w:val="baseline"/>
        </w:rPr>
        <w:t> </w:t>
      </w:r>
      <w:r>
        <w:rPr>
          <w:vertAlign w:val="baseline"/>
        </w:rPr>
        <w:t>because it benefits</w:t>
      </w:r>
      <w:r>
        <w:rPr>
          <w:spacing w:val="-1"/>
          <w:vertAlign w:val="baseline"/>
        </w:rPr>
        <w:t> </w:t>
      </w:r>
      <w:r>
        <w:rPr>
          <w:vertAlign w:val="baseline"/>
        </w:rPr>
        <w:t>the</w:t>
      </w:r>
      <w:r>
        <w:rPr>
          <w:spacing w:val="-1"/>
          <w:vertAlign w:val="baseline"/>
        </w:rPr>
        <w:t> </w:t>
      </w:r>
      <w:r>
        <w:rPr>
          <w:vertAlign w:val="baseline"/>
        </w:rPr>
        <w:t>creditors;</w:t>
      </w:r>
      <w:r>
        <w:rPr>
          <w:spacing w:val="-1"/>
          <w:vertAlign w:val="baseline"/>
        </w:rPr>
        <w:t> </w:t>
      </w:r>
      <w:r>
        <w:rPr>
          <w:vertAlign w:val="baseline"/>
        </w:rPr>
        <w:t>and</w:t>
      </w:r>
      <w:r>
        <w:rPr>
          <w:spacing w:val="-1"/>
          <w:vertAlign w:val="baseline"/>
        </w:rPr>
        <w:t> </w:t>
      </w:r>
      <w:r>
        <w:rPr>
          <w:vertAlign w:val="baseline"/>
        </w:rPr>
        <w:t>this</w:t>
      </w:r>
      <w:r>
        <w:rPr>
          <w:spacing w:val="-1"/>
          <w:vertAlign w:val="baseline"/>
        </w:rPr>
        <w:t> </w:t>
      </w:r>
      <w:r>
        <w:rPr>
          <w:vertAlign w:val="baseline"/>
        </w:rPr>
        <w:t>benefit</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said</w:t>
      </w:r>
      <w:r>
        <w:rPr>
          <w:spacing w:val="-1"/>
          <w:vertAlign w:val="baseline"/>
        </w:rPr>
        <w:t> </w:t>
      </w:r>
      <w:r>
        <w:rPr>
          <w:vertAlign w:val="baseline"/>
        </w:rPr>
        <w:t>to</w:t>
      </w:r>
      <w:r>
        <w:rPr>
          <w:spacing w:val="-1"/>
          <w:vertAlign w:val="baseline"/>
        </w:rPr>
        <w:t> </w:t>
      </w:r>
      <w:r>
        <w:rPr>
          <w:vertAlign w:val="baseline"/>
        </w:rPr>
        <w:t>“move”</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debtor</w:t>
      </w:r>
      <w:r>
        <w:rPr>
          <w:spacing w:val="-1"/>
          <w:vertAlign w:val="baseline"/>
        </w:rPr>
        <w:t> </w:t>
      </w:r>
      <w:r>
        <w:rPr>
          <w:vertAlign w:val="baseline"/>
        </w:rPr>
        <w:t>in</w:t>
      </w:r>
      <w:r>
        <w:rPr>
          <w:spacing w:val="-1"/>
          <w:vertAlign w:val="baseline"/>
        </w:rPr>
        <w:t> </w:t>
      </w:r>
      <w:r>
        <w:rPr>
          <w:vertAlign w:val="baseline"/>
        </w:rPr>
        <w:t>that</w:t>
      </w:r>
      <w:r>
        <w:rPr>
          <w:spacing w:val="-1"/>
          <w:vertAlign w:val="baseline"/>
        </w:rPr>
        <w:t> </w:t>
      </w:r>
      <w:r>
        <w:rPr>
          <w:vertAlign w:val="baseline"/>
        </w:rPr>
        <w:t>his</w:t>
      </w:r>
      <w:r>
        <w:rPr>
          <w:spacing w:val="-1"/>
          <w:vertAlign w:val="baseline"/>
        </w:rPr>
        <w:t> </w:t>
      </w:r>
      <w:r>
        <w:rPr>
          <w:vertAlign w:val="baseline"/>
        </w:rPr>
        <w:t>co-operation</w:t>
      </w:r>
      <w:r>
        <w:rPr>
          <w:spacing w:val="-1"/>
          <w:vertAlign w:val="baseline"/>
        </w:rPr>
        <w:t> </w:t>
      </w:r>
      <w:r>
        <w:rPr>
          <w:vertAlign w:val="baseline"/>
        </w:rPr>
        <w:t>is </w:t>
      </w:r>
      <w:bookmarkStart w:name="_bookmark443" w:id="445"/>
      <w:bookmarkEnd w:id="445"/>
      <w:r>
        <w:rPr>
          <w:vertAlign w:val="baseline"/>
        </w:rPr>
        <w:t>essential</w:t>
      </w:r>
      <w:r>
        <w:rPr>
          <w:vertAlign w:val="baseline"/>
        </w:rPr>
        <w:t> to the making and performance of the composition agreement. It could be said that the </w:t>
      </w:r>
      <w:bookmarkStart w:name="_bookmark444" w:id="446"/>
      <w:bookmarkEnd w:id="446"/>
      <w:r>
        <w:rPr>
          <w:vertAlign w:val="baseline"/>
        </w:rPr>
        <w:t>debtor</w:t>
      </w:r>
      <w:r>
        <w:rPr>
          <w:vertAlign w:val="baseline"/>
        </w:rPr>
        <w:t> suffers a legal detriment </w:t>
      </w:r>
      <w:r>
        <w:rPr>
          <w:color w:val="005DA1"/>
          <w:u w:val="single" w:color="005DA1"/>
          <w:vertAlign w:val="superscript"/>
        </w:rPr>
        <w:t>241</w:t>
      </w:r>
      <w:r>
        <w:rPr>
          <w:color w:val="005DA1"/>
          <w:vertAlign w:val="baseline"/>
        </w:rPr>
        <w:t> </w:t>
      </w:r>
      <w:r>
        <w:rPr>
          <w:vertAlign w:val="baseline"/>
        </w:rPr>
        <w:t>by signing the agreement when he is not bound to do so. But the </w:t>
      </w:r>
      <w:bookmarkStart w:name="_bookmark445" w:id="447"/>
      <w:bookmarkEnd w:id="447"/>
      <w:r>
        <w:rPr>
          <w:vertAlign w:val="baseline"/>
        </w:rPr>
        <w:t>rule</w:t>
      </w:r>
      <w:r>
        <w:rPr>
          <w:vertAlign w:val="baseline"/>
        </w:rPr>
        <w:t> in question is not in fact based on this invented consideration. </w:t>
      </w:r>
      <w:r>
        <w:rPr>
          <w:color w:val="005DA1"/>
          <w:u w:val="single" w:color="005DA1"/>
          <w:vertAlign w:val="superscript"/>
        </w:rPr>
        <w:t>242</w:t>
      </w:r>
      <w:r>
        <w:rPr>
          <w:color w:val="005DA1"/>
          <w:vertAlign w:val="baseline"/>
        </w:rPr>
        <w:t> </w:t>
      </w:r>
      <w:r>
        <w:rPr>
          <w:vertAlign w:val="baseline"/>
        </w:rPr>
        <w:t>It is based on benefit to the promisors. </w:t>
      </w:r>
      <w:r>
        <w:rPr>
          <w:color w:val="005DA1"/>
          <w:u w:val="single" w:color="005DA1"/>
          <w:vertAlign w:val="superscript"/>
        </w:rPr>
        <w:t>243</w:t>
      </w:r>
    </w:p>
    <w:p>
      <w:pPr>
        <w:pStyle w:val="BodyText"/>
      </w:pPr>
    </w:p>
    <w:p>
      <w:pPr>
        <w:pStyle w:val="BodyText"/>
        <w:spacing w:before="33"/>
      </w:pPr>
    </w:p>
    <w:p>
      <w:pPr>
        <w:spacing w:before="0"/>
        <w:ind w:left="165" w:right="0" w:firstLine="0"/>
        <w:jc w:val="left"/>
        <w:rPr>
          <w:rFonts w:ascii="Arial"/>
          <w:b/>
          <w:sz w:val="18"/>
        </w:rPr>
      </w:pPr>
      <w:r>
        <w:rPr>
          <w:rFonts w:ascii="Arial"/>
          <w:b/>
          <w:sz w:val="18"/>
        </w:rPr>
        <w:t>Bar pupillage </w:t>
      </w:r>
      <w:r>
        <w:rPr>
          <w:rFonts w:ascii="Arial"/>
          <w:b/>
          <w:spacing w:val="-2"/>
          <w:sz w:val="18"/>
        </w:rPr>
        <w:t>contracts</w:t>
      </w:r>
    </w:p>
    <w:p>
      <w:pPr>
        <w:pStyle w:val="BodyText"/>
        <w:spacing w:before="41"/>
        <w:rPr>
          <w:rFonts w:ascii="Arial"/>
          <w:b/>
          <w:sz w:val="18"/>
        </w:rPr>
      </w:pPr>
    </w:p>
    <w:p>
      <w:pPr>
        <w:pStyle w:val="Heading2"/>
      </w:pPr>
      <w:r>
        <w:rPr/>
        <w:t>4-</w:t>
      </w:r>
      <w:r>
        <w:rPr>
          <w:spacing w:val="-5"/>
        </w:rPr>
        <w:t>039</w:t>
      </w:r>
    </w:p>
    <w:p>
      <w:pPr>
        <w:pStyle w:val="BodyText"/>
        <w:spacing w:line="235" w:lineRule="auto" w:before="203"/>
        <w:ind w:left="164" w:right="167"/>
        <w:jc w:val="both"/>
      </w:pPr>
      <w:bookmarkStart w:name="_bookmark446" w:id="448"/>
      <w:bookmarkEnd w:id="448"/>
      <w:r>
        <w:rPr/>
      </w:r>
      <w:r>
        <w:rPr/>
        <w:t>The possibility that consideration may consist in benefit to the promisor is further illustrated by </w:t>
      </w:r>
      <w:r>
        <w:rPr>
          <w:rFonts w:ascii="Arial" w:hAnsi="Arial"/>
          <w:i/>
        </w:rPr>
        <w:t>Edmonds v Lawson</w:t>
      </w:r>
      <w:r>
        <w:rPr/>
        <w:t>, </w:t>
      </w:r>
      <w:r>
        <w:rPr>
          <w:color w:val="005DA1"/>
          <w:u w:val="single" w:color="005DA1"/>
          <w:vertAlign w:val="superscript"/>
        </w:rPr>
        <w:t>244</w:t>
      </w:r>
      <w:r>
        <w:rPr>
          <w:color w:val="005DA1"/>
          <w:vertAlign w:val="baseline"/>
        </w:rPr>
        <w:t> </w:t>
      </w:r>
      <w:r>
        <w:rPr>
          <w:vertAlign w:val="baseline"/>
        </w:rPr>
        <w:t>where the relationship between a pupil barrister and the members of the </w:t>
      </w:r>
      <w:bookmarkStart w:name="_bookmark447" w:id="449"/>
      <w:bookmarkEnd w:id="449"/>
      <w:r>
        <w:rPr>
          <w:vertAlign w:val="baseline"/>
        </w:rPr>
        <w:t>chambers</w:t>
      </w:r>
      <w:r>
        <w:rPr>
          <w:vertAlign w:val="baseline"/>
        </w:rPr>
        <w:t> at which she had accepted an offer of pupillage was held to be contractual even though</w:t>
      </w:r>
      <w:r>
        <w:rPr>
          <w:spacing w:val="40"/>
          <w:vertAlign w:val="baseline"/>
        </w:rPr>
        <w:t> </w:t>
      </w:r>
      <w:r>
        <w:rPr>
          <w:vertAlign w:val="baseline"/>
        </w:rPr>
        <w:t>she had paid no pupillage fee. </w:t>
      </w:r>
      <w:r>
        <w:rPr>
          <w:color w:val="005DA1"/>
          <w:u w:val="single" w:color="005DA1"/>
          <w:vertAlign w:val="superscript"/>
        </w:rPr>
        <w:t>245</w:t>
      </w:r>
      <w:r>
        <w:rPr>
          <w:color w:val="005DA1"/>
          <w:vertAlign w:val="baseline"/>
        </w:rPr>
        <w:t> </w:t>
      </w:r>
      <w:r>
        <w:rPr>
          <w:vertAlign w:val="baseline"/>
        </w:rPr>
        <w:t>The requirement of consideration was satisfied in that her (and</w:t>
      </w:r>
      <w:r>
        <w:rPr>
          <w:spacing w:val="40"/>
          <w:vertAlign w:val="baseline"/>
        </w:rPr>
        <w:t> </w:t>
      </w:r>
      <w:bookmarkStart w:name="_bookmark448" w:id="450"/>
      <w:bookmarkEnd w:id="450"/>
      <w:r>
        <w:rPr>
          <w:vertAlign w:val="baseline"/>
        </w:rPr>
        <w:t>other</w:t>
      </w:r>
      <w:r>
        <w:rPr>
          <w:vertAlign w:val="baseline"/>
        </w:rPr>
        <w:t> pupils’) agreement to accept pupillage “provided a pool of selected candidates who can be expected to compete with each other for recruitment as tenants;” </w:t>
      </w:r>
      <w:r>
        <w:rPr>
          <w:color w:val="005DA1"/>
          <w:u w:val="single" w:color="005DA1"/>
          <w:vertAlign w:val="superscript"/>
        </w:rPr>
        <w:t>246</w:t>
      </w:r>
      <w:r>
        <w:rPr>
          <w:color w:val="005DA1"/>
          <w:vertAlign w:val="baseline"/>
        </w:rPr>
        <w:t> </w:t>
      </w:r>
      <w:r>
        <w:rPr>
          <w:vertAlign w:val="baseline"/>
        </w:rPr>
        <w:t>and in that “chambers may </w:t>
      </w:r>
      <w:r>
        <w:rPr>
          <w:vertAlign w:val="baseline"/>
        </w:rPr>
        <w:t>see </w:t>
      </w:r>
      <w:bookmarkStart w:name="_bookmark449" w:id="451"/>
      <w:bookmarkEnd w:id="451"/>
      <w:r>
        <w:rPr>
          <w:vertAlign w:val="baseline"/>
        </w:rPr>
        <w:t>an</w:t>
      </w:r>
      <w:r>
        <w:rPr>
          <w:vertAlign w:val="baseline"/>
        </w:rPr>
        <w:t> advantage in developing close relationships with pupils who plan to practise as employed</w:t>
      </w:r>
      <w:r>
        <w:rPr>
          <w:spacing w:val="40"/>
          <w:vertAlign w:val="baseline"/>
        </w:rPr>
        <w:t> </w:t>
      </w:r>
      <w:r>
        <w:rPr>
          <w:vertAlign w:val="baseline"/>
        </w:rPr>
        <w:t>barristers</w:t>
      </w:r>
      <w:r>
        <w:rPr>
          <w:spacing w:val="5"/>
          <w:vertAlign w:val="baseline"/>
        </w:rPr>
        <w:t> </w:t>
      </w:r>
      <w:r>
        <w:rPr>
          <w:vertAlign w:val="baseline"/>
        </w:rPr>
        <w:t>or</w:t>
      </w:r>
      <w:r>
        <w:rPr>
          <w:spacing w:val="6"/>
          <w:vertAlign w:val="baseline"/>
        </w:rPr>
        <w:t> </w:t>
      </w:r>
      <w:r>
        <w:rPr>
          <w:vertAlign w:val="baseline"/>
        </w:rPr>
        <w:t>overseas.”</w:t>
      </w:r>
      <w:r>
        <w:rPr>
          <w:spacing w:val="6"/>
          <w:vertAlign w:val="baseline"/>
        </w:rPr>
        <w:t> </w:t>
      </w:r>
      <w:r>
        <w:rPr>
          <w:color w:val="005DA1"/>
          <w:u w:val="single" w:color="005DA1"/>
          <w:vertAlign w:val="superscript"/>
        </w:rPr>
        <w:t>247</w:t>
      </w:r>
      <w:r>
        <w:rPr>
          <w:color w:val="005DA1"/>
          <w:spacing w:val="6"/>
          <w:vertAlign w:val="baseline"/>
        </w:rPr>
        <w:t> </w:t>
      </w:r>
      <w:r>
        <w:rPr>
          <w:vertAlign w:val="baseline"/>
        </w:rPr>
        <w:t>Both</w:t>
      </w:r>
      <w:r>
        <w:rPr>
          <w:spacing w:val="6"/>
          <w:vertAlign w:val="baseline"/>
        </w:rPr>
        <w:t> </w:t>
      </w:r>
      <w:r>
        <w:rPr>
          <w:vertAlign w:val="baseline"/>
        </w:rPr>
        <w:t>these</w:t>
      </w:r>
      <w:r>
        <w:rPr>
          <w:spacing w:val="6"/>
          <w:vertAlign w:val="baseline"/>
        </w:rPr>
        <w:t> </w:t>
      </w:r>
      <w:r>
        <w:rPr>
          <w:vertAlign w:val="baseline"/>
        </w:rPr>
        <w:t>factors</w:t>
      </w:r>
      <w:r>
        <w:rPr>
          <w:spacing w:val="6"/>
          <w:vertAlign w:val="baseline"/>
        </w:rPr>
        <w:t> </w:t>
      </w:r>
      <w:r>
        <w:rPr>
          <w:vertAlign w:val="baseline"/>
        </w:rPr>
        <w:t>stress</w:t>
      </w:r>
      <w:r>
        <w:rPr>
          <w:spacing w:val="6"/>
          <w:vertAlign w:val="baseline"/>
        </w:rPr>
        <w:t> </w:t>
      </w:r>
      <w:r>
        <w:rPr>
          <w:vertAlign w:val="baseline"/>
        </w:rPr>
        <w:t>the</w:t>
      </w:r>
      <w:r>
        <w:rPr>
          <w:spacing w:val="6"/>
          <w:vertAlign w:val="baseline"/>
        </w:rPr>
        <w:t> </w:t>
      </w:r>
      <w:r>
        <w:rPr>
          <w:vertAlign w:val="baseline"/>
        </w:rPr>
        <w:t>benefit</w:t>
      </w:r>
      <w:r>
        <w:rPr>
          <w:spacing w:val="6"/>
          <w:vertAlign w:val="baseline"/>
        </w:rPr>
        <w:t> </w:t>
      </w:r>
      <w:r>
        <w:rPr>
          <w:vertAlign w:val="baseline"/>
        </w:rPr>
        <w:t>to</w:t>
      </w:r>
      <w:r>
        <w:rPr>
          <w:spacing w:val="6"/>
          <w:vertAlign w:val="baseline"/>
        </w:rPr>
        <w:t> </w:t>
      </w:r>
      <w:r>
        <w:rPr>
          <w:vertAlign w:val="baseline"/>
        </w:rPr>
        <w:t>the</w:t>
      </w:r>
      <w:r>
        <w:rPr>
          <w:spacing w:val="5"/>
          <w:vertAlign w:val="baseline"/>
        </w:rPr>
        <w:t> </w:t>
      </w:r>
      <w:r>
        <w:rPr>
          <w:vertAlign w:val="baseline"/>
        </w:rPr>
        <w:t>promisors</w:t>
      </w:r>
      <w:r>
        <w:rPr>
          <w:spacing w:val="6"/>
          <w:vertAlign w:val="baseline"/>
        </w:rPr>
        <w:t> </w:t>
      </w:r>
      <w:r>
        <w:rPr>
          <w:vertAlign w:val="baseline"/>
        </w:rPr>
        <w:t>(the</w:t>
      </w:r>
      <w:r>
        <w:rPr>
          <w:spacing w:val="6"/>
          <w:vertAlign w:val="baseline"/>
        </w:rPr>
        <w:t> </w:t>
      </w:r>
      <w:r>
        <w:rPr>
          <w:vertAlign w:val="baseline"/>
        </w:rPr>
        <w:t>members</w:t>
      </w:r>
      <w:r>
        <w:rPr>
          <w:spacing w:val="6"/>
          <w:vertAlign w:val="baseline"/>
        </w:rPr>
        <w:t> </w:t>
      </w:r>
      <w:r>
        <w:rPr>
          <w:vertAlign w:val="baseline"/>
        </w:rPr>
        <w:t>of</w:t>
      </w:r>
      <w:r>
        <w:rPr>
          <w:spacing w:val="6"/>
          <w:vertAlign w:val="baseline"/>
        </w:rPr>
        <w:t> </w:t>
      </w:r>
      <w:r>
        <w:rPr>
          <w:spacing w:val="-5"/>
          <w:vertAlign w:val="baseline"/>
        </w:rPr>
        <w:t>the</w:t>
      </w:r>
    </w:p>
    <w:p>
      <w:pPr>
        <w:pStyle w:val="BodyText"/>
        <w:spacing w:after="0" w:line="235" w:lineRule="auto"/>
        <w:jc w:val="both"/>
        <w:sectPr>
          <w:headerReference w:type="default" r:id="rId16"/>
          <w:headerReference w:type="even" r:id="rId17"/>
          <w:pgSz w:w="11900" w:h="16840"/>
          <w:pgMar w:header="971" w:footer="0" w:top="1160" w:bottom="280" w:left="1275" w:right="1275"/>
          <w:pgNumType w:start="1"/>
        </w:sectPr>
      </w:pPr>
    </w:p>
    <w:p>
      <w:pPr>
        <w:pStyle w:val="BodyText"/>
        <w:spacing w:before="24"/>
      </w:pPr>
    </w:p>
    <w:p>
      <w:pPr>
        <w:pStyle w:val="BodyText"/>
        <w:spacing w:line="235" w:lineRule="auto" w:before="1"/>
        <w:ind w:left="165" w:right="167"/>
        <w:jc w:val="both"/>
      </w:pPr>
      <w:r>
        <w:rPr/>
        <w:t>chambers), moving from the promisee (the pupil barrister) even though no detriment was suffered by </w:t>
      </w:r>
      <w:r>
        <w:rPr>
          <w:spacing w:val="-4"/>
        </w:rPr>
        <w:t>her.</w:t>
      </w:r>
    </w:p>
    <w:p>
      <w:pPr>
        <w:pStyle w:val="BodyText"/>
      </w:pPr>
    </w:p>
    <w:p>
      <w:pPr>
        <w:pStyle w:val="BodyText"/>
        <w:spacing w:before="37"/>
      </w:pPr>
    </w:p>
    <w:p>
      <w:pPr>
        <w:spacing w:before="1"/>
        <w:ind w:left="165" w:right="0" w:firstLine="0"/>
        <w:jc w:val="both"/>
        <w:rPr>
          <w:rFonts w:ascii="Arial"/>
          <w:b/>
          <w:sz w:val="18"/>
        </w:rPr>
      </w:pPr>
      <w:r>
        <w:rPr>
          <w:rFonts w:ascii="Arial"/>
          <w:b/>
          <w:sz w:val="18"/>
        </w:rPr>
        <w:t>Consideration need not move to the </w:t>
      </w:r>
      <w:r>
        <w:rPr>
          <w:rFonts w:ascii="Arial"/>
          <w:b/>
          <w:spacing w:val="-2"/>
          <w:sz w:val="18"/>
        </w:rPr>
        <w:t>promisor</w:t>
      </w:r>
    </w:p>
    <w:p>
      <w:pPr>
        <w:pStyle w:val="BodyText"/>
        <w:spacing w:before="41"/>
        <w:rPr>
          <w:rFonts w:ascii="Arial"/>
          <w:b/>
          <w:sz w:val="18"/>
        </w:rPr>
      </w:pPr>
    </w:p>
    <w:p>
      <w:pPr>
        <w:pStyle w:val="Heading2"/>
      </w:pPr>
      <w:r>
        <w:rPr/>
        <w:t>4-</w:t>
      </w:r>
      <w:r>
        <w:rPr>
          <w:spacing w:val="-5"/>
        </w:rPr>
        <w:t>040</w:t>
      </w:r>
    </w:p>
    <w:p>
      <w:pPr>
        <w:pStyle w:val="BodyText"/>
        <w:spacing w:line="235" w:lineRule="auto" w:before="203"/>
        <w:ind w:left="164" w:right="167"/>
        <w:jc w:val="both"/>
      </w:pPr>
      <w:bookmarkStart w:name="_bookmark450" w:id="452"/>
      <w:bookmarkEnd w:id="452"/>
      <w:r>
        <w:rPr/>
      </w:r>
      <w:r>
        <w:rPr/>
        <w:t>While consideration must move from the promisee, it need not move to the promisor.</w:t>
      </w:r>
      <w:r>
        <w:rPr>
          <w:spacing w:val="-1"/>
        </w:rPr>
        <w:t> </w:t>
      </w:r>
      <w:r>
        <w:rPr>
          <w:color w:val="005DA1"/>
          <w:u w:val="single" w:color="005DA1"/>
          <w:vertAlign w:val="superscript"/>
        </w:rPr>
        <w:t>248</w:t>
      </w:r>
      <w:r>
        <w:rPr>
          <w:color w:val="005DA1"/>
          <w:vertAlign w:val="baseline"/>
        </w:rPr>
        <w:t> </w:t>
      </w:r>
      <w:r>
        <w:rPr>
          <w:vertAlign w:val="baseline"/>
        </w:rPr>
        <w:t>It follows </w:t>
      </w:r>
      <w:r>
        <w:rPr>
          <w:vertAlign w:val="baseline"/>
        </w:rPr>
        <w:t>that the requirement of consideration may be satisfied where the promisee suffers some detriment at the </w:t>
      </w:r>
      <w:bookmarkStart w:name="_bookmark451" w:id="453"/>
      <w:bookmarkEnd w:id="453"/>
      <w:r>
        <w:rPr>
          <w:vertAlign w:val="baseline"/>
        </w:rPr>
        <w:t>promisor’s</w:t>
      </w:r>
      <w:r>
        <w:rPr>
          <w:vertAlign w:val="baseline"/>
        </w:rPr>
        <w:t> request, but confers no corresponding benefit on the promisor. Thus the promisee may provide consideration by giving up a job </w:t>
      </w:r>
      <w:r>
        <w:rPr>
          <w:color w:val="005DA1"/>
          <w:u w:val="single" w:color="005DA1"/>
          <w:vertAlign w:val="superscript"/>
        </w:rPr>
        <w:t>249</w:t>
      </w:r>
      <w:r>
        <w:rPr>
          <w:color w:val="005DA1"/>
          <w:vertAlign w:val="baseline"/>
        </w:rPr>
        <w:t> </w:t>
      </w:r>
      <w:r>
        <w:rPr>
          <w:vertAlign w:val="baseline"/>
        </w:rPr>
        <w:t>or the tenancy of a flat, </w:t>
      </w:r>
      <w:r>
        <w:rPr>
          <w:color w:val="005DA1"/>
          <w:u w:val="single" w:color="005DA1"/>
          <w:vertAlign w:val="superscript"/>
        </w:rPr>
        <w:t>250</w:t>
      </w:r>
      <w:r>
        <w:rPr>
          <w:color w:val="005DA1"/>
          <w:vertAlign w:val="baseline"/>
        </w:rPr>
        <w:t> </w:t>
      </w:r>
      <w:r>
        <w:rPr>
          <w:vertAlign w:val="baseline"/>
        </w:rPr>
        <w:t>even though no direct benefit results to the promisor from these acts. It also follows that the promisee may provide consideration by </w:t>
      </w:r>
      <w:bookmarkStart w:name="_bookmark452" w:id="454"/>
      <w:bookmarkEnd w:id="454"/>
      <w:r>
        <w:rPr>
          <w:vertAlign w:val="baseline"/>
        </w:rPr>
        <w:t>conferring</w:t>
      </w:r>
      <w:r>
        <w:rPr>
          <w:vertAlign w:val="baseline"/>
        </w:rPr>
        <w:t> a benefit on a third party at the promisor’s request: e.g. by entering into a contract with the third party. </w:t>
      </w:r>
      <w:r>
        <w:rPr>
          <w:color w:val="005DA1"/>
          <w:u w:val="single" w:color="005DA1"/>
          <w:vertAlign w:val="superscript"/>
        </w:rPr>
        <w:t>251</w:t>
      </w:r>
      <w:r>
        <w:rPr>
          <w:color w:val="005DA1"/>
          <w:vertAlign w:val="baseline"/>
        </w:rPr>
        <w:t> </w:t>
      </w:r>
      <w:r>
        <w:rPr>
          <w:vertAlign w:val="baseline"/>
        </w:rPr>
        <w:t>This possibility is illustrated by the case in which goods are bought and paid for by the use of a credit or debit or cheque guarantee card. The issuer of the card makes a promise to the </w:t>
      </w:r>
      <w:bookmarkStart w:name="_bookmark453" w:id="455"/>
      <w:bookmarkEnd w:id="455"/>
      <w:r>
        <w:rPr>
          <w:vertAlign w:val="baseline"/>
        </w:rPr>
        <w:t>supplier</w:t>
      </w:r>
      <w:r>
        <w:rPr>
          <w:vertAlign w:val="baseline"/>
        </w:rPr>
        <w:t> of the goods that the cheque will be honoured or that the supplier will be paid; and the supplier provides consideration for this promise by supplying the goods to the customer. </w:t>
      </w:r>
      <w:r>
        <w:rPr>
          <w:color w:val="005DA1"/>
          <w:u w:val="single" w:color="005DA1"/>
          <w:vertAlign w:val="superscript"/>
        </w:rPr>
        <w:t>252</w:t>
      </w:r>
      <w:r>
        <w:rPr>
          <w:color w:val="005DA1"/>
          <w:vertAlign w:val="baseline"/>
        </w:rPr>
        <w:t> </w:t>
      </w:r>
      <w:r>
        <w:rPr>
          <w:vertAlign w:val="baseline"/>
        </w:rPr>
        <w:t>There</w:t>
      </w:r>
      <w:r>
        <w:rPr>
          <w:spacing w:val="40"/>
          <w:vertAlign w:val="baseline"/>
        </w:rPr>
        <w:t> </w:t>
      </w:r>
      <w:bookmarkStart w:name="_bookmark454" w:id="456"/>
      <w:bookmarkEnd w:id="456"/>
      <w:r>
        <w:rPr>
          <w:vertAlign w:val="baseline"/>
        </w:rPr>
        <w:t>may</w:t>
      </w:r>
      <w:r>
        <w:rPr>
          <w:vertAlign w:val="baseline"/>
        </w:rPr>
        <w:t> also be consideration in the form of the discount allowed by the supplier of the goods or services to the issuer of the card </w:t>
      </w:r>
      <w:r>
        <w:rPr>
          <w:color w:val="005DA1"/>
          <w:u w:val="single" w:color="005DA1"/>
          <w:vertAlign w:val="superscript"/>
        </w:rPr>
        <w:t>253</w:t>
      </w:r>
      <w:r>
        <w:rPr>
          <w:vertAlign w:val="baseline"/>
        </w:rPr>
        <w:t>: this is both a detriment to the supplier and a benefit to the issuer of the </w:t>
      </w:r>
      <w:r>
        <w:rPr>
          <w:spacing w:val="-2"/>
          <w:vertAlign w:val="baseline"/>
        </w:rPr>
        <w:t>card.</w:t>
      </w:r>
    </w:p>
    <w:p>
      <w:pPr>
        <w:pStyle w:val="BodyText"/>
        <w:spacing w:before="76"/>
      </w:pPr>
    </w:p>
    <w:p>
      <w:pPr>
        <w:pStyle w:val="Heading2"/>
      </w:pPr>
      <w:r>
        <w:rPr/>
        <w:t>4-</w:t>
      </w:r>
      <w:r>
        <w:rPr>
          <w:spacing w:val="-5"/>
        </w:rPr>
        <w:t>041</w:t>
      </w:r>
    </w:p>
    <w:p>
      <w:pPr>
        <w:pStyle w:val="BodyText"/>
        <w:spacing w:line="235" w:lineRule="auto" w:before="203"/>
        <w:ind w:left="164" w:right="167"/>
        <w:jc w:val="both"/>
      </w:pPr>
      <w:r>
        <w:rPr/>
        <w:t>In the example given at the end of para.4-040 above, the supplier (i.e. the promisee) suffers a detriment; but the rule that consideration need not move to the promisor also applies where the consideration</w:t>
      </w:r>
      <w:r>
        <w:rPr>
          <w:spacing w:val="-1"/>
        </w:rPr>
        <w:t> </w:t>
      </w:r>
      <w:r>
        <w:rPr/>
        <w:t>consists</w:t>
      </w:r>
      <w:r>
        <w:rPr>
          <w:spacing w:val="-1"/>
        </w:rPr>
        <w:t> </w:t>
      </w:r>
      <w:r>
        <w:rPr/>
        <w:t>simply</w:t>
      </w:r>
      <w:r>
        <w:rPr>
          <w:spacing w:val="-1"/>
        </w:rPr>
        <w:t> </w:t>
      </w:r>
      <w:r>
        <w:rPr/>
        <w:t>of</w:t>
      </w:r>
      <w:r>
        <w:rPr>
          <w:spacing w:val="-1"/>
        </w:rPr>
        <w:t> </w:t>
      </w:r>
      <w:r>
        <w:rPr/>
        <w:t>a</w:t>
      </w:r>
      <w:r>
        <w:rPr>
          <w:spacing w:val="-1"/>
        </w:rPr>
        <w:t> </w:t>
      </w:r>
      <w:r>
        <w:rPr/>
        <w:t>benefit</w:t>
      </w:r>
      <w:r>
        <w:rPr>
          <w:spacing w:val="-1"/>
        </w:rPr>
        <w:t> </w:t>
      </w:r>
      <w:r>
        <w:rPr/>
        <w:t>conferred</w:t>
      </w:r>
      <w:r>
        <w:rPr>
          <w:spacing w:val="-1"/>
        </w:rPr>
        <w:t> </w:t>
      </w:r>
      <w:r>
        <w:rPr/>
        <w:t>by</w:t>
      </w:r>
      <w:r>
        <w:rPr>
          <w:spacing w:val="-1"/>
        </w:rPr>
        <w:t> </w:t>
      </w:r>
      <w:r>
        <w:rPr/>
        <w:t>the</w:t>
      </w:r>
      <w:r>
        <w:rPr>
          <w:spacing w:val="-1"/>
        </w:rPr>
        <w:t> </w:t>
      </w:r>
      <w:r>
        <w:rPr/>
        <w:t>promisee</w:t>
      </w:r>
      <w:r>
        <w:rPr>
          <w:spacing w:val="-1"/>
        </w:rPr>
        <w:t> </w:t>
      </w:r>
      <w:r>
        <w:rPr/>
        <w:t>without</w:t>
      </w:r>
      <w:r>
        <w:rPr>
          <w:spacing w:val="-1"/>
        </w:rPr>
        <w:t> </w:t>
      </w:r>
      <w:r>
        <w:rPr/>
        <w:t>loss</w:t>
      </w:r>
      <w:r>
        <w:rPr>
          <w:spacing w:val="-1"/>
        </w:rPr>
        <w:t> </w:t>
      </w:r>
      <w:r>
        <w:rPr/>
        <w:t>to</w:t>
      </w:r>
      <w:r>
        <w:rPr>
          <w:spacing w:val="-1"/>
        </w:rPr>
        <w:t> </w:t>
      </w:r>
      <w:r>
        <w:rPr/>
        <w:t>the</w:t>
      </w:r>
      <w:r>
        <w:rPr>
          <w:spacing w:val="-1"/>
        </w:rPr>
        <w:t> </w:t>
      </w:r>
      <w:r>
        <w:rPr/>
        <w:t>promisee,</w:t>
      </w:r>
      <w:r>
        <w:rPr>
          <w:spacing w:val="-1"/>
        </w:rPr>
        <w:t> </w:t>
      </w:r>
      <w:r>
        <w:rPr/>
        <w:t>and </w:t>
      </w:r>
      <w:bookmarkStart w:name="_bookmark455" w:id="457"/>
      <w:bookmarkEnd w:id="457"/>
      <w:r>
        <w:rPr/>
        <w:t>even</w:t>
      </w:r>
      <w:r>
        <w:rPr/>
        <w:t> though that benefit is conferred, not on the promisor himself, but on a third person at his</w:t>
      </w:r>
      <w:r>
        <w:rPr>
          <w:spacing w:val="40"/>
        </w:rPr>
        <w:t> </w:t>
      </w:r>
      <w:r>
        <w:rPr/>
        <w:t>request. For example, in </w:t>
      </w:r>
      <w:r>
        <w:rPr>
          <w:rFonts w:ascii="Arial" w:hAnsi="Arial"/>
          <w:i/>
        </w:rPr>
        <w:t>Bolton v Madden </w:t>
      </w:r>
      <w:r>
        <w:rPr>
          <w:color w:val="005DA1"/>
          <w:u w:val="single" w:color="005DA1"/>
          <w:vertAlign w:val="superscript"/>
        </w:rPr>
        <w:t>254</w:t>
      </w:r>
      <w:r>
        <w:rPr>
          <w:color w:val="005DA1"/>
          <w:vertAlign w:val="baseline"/>
        </w:rPr>
        <w:t> </w:t>
      </w:r>
      <w:r>
        <w:rPr>
          <w:vertAlign w:val="baseline"/>
        </w:rPr>
        <w:t>the claimant and defendant were subscribers to a</w:t>
      </w:r>
      <w:r>
        <w:rPr>
          <w:spacing w:val="40"/>
          <w:vertAlign w:val="baseline"/>
        </w:rPr>
        <w:t> </w:t>
      </w:r>
      <w:r>
        <w:rPr>
          <w:vertAlign w:val="baseline"/>
        </w:rPr>
        <w:t>charity and entitled to vote on the disposition of its funds. The claimant promised to vote at </w:t>
      </w:r>
      <w:r>
        <w:rPr>
          <w:vertAlign w:val="baseline"/>
        </w:rPr>
        <w:t>one meeting for a person whom the defendant wished to benefit, and the defendant promised in return to vote at the next meeting for a person whom the claimant wished to benefit. In an action to enforce the </w:t>
      </w:r>
      <w:bookmarkStart w:name="_bookmark456" w:id="458"/>
      <w:bookmarkEnd w:id="458"/>
      <w:r>
        <w:rPr>
          <w:vertAlign w:val="baseline"/>
        </w:rPr>
        <w:t>defendant’s</w:t>
      </w:r>
      <w:r>
        <w:rPr>
          <w:vertAlign w:val="baseline"/>
        </w:rPr>
        <w:t> promise, it was argued that there was no consideration for it as the claimant “incurred neither</w:t>
      </w:r>
      <w:r>
        <w:rPr>
          <w:spacing w:val="-3"/>
          <w:vertAlign w:val="baseline"/>
        </w:rPr>
        <w:t> </w:t>
      </w:r>
      <w:r>
        <w:rPr>
          <w:vertAlign w:val="baseline"/>
        </w:rPr>
        <w:t>trouble</w:t>
      </w:r>
      <w:r>
        <w:rPr>
          <w:spacing w:val="-3"/>
          <w:vertAlign w:val="baseline"/>
        </w:rPr>
        <w:t> </w:t>
      </w:r>
      <w:r>
        <w:rPr>
          <w:vertAlign w:val="baseline"/>
        </w:rPr>
        <w:t>nor</w:t>
      </w:r>
      <w:r>
        <w:rPr>
          <w:spacing w:val="-3"/>
          <w:vertAlign w:val="baseline"/>
        </w:rPr>
        <w:t> </w:t>
      </w:r>
      <w:r>
        <w:rPr>
          <w:vertAlign w:val="baseline"/>
        </w:rPr>
        <w:t>prejudice,”</w:t>
      </w:r>
      <w:r>
        <w:rPr>
          <w:spacing w:val="-4"/>
          <w:vertAlign w:val="baseline"/>
        </w:rPr>
        <w:t> </w:t>
      </w:r>
      <w:r>
        <w:rPr>
          <w:color w:val="005DA1"/>
          <w:u w:val="single" w:color="005DA1"/>
          <w:vertAlign w:val="superscript"/>
        </w:rPr>
        <w:t>255</w:t>
      </w:r>
      <w:r>
        <w:rPr>
          <w:color w:val="005DA1"/>
          <w:spacing w:val="-3"/>
          <w:vertAlign w:val="baseline"/>
        </w:rPr>
        <w:t> </w:t>
      </w:r>
      <w:r>
        <w:rPr>
          <w:vertAlign w:val="baseline"/>
        </w:rPr>
        <w:t>but</w:t>
      </w:r>
      <w:r>
        <w:rPr>
          <w:spacing w:val="-3"/>
          <w:vertAlign w:val="baseline"/>
        </w:rPr>
        <w:t> </w:t>
      </w:r>
      <w:r>
        <w:rPr>
          <w:vertAlign w:val="baseline"/>
        </w:rPr>
        <w:t>the</w:t>
      </w:r>
      <w:r>
        <w:rPr>
          <w:spacing w:val="-3"/>
          <w:vertAlign w:val="baseline"/>
        </w:rPr>
        <w:t> </w:t>
      </w:r>
      <w:r>
        <w:rPr>
          <w:vertAlign w:val="baseline"/>
        </w:rPr>
        <w:t>court</w:t>
      </w:r>
      <w:r>
        <w:rPr>
          <w:spacing w:val="-3"/>
          <w:vertAlign w:val="baseline"/>
        </w:rPr>
        <w:t> </w:t>
      </w:r>
      <w:r>
        <w:rPr>
          <w:vertAlign w:val="baseline"/>
        </w:rPr>
        <w:t>rejected</w:t>
      </w:r>
      <w:r>
        <w:rPr>
          <w:spacing w:val="-3"/>
          <w:vertAlign w:val="baseline"/>
        </w:rPr>
        <w:t> </w:t>
      </w:r>
      <w:r>
        <w:rPr>
          <w:vertAlign w:val="baseline"/>
        </w:rPr>
        <w:t>this</w:t>
      </w:r>
      <w:r>
        <w:rPr>
          <w:spacing w:val="-3"/>
          <w:vertAlign w:val="baseline"/>
        </w:rPr>
        <w:t> </w:t>
      </w:r>
      <w:r>
        <w:rPr>
          <w:vertAlign w:val="baseline"/>
        </w:rPr>
        <w:t>argument</w:t>
      </w:r>
      <w:r>
        <w:rPr>
          <w:spacing w:val="-3"/>
          <w:vertAlign w:val="baseline"/>
        </w:rPr>
        <w:t> </w:t>
      </w:r>
      <w:r>
        <w:rPr>
          <w:vertAlign w:val="baseline"/>
        </w:rPr>
        <w:t>and</w:t>
      </w:r>
      <w:r>
        <w:rPr>
          <w:spacing w:val="-3"/>
          <w:vertAlign w:val="baseline"/>
        </w:rPr>
        <w:t> </w:t>
      </w:r>
      <w:r>
        <w:rPr>
          <w:vertAlign w:val="baseline"/>
        </w:rPr>
        <w:t>held</w:t>
      </w:r>
      <w:r>
        <w:rPr>
          <w:spacing w:val="-3"/>
          <w:vertAlign w:val="baseline"/>
        </w:rPr>
        <w:t> </w:t>
      </w:r>
      <w:r>
        <w:rPr>
          <w:vertAlign w:val="baseline"/>
        </w:rPr>
        <w:t>the</w:t>
      </w:r>
      <w:r>
        <w:rPr>
          <w:spacing w:val="-3"/>
          <w:vertAlign w:val="baseline"/>
        </w:rPr>
        <w:t> </w:t>
      </w:r>
      <w:r>
        <w:rPr>
          <w:vertAlign w:val="baseline"/>
        </w:rPr>
        <w:t>agreement</w:t>
      </w:r>
      <w:r>
        <w:rPr>
          <w:spacing w:val="-3"/>
          <w:vertAlign w:val="baseline"/>
        </w:rPr>
        <w:t> </w:t>
      </w:r>
      <w:r>
        <w:rPr>
          <w:vertAlign w:val="baseline"/>
        </w:rPr>
        <w:t>binding. </w:t>
      </w:r>
      <w:bookmarkStart w:name="_bookmark457" w:id="459"/>
      <w:bookmarkEnd w:id="459"/>
      <w:r>
        <w:rPr>
          <w:vertAlign w:val="baseline"/>
        </w:rPr>
        <w:t>Consideration</w:t>
      </w:r>
      <w:r>
        <w:rPr>
          <w:vertAlign w:val="baseline"/>
        </w:rPr>
        <w:t> moved from the claimant when he had at the defendant’s request conferred a benefit</w:t>
      </w:r>
      <w:r>
        <w:rPr>
          <w:spacing w:val="40"/>
          <w:vertAlign w:val="baseline"/>
        </w:rPr>
        <w:t> </w:t>
      </w:r>
      <w:r>
        <w:rPr>
          <w:vertAlign w:val="baseline"/>
        </w:rPr>
        <w:t>on a third party. It could, of course, be argued that the claimant had suffered a legal detriment </w:t>
      </w:r>
      <w:r>
        <w:rPr>
          <w:color w:val="005DA1"/>
          <w:u w:val="single" w:color="005DA1"/>
          <w:vertAlign w:val="superscript"/>
        </w:rPr>
        <w:t>256</w:t>
      </w:r>
      <w:r>
        <w:rPr>
          <w:color w:val="005DA1"/>
          <w:vertAlign w:val="baseline"/>
        </w:rPr>
        <w:t> </w:t>
      </w:r>
      <w:r>
        <w:rPr>
          <w:vertAlign w:val="baseline"/>
        </w:rPr>
        <w:t>by voting in accordance with his promise as he was not previously bound to do so. But this was not the basis of the decision.</w:t>
      </w:r>
    </w:p>
    <w:p>
      <w:pPr>
        <w:pStyle w:val="BodyText"/>
      </w:pPr>
    </w:p>
    <w:p>
      <w:pPr>
        <w:pStyle w:val="BodyText"/>
        <w:spacing w:before="33"/>
      </w:pPr>
    </w:p>
    <w:p>
      <w:pPr>
        <w:spacing w:before="0"/>
        <w:ind w:left="165" w:right="0" w:firstLine="0"/>
        <w:jc w:val="left"/>
        <w:rPr>
          <w:rFonts w:ascii="Arial"/>
          <w:b/>
          <w:sz w:val="18"/>
        </w:rPr>
      </w:pPr>
      <w:bookmarkStart w:name="_bookmark458" w:id="460"/>
      <w:bookmarkEnd w:id="460"/>
      <w:r>
        <w:rPr/>
      </w:r>
      <w:r>
        <w:rPr>
          <w:rFonts w:ascii="Arial"/>
          <w:b/>
          <w:sz w:val="18"/>
        </w:rPr>
        <w:t>More than one promisee </w:t>
      </w:r>
      <w:r>
        <w:rPr>
          <w:rFonts w:ascii="Arial"/>
          <w:b/>
          <w:color w:val="005DA1"/>
          <w:spacing w:val="-5"/>
          <w:sz w:val="18"/>
          <w:u w:val="single" w:color="005DA1"/>
          <w:vertAlign w:val="superscript"/>
        </w:rPr>
        <w:t>257</w:t>
      </w:r>
    </w:p>
    <w:p>
      <w:pPr>
        <w:pStyle w:val="BodyText"/>
        <w:spacing w:before="41"/>
        <w:rPr>
          <w:rFonts w:ascii="Arial"/>
          <w:b/>
          <w:sz w:val="18"/>
        </w:rPr>
      </w:pPr>
    </w:p>
    <w:p>
      <w:pPr>
        <w:pStyle w:val="Heading2"/>
      </w:pPr>
      <w:r>
        <w:rPr/>
        <w:t>4-</w:t>
      </w:r>
      <w:r>
        <w:rPr>
          <w:spacing w:val="-5"/>
        </w:rPr>
        <w:t>042</w:t>
      </w:r>
    </w:p>
    <w:p>
      <w:pPr>
        <w:pStyle w:val="BodyText"/>
        <w:spacing w:line="235" w:lineRule="auto" w:before="203"/>
        <w:ind w:left="165" w:right="167"/>
        <w:jc w:val="both"/>
      </w:pPr>
      <w:bookmarkStart w:name="_bookmark459" w:id="461"/>
      <w:bookmarkEnd w:id="461"/>
      <w:r>
        <w:rPr/>
      </w:r>
      <w:r>
        <w:rPr/>
        <w:t>Where a promise is made to more than one person, it is clear that it can be enforced by any of the promisees, even by one who provided only </w:t>
      </w:r>
      <w:r>
        <w:rPr>
          <w:rFonts w:ascii="Arial"/>
          <w:i/>
        </w:rPr>
        <w:t>part </w:t>
      </w:r>
      <w:r>
        <w:rPr/>
        <w:t>of the consideration. </w:t>
      </w:r>
      <w:r>
        <w:rPr>
          <w:color w:val="005DA1"/>
          <w:u w:val="single" w:color="005DA1"/>
          <w:vertAlign w:val="superscript"/>
        </w:rPr>
        <w:t>258</w:t>
      </w:r>
      <w:r>
        <w:rPr>
          <w:color w:val="005DA1"/>
          <w:vertAlign w:val="baseline"/>
        </w:rPr>
        <w:t> </w:t>
      </w:r>
      <w:r>
        <w:rPr>
          <w:vertAlign w:val="baseline"/>
        </w:rPr>
        <w:t>But the further question may arise whether the promise can be enforced by one of the promisees even though he provided no part of the consideration, the </w:t>
      </w:r>
      <w:r>
        <w:rPr>
          <w:rFonts w:ascii="Arial"/>
          <w:i/>
          <w:vertAlign w:val="baseline"/>
        </w:rPr>
        <w:t>whole </w:t>
      </w:r>
      <w:r>
        <w:rPr>
          <w:vertAlign w:val="baseline"/>
        </w:rPr>
        <w:t>being provided by the other or others. There is no clear answer in </w:t>
      </w:r>
      <w:r>
        <w:rPr>
          <w:vertAlign w:val="baseline"/>
        </w:rPr>
        <w:t>the present law to this question; but it is submitted that the position depends on the distinctions drawn in paras 4-043 to 4-045 below.</w:t>
      </w:r>
    </w:p>
    <w:p>
      <w:pPr>
        <w:pStyle w:val="BodyText"/>
      </w:pPr>
    </w:p>
    <w:p>
      <w:pPr>
        <w:pStyle w:val="BodyText"/>
        <w:spacing w:before="36"/>
      </w:pPr>
    </w:p>
    <w:p>
      <w:pPr>
        <w:spacing w:before="0"/>
        <w:ind w:left="165" w:right="0" w:firstLine="0"/>
        <w:jc w:val="left"/>
        <w:rPr>
          <w:rFonts w:ascii="Arial"/>
          <w:b/>
          <w:sz w:val="18"/>
        </w:rPr>
      </w:pPr>
      <w:r>
        <w:rPr>
          <w:rFonts w:ascii="Arial"/>
          <w:b/>
          <w:sz w:val="18"/>
        </w:rPr>
        <w:t>Joint </w:t>
      </w:r>
      <w:r>
        <w:rPr>
          <w:rFonts w:ascii="Arial"/>
          <w:b/>
          <w:spacing w:val="-2"/>
          <w:sz w:val="18"/>
        </w:rPr>
        <w:t>promises</w:t>
      </w:r>
    </w:p>
    <w:p>
      <w:pPr>
        <w:pStyle w:val="BodyText"/>
        <w:spacing w:before="41"/>
        <w:rPr>
          <w:rFonts w:ascii="Arial"/>
          <w:b/>
          <w:sz w:val="18"/>
        </w:rPr>
      </w:pPr>
    </w:p>
    <w:p>
      <w:pPr>
        <w:pStyle w:val="Heading2"/>
        <w:spacing w:before="1"/>
      </w:pPr>
      <w:r>
        <w:rPr/>
        <w:t>4-</w:t>
      </w:r>
      <w:r>
        <w:rPr>
          <w:spacing w:val="-5"/>
        </w:rPr>
        <w:t>043</w:t>
      </w:r>
    </w:p>
    <w:p>
      <w:pPr>
        <w:pStyle w:val="BodyText"/>
        <w:spacing w:line="235" w:lineRule="auto" w:before="202"/>
        <w:ind w:left="164" w:right="167"/>
        <w:jc w:val="both"/>
      </w:pPr>
      <w:bookmarkStart w:name="_bookmark460" w:id="462"/>
      <w:bookmarkEnd w:id="462"/>
      <w:r>
        <w:rPr/>
      </w:r>
      <w:r>
        <w:rPr/>
        <w:t>Where a promise is made to A and B </w:t>
      </w:r>
      <w:r>
        <w:rPr>
          <w:rFonts w:ascii="Arial"/>
          <w:i/>
        </w:rPr>
        <w:t>jointly</w:t>
      </w:r>
      <w:r>
        <w:rPr/>
        <w:t>, it can be enforced by both of them, even though the whole consideration was provided by A. </w:t>
      </w:r>
      <w:r>
        <w:rPr>
          <w:color w:val="005DA1"/>
          <w:u w:val="single" w:color="005DA1"/>
          <w:vertAlign w:val="superscript"/>
        </w:rPr>
        <w:t>259</w:t>
      </w:r>
      <w:r>
        <w:rPr>
          <w:color w:val="005DA1"/>
          <w:vertAlign w:val="baseline"/>
        </w:rPr>
        <w:t> </w:t>
      </w:r>
      <w:r>
        <w:rPr>
          <w:vertAlign w:val="baseline"/>
        </w:rPr>
        <w:t>If this were not so, the promise could not be enforced at </w:t>
      </w:r>
      <w:bookmarkStart w:name="_bookmark461" w:id="463"/>
      <w:bookmarkEnd w:id="463"/>
      <w:r>
        <w:rPr>
          <w:vertAlign w:val="baseline"/>
        </w:rPr>
        <w:t>all;</w:t>
      </w:r>
      <w:r>
        <w:rPr>
          <w:vertAlign w:val="baseline"/>
        </w:rPr>
        <w:t> for, if A tried to sue alone, he would be defeated by the rule that all the joint creditors must be parties</w:t>
      </w:r>
      <w:r>
        <w:rPr>
          <w:spacing w:val="41"/>
          <w:vertAlign w:val="baseline"/>
        </w:rPr>
        <w:t> </w:t>
      </w:r>
      <w:r>
        <w:rPr>
          <w:vertAlign w:val="baseline"/>
        </w:rPr>
        <w:t>to</w:t>
      </w:r>
      <w:r>
        <w:rPr>
          <w:spacing w:val="42"/>
          <w:vertAlign w:val="baseline"/>
        </w:rPr>
        <w:t> </w:t>
      </w:r>
      <w:r>
        <w:rPr>
          <w:vertAlign w:val="baseline"/>
        </w:rPr>
        <w:t>the</w:t>
      </w:r>
      <w:r>
        <w:rPr>
          <w:spacing w:val="42"/>
          <w:vertAlign w:val="baseline"/>
        </w:rPr>
        <w:t> </w:t>
      </w:r>
      <w:r>
        <w:rPr>
          <w:vertAlign w:val="baseline"/>
        </w:rPr>
        <w:t>action.</w:t>
      </w:r>
      <w:r>
        <w:rPr>
          <w:spacing w:val="42"/>
          <w:vertAlign w:val="baseline"/>
        </w:rPr>
        <w:t> </w:t>
      </w:r>
      <w:r>
        <w:rPr>
          <w:color w:val="005DA1"/>
          <w:u w:val="single" w:color="005DA1"/>
          <w:vertAlign w:val="superscript"/>
        </w:rPr>
        <w:t>260</w:t>
      </w:r>
      <w:r>
        <w:rPr>
          <w:color w:val="005DA1"/>
          <w:spacing w:val="42"/>
          <w:vertAlign w:val="baseline"/>
        </w:rPr>
        <w:t> </w:t>
      </w:r>
      <w:r>
        <w:rPr>
          <w:vertAlign w:val="baseline"/>
        </w:rPr>
        <w:t>It</w:t>
      </w:r>
      <w:r>
        <w:rPr>
          <w:spacing w:val="42"/>
          <w:vertAlign w:val="baseline"/>
        </w:rPr>
        <w:t> </w:t>
      </w:r>
      <w:r>
        <w:rPr>
          <w:vertAlign w:val="baseline"/>
        </w:rPr>
        <w:t>follows</w:t>
      </w:r>
      <w:r>
        <w:rPr>
          <w:spacing w:val="41"/>
          <w:vertAlign w:val="baseline"/>
        </w:rPr>
        <w:t> </w:t>
      </w:r>
      <w:r>
        <w:rPr>
          <w:vertAlign w:val="baseline"/>
        </w:rPr>
        <w:t>from</w:t>
      </w:r>
      <w:r>
        <w:rPr>
          <w:spacing w:val="42"/>
          <w:vertAlign w:val="baseline"/>
        </w:rPr>
        <w:t> </w:t>
      </w:r>
      <w:r>
        <w:rPr>
          <w:vertAlign w:val="baseline"/>
        </w:rPr>
        <w:t>the</w:t>
      </w:r>
      <w:r>
        <w:rPr>
          <w:spacing w:val="42"/>
          <w:vertAlign w:val="baseline"/>
        </w:rPr>
        <w:t> </w:t>
      </w:r>
      <w:r>
        <w:rPr>
          <w:vertAlign w:val="baseline"/>
        </w:rPr>
        <w:t>doctrine</w:t>
      </w:r>
      <w:r>
        <w:rPr>
          <w:spacing w:val="42"/>
          <w:vertAlign w:val="baseline"/>
        </w:rPr>
        <w:t> </w:t>
      </w:r>
      <w:r>
        <w:rPr>
          <w:vertAlign w:val="baseline"/>
        </w:rPr>
        <w:t>of</w:t>
      </w:r>
      <w:r>
        <w:rPr>
          <w:spacing w:val="42"/>
          <w:vertAlign w:val="baseline"/>
        </w:rPr>
        <w:t> </w:t>
      </w:r>
      <w:r>
        <w:rPr>
          <w:vertAlign w:val="baseline"/>
        </w:rPr>
        <w:t>survivorship</w:t>
      </w:r>
      <w:r>
        <w:rPr>
          <w:spacing w:val="42"/>
          <w:vertAlign w:val="baseline"/>
        </w:rPr>
        <w:t> </w:t>
      </w:r>
      <w:r>
        <w:rPr>
          <w:vertAlign w:val="baseline"/>
        </w:rPr>
        <w:t>(which</w:t>
      </w:r>
      <w:r>
        <w:rPr>
          <w:spacing w:val="41"/>
          <w:vertAlign w:val="baseline"/>
        </w:rPr>
        <w:t> </w:t>
      </w:r>
      <w:r>
        <w:rPr>
          <w:vertAlign w:val="baseline"/>
        </w:rPr>
        <w:t>applies</w:t>
      </w:r>
      <w:r>
        <w:rPr>
          <w:spacing w:val="42"/>
          <w:vertAlign w:val="baseline"/>
        </w:rPr>
        <w:t> </w:t>
      </w:r>
      <w:r>
        <w:rPr>
          <w:vertAlign w:val="baseline"/>
        </w:rPr>
        <w:t>between</w:t>
      </w:r>
      <w:r>
        <w:rPr>
          <w:spacing w:val="42"/>
          <w:vertAlign w:val="baseline"/>
        </w:rPr>
        <w:t> </w:t>
      </w:r>
      <w:r>
        <w:rPr>
          <w:spacing w:val="-2"/>
          <w:vertAlign w:val="baseline"/>
        </w:rPr>
        <w:t>joint</w:t>
      </w:r>
    </w:p>
    <w:p>
      <w:pPr>
        <w:pStyle w:val="BodyText"/>
        <w:spacing w:after="0" w:line="235" w:lineRule="auto"/>
        <w:jc w:val="both"/>
        <w:sectPr>
          <w:pgSz w:w="11900" w:h="16840"/>
          <w:pgMar w:header="971" w:footer="0" w:top="1160" w:bottom="280" w:left="1275" w:right="1275"/>
        </w:sectPr>
      </w:pPr>
    </w:p>
    <w:p>
      <w:pPr>
        <w:pStyle w:val="BodyText"/>
        <w:spacing w:before="21"/>
      </w:pPr>
    </w:p>
    <w:p>
      <w:pPr>
        <w:pStyle w:val="BodyText"/>
        <w:ind w:left="165"/>
        <w:jc w:val="both"/>
      </w:pPr>
      <w:bookmarkStart w:name="_bookmark462" w:id="464"/>
      <w:bookmarkEnd w:id="464"/>
      <w:r>
        <w:rPr/>
      </w:r>
      <w:r>
        <w:rPr/>
        <w:t>promisees)</w:t>
      </w:r>
      <w:r>
        <w:rPr>
          <w:spacing w:val="-3"/>
        </w:rPr>
        <w:t> </w:t>
      </w:r>
      <w:r>
        <w:rPr>
          <w:color w:val="005DA1"/>
          <w:u w:val="single" w:color="005DA1"/>
          <w:vertAlign w:val="superscript"/>
        </w:rPr>
        <w:t>261</w:t>
      </w:r>
      <w:r>
        <w:rPr>
          <w:color w:val="005DA1"/>
          <w:spacing w:val="-2"/>
          <w:vertAlign w:val="baseline"/>
        </w:rPr>
        <w:t> </w:t>
      </w:r>
      <w:r>
        <w:rPr>
          <w:vertAlign w:val="baseline"/>
        </w:rPr>
        <w:t>that</w:t>
      </w:r>
      <w:r>
        <w:rPr>
          <w:spacing w:val="-1"/>
          <w:vertAlign w:val="baseline"/>
        </w:rPr>
        <w:t> </w:t>
      </w:r>
      <w:r>
        <w:rPr>
          <w:vertAlign w:val="baseline"/>
        </w:rPr>
        <w:t>B</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entitled</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entire</w:t>
      </w:r>
      <w:r>
        <w:rPr>
          <w:spacing w:val="-1"/>
          <w:vertAlign w:val="baseline"/>
        </w:rPr>
        <w:t> </w:t>
      </w:r>
      <w:r>
        <w:rPr>
          <w:vertAlign w:val="baseline"/>
        </w:rPr>
        <w:t>benefit</w:t>
      </w:r>
      <w:r>
        <w:rPr>
          <w:spacing w:val="-1"/>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promise</w:t>
      </w:r>
      <w:r>
        <w:rPr>
          <w:spacing w:val="-1"/>
          <w:vertAlign w:val="baseline"/>
        </w:rPr>
        <w:t> </w:t>
      </w:r>
      <w:r>
        <w:rPr>
          <w:vertAlign w:val="baseline"/>
        </w:rPr>
        <w:t>after</w:t>
      </w:r>
      <w:r>
        <w:rPr>
          <w:spacing w:val="-1"/>
          <w:vertAlign w:val="baseline"/>
        </w:rPr>
        <w:t> </w:t>
      </w:r>
      <w:r>
        <w:rPr>
          <w:vertAlign w:val="baseline"/>
        </w:rPr>
        <w:t>A’s</w:t>
      </w:r>
      <w:r>
        <w:rPr>
          <w:spacing w:val="-1"/>
          <w:vertAlign w:val="baseline"/>
        </w:rPr>
        <w:t> </w:t>
      </w:r>
      <w:r>
        <w:rPr>
          <w:spacing w:val="-2"/>
          <w:vertAlign w:val="baseline"/>
        </w:rPr>
        <w:t>death.</w:t>
      </w:r>
    </w:p>
    <w:p>
      <w:pPr>
        <w:pStyle w:val="BodyText"/>
      </w:pPr>
    </w:p>
    <w:p>
      <w:pPr>
        <w:pStyle w:val="BodyText"/>
        <w:spacing w:before="37"/>
      </w:pPr>
    </w:p>
    <w:p>
      <w:pPr>
        <w:spacing w:before="0"/>
        <w:ind w:left="165" w:right="0" w:firstLine="0"/>
        <w:jc w:val="left"/>
        <w:rPr>
          <w:rFonts w:ascii="Arial"/>
          <w:b/>
          <w:sz w:val="18"/>
        </w:rPr>
      </w:pPr>
      <w:r>
        <w:rPr>
          <w:rFonts w:ascii="Arial"/>
          <w:b/>
          <w:sz w:val="18"/>
        </w:rPr>
        <w:t>Several </w:t>
      </w:r>
      <w:r>
        <w:rPr>
          <w:rFonts w:ascii="Arial"/>
          <w:b/>
          <w:spacing w:val="-2"/>
          <w:sz w:val="18"/>
        </w:rPr>
        <w:t>promises</w:t>
      </w:r>
    </w:p>
    <w:p>
      <w:pPr>
        <w:pStyle w:val="BodyText"/>
        <w:spacing w:before="42"/>
        <w:rPr>
          <w:rFonts w:ascii="Arial"/>
          <w:b/>
          <w:sz w:val="18"/>
        </w:rPr>
      </w:pPr>
    </w:p>
    <w:p>
      <w:pPr>
        <w:pStyle w:val="Heading2"/>
      </w:pPr>
      <w:r>
        <w:rPr/>
        <w:t>4-</w:t>
      </w:r>
      <w:r>
        <w:rPr>
          <w:spacing w:val="-5"/>
        </w:rPr>
        <w:t>044</w:t>
      </w:r>
    </w:p>
    <w:p>
      <w:pPr>
        <w:pStyle w:val="BodyText"/>
        <w:spacing w:line="235" w:lineRule="auto" w:before="202"/>
        <w:ind w:left="165" w:right="167"/>
        <w:jc w:val="both"/>
      </w:pPr>
      <w:bookmarkStart w:name="_bookmark463" w:id="465"/>
      <w:bookmarkEnd w:id="465"/>
      <w:r>
        <w:rPr/>
      </w:r>
      <w:r>
        <w:rPr/>
        <w:t>None of the reasoning in para.4-043 above applies where a promise is made to A and B </w:t>
      </w:r>
      <w:r>
        <w:rPr>
          <w:rFonts w:ascii="Arial"/>
          <w:i/>
        </w:rPr>
        <w:t>severally</w:t>
      </w:r>
      <w:r>
        <w:rPr/>
        <w:t>. </w:t>
      </w:r>
      <w:r>
        <w:rPr>
          <w:color w:val="005DA1"/>
          <w:u w:val="single" w:color="005DA1"/>
          <w:vertAlign w:val="superscript"/>
        </w:rPr>
        <w:t>262</w:t>
      </w:r>
      <w:r>
        <w:rPr>
          <w:color w:val="005DA1"/>
          <w:vertAlign w:val="baseline"/>
        </w:rPr>
        <w:t> </w:t>
      </w:r>
      <w:r>
        <w:rPr>
          <w:vertAlign w:val="baseline"/>
        </w:rPr>
        <w:t>Hence it seems that each promisee must provide consideration for what is in theory a </w:t>
      </w:r>
      <w:r>
        <w:rPr>
          <w:vertAlign w:val="baseline"/>
        </w:rPr>
        <w:t>separate promise to him.</w:t>
      </w:r>
    </w:p>
    <w:p>
      <w:pPr>
        <w:pStyle w:val="BodyText"/>
      </w:pPr>
    </w:p>
    <w:p>
      <w:pPr>
        <w:pStyle w:val="BodyText"/>
        <w:spacing w:before="38"/>
      </w:pPr>
    </w:p>
    <w:p>
      <w:pPr>
        <w:spacing w:before="0"/>
        <w:ind w:left="165" w:right="0" w:firstLine="0"/>
        <w:jc w:val="left"/>
        <w:rPr>
          <w:rFonts w:ascii="Arial"/>
          <w:b/>
          <w:sz w:val="18"/>
        </w:rPr>
      </w:pPr>
      <w:r>
        <w:rPr>
          <w:rFonts w:ascii="Arial"/>
          <w:b/>
          <w:sz w:val="18"/>
        </w:rPr>
        <w:t>Joint and several </w:t>
      </w:r>
      <w:r>
        <w:rPr>
          <w:rFonts w:ascii="Arial"/>
          <w:b/>
          <w:spacing w:val="-2"/>
          <w:sz w:val="18"/>
        </w:rPr>
        <w:t>promises</w:t>
      </w:r>
    </w:p>
    <w:p>
      <w:pPr>
        <w:pStyle w:val="BodyText"/>
        <w:spacing w:before="41"/>
        <w:rPr>
          <w:rFonts w:ascii="Arial"/>
          <w:b/>
          <w:sz w:val="18"/>
        </w:rPr>
      </w:pPr>
    </w:p>
    <w:p>
      <w:pPr>
        <w:pStyle w:val="Heading2"/>
      </w:pPr>
      <w:r>
        <w:rPr/>
        <w:t>4-</w:t>
      </w:r>
      <w:r>
        <w:rPr>
          <w:spacing w:val="-5"/>
        </w:rPr>
        <w:t>045</w:t>
      </w:r>
    </w:p>
    <w:p>
      <w:pPr>
        <w:pStyle w:val="BodyText"/>
        <w:spacing w:line="235" w:lineRule="auto" w:before="203"/>
        <w:ind w:left="164" w:right="167"/>
        <w:jc w:val="both"/>
      </w:pPr>
      <w:r>
        <w:rPr/>
        <w:t>It is, however, uncertain which of the rules stated in paragraphs 4-043 and 4-044 above applies to the </w:t>
      </w:r>
      <w:bookmarkStart w:name="_bookmark464" w:id="466"/>
      <w:bookmarkEnd w:id="466"/>
      <w:r>
        <w:rPr/>
        <w:t>intermediate</w:t>
      </w:r>
      <w:r>
        <w:rPr/>
        <w:t> case of a promise made to two persons </w:t>
      </w:r>
      <w:r>
        <w:rPr>
          <w:rFonts w:ascii="Arial" w:hAnsi="Arial"/>
          <w:i/>
        </w:rPr>
        <w:t>jointly and severally</w:t>
      </w:r>
      <w:r>
        <w:rPr/>
        <w:t>. Such a promise may </w:t>
      </w:r>
      <w:r>
        <w:rPr/>
        <w:t>be </w:t>
      </w:r>
      <w:bookmarkStart w:name="_bookmark465" w:id="467"/>
      <w:bookmarkEnd w:id="467"/>
      <w:r>
        <w:rPr/>
        <w:t>made</w:t>
      </w:r>
      <w:r>
        <w:rPr/>
        <w:t> under s.81 of the Law of Property Act 1925 </w:t>
      </w:r>
      <w:r>
        <w:rPr>
          <w:color w:val="005DA1"/>
          <w:u w:val="single" w:color="005DA1"/>
          <w:vertAlign w:val="superscript"/>
        </w:rPr>
        <w:t>263</w:t>
      </w:r>
      <w:r>
        <w:rPr>
          <w:vertAlign w:val="baseline"/>
        </w:rPr>
        <w:t>; but that section appears to contemplate only </w:t>
      </w:r>
      <w:bookmarkStart w:name="_bookmark466" w:id="468"/>
      <w:bookmarkEnd w:id="468"/>
      <w:r>
        <w:rPr>
          <w:vertAlign w:val="baseline"/>
        </w:rPr>
        <w:t>promises</w:t>
      </w:r>
      <w:r>
        <w:rPr>
          <w:spacing w:val="-2"/>
          <w:vertAlign w:val="baseline"/>
        </w:rPr>
        <w:t> </w:t>
      </w:r>
      <w:r>
        <w:rPr>
          <w:vertAlign w:val="baseline"/>
        </w:rPr>
        <w:t>under</w:t>
      </w:r>
      <w:r>
        <w:rPr>
          <w:spacing w:val="-2"/>
          <w:vertAlign w:val="baseline"/>
        </w:rPr>
        <w:t> </w:t>
      </w:r>
      <w:r>
        <w:rPr>
          <w:vertAlign w:val="baseline"/>
        </w:rPr>
        <w:t>seal,</w:t>
      </w:r>
      <w:r>
        <w:rPr>
          <w:spacing w:val="-2"/>
          <w:vertAlign w:val="baseline"/>
        </w:rPr>
        <w:t> </w:t>
      </w:r>
      <w:r>
        <w:rPr>
          <w:color w:val="005DA1"/>
          <w:u w:val="single" w:color="005DA1"/>
          <w:vertAlign w:val="superscript"/>
        </w:rPr>
        <w:t>264</w:t>
      </w:r>
      <w:r>
        <w:rPr>
          <w:color w:val="005DA1"/>
          <w:spacing w:val="-2"/>
          <w:vertAlign w:val="baseline"/>
        </w:rPr>
        <w:t> </w:t>
      </w:r>
      <w:r>
        <w:rPr>
          <w:vertAlign w:val="baseline"/>
        </w:rPr>
        <w:t>so</w:t>
      </w:r>
      <w:r>
        <w:rPr>
          <w:spacing w:val="-2"/>
          <w:vertAlign w:val="baseline"/>
        </w:rPr>
        <w:t> </w:t>
      </w:r>
      <w:r>
        <w:rPr>
          <w:vertAlign w:val="baseline"/>
        </w:rPr>
        <w:t>that</w:t>
      </w:r>
      <w:r>
        <w:rPr>
          <w:spacing w:val="-2"/>
          <w:vertAlign w:val="baseline"/>
        </w:rPr>
        <w:t> </w:t>
      </w:r>
      <w:r>
        <w:rPr>
          <w:vertAlign w:val="baseline"/>
        </w:rPr>
        <w:t>no</w:t>
      </w:r>
      <w:r>
        <w:rPr>
          <w:spacing w:val="-2"/>
          <w:vertAlign w:val="baseline"/>
        </w:rPr>
        <w:t> </w:t>
      </w:r>
      <w:r>
        <w:rPr>
          <w:vertAlign w:val="baseline"/>
        </w:rPr>
        <w:t>question</w:t>
      </w:r>
      <w:r>
        <w:rPr>
          <w:spacing w:val="-2"/>
          <w:vertAlign w:val="baseline"/>
        </w:rPr>
        <w:t> </w:t>
      </w:r>
      <w:r>
        <w:rPr>
          <w:vertAlign w:val="baseline"/>
        </w:rPr>
        <w:t>of</w:t>
      </w:r>
      <w:r>
        <w:rPr>
          <w:spacing w:val="-2"/>
          <w:vertAlign w:val="baseline"/>
        </w:rPr>
        <w:t> </w:t>
      </w:r>
      <w:r>
        <w:rPr>
          <w:vertAlign w:val="baseline"/>
        </w:rPr>
        <w:t>consideration</w:t>
      </w:r>
      <w:r>
        <w:rPr>
          <w:spacing w:val="-2"/>
          <w:vertAlign w:val="baseline"/>
        </w:rPr>
        <w:t> </w:t>
      </w:r>
      <w:r>
        <w:rPr>
          <w:vertAlign w:val="baseline"/>
        </w:rPr>
        <w:t>can</w:t>
      </w:r>
      <w:r>
        <w:rPr>
          <w:spacing w:val="-2"/>
          <w:vertAlign w:val="baseline"/>
        </w:rPr>
        <w:t> </w:t>
      </w:r>
      <w:r>
        <w:rPr>
          <w:vertAlign w:val="baseline"/>
        </w:rPr>
        <w:t>arise.</w:t>
      </w:r>
      <w:r>
        <w:rPr>
          <w:spacing w:val="-2"/>
          <w:vertAlign w:val="baseline"/>
        </w:rPr>
        <w:t> </w:t>
      </w:r>
      <w:r>
        <w:rPr>
          <w:vertAlign w:val="baseline"/>
        </w:rPr>
        <w:t>The</w:t>
      </w:r>
      <w:r>
        <w:rPr>
          <w:spacing w:val="-2"/>
          <w:vertAlign w:val="baseline"/>
        </w:rPr>
        <w:t> </w:t>
      </w:r>
      <w:r>
        <w:rPr>
          <w:vertAlign w:val="baseline"/>
        </w:rPr>
        <w:t>common</w:t>
      </w:r>
      <w:r>
        <w:rPr>
          <w:spacing w:val="-2"/>
          <w:vertAlign w:val="baseline"/>
        </w:rPr>
        <w:t> </w:t>
      </w:r>
      <w:r>
        <w:rPr>
          <w:vertAlign w:val="baseline"/>
        </w:rPr>
        <w:t>law</w:t>
      </w:r>
      <w:r>
        <w:rPr>
          <w:spacing w:val="-2"/>
          <w:vertAlign w:val="baseline"/>
        </w:rPr>
        <w:t> </w:t>
      </w:r>
      <w:r>
        <w:rPr>
          <w:vertAlign w:val="baseline"/>
        </w:rPr>
        <w:t>originally</w:t>
      </w:r>
      <w:r>
        <w:rPr>
          <w:spacing w:val="-2"/>
          <w:vertAlign w:val="baseline"/>
        </w:rPr>
        <w:t> </w:t>
      </w:r>
      <w:r>
        <w:rPr>
          <w:vertAlign w:val="baseline"/>
        </w:rPr>
        <w:t>did </w:t>
      </w:r>
      <w:bookmarkStart w:name="_bookmark467" w:id="469"/>
      <w:bookmarkEnd w:id="469"/>
      <w:r>
        <w:rPr>
          <w:vertAlign w:val="baseline"/>
        </w:rPr>
        <w:t>not</w:t>
      </w:r>
      <w:r>
        <w:rPr>
          <w:vertAlign w:val="baseline"/>
        </w:rPr>
        <w:t> recognise the possibility that a promise </w:t>
      </w:r>
      <w:r>
        <w:rPr>
          <w:rFonts w:ascii="Arial" w:hAnsi="Arial"/>
          <w:i/>
          <w:vertAlign w:val="baseline"/>
        </w:rPr>
        <w:t>to </w:t>
      </w:r>
      <w:r>
        <w:rPr>
          <w:vertAlign w:val="baseline"/>
        </w:rPr>
        <w:t>a number of persons </w:t>
      </w:r>
      <w:r>
        <w:rPr>
          <w:color w:val="005DA1"/>
          <w:u w:val="single" w:color="005DA1"/>
          <w:vertAlign w:val="superscript"/>
        </w:rPr>
        <w:t>265</w:t>
      </w:r>
      <w:r>
        <w:rPr>
          <w:color w:val="005DA1"/>
          <w:vertAlign w:val="baseline"/>
        </w:rPr>
        <w:t> </w:t>
      </w:r>
      <w:r>
        <w:rPr>
          <w:vertAlign w:val="baseline"/>
        </w:rPr>
        <w:t>could be joint </w:t>
      </w:r>
      <w:r>
        <w:rPr>
          <w:rFonts w:ascii="Arial" w:hAnsi="Arial"/>
          <w:i/>
          <w:vertAlign w:val="baseline"/>
        </w:rPr>
        <w:t>and </w:t>
      </w:r>
      <w:r>
        <w:rPr>
          <w:vertAlign w:val="baseline"/>
        </w:rPr>
        <w:t>several </w:t>
      </w:r>
      <w:r>
        <w:rPr>
          <w:color w:val="005DA1"/>
          <w:u w:val="single" w:color="005DA1"/>
          <w:vertAlign w:val="superscript"/>
        </w:rPr>
        <w:t>266</w:t>
      </w:r>
      <w:r>
        <w:rPr>
          <w:vertAlign w:val="baseline"/>
        </w:rPr>
        <w:t>; </w:t>
      </w:r>
      <w:bookmarkStart w:name="_bookmark468" w:id="470"/>
      <w:bookmarkEnd w:id="470"/>
      <w:r>
        <w:rPr>
          <w:vertAlign w:val="baseline"/>
        </w:rPr>
        <w:t>but</w:t>
      </w:r>
      <w:r>
        <w:rPr>
          <w:vertAlign w:val="baseline"/>
        </w:rPr>
        <w:t> the possibility came to be recognised late in the nineteenth century. </w:t>
      </w:r>
      <w:r>
        <w:rPr>
          <w:color w:val="005DA1"/>
          <w:u w:val="single" w:color="005DA1"/>
          <w:vertAlign w:val="superscript"/>
        </w:rPr>
        <w:t>267</w:t>
      </w:r>
      <w:r>
        <w:rPr>
          <w:color w:val="005DA1"/>
          <w:vertAlign w:val="baseline"/>
        </w:rPr>
        <w:t> </w:t>
      </w:r>
      <w:r>
        <w:rPr>
          <w:vertAlign w:val="baseline"/>
        </w:rPr>
        <w:t>It may be illustrated by </w:t>
      </w:r>
      <w:r>
        <w:rPr>
          <w:rFonts w:ascii="Arial" w:hAnsi="Arial"/>
          <w:i/>
          <w:vertAlign w:val="baseline"/>
        </w:rPr>
        <w:t>McEvoy v Belfast Banking Co</w:t>
      </w:r>
      <w:r>
        <w:rPr>
          <w:vertAlign w:val="baseline"/>
        </w:rPr>
        <w:t>, </w:t>
      </w:r>
      <w:r>
        <w:rPr>
          <w:color w:val="005DA1"/>
          <w:u w:val="single" w:color="005DA1"/>
          <w:vertAlign w:val="superscript"/>
        </w:rPr>
        <w:t>268</w:t>
      </w:r>
      <w:r>
        <w:rPr>
          <w:color w:val="005DA1"/>
          <w:vertAlign w:val="baseline"/>
        </w:rPr>
        <w:t> </w:t>
      </w:r>
      <w:r>
        <w:rPr>
          <w:vertAlign w:val="baseline"/>
        </w:rPr>
        <w:t>where a father, A, deposited £10,000 in a bank and the deposit receipt</w:t>
      </w:r>
      <w:r>
        <w:rPr>
          <w:spacing w:val="-1"/>
          <w:vertAlign w:val="baseline"/>
        </w:rPr>
        <w:t> </w:t>
      </w:r>
      <w:r>
        <w:rPr>
          <w:vertAlign w:val="baseline"/>
        </w:rPr>
        <w:t>stated</w:t>
      </w:r>
      <w:r>
        <w:rPr>
          <w:spacing w:val="-1"/>
          <w:vertAlign w:val="baseline"/>
        </w:rPr>
        <w:t> </w:t>
      </w:r>
      <w:r>
        <w:rPr>
          <w:vertAlign w:val="baseline"/>
        </w:rPr>
        <w:t>that</w:t>
      </w:r>
      <w:r>
        <w:rPr>
          <w:spacing w:val="-1"/>
          <w:vertAlign w:val="baseline"/>
        </w:rPr>
        <w:t> </w:t>
      </w:r>
      <w:r>
        <w:rPr>
          <w:vertAlign w:val="baseline"/>
        </w:rPr>
        <w:t>this</w:t>
      </w:r>
      <w:r>
        <w:rPr>
          <w:spacing w:val="-1"/>
          <w:vertAlign w:val="baseline"/>
        </w:rPr>
        <w:t> </w:t>
      </w:r>
      <w:r>
        <w:rPr>
          <w:vertAlign w:val="baseline"/>
        </w:rPr>
        <w:t>amount</w:t>
      </w:r>
      <w:r>
        <w:rPr>
          <w:spacing w:val="-1"/>
          <w:vertAlign w:val="baseline"/>
        </w:rPr>
        <w:t> </w:t>
      </w:r>
      <w:r>
        <w:rPr>
          <w:vertAlign w:val="baseline"/>
        </w:rPr>
        <w:t>had</w:t>
      </w:r>
      <w:r>
        <w:rPr>
          <w:spacing w:val="-1"/>
          <w:vertAlign w:val="baseline"/>
        </w:rPr>
        <w:t> </w:t>
      </w:r>
      <w:r>
        <w:rPr>
          <w:vertAlign w:val="baseline"/>
        </w:rPr>
        <w:t>been</w:t>
      </w:r>
      <w:r>
        <w:rPr>
          <w:spacing w:val="-1"/>
          <w:vertAlign w:val="baseline"/>
        </w:rPr>
        <w:t> </w:t>
      </w:r>
      <w:r>
        <w:rPr>
          <w:vertAlign w:val="baseline"/>
        </w:rPr>
        <w:t>received</w:t>
      </w:r>
      <w:r>
        <w:rPr>
          <w:spacing w:val="-1"/>
          <w:vertAlign w:val="baseline"/>
        </w:rPr>
        <w:t> </w:t>
      </w:r>
      <w:r>
        <w:rPr>
          <w:vertAlign w:val="baseline"/>
        </w:rPr>
        <w:t>from</w:t>
      </w:r>
      <w:r>
        <w:rPr>
          <w:spacing w:val="-1"/>
          <w:vertAlign w:val="baseline"/>
        </w:rPr>
        <w:t> </w:t>
      </w:r>
      <w:r>
        <w:rPr>
          <w:vertAlign w:val="baseline"/>
        </w:rPr>
        <w:t>him</w:t>
      </w:r>
      <w:r>
        <w:rPr>
          <w:spacing w:val="-1"/>
          <w:vertAlign w:val="baseline"/>
        </w:rPr>
        <w:t> </w:t>
      </w:r>
      <w:r>
        <w:rPr>
          <w:vertAlign w:val="baseline"/>
        </w:rPr>
        <w:t>and</w:t>
      </w:r>
      <w:r>
        <w:rPr>
          <w:spacing w:val="-1"/>
          <w:vertAlign w:val="baseline"/>
        </w:rPr>
        <w:t> </w:t>
      </w:r>
      <w:r>
        <w:rPr>
          <w:vertAlign w:val="baseline"/>
        </w:rPr>
        <w:t>his</w:t>
      </w:r>
      <w:r>
        <w:rPr>
          <w:spacing w:val="-1"/>
          <w:vertAlign w:val="baseline"/>
        </w:rPr>
        <w:t> </w:t>
      </w:r>
      <w:r>
        <w:rPr>
          <w:vertAlign w:val="baseline"/>
        </w:rPr>
        <w:t>son,</w:t>
      </w:r>
      <w:r>
        <w:rPr>
          <w:spacing w:val="-1"/>
          <w:vertAlign w:val="baseline"/>
        </w:rPr>
        <w:t> </w:t>
      </w:r>
      <w:r>
        <w:rPr>
          <w:vertAlign w:val="baseline"/>
        </w:rPr>
        <w:t>B,</w:t>
      </w:r>
      <w:r>
        <w:rPr>
          <w:spacing w:val="-1"/>
          <w:vertAlign w:val="baseline"/>
        </w:rPr>
        <w:t> </w:t>
      </w:r>
      <w:r>
        <w:rPr>
          <w:vertAlign w:val="baseline"/>
        </w:rPr>
        <w:t>and</w:t>
      </w:r>
      <w:r>
        <w:rPr>
          <w:spacing w:val="-1"/>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payable</w:t>
      </w:r>
      <w:r>
        <w:rPr>
          <w:spacing w:val="-1"/>
          <w:vertAlign w:val="baseline"/>
        </w:rPr>
        <w:t> </w:t>
      </w:r>
      <w:r>
        <w:rPr>
          <w:vertAlign w:val="baseline"/>
        </w:rPr>
        <w:t>“to </w:t>
      </w:r>
      <w:bookmarkStart w:name="_bookmark469" w:id="471"/>
      <w:bookmarkEnd w:id="471"/>
      <w:r>
        <w:rPr>
          <w:vertAlign w:val="baseline"/>
        </w:rPr>
        <w:t>either</w:t>
      </w:r>
      <w:r>
        <w:rPr>
          <w:vertAlign w:val="baseline"/>
        </w:rPr>
        <w:t> or the survivor.” With reference to these facts, Lord Atkin said obiter that the contract was not</w:t>
      </w:r>
      <w:r>
        <w:rPr>
          <w:spacing w:val="40"/>
          <w:vertAlign w:val="baseline"/>
        </w:rPr>
        <w:t> </w:t>
      </w:r>
      <w:r>
        <w:rPr>
          <w:vertAlign w:val="baseline"/>
        </w:rPr>
        <w:t>by the bank with A for the benefit of B but “with A and B,</w:t>
      </w:r>
      <w:r>
        <w:rPr>
          <w:spacing w:val="-1"/>
          <w:vertAlign w:val="baseline"/>
        </w:rPr>
        <w:t> </w:t>
      </w:r>
      <w:r>
        <w:rPr>
          <w:color w:val="005DA1"/>
          <w:u w:val="single" w:color="005DA1"/>
          <w:vertAlign w:val="superscript"/>
        </w:rPr>
        <w:t>269</w:t>
      </w:r>
      <w:r>
        <w:rPr>
          <w:color w:val="005DA1"/>
          <w:vertAlign w:val="baseline"/>
        </w:rPr>
        <w:t> </w:t>
      </w:r>
      <w:r>
        <w:rPr>
          <w:vertAlign w:val="baseline"/>
        </w:rPr>
        <w:t>and I think with them jointly and severally. </w:t>
      </w:r>
      <w:bookmarkStart w:name="_bookmark470" w:id="472"/>
      <w:bookmarkEnd w:id="472"/>
      <w:r>
        <w:rPr>
          <w:vertAlign w:val="baseline"/>
        </w:rPr>
        <w:t>A</w:t>
      </w:r>
      <w:r>
        <w:rPr>
          <w:vertAlign w:val="baseline"/>
        </w:rPr>
        <w:t> purports to make the contract on behalf of B as well as himself and the consideration supports such </w:t>
      </w:r>
      <w:bookmarkStart w:name="_bookmark471" w:id="473"/>
      <w:bookmarkEnd w:id="473"/>
      <w:r>
        <w:rPr>
          <w:vertAlign w:val="baseline"/>
        </w:rPr>
        <w:t>a</w:t>
      </w:r>
      <w:r>
        <w:rPr>
          <w:vertAlign w:val="baseline"/>
        </w:rPr>
        <w:t> contract.” </w:t>
      </w:r>
      <w:r>
        <w:rPr>
          <w:color w:val="005DA1"/>
          <w:u w:val="single" w:color="005DA1"/>
          <w:vertAlign w:val="superscript"/>
        </w:rPr>
        <w:t>270</w:t>
      </w:r>
      <w:r>
        <w:rPr>
          <w:color w:val="005DA1"/>
          <w:vertAlign w:val="baseline"/>
        </w:rPr>
        <w:t> </w:t>
      </w:r>
      <w:r>
        <w:rPr>
          <w:vertAlign w:val="baseline"/>
        </w:rPr>
        <w:t>Of course after A’s death (which in </w:t>
      </w:r>
      <w:r>
        <w:rPr>
          <w:rFonts w:ascii="Arial" w:hAnsi="Arial"/>
          <w:i/>
          <w:vertAlign w:val="baseline"/>
        </w:rPr>
        <w:t>McEvoy’s </w:t>
      </w:r>
      <w:r>
        <w:rPr>
          <w:vertAlign w:val="baseline"/>
        </w:rPr>
        <w:t>case had occurred) B would be entitled</w:t>
      </w:r>
      <w:r>
        <w:rPr>
          <w:spacing w:val="40"/>
          <w:vertAlign w:val="baseline"/>
        </w:rPr>
        <w:t> </w:t>
      </w:r>
      <w:r>
        <w:rPr>
          <w:vertAlign w:val="baseline"/>
        </w:rPr>
        <w:t>to sue on any joint promise under the doctrine of survivorship. </w:t>
      </w:r>
      <w:r>
        <w:rPr>
          <w:color w:val="005DA1"/>
          <w:u w:val="single" w:color="005DA1"/>
          <w:vertAlign w:val="superscript"/>
        </w:rPr>
        <w:t>271</w:t>
      </w:r>
      <w:r>
        <w:rPr>
          <w:color w:val="005DA1"/>
          <w:vertAlign w:val="baseline"/>
        </w:rPr>
        <w:t> </w:t>
      </w:r>
      <w:r>
        <w:rPr>
          <w:vertAlign w:val="baseline"/>
        </w:rPr>
        <w:t>But it is harder to see how he could </w:t>
      </w:r>
      <w:bookmarkStart w:name="_bookmark472" w:id="474"/>
      <w:bookmarkEnd w:id="474"/>
      <w:r>
        <w:rPr>
          <w:vertAlign w:val="baseline"/>
        </w:rPr>
        <w:t>sue</w:t>
      </w:r>
      <w:r>
        <w:rPr>
          <w:vertAlign w:val="baseline"/>
        </w:rPr>
        <w:t> on any several promise, for this is ex hypothesi an independent promise and on the facts stated no</w:t>
      </w:r>
      <w:r>
        <w:rPr>
          <w:spacing w:val="-1"/>
          <w:vertAlign w:val="baseline"/>
        </w:rPr>
        <w:t> </w:t>
      </w:r>
      <w:r>
        <w:rPr>
          <w:vertAlign w:val="baseline"/>
        </w:rPr>
        <w:t>consideration</w:t>
      </w:r>
      <w:r>
        <w:rPr>
          <w:spacing w:val="-1"/>
          <w:vertAlign w:val="baseline"/>
        </w:rPr>
        <w:t> </w:t>
      </w:r>
      <w:r>
        <w:rPr>
          <w:vertAlign w:val="baseline"/>
        </w:rPr>
        <w:t>for</w:t>
      </w:r>
      <w:r>
        <w:rPr>
          <w:spacing w:val="-1"/>
          <w:vertAlign w:val="baseline"/>
        </w:rPr>
        <w:t> </w:t>
      </w:r>
      <w:r>
        <w:rPr>
          <w:vertAlign w:val="baseline"/>
        </w:rPr>
        <w:t>it</w:t>
      </w:r>
      <w:r>
        <w:rPr>
          <w:spacing w:val="-1"/>
          <w:vertAlign w:val="baseline"/>
        </w:rPr>
        <w:t> </w:t>
      </w:r>
      <w:r>
        <w:rPr>
          <w:vertAlign w:val="baseline"/>
        </w:rPr>
        <w:t>moved</w:t>
      </w:r>
      <w:r>
        <w:rPr>
          <w:spacing w:val="-1"/>
          <w:vertAlign w:val="baseline"/>
        </w:rPr>
        <w:t> </w:t>
      </w:r>
      <w:r>
        <w:rPr>
          <w:vertAlign w:val="baseline"/>
        </w:rPr>
        <w:t>from</w:t>
      </w:r>
      <w:r>
        <w:rPr>
          <w:spacing w:val="-1"/>
          <w:vertAlign w:val="baseline"/>
        </w:rPr>
        <w:t> </w:t>
      </w:r>
      <w:r>
        <w:rPr>
          <w:vertAlign w:val="baseline"/>
        </w:rPr>
        <w:t>B.</w:t>
      </w:r>
      <w:r>
        <w:rPr>
          <w:spacing w:val="-2"/>
          <w:vertAlign w:val="baseline"/>
        </w:rPr>
        <w:t> </w:t>
      </w:r>
      <w:r>
        <w:rPr>
          <w:color w:val="005DA1"/>
          <w:u w:val="single" w:color="005DA1"/>
          <w:vertAlign w:val="superscript"/>
        </w:rPr>
        <w:t>272</w:t>
      </w:r>
      <w:r>
        <w:rPr>
          <w:color w:val="005DA1"/>
          <w:spacing w:val="-1"/>
          <w:vertAlign w:val="baseline"/>
        </w:rPr>
        <w:t> </w:t>
      </w:r>
      <w:r>
        <w:rPr>
          <w:vertAlign w:val="baseline"/>
        </w:rPr>
        <w:t>Indeed,</w:t>
      </w:r>
      <w:r>
        <w:rPr>
          <w:spacing w:val="-1"/>
          <w:vertAlign w:val="baseline"/>
        </w:rPr>
        <w:t> </w:t>
      </w:r>
      <w:r>
        <w:rPr>
          <w:vertAlign w:val="baseline"/>
        </w:rPr>
        <w:t>the</w:t>
      </w:r>
      <w:r>
        <w:rPr>
          <w:spacing w:val="-1"/>
          <w:vertAlign w:val="baseline"/>
        </w:rPr>
        <w:t> </w:t>
      </w:r>
      <w:r>
        <w:rPr>
          <w:vertAlign w:val="baseline"/>
        </w:rPr>
        <w:t>more</w:t>
      </w:r>
      <w:r>
        <w:rPr>
          <w:spacing w:val="-1"/>
          <w:vertAlign w:val="baseline"/>
        </w:rPr>
        <w:t> </w:t>
      </w:r>
      <w:r>
        <w:rPr>
          <w:vertAlign w:val="baseline"/>
        </w:rPr>
        <w:t>probable</w:t>
      </w:r>
      <w:r>
        <w:rPr>
          <w:spacing w:val="-1"/>
          <w:vertAlign w:val="baseline"/>
        </w:rPr>
        <w:t> </w:t>
      </w:r>
      <w:r>
        <w:rPr>
          <w:vertAlign w:val="baseline"/>
        </w:rPr>
        <w:t>view</w:t>
      </w:r>
      <w:r>
        <w:rPr>
          <w:spacing w:val="-1"/>
          <w:vertAlign w:val="baseline"/>
        </w:rPr>
        <w:t> </w:t>
      </w:r>
      <w:r>
        <w:rPr>
          <w:vertAlign w:val="baseline"/>
        </w:rPr>
        <w:t>of</w:t>
      </w:r>
      <w:r>
        <w:rPr>
          <w:spacing w:val="-1"/>
          <w:vertAlign w:val="baseline"/>
        </w:rPr>
        <w:t> </w:t>
      </w:r>
      <w:r>
        <w:rPr>
          <w:vertAlign w:val="baseline"/>
        </w:rPr>
        <w:t>such</w:t>
      </w:r>
      <w:r>
        <w:rPr>
          <w:spacing w:val="-1"/>
          <w:vertAlign w:val="baseline"/>
        </w:rPr>
        <w:t> </w:t>
      </w:r>
      <w:r>
        <w:rPr>
          <w:vertAlign w:val="baseline"/>
        </w:rPr>
        <w:t>facts</w:t>
      </w:r>
      <w:r>
        <w:rPr>
          <w:spacing w:val="-1"/>
          <w:vertAlign w:val="baseline"/>
        </w:rPr>
        <w:t> </w:t>
      </w:r>
      <w:r>
        <w:rPr>
          <w:vertAlign w:val="baseline"/>
        </w:rPr>
        <w:t>is</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bank </w:t>
      </w:r>
      <w:bookmarkStart w:name="_bookmark473" w:id="475"/>
      <w:bookmarkEnd w:id="475"/>
      <w:r>
        <w:rPr>
          <w:vertAlign w:val="baseline"/>
        </w:rPr>
        <w:t>makes</w:t>
      </w:r>
      <w:r>
        <w:rPr>
          <w:vertAlign w:val="baseline"/>
        </w:rPr>
        <w:t> no promise at all to B but only has authority to pay him. Hence the bank is discharged by paying</w:t>
      </w:r>
      <w:r>
        <w:rPr>
          <w:spacing w:val="-2"/>
          <w:vertAlign w:val="baseline"/>
        </w:rPr>
        <w:t> </w:t>
      </w:r>
      <w:r>
        <w:rPr>
          <w:vertAlign w:val="baseline"/>
        </w:rPr>
        <w:t>B</w:t>
      </w:r>
      <w:r>
        <w:rPr>
          <w:spacing w:val="-2"/>
          <w:vertAlign w:val="baseline"/>
        </w:rPr>
        <w:t> </w:t>
      </w:r>
      <w:r>
        <w:rPr>
          <w:vertAlign w:val="baseline"/>
        </w:rPr>
        <w:t>but</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liable</w:t>
      </w:r>
      <w:r>
        <w:rPr>
          <w:spacing w:val="-2"/>
          <w:vertAlign w:val="baseline"/>
        </w:rPr>
        <w:t> </w:t>
      </w:r>
      <w:r>
        <w:rPr>
          <w:vertAlign w:val="baseline"/>
        </w:rPr>
        <w:t>to</w:t>
      </w:r>
      <w:r>
        <w:rPr>
          <w:spacing w:val="-2"/>
          <w:vertAlign w:val="baseline"/>
        </w:rPr>
        <w:t> </w:t>
      </w:r>
      <w:r>
        <w:rPr>
          <w:vertAlign w:val="baseline"/>
        </w:rPr>
        <w:t>him.</w:t>
      </w:r>
      <w:r>
        <w:rPr>
          <w:spacing w:val="-3"/>
          <w:vertAlign w:val="baseline"/>
        </w:rPr>
        <w:t> </w:t>
      </w:r>
      <w:r>
        <w:rPr>
          <w:color w:val="005DA1"/>
          <w:u w:val="single" w:color="005DA1"/>
          <w:vertAlign w:val="superscript"/>
        </w:rPr>
        <w:t>273</w:t>
      </w:r>
      <w:r>
        <w:rPr>
          <w:color w:val="005DA1"/>
          <w:spacing w:val="-2"/>
          <w:vertAlign w:val="baseline"/>
        </w:rPr>
        <w:t> </w:t>
      </w:r>
      <w:r>
        <w:rPr>
          <w:vertAlign w:val="baseline"/>
        </w:rPr>
        <w:t>The</w:t>
      </w:r>
      <w:r>
        <w:rPr>
          <w:spacing w:val="-2"/>
          <w:vertAlign w:val="baseline"/>
        </w:rPr>
        <w:t> </w:t>
      </w:r>
      <w:r>
        <w:rPr>
          <w:vertAlign w:val="baseline"/>
        </w:rPr>
        <w:t>bank</w:t>
      </w:r>
      <w:r>
        <w:rPr>
          <w:spacing w:val="-2"/>
          <w:vertAlign w:val="baseline"/>
        </w:rPr>
        <w:t> </w:t>
      </w:r>
      <w:r>
        <w:rPr>
          <w:vertAlign w:val="baseline"/>
        </w:rPr>
        <w:t>would</w:t>
      </w:r>
      <w:r>
        <w:rPr>
          <w:spacing w:val="-2"/>
          <w:vertAlign w:val="baseline"/>
        </w:rPr>
        <w:t> </w:t>
      </w:r>
      <w:r>
        <w:rPr>
          <w:vertAlign w:val="baseline"/>
        </w:rPr>
        <w:t>not,</w:t>
      </w:r>
      <w:r>
        <w:rPr>
          <w:spacing w:val="-2"/>
          <w:vertAlign w:val="baseline"/>
        </w:rPr>
        <w:t> </w:t>
      </w:r>
      <w:r>
        <w:rPr>
          <w:vertAlign w:val="baseline"/>
        </w:rPr>
        <w:t>however,</w:t>
      </w:r>
      <w:r>
        <w:rPr>
          <w:spacing w:val="-2"/>
          <w:vertAlign w:val="baseline"/>
        </w:rPr>
        <w:t> </w:t>
      </w:r>
      <w:r>
        <w:rPr>
          <w:vertAlign w:val="baseline"/>
        </w:rPr>
        <w:t>be</w:t>
      </w:r>
      <w:r>
        <w:rPr>
          <w:spacing w:val="-2"/>
          <w:vertAlign w:val="baseline"/>
        </w:rPr>
        <w:t> </w:t>
      </w:r>
      <w:r>
        <w:rPr>
          <w:vertAlign w:val="baseline"/>
        </w:rPr>
        <w:t>discharged</w:t>
      </w:r>
      <w:r>
        <w:rPr>
          <w:spacing w:val="-2"/>
          <w:vertAlign w:val="baseline"/>
        </w:rPr>
        <w:t> </w:t>
      </w:r>
      <w:r>
        <w:rPr>
          <w:vertAlign w:val="baseline"/>
        </w:rPr>
        <w:t>by</w:t>
      </w:r>
      <w:r>
        <w:rPr>
          <w:spacing w:val="-2"/>
          <w:vertAlign w:val="baseline"/>
        </w:rPr>
        <w:t> </w:t>
      </w:r>
      <w:r>
        <w:rPr>
          <w:vertAlign w:val="baseline"/>
        </w:rPr>
        <w:t>such</w:t>
      </w:r>
      <w:r>
        <w:rPr>
          <w:spacing w:val="-2"/>
          <w:vertAlign w:val="baseline"/>
        </w:rPr>
        <w:t> </w:t>
      </w:r>
      <w:r>
        <w:rPr>
          <w:vertAlign w:val="baseline"/>
        </w:rPr>
        <w:t>payment</w:t>
      </w:r>
      <w:r>
        <w:rPr>
          <w:spacing w:val="-2"/>
          <w:vertAlign w:val="baseline"/>
        </w:rPr>
        <w:t> </w:t>
      </w:r>
      <w:r>
        <w:rPr>
          <w:vertAlign w:val="baseline"/>
        </w:rPr>
        <w:t>if </w:t>
      </w:r>
      <w:bookmarkStart w:name="_bookmark474" w:id="476"/>
      <w:bookmarkEnd w:id="476"/>
      <w:r>
        <w:rPr>
          <w:vertAlign w:val="baseline"/>
        </w:rPr>
        <w:t>it</w:t>
      </w:r>
      <w:r>
        <w:rPr>
          <w:vertAlign w:val="baseline"/>
        </w:rPr>
        <w:t> were not authorised by its contract with A to pay B. This possibility is illustrated by </w:t>
      </w:r>
      <w:r>
        <w:rPr>
          <w:rFonts w:ascii="Arial" w:hAnsi="Arial"/>
          <w:i/>
          <w:vertAlign w:val="baseline"/>
        </w:rPr>
        <w:t>Thavorn v Bank of</w:t>
      </w:r>
      <w:r>
        <w:rPr>
          <w:rFonts w:ascii="Arial" w:hAnsi="Arial"/>
          <w:i/>
          <w:spacing w:val="-2"/>
          <w:vertAlign w:val="baseline"/>
        </w:rPr>
        <w:t> </w:t>
      </w:r>
      <w:r>
        <w:rPr>
          <w:rFonts w:ascii="Arial" w:hAnsi="Arial"/>
          <w:i/>
          <w:vertAlign w:val="baseline"/>
        </w:rPr>
        <w:t>Credit</w:t>
      </w:r>
      <w:r>
        <w:rPr>
          <w:rFonts w:ascii="Arial" w:hAnsi="Arial"/>
          <w:i/>
          <w:spacing w:val="-2"/>
          <w:vertAlign w:val="baseline"/>
        </w:rPr>
        <w:t> </w:t>
      </w:r>
      <w:r>
        <w:rPr>
          <w:rFonts w:ascii="Arial" w:hAnsi="Arial"/>
          <w:i/>
          <w:vertAlign w:val="baseline"/>
        </w:rPr>
        <w:t>&amp;</w:t>
      </w:r>
      <w:r>
        <w:rPr>
          <w:rFonts w:ascii="Arial" w:hAnsi="Arial"/>
          <w:i/>
          <w:spacing w:val="-2"/>
          <w:vertAlign w:val="baseline"/>
        </w:rPr>
        <w:t> </w:t>
      </w:r>
      <w:r>
        <w:rPr>
          <w:rFonts w:ascii="Arial" w:hAnsi="Arial"/>
          <w:i/>
          <w:vertAlign w:val="baseline"/>
        </w:rPr>
        <w:t>Commerce</w:t>
      </w:r>
      <w:r>
        <w:rPr>
          <w:rFonts w:ascii="Arial" w:hAnsi="Arial"/>
          <w:i/>
          <w:spacing w:val="-2"/>
          <w:vertAlign w:val="baseline"/>
        </w:rPr>
        <w:t> </w:t>
      </w:r>
      <w:r>
        <w:rPr>
          <w:rFonts w:ascii="Arial" w:hAnsi="Arial"/>
          <w:i/>
          <w:vertAlign w:val="baseline"/>
        </w:rPr>
        <w:t>SA</w:t>
      </w:r>
      <w:r>
        <w:rPr>
          <w:rFonts w:ascii="Arial" w:hAnsi="Arial"/>
          <w:i/>
          <w:spacing w:val="-3"/>
          <w:vertAlign w:val="baseline"/>
        </w:rPr>
        <w:t> </w:t>
      </w:r>
      <w:r>
        <w:rPr>
          <w:color w:val="005DA1"/>
          <w:u w:val="single" w:color="005DA1"/>
          <w:vertAlign w:val="superscript"/>
        </w:rPr>
        <w:t>274</w:t>
      </w:r>
      <w:r>
        <w:rPr>
          <w:color w:val="005DA1"/>
          <w:spacing w:val="-2"/>
          <w:vertAlign w:val="baseline"/>
        </w:rPr>
        <w:t> </w:t>
      </w:r>
      <w:r>
        <w:rPr>
          <w:vertAlign w:val="baseline"/>
        </w:rPr>
        <w:t>where</w:t>
      </w:r>
      <w:r>
        <w:rPr>
          <w:spacing w:val="-2"/>
          <w:vertAlign w:val="baseline"/>
        </w:rPr>
        <w:t> </w:t>
      </w:r>
      <w:r>
        <w:rPr>
          <w:vertAlign w:val="baseline"/>
        </w:rPr>
        <w:t>A</w:t>
      </w:r>
      <w:r>
        <w:rPr>
          <w:spacing w:val="-2"/>
          <w:vertAlign w:val="baseline"/>
        </w:rPr>
        <w:t> </w:t>
      </w:r>
      <w:r>
        <w:rPr>
          <w:vertAlign w:val="baseline"/>
        </w:rPr>
        <w:t>opened</w:t>
      </w:r>
      <w:r>
        <w:rPr>
          <w:spacing w:val="-2"/>
          <w:vertAlign w:val="baseline"/>
        </w:rPr>
        <w:t> </w:t>
      </w:r>
      <w:r>
        <w:rPr>
          <w:vertAlign w:val="baseline"/>
        </w:rPr>
        <w:t>a</w:t>
      </w:r>
      <w:r>
        <w:rPr>
          <w:spacing w:val="-2"/>
          <w:vertAlign w:val="baseline"/>
        </w:rPr>
        <w:t> </w:t>
      </w:r>
      <w:r>
        <w:rPr>
          <w:vertAlign w:val="baseline"/>
        </w:rPr>
        <w:t>bank</w:t>
      </w:r>
      <w:r>
        <w:rPr>
          <w:spacing w:val="-2"/>
          <w:vertAlign w:val="baseline"/>
        </w:rPr>
        <w:t> </w:t>
      </w:r>
      <w:r>
        <w:rPr>
          <w:vertAlign w:val="baseline"/>
        </w:rPr>
        <w:t>account</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name</w:t>
      </w:r>
      <w:r>
        <w:rPr>
          <w:spacing w:val="-2"/>
          <w:vertAlign w:val="baseline"/>
        </w:rPr>
        <w:t> </w:t>
      </w:r>
      <w:r>
        <w:rPr>
          <w:vertAlign w:val="baseline"/>
        </w:rPr>
        <w:t>of</w:t>
      </w:r>
      <w:r>
        <w:rPr>
          <w:spacing w:val="-2"/>
          <w:vertAlign w:val="baseline"/>
        </w:rPr>
        <w:t> </w:t>
      </w:r>
      <w:r>
        <w:rPr>
          <w:vertAlign w:val="baseline"/>
        </w:rPr>
        <w:t>her</w:t>
      </w:r>
      <w:r>
        <w:rPr>
          <w:spacing w:val="-2"/>
          <w:vertAlign w:val="baseline"/>
        </w:rPr>
        <w:t> </w:t>
      </w:r>
      <w:r>
        <w:rPr>
          <w:vertAlign w:val="baseline"/>
        </w:rPr>
        <w:t>nephew</w:t>
      </w:r>
      <w:r>
        <w:rPr>
          <w:spacing w:val="-2"/>
          <w:vertAlign w:val="baseline"/>
        </w:rPr>
        <w:t> </w:t>
      </w:r>
      <w:r>
        <w:rPr>
          <w:vertAlign w:val="baseline"/>
        </w:rPr>
        <w:t>B</w:t>
      </w:r>
      <w:r>
        <w:rPr>
          <w:spacing w:val="-2"/>
          <w:vertAlign w:val="baseline"/>
        </w:rPr>
        <w:t> </w:t>
      </w:r>
      <w:r>
        <w:rPr>
          <w:vertAlign w:val="baseline"/>
        </w:rPr>
        <w:t>(who</w:t>
      </w:r>
      <w:r>
        <w:rPr>
          <w:spacing w:val="-2"/>
          <w:vertAlign w:val="baseline"/>
        </w:rPr>
        <w:t> </w:t>
      </w:r>
      <w:r>
        <w:rPr>
          <w:vertAlign w:val="baseline"/>
        </w:rPr>
        <w:t>was under</w:t>
      </w:r>
      <w:r>
        <w:rPr>
          <w:spacing w:val="-2"/>
          <w:vertAlign w:val="baseline"/>
        </w:rPr>
        <w:t> </w:t>
      </w:r>
      <w:r>
        <w:rPr>
          <w:vertAlign w:val="baseline"/>
        </w:rPr>
        <w:t>age),</w:t>
      </w:r>
      <w:r>
        <w:rPr>
          <w:spacing w:val="-2"/>
          <w:vertAlign w:val="baseline"/>
        </w:rPr>
        <w:t> </w:t>
      </w:r>
      <w:r>
        <w:rPr>
          <w:vertAlign w:val="baseline"/>
        </w:rPr>
        <w:t>stipulating</w:t>
      </w:r>
      <w:r>
        <w:rPr>
          <w:spacing w:val="-2"/>
          <w:vertAlign w:val="baseline"/>
        </w:rPr>
        <w:t> </w:t>
      </w:r>
      <w:r>
        <w:rPr>
          <w:vertAlign w:val="baseline"/>
        </w:rPr>
        <w:t>that</w:t>
      </w:r>
      <w:r>
        <w:rPr>
          <w:spacing w:val="-2"/>
          <w:vertAlign w:val="baseline"/>
        </w:rPr>
        <w:t> </w:t>
      </w:r>
      <w:r>
        <w:rPr>
          <w:vertAlign w:val="baseline"/>
        </w:rPr>
        <w:t>only</w:t>
      </w:r>
      <w:r>
        <w:rPr>
          <w:spacing w:val="-2"/>
          <w:vertAlign w:val="baseline"/>
        </w:rPr>
        <w:t> </w:t>
      </w:r>
      <w:r>
        <w:rPr>
          <w:vertAlign w:val="baseline"/>
        </w:rPr>
        <w:t>A</w:t>
      </w:r>
      <w:r>
        <w:rPr>
          <w:spacing w:val="-2"/>
          <w:vertAlign w:val="baseline"/>
        </w:rPr>
        <w:t> </w:t>
      </w:r>
      <w:r>
        <w:rPr>
          <w:vertAlign w:val="baseline"/>
        </w:rPr>
        <w:t>should</w:t>
      </w:r>
      <w:r>
        <w:rPr>
          <w:spacing w:val="-2"/>
          <w:vertAlign w:val="baseline"/>
        </w:rPr>
        <w:t> </w:t>
      </w:r>
      <w:r>
        <w:rPr>
          <w:vertAlign w:val="baseline"/>
        </w:rPr>
        <w:t>operate</w:t>
      </w:r>
      <w:r>
        <w:rPr>
          <w:spacing w:val="-2"/>
          <w:vertAlign w:val="baseline"/>
        </w:rPr>
        <w:t> </w:t>
      </w:r>
      <w:r>
        <w:rPr>
          <w:vertAlign w:val="baseline"/>
        </w:rPr>
        <w:t>the</w:t>
      </w:r>
      <w:r>
        <w:rPr>
          <w:spacing w:val="-2"/>
          <w:vertAlign w:val="baseline"/>
        </w:rPr>
        <w:t> </w:t>
      </w:r>
      <w:r>
        <w:rPr>
          <w:vertAlign w:val="baseline"/>
        </w:rPr>
        <w:t>account.</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B</w:t>
      </w:r>
      <w:r>
        <w:rPr>
          <w:spacing w:val="-2"/>
          <w:vertAlign w:val="baseline"/>
        </w:rPr>
        <w:t> </w:t>
      </w:r>
      <w:r>
        <w:rPr>
          <w:vertAlign w:val="baseline"/>
        </w:rPr>
        <w:t>was</w:t>
      </w:r>
      <w:r>
        <w:rPr>
          <w:spacing w:val="-2"/>
          <w:vertAlign w:val="baseline"/>
        </w:rPr>
        <w:t> </w:t>
      </w:r>
      <w:r>
        <w:rPr>
          <w:vertAlign w:val="baseline"/>
        </w:rPr>
        <w:t>a</w:t>
      </w:r>
      <w:r>
        <w:rPr>
          <w:spacing w:val="-2"/>
          <w:vertAlign w:val="baseline"/>
        </w:rPr>
        <w:t> </w:t>
      </w:r>
      <w:r>
        <w:rPr>
          <w:vertAlign w:val="baseline"/>
        </w:rPr>
        <w:t>mere</w:t>
      </w:r>
      <w:r>
        <w:rPr>
          <w:spacing w:val="-2"/>
          <w:vertAlign w:val="baseline"/>
        </w:rPr>
        <w:t> </w:t>
      </w:r>
      <w:r>
        <w:rPr>
          <w:vertAlign w:val="baseline"/>
        </w:rPr>
        <w:t>nominee and that the bank was not discharged by (or was liable in damages to A for) paying B at the sole request of B and without any instructions from A. There were two reasons why B could not have sued the bank: no promise by the bank had been made to him, and no consideration had moved from him.</w:t>
      </w:r>
    </w:p>
    <w:p>
      <w:pPr>
        <w:pStyle w:val="BodyText"/>
      </w:pPr>
    </w:p>
    <w:p>
      <w:pPr>
        <w:pStyle w:val="BodyText"/>
        <w:spacing w:before="29"/>
      </w:pPr>
    </w:p>
    <w:p>
      <w:pPr>
        <w:spacing w:before="1"/>
        <w:ind w:left="165" w:right="0" w:firstLine="0"/>
        <w:jc w:val="left"/>
        <w:rPr>
          <w:rFonts w:ascii="Arial"/>
          <w:b/>
          <w:sz w:val="18"/>
        </w:rPr>
      </w:pPr>
      <w:r>
        <w:rPr>
          <w:rFonts w:ascii="Arial"/>
          <w:b/>
          <w:sz w:val="18"/>
        </w:rPr>
        <w:t>Contracts (Rights of Third Parties) Act </w:t>
      </w:r>
      <w:r>
        <w:rPr>
          <w:rFonts w:ascii="Arial"/>
          <w:b/>
          <w:spacing w:val="-4"/>
          <w:sz w:val="18"/>
        </w:rPr>
        <w:t>1999</w:t>
      </w:r>
    </w:p>
    <w:p>
      <w:pPr>
        <w:pStyle w:val="BodyText"/>
        <w:spacing w:before="41"/>
        <w:rPr>
          <w:rFonts w:ascii="Arial"/>
          <w:b/>
          <w:sz w:val="18"/>
        </w:rPr>
      </w:pPr>
    </w:p>
    <w:p>
      <w:pPr>
        <w:pStyle w:val="Heading2"/>
      </w:pPr>
      <w:r>
        <w:rPr/>
        <w:t>4-</w:t>
      </w:r>
      <w:r>
        <w:rPr>
          <w:spacing w:val="-5"/>
        </w:rPr>
        <w:t>046</w:t>
      </w:r>
    </w:p>
    <w:p>
      <w:pPr>
        <w:pStyle w:val="BodyText"/>
        <w:spacing w:line="235" w:lineRule="auto" w:before="203"/>
        <w:ind w:left="164" w:right="167"/>
        <w:jc w:val="both"/>
      </w:pPr>
      <w:bookmarkStart w:name="_bookmark475" w:id="477"/>
      <w:bookmarkEnd w:id="477"/>
      <w:r>
        <w:rPr/>
      </w:r>
      <w:r>
        <w:rPr/>
        <w:t>Under this Act, a term in a contract between A (the promisor) and B (the promisee) is, in </w:t>
      </w:r>
      <w:r>
        <w:rPr/>
        <w:t>specified conditions, enforceable by a third party, C, against A. The Act is more fully discussed in Chapter 18 </w:t>
      </w:r>
      <w:r>
        <w:rPr>
          <w:color w:val="005DA1"/>
          <w:u w:val="single" w:color="005DA1"/>
          <w:vertAlign w:val="superscript"/>
        </w:rPr>
        <w:t>275</w:t>
      </w:r>
      <w:bookmarkStart w:name="_bookmark476" w:id="478"/>
      <w:bookmarkEnd w:id="478"/>
      <w:r>
        <w:rPr>
          <w:color w:val="005DA1"/>
          <w:spacing w:val="-1"/>
          <w:vertAlign w:val="baseline"/>
        </w:rPr>
      </w:r>
      <w:r>
        <w:rPr>
          <w:vertAlign w:val="baseline"/>
        </w:rPr>
        <w:t>; the only points to be made here are that C is not prevented from enforcing the term by the fact</w:t>
      </w:r>
      <w:r>
        <w:rPr>
          <w:spacing w:val="40"/>
          <w:vertAlign w:val="baseline"/>
        </w:rPr>
        <w:t> </w:t>
      </w:r>
      <w:bookmarkStart w:name="_bookmark477" w:id="479"/>
      <w:bookmarkEnd w:id="479"/>
      <w:r>
        <w:rPr>
          <w:vertAlign w:val="baseline"/>
        </w:rPr>
        <w:t>that</w:t>
      </w:r>
      <w:r>
        <w:rPr>
          <w:vertAlign w:val="baseline"/>
        </w:rPr>
        <w:t> no consideration for A’s promise moved from him, </w:t>
      </w:r>
      <w:r>
        <w:rPr>
          <w:color w:val="005DA1"/>
          <w:u w:val="single" w:color="005DA1"/>
          <w:vertAlign w:val="superscript"/>
        </w:rPr>
        <w:t>276</w:t>
      </w:r>
      <w:r>
        <w:rPr>
          <w:color w:val="005DA1"/>
          <w:vertAlign w:val="baseline"/>
        </w:rPr>
        <w:t> </w:t>
      </w:r>
      <w:r>
        <w:rPr>
          <w:vertAlign w:val="baseline"/>
        </w:rPr>
        <w:t>and that C’s right to enforce that promise can be described as a quasiexception to the rule that consideration must move from the promisee. </w:t>
      </w:r>
      <w:r>
        <w:rPr>
          <w:color w:val="005DA1"/>
          <w:u w:val="single" w:color="005DA1"/>
          <w:vertAlign w:val="superscript"/>
        </w:rPr>
        <w:t>277</w:t>
      </w:r>
      <w:r>
        <w:rPr>
          <w:color w:val="005DA1"/>
          <w:vertAlign w:val="baseline"/>
        </w:rPr>
        <w:t> </w:t>
      </w:r>
      <w:r>
        <w:rPr>
          <w:vertAlign w:val="baseline"/>
        </w:rPr>
        <w:t>It is not a true exception to the rule since in the case put the promisee is B, who must provide consideration for A’s promise.</w:t>
      </w:r>
    </w:p>
    <w:p>
      <w:pPr>
        <w:pStyle w:val="BodyText"/>
      </w:pPr>
    </w:p>
    <w:p>
      <w:pPr>
        <w:pStyle w:val="BodyText"/>
        <w:spacing w:before="37"/>
      </w:pPr>
      <w:r>
        <w:rPr/>
        <mc:AlternateContent>
          <mc:Choice Requires="wps">
            <w:drawing>
              <wp:anchor distT="0" distB="0" distL="0" distR="0" allowOverlap="1" layoutInCell="1" locked="0" behindDoc="1" simplePos="0" relativeHeight="487606272">
                <wp:simplePos x="0" y="0"/>
                <wp:positionH relativeFrom="page">
                  <wp:posOffset>914400</wp:posOffset>
                </wp:positionH>
                <wp:positionV relativeFrom="paragraph">
                  <wp:posOffset>184846</wp:posOffset>
                </wp:positionV>
                <wp:extent cx="5724525"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54848pt;width:450.75pt;height:.1pt;mso-position-horizontal-relative:page;mso-position-vertical-relative:paragraph;z-index:-15710208;mso-wrap-distance-left:0;mso-wrap-distance-right:0" id="docshape19"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173440">
                <wp:simplePos x="0" y="0"/>
                <wp:positionH relativeFrom="page">
                  <wp:posOffset>914400</wp:posOffset>
                </wp:positionH>
                <wp:positionV relativeFrom="paragraph">
                  <wp:posOffset>97116</wp:posOffset>
                </wp:positionV>
                <wp:extent cx="4953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43040"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before="5"/>
      </w:pPr>
    </w:p>
    <w:p>
      <w:pPr>
        <w:tabs>
          <w:tab w:pos="705" w:val="left" w:leader="none"/>
        </w:tabs>
        <w:spacing w:before="0"/>
        <w:ind w:left="165" w:right="0" w:firstLine="0"/>
        <w:jc w:val="left"/>
        <w:rPr>
          <w:sz w:val="20"/>
        </w:rPr>
      </w:pPr>
      <w:bookmarkStart w:name="_bookmark478" w:id="480"/>
      <w:bookmarkEnd w:id="480"/>
      <w:r>
        <w:rPr/>
      </w:r>
      <w:hyperlink w:history="true" w:anchor="_bookmark438">
        <w:r>
          <w:rPr>
            <w:color w:val="005DA1"/>
            <w:spacing w:val="-4"/>
            <w:position w:val="5"/>
            <w:sz w:val="14"/>
            <w:u w:val="single" w:color="005DA1"/>
          </w:rPr>
          <w:t>236</w:t>
        </w:r>
      </w:hyperlink>
      <w:r>
        <w:rPr>
          <w:spacing w:val="-4"/>
          <w:position w:val="5"/>
          <w:sz w:val="14"/>
        </w:rPr>
        <w:t>.</w:t>
      </w:r>
      <w:r>
        <w:rPr>
          <w:position w:val="5"/>
          <w:sz w:val="14"/>
        </w:rPr>
        <w:tab/>
      </w:r>
      <w:r>
        <w:rPr>
          <w:rFonts w:ascii="Arial"/>
          <w:i/>
          <w:sz w:val="20"/>
        </w:rPr>
        <w:t>Barber</w:t>
      </w:r>
      <w:r>
        <w:rPr>
          <w:rFonts w:ascii="Arial"/>
          <w:i/>
          <w:spacing w:val="32"/>
          <w:sz w:val="20"/>
        </w:rPr>
        <w:t> </w:t>
      </w:r>
      <w:r>
        <w:rPr>
          <w:rFonts w:ascii="Arial"/>
          <w:i/>
          <w:sz w:val="20"/>
        </w:rPr>
        <w:t>v</w:t>
      </w:r>
      <w:r>
        <w:rPr>
          <w:rFonts w:ascii="Arial"/>
          <w:i/>
          <w:spacing w:val="33"/>
          <w:sz w:val="20"/>
        </w:rPr>
        <w:t> </w:t>
      </w:r>
      <w:r>
        <w:rPr>
          <w:rFonts w:ascii="Arial"/>
          <w:i/>
          <w:sz w:val="20"/>
        </w:rPr>
        <w:t>Fox</w:t>
      </w:r>
      <w:r>
        <w:rPr>
          <w:rFonts w:ascii="Arial"/>
          <w:i/>
          <w:spacing w:val="33"/>
          <w:sz w:val="20"/>
        </w:rPr>
        <w:t> </w:t>
      </w:r>
      <w:r>
        <w:rPr>
          <w:rFonts w:ascii="Arial"/>
          <w:i/>
          <w:sz w:val="20"/>
        </w:rPr>
        <w:t>(1670)</w:t>
      </w:r>
      <w:r>
        <w:rPr>
          <w:rFonts w:ascii="Arial"/>
          <w:i/>
          <w:spacing w:val="33"/>
          <w:sz w:val="20"/>
        </w:rPr>
        <w:t> </w:t>
      </w:r>
      <w:r>
        <w:rPr>
          <w:rFonts w:ascii="Arial"/>
          <w:i/>
          <w:sz w:val="20"/>
        </w:rPr>
        <w:t>2</w:t>
      </w:r>
      <w:r>
        <w:rPr>
          <w:rFonts w:ascii="Arial"/>
          <w:i/>
          <w:spacing w:val="33"/>
          <w:sz w:val="20"/>
        </w:rPr>
        <w:t> </w:t>
      </w:r>
      <w:r>
        <w:rPr>
          <w:rFonts w:ascii="Arial"/>
          <w:i/>
          <w:sz w:val="20"/>
        </w:rPr>
        <w:t>Wms.Saund.</w:t>
      </w:r>
      <w:r>
        <w:rPr>
          <w:rFonts w:ascii="Arial"/>
          <w:i/>
          <w:spacing w:val="33"/>
          <w:sz w:val="20"/>
        </w:rPr>
        <w:t> </w:t>
      </w:r>
      <w:r>
        <w:rPr>
          <w:rFonts w:ascii="Arial"/>
          <w:i/>
          <w:sz w:val="20"/>
        </w:rPr>
        <w:t>134</w:t>
      </w:r>
      <w:r>
        <w:rPr>
          <w:sz w:val="20"/>
        </w:rPr>
        <w:t>,</w:t>
      </w:r>
      <w:r>
        <w:rPr>
          <w:spacing w:val="33"/>
          <w:sz w:val="20"/>
        </w:rPr>
        <w:t> </w:t>
      </w:r>
      <w:r>
        <w:rPr>
          <w:sz w:val="20"/>
        </w:rPr>
        <w:t>n.(e);</w:t>
      </w:r>
      <w:r>
        <w:rPr>
          <w:spacing w:val="33"/>
          <w:sz w:val="20"/>
        </w:rPr>
        <w:t> </w:t>
      </w:r>
      <w:r>
        <w:rPr>
          <w:rFonts w:ascii="Arial"/>
          <w:i/>
          <w:sz w:val="20"/>
        </w:rPr>
        <w:t>Thomas</w:t>
      </w:r>
      <w:r>
        <w:rPr>
          <w:rFonts w:ascii="Arial"/>
          <w:i/>
          <w:spacing w:val="33"/>
          <w:sz w:val="20"/>
        </w:rPr>
        <w:t> </w:t>
      </w:r>
      <w:r>
        <w:rPr>
          <w:rFonts w:ascii="Arial"/>
          <w:i/>
          <w:sz w:val="20"/>
        </w:rPr>
        <w:t>v</w:t>
      </w:r>
      <w:r>
        <w:rPr>
          <w:rFonts w:ascii="Arial"/>
          <w:i/>
          <w:spacing w:val="33"/>
          <w:sz w:val="20"/>
        </w:rPr>
        <w:t> </w:t>
      </w:r>
      <w:r>
        <w:rPr>
          <w:rFonts w:ascii="Arial"/>
          <w:i/>
          <w:sz w:val="20"/>
        </w:rPr>
        <w:t>Thomas</w:t>
      </w:r>
      <w:r>
        <w:rPr>
          <w:rFonts w:ascii="Arial"/>
          <w:i/>
          <w:spacing w:val="33"/>
          <w:sz w:val="20"/>
        </w:rPr>
        <w:t> </w:t>
      </w:r>
      <w:r>
        <w:rPr>
          <w:rFonts w:ascii="Arial"/>
          <w:i/>
          <w:sz w:val="20"/>
        </w:rPr>
        <w:t>(1842)</w:t>
      </w:r>
      <w:r>
        <w:rPr>
          <w:rFonts w:ascii="Arial"/>
          <w:i/>
          <w:spacing w:val="33"/>
          <w:sz w:val="20"/>
        </w:rPr>
        <w:t> </w:t>
      </w:r>
      <w:r>
        <w:rPr>
          <w:rFonts w:ascii="Arial"/>
          <w:i/>
          <w:sz w:val="20"/>
        </w:rPr>
        <w:t>2</w:t>
      </w:r>
      <w:r>
        <w:rPr>
          <w:rFonts w:ascii="Arial"/>
          <w:i/>
          <w:spacing w:val="33"/>
          <w:sz w:val="20"/>
        </w:rPr>
        <w:t> </w:t>
      </w:r>
      <w:r>
        <w:rPr>
          <w:rFonts w:ascii="Arial"/>
          <w:i/>
          <w:sz w:val="20"/>
        </w:rPr>
        <w:t>Q.B.</w:t>
      </w:r>
      <w:r>
        <w:rPr>
          <w:rFonts w:ascii="Arial"/>
          <w:i/>
          <w:spacing w:val="33"/>
          <w:sz w:val="20"/>
        </w:rPr>
        <w:t> </w:t>
      </w:r>
      <w:r>
        <w:rPr>
          <w:rFonts w:ascii="Arial"/>
          <w:i/>
          <w:sz w:val="20"/>
        </w:rPr>
        <w:t>851,</w:t>
      </w:r>
      <w:r>
        <w:rPr>
          <w:rFonts w:ascii="Arial"/>
          <w:i/>
          <w:spacing w:val="33"/>
          <w:sz w:val="20"/>
        </w:rPr>
        <w:t> </w:t>
      </w:r>
      <w:r>
        <w:rPr>
          <w:rFonts w:ascii="Arial"/>
          <w:i/>
          <w:spacing w:val="-4"/>
          <w:sz w:val="20"/>
        </w:rPr>
        <w:t>859</w:t>
      </w:r>
      <w:r>
        <w:rPr>
          <w:spacing w:val="-4"/>
          <w:sz w:val="20"/>
        </w:rPr>
        <w:t>;</w:t>
      </w:r>
    </w:p>
    <w:p>
      <w:pPr>
        <w:spacing w:after="0"/>
        <w:jc w:val="left"/>
        <w:rPr>
          <w:sz w:val="20"/>
        </w:rPr>
        <w:sectPr>
          <w:pgSz w:w="11900" w:h="16840"/>
          <w:pgMar w:header="971" w:footer="0" w:top="1160" w:bottom="280" w:left="1275" w:right="1275"/>
        </w:sectPr>
      </w:pPr>
    </w:p>
    <w:p>
      <w:pPr>
        <w:pStyle w:val="BodyText"/>
        <w:spacing w:before="24"/>
      </w:pPr>
    </w:p>
    <w:p>
      <w:pPr>
        <w:spacing w:line="235" w:lineRule="auto" w:before="1"/>
        <w:ind w:left="705" w:right="167" w:firstLine="0"/>
        <w:jc w:val="both"/>
        <w:rPr>
          <w:sz w:val="20"/>
        </w:rPr>
      </w:pPr>
      <w:r>
        <w:rPr>
          <w:rFonts w:ascii="Arial" w:hAnsi="Arial"/>
          <w:i/>
          <w:sz w:val="20"/>
        </w:rPr>
        <w:t>Tweddle</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Atkinson</w:t>
      </w:r>
      <w:r>
        <w:rPr>
          <w:rFonts w:ascii="Arial" w:hAnsi="Arial"/>
          <w:i/>
          <w:spacing w:val="-1"/>
          <w:sz w:val="20"/>
        </w:rPr>
        <w:t> </w:t>
      </w:r>
      <w:r>
        <w:rPr>
          <w:rFonts w:ascii="Arial" w:hAnsi="Arial"/>
          <w:i/>
          <w:sz w:val="20"/>
        </w:rPr>
        <w:t>(1861)</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B.</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S.</w:t>
      </w:r>
      <w:r>
        <w:rPr>
          <w:rFonts w:ascii="Arial" w:hAnsi="Arial"/>
          <w:i/>
          <w:spacing w:val="-1"/>
          <w:sz w:val="20"/>
        </w:rPr>
        <w:t> </w:t>
      </w:r>
      <w:r>
        <w:rPr>
          <w:rFonts w:ascii="Arial" w:hAnsi="Arial"/>
          <w:i/>
          <w:sz w:val="20"/>
        </w:rPr>
        <w:t>393,</w:t>
      </w:r>
      <w:r>
        <w:rPr>
          <w:rFonts w:ascii="Arial" w:hAnsi="Arial"/>
          <w:i/>
          <w:spacing w:val="-1"/>
          <w:sz w:val="20"/>
        </w:rPr>
        <w:t> </w:t>
      </w:r>
      <w:r>
        <w:rPr>
          <w:rFonts w:ascii="Arial" w:hAnsi="Arial"/>
          <w:i/>
          <w:sz w:val="20"/>
        </w:rPr>
        <w:t>399</w:t>
      </w:r>
      <w:r>
        <w:rPr>
          <w:sz w:val="20"/>
        </w:rPr>
        <w:t>;</w:t>
      </w:r>
      <w:r>
        <w:rPr>
          <w:spacing w:val="-1"/>
          <w:sz w:val="20"/>
        </w:rPr>
        <w:t> </w:t>
      </w:r>
      <w:r>
        <w:rPr>
          <w:rFonts w:ascii="Arial" w:hAnsi="Arial"/>
          <w:i/>
          <w:sz w:val="20"/>
        </w:rPr>
        <w:t>Pollway</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Abdullah</w:t>
      </w:r>
      <w:r>
        <w:rPr>
          <w:rFonts w:ascii="Arial" w:hAnsi="Arial"/>
          <w:i/>
          <w:spacing w:val="-1"/>
          <w:sz w:val="20"/>
        </w:rPr>
        <w:t> </w:t>
      </w:r>
      <w:r>
        <w:rPr>
          <w:rFonts w:ascii="Arial" w:hAnsi="Arial"/>
          <w:i/>
          <w:sz w:val="20"/>
        </w:rPr>
        <w:t>[1974]</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493,</w:t>
      </w:r>
      <w:r>
        <w:rPr>
          <w:rFonts w:ascii="Arial" w:hAnsi="Arial"/>
          <w:i/>
          <w:spacing w:val="-1"/>
          <w:sz w:val="20"/>
        </w:rPr>
        <w:t> </w:t>
      </w:r>
      <w:r>
        <w:rPr>
          <w:rFonts w:ascii="Arial" w:hAnsi="Arial"/>
          <w:i/>
          <w:sz w:val="20"/>
        </w:rPr>
        <w:t>497</w:t>
      </w:r>
      <w:r>
        <w:rPr>
          <w:sz w:val="20"/>
        </w:rPr>
        <w:t>;</w:t>
      </w:r>
      <w:r>
        <w:rPr>
          <w:spacing w:val="-1"/>
          <w:sz w:val="20"/>
        </w:rPr>
        <w:t> </w:t>
      </w:r>
      <w:r>
        <w:rPr>
          <w:sz w:val="20"/>
        </w:rPr>
        <w:t>cf. </w:t>
      </w:r>
      <w:r>
        <w:rPr>
          <w:rFonts w:ascii="Arial" w:hAnsi="Arial"/>
          <w:i/>
          <w:sz w:val="20"/>
        </w:rPr>
        <w:t>Dickinson v Abel [1969] 1 W.L.R. 295</w:t>
      </w:r>
      <w:r>
        <w:rPr>
          <w:sz w:val="20"/>
        </w:rPr>
        <w:t>, and (for VAT purposes) </w:t>
      </w:r>
      <w:r>
        <w:rPr>
          <w:rFonts w:ascii="Arial" w:hAnsi="Arial"/>
          <w:i/>
          <w:sz w:val="20"/>
        </w:rPr>
        <w:t>Customs and Excise Commissioners v Telemed [1992] S.T.C. 89</w:t>
      </w:r>
      <w:r>
        <w:rPr>
          <w:sz w:val="20"/>
        </w:rPr>
        <w:t>. In </w:t>
      </w:r>
      <w:r>
        <w:rPr>
          <w:rFonts w:ascii="Arial" w:hAnsi="Arial"/>
          <w:i/>
          <w:sz w:val="20"/>
        </w:rPr>
        <w:t>Revenue and Customs Commissioners v Aimia Coalition Loyalty UK Ltd [2013] UKSC 15, [2013] 2 All E.R. 719 </w:t>
      </w:r>
      <w:r>
        <w:rPr>
          <w:sz w:val="20"/>
        </w:rPr>
        <w:t>(the facts of which are stated in para.18-008 below) the judgments of the Supreme Court contain many references to “third</w:t>
      </w:r>
      <w:r>
        <w:rPr>
          <w:spacing w:val="40"/>
          <w:sz w:val="20"/>
        </w:rPr>
        <w:t> </w:t>
      </w:r>
      <w:r>
        <w:rPr>
          <w:sz w:val="20"/>
        </w:rPr>
        <w:t>party consideration” (see at [12] and passim). This phrase simply reflects the words of Art.11 of the relevant EC Council Directive (95/7 of 10 April 1995) which defines the taxable amount for VAT purposes as “the </w:t>
      </w:r>
      <w:r>
        <w:rPr>
          <w:rFonts w:ascii="Arial" w:hAnsi="Arial"/>
          <w:i/>
          <w:sz w:val="20"/>
        </w:rPr>
        <w:t>consideration </w:t>
      </w:r>
      <w:r>
        <w:rPr>
          <w:sz w:val="20"/>
        </w:rPr>
        <w:t>which has been obtained by the supplier from the purchaser or a </w:t>
      </w:r>
      <w:r>
        <w:rPr>
          <w:rFonts w:ascii="Arial" w:hAnsi="Arial"/>
          <w:i/>
          <w:sz w:val="20"/>
        </w:rPr>
        <w:t>third party </w:t>
      </w:r>
      <w:r>
        <w:rPr>
          <w:sz w:val="20"/>
        </w:rPr>
        <w:t>for such supplies” (italics supplied). The phrase carries no implication to the effect that the “third party consideration” gives any promise to the force of a binding contract. For criticism of a possibly contrary dictum, see below, para.4-045 at n.268.</w:t>
      </w:r>
    </w:p>
    <w:p>
      <w:pPr>
        <w:pStyle w:val="BodyText"/>
        <w:spacing w:before="5"/>
      </w:pPr>
    </w:p>
    <w:p>
      <w:pPr>
        <w:spacing w:line="235" w:lineRule="auto" w:before="1"/>
        <w:ind w:left="705" w:right="167" w:hanging="541"/>
        <w:jc w:val="both"/>
        <w:rPr>
          <w:sz w:val="20"/>
        </w:rPr>
      </w:pPr>
      <w:bookmarkStart w:name="_bookmark479" w:id="481"/>
      <w:bookmarkEnd w:id="481"/>
      <w:r>
        <w:rPr/>
      </w:r>
      <w:hyperlink w:history="true" w:anchor="_bookmark439">
        <w:r>
          <w:rPr>
            <w:color w:val="005DA1"/>
            <w:position w:val="5"/>
            <w:sz w:val="14"/>
            <w:u w:val="single" w:color="005DA1"/>
          </w:rPr>
          <w:t>237</w:t>
        </w:r>
      </w:hyperlink>
      <w:r>
        <w:rPr>
          <w:position w:val="5"/>
          <w:sz w:val="14"/>
        </w:rPr>
        <w:t>.</w:t>
      </w:r>
      <w:r>
        <w:rPr>
          <w:spacing w:val="80"/>
          <w:w w:val="150"/>
          <w:position w:val="5"/>
          <w:sz w:val="14"/>
        </w:rPr>
        <w:t> </w:t>
      </w:r>
      <w:r>
        <w:rPr>
          <w:rFonts w:ascii="Arial" w:hAnsi="Arial"/>
          <w:i/>
          <w:sz w:val="20"/>
        </w:rPr>
        <w:t>Jones v Robinson (1847) 1 Ex.454</w:t>
      </w:r>
      <w:r>
        <w:rPr>
          <w:sz w:val="20"/>
        </w:rPr>
        <w:t>; </w:t>
      </w:r>
      <w:r>
        <w:rPr>
          <w:rFonts w:ascii="Arial" w:hAnsi="Arial"/>
          <w:i/>
          <w:sz w:val="20"/>
        </w:rPr>
        <w:t>Fleming v Bank of New Zealand [1900] A.C. 577</w:t>
      </w:r>
      <w:r>
        <w:rPr>
          <w:sz w:val="20"/>
        </w:rPr>
        <w:t>. For the position</w:t>
      </w:r>
      <w:r>
        <w:rPr>
          <w:spacing w:val="62"/>
          <w:sz w:val="20"/>
        </w:rPr>
        <w:t> </w:t>
      </w:r>
      <w:r>
        <w:rPr>
          <w:sz w:val="20"/>
        </w:rPr>
        <w:t>where</w:t>
      </w:r>
      <w:r>
        <w:rPr>
          <w:spacing w:val="62"/>
          <w:sz w:val="20"/>
        </w:rPr>
        <w:t> </w:t>
      </w:r>
      <w:r>
        <w:rPr>
          <w:sz w:val="20"/>
        </w:rPr>
        <w:t>the</w:t>
      </w:r>
      <w:r>
        <w:rPr>
          <w:spacing w:val="62"/>
          <w:sz w:val="20"/>
        </w:rPr>
        <w:t> </w:t>
      </w:r>
      <w:r>
        <w:rPr>
          <w:rFonts w:ascii="Arial" w:hAnsi="Arial"/>
          <w:i/>
          <w:sz w:val="20"/>
        </w:rPr>
        <w:t>whole</w:t>
      </w:r>
      <w:r>
        <w:rPr>
          <w:rFonts w:ascii="Arial" w:hAnsi="Arial"/>
          <w:i/>
          <w:spacing w:val="62"/>
          <w:sz w:val="20"/>
        </w:rPr>
        <w:t> </w:t>
      </w:r>
      <w:r>
        <w:rPr>
          <w:sz w:val="20"/>
        </w:rPr>
        <w:t>consideration</w:t>
      </w:r>
      <w:r>
        <w:rPr>
          <w:spacing w:val="62"/>
          <w:sz w:val="20"/>
        </w:rPr>
        <w:t> </w:t>
      </w:r>
      <w:r>
        <w:rPr>
          <w:sz w:val="20"/>
        </w:rPr>
        <w:t>is</w:t>
      </w:r>
      <w:r>
        <w:rPr>
          <w:spacing w:val="62"/>
          <w:sz w:val="20"/>
        </w:rPr>
        <w:t> </w:t>
      </w:r>
      <w:r>
        <w:rPr>
          <w:sz w:val="20"/>
        </w:rPr>
        <w:t>provided</w:t>
      </w:r>
      <w:r>
        <w:rPr>
          <w:spacing w:val="62"/>
          <w:sz w:val="20"/>
        </w:rPr>
        <w:t> </w:t>
      </w:r>
      <w:r>
        <w:rPr>
          <w:sz w:val="20"/>
        </w:rPr>
        <w:t>by</w:t>
      </w:r>
      <w:r>
        <w:rPr>
          <w:spacing w:val="62"/>
          <w:sz w:val="20"/>
        </w:rPr>
        <w:t> </w:t>
      </w:r>
      <w:r>
        <w:rPr>
          <w:sz w:val="20"/>
        </w:rPr>
        <w:t>a</w:t>
      </w:r>
      <w:r>
        <w:rPr>
          <w:spacing w:val="62"/>
          <w:sz w:val="20"/>
        </w:rPr>
        <w:t> </w:t>
      </w:r>
      <w:r>
        <w:rPr>
          <w:sz w:val="20"/>
        </w:rPr>
        <w:t>co-promisee,</w:t>
      </w:r>
      <w:r>
        <w:rPr>
          <w:spacing w:val="62"/>
          <w:sz w:val="20"/>
        </w:rPr>
        <w:t> </w:t>
      </w:r>
      <w:r>
        <w:rPr>
          <w:sz w:val="20"/>
        </w:rPr>
        <w:t>see</w:t>
      </w:r>
      <w:r>
        <w:rPr>
          <w:spacing w:val="62"/>
          <w:sz w:val="20"/>
        </w:rPr>
        <w:t> </w:t>
      </w:r>
      <w:r>
        <w:rPr>
          <w:sz w:val="20"/>
        </w:rPr>
        <w:t>below,</w:t>
      </w:r>
      <w:r>
        <w:rPr>
          <w:spacing w:val="62"/>
          <w:sz w:val="20"/>
        </w:rPr>
        <w:t> </w:t>
      </w:r>
      <w:r>
        <w:rPr>
          <w:sz w:val="20"/>
        </w:rPr>
        <w:t>paras </w:t>
      </w:r>
      <w:r>
        <w:rPr>
          <w:spacing w:val="-2"/>
          <w:sz w:val="20"/>
        </w:rPr>
        <w:t>4-042—4-045.</w:t>
      </w:r>
    </w:p>
    <w:p>
      <w:pPr>
        <w:pStyle w:val="BodyText"/>
        <w:spacing w:before="4"/>
      </w:pPr>
    </w:p>
    <w:p>
      <w:pPr>
        <w:tabs>
          <w:tab w:pos="705" w:val="left" w:leader="none"/>
        </w:tabs>
        <w:spacing w:before="1"/>
        <w:ind w:left="165" w:right="0" w:firstLine="0"/>
        <w:jc w:val="left"/>
        <w:rPr>
          <w:sz w:val="20"/>
        </w:rPr>
      </w:pPr>
      <w:bookmarkStart w:name="_bookmark480" w:id="482"/>
      <w:bookmarkEnd w:id="482"/>
      <w:r>
        <w:rPr/>
      </w:r>
      <w:hyperlink w:history="true" w:anchor="_bookmark440">
        <w:r>
          <w:rPr>
            <w:color w:val="005DA1"/>
            <w:spacing w:val="-4"/>
            <w:position w:val="5"/>
            <w:sz w:val="14"/>
            <w:u w:val="single" w:color="005DA1"/>
          </w:rPr>
          <w:t>238</w:t>
        </w:r>
      </w:hyperlink>
      <w:r>
        <w:rPr>
          <w:spacing w:val="-4"/>
          <w:position w:val="5"/>
          <w:sz w:val="14"/>
        </w:rPr>
        <w:t>.</w:t>
      </w:r>
      <w:r>
        <w:rPr>
          <w:position w:val="5"/>
          <w:sz w:val="14"/>
        </w:rPr>
        <w:tab/>
      </w:r>
      <w:r>
        <w:rPr>
          <w:sz w:val="20"/>
        </w:rPr>
        <w:t>Below, para.4-</w:t>
      </w:r>
      <w:r>
        <w:rPr>
          <w:spacing w:val="-4"/>
          <w:sz w:val="20"/>
        </w:rPr>
        <w:t>069.</w:t>
      </w:r>
    </w:p>
    <w:p>
      <w:pPr>
        <w:pStyle w:val="BodyText"/>
        <w:spacing w:before="8"/>
      </w:pPr>
    </w:p>
    <w:p>
      <w:pPr>
        <w:spacing w:line="235" w:lineRule="auto" w:before="0"/>
        <w:ind w:left="705" w:right="167" w:hanging="541"/>
        <w:jc w:val="both"/>
        <w:rPr>
          <w:sz w:val="20"/>
        </w:rPr>
      </w:pPr>
      <w:bookmarkStart w:name="_bookmark481" w:id="483"/>
      <w:bookmarkEnd w:id="483"/>
      <w:r>
        <w:rPr/>
      </w:r>
      <w:hyperlink w:history="true" w:anchor="_bookmark441">
        <w:r>
          <w:rPr>
            <w:color w:val="005DA1"/>
            <w:position w:val="5"/>
            <w:sz w:val="14"/>
            <w:u w:val="single" w:color="005DA1"/>
          </w:rPr>
          <w:t>239</w:t>
        </w:r>
      </w:hyperlink>
      <w:r>
        <w:rPr>
          <w:position w:val="5"/>
          <w:sz w:val="14"/>
        </w:rPr>
        <w:t>.</w:t>
      </w:r>
      <w:r>
        <w:rPr>
          <w:spacing w:val="40"/>
          <w:position w:val="5"/>
          <w:sz w:val="14"/>
        </w:rPr>
        <w:t>  </w:t>
      </w:r>
      <w:r>
        <w:rPr>
          <w:rFonts w:ascii="Arial"/>
          <w:i/>
          <w:sz w:val="20"/>
        </w:rPr>
        <w:t>Williams v Roffey Bros. &amp; Nicholls (Contractors) Ltd [1991] 1 Q.B. 1, 16</w:t>
      </w:r>
      <w:r>
        <w:rPr>
          <w:sz w:val="20"/>
        </w:rPr>
        <w:t>. It is not enough for the promisor</w:t>
      </w:r>
      <w:r>
        <w:rPr>
          <w:spacing w:val="27"/>
          <w:sz w:val="20"/>
        </w:rPr>
        <w:t> </w:t>
      </w:r>
      <w:r>
        <w:rPr>
          <w:sz w:val="20"/>
        </w:rPr>
        <w:t>to</w:t>
      </w:r>
      <w:r>
        <w:rPr>
          <w:spacing w:val="27"/>
          <w:sz w:val="20"/>
        </w:rPr>
        <w:t> </w:t>
      </w:r>
      <w:r>
        <w:rPr>
          <w:sz w:val="20"/>
        </w:rPr>
        <w:t>obtain</w:t>
      </w:r>
      <w:r>
        <w:rPr>
          <w:spacing w:val="27"/>
          <w:sz w:val="20"/>
        </w:rPr>
        <w:t> </w:t>
      </w:r>
      <w:r>
        <w:rPr>
          <w:sz w:val="20"/>
        </w:rPr>
        <w:t>a</w:t>
      </w:r>
      <w:r>
        <w:rPr>
          <w:spacing w:val="27"/>
          <w:sz w:val="20"/>
        </w:rPr>
        <w:t> </w:t>
      </w:r>
      <w:r>
        <w:rPr>
          <w:sz w:val="20"/>
        </w:rPr>
        <w:t>benefit:</w:t>
      </w:r>
      <w:r>
        <w:rPr>
          <w:spacing w:val="27"/>
          <w:sz w:val="20"/>
        </w:rPr>
        <w:t> </w:t>
      </w:r>
      <w:r>
        <w:rPr>
          <w:sz w:val="20"/>
        </w:rPr>
        <w:t>consideration</w:t>
      </w:r>
      <w:r>
        <w:rPr>
          <w:spacing w:val="27"/>
          <w:sz w:val="20"/>
        </w:rPr>
        <w:t> </w:t>
      </w:r>
      <w:r>
        <w:rPr>
          <w:sz w:val="20"/>
        </w:rPr>
        <w:t>must</w:t>
      </w:r>
      <w:r>
        <w:rPr>
          <w:spacing w:val="27"/>
          <w:sz w:val="20"/>
        </w:rPr>
        <w:t> </w:t>
      </w:r>
      <w:r>
        <w:rPr>
          <w:sz w:val="20"/>
        </w:rPr>
        <w:t>also</w:t>
      </w:r>
      <w:r>
        <w:rPr>
          <w:spacing w:val="27"/>
          <w:sz w:val="20"/>
        </w:rPr>
        <w:t> </w:t>
      </w:r>
      <w:r>
        <w:rPr>
          <w:sz w:val="20"/>
        </w:rPr>
        <w:t>move</w:t>
      </w:r>
      <w:r>
        <w:rPr>
          <w:spacing w:val="27"/>
          <w:sz w:val="20"/>
        </w:rPr>
        <w:t> </w:t>
      </w:r>
      <w:r>
        <w:rPr>
          <w:sz w:val="20"/>
        </w:rPr>
        <w:t>from</w:t>
      </w:r>
      <w:r>
        <w:rPr>
          <w:spacing w:val="27"/>
          <w:sz w:val="20"/>
        </w:rPr>
        <w:t> </w:t>
      </w:r>
      <w:r>
        <w:rPr>
          <w:sz w:val="20"/>
        </w:rPr>
        <w:t>the</w:t>
      </w:r>
      <w:r>
        <w:rPr>
          <w:spacing w:val="27"/>
          <w:sz w:val="20"/>
        </w:rPr>
        <w:t> </w:t>
      </w:r>
      <w:r>
        <w:rPr>
          <w:sz w:val="20"/>
        </w:rPr>
        <w:t>promisee</w:t>
      </w:r>
      <w:r>
        <w:rPr>
          <w:spacing w:val="27"/>
          <w:sz w:val="20"/>
        </w:rPr>
        <w:t> </w:t>
      </w:r>
      <w:r>
        <w:rPr>
          <w:sz w:val="20"/>
        </w:rPr>
        <w:t>(above,</w:t>
      </w:r>
      <w:r>
        <w:rPr>
          <w:spacing w:val="27"/>
          <w:sz w:val="20"/>
        </w:rPr>
        <w:t> </w:t>
      </w:r>
      <w:r>
        <w:rPr>
          <w:sz w:val="20"/>
        </w:rPr>
        <w:t>para. 4-037), so that the benefit must result from some act or forbearance on the part of the</w:t>
      </w:r>
      <w:r>
        <w:rPr>
          <w:spacing w:val="40"/>
          <w:sz w:val="20"/>
        </w:rPr>
        <w:t> </w:t>
      </w:r>
      <w:r>
        <w:rPr>
          <w:sz w:val="20"/>
        </w:rPr>
        <w:t>promisee: see </w:t>
      </w:r>
      <w:r>
        <w:rPr>
          <w:rFonts w:ascii="Arial"/>
          <w:i/>
          <w:sz w:val="20"/>
        </w:rPr>
        <w:t>Ashia Centur Ltd v Barker Gillette LLP [2011] EWHC 148 (QB) </w:t>
      </w:r>
      <w:r>
        <w:rPr>
          <w:sz w:val="20"/>
        </w:rPr>
        <w:t>at [20].</w:t>
      </w:r>
    </w:p>
    <w:p>
      <w:pPr>
        <w:pStyle w:val="BodyText"/>
        <w:spacing w:before="9"/>
      </w:pPr>
    </w:p>
    <w:p>
      <w:pPr>
        <w:pStyle w:val="BodyText"/>
        <w:spacing w:line="235" w:lineRule="auto"/>
        <w:ind w:left="705" w:right="167" w:hanging="541"/>
        <w:jc w:val="both"/>
      </w:pPr>
      <w:bookmarkStart w:name="_bookmark482" w:id="484"/>
      <w:bookmarkEnd w:id="484"/>
      <w:r>
        <w:rPr/>
      </w:r>
      <w:hyperlink w:history="true" w:anchor="_bookmark442">
        <w:r>
          <w:rPr>
            <w:color w:val="005DA1"/>
            <w:position w:val="5"/>
            <w:sz w:val="14"/>
            <w:u w:val="single" w:color="005DA1"/>
          </w:rPr>
          <w:t>240</w:t>
        </w:r>
      </w:hyperlink>
      <w:r>
        <w:rPr>
          <w:position w:val="5"/>
          <w:sz w:val="14"/>
        </w:rPr>
        <w:t>.</w:t>
      </w:r>
      <w:r>
        <w:rPr>
          <w:spacing w:val="40"/>
          <w:position w:val="5"/>
          <w:sz w:val="14"/>
        </w:rPr>
        <w:t>  </w:t>
      </w:r>
      <w:r>
        <w:rPr/>
        <w:t>Below, para.4-127; the application of this rule in </w:t>
      </w:r>
      <w:r>
        <w:rPr>
          <w:rFonts w:ascii="Arial"/>
          <w:i/>
        </w:rPr>
        <w:t>West York Darracq Agency Ltd v Coleridge [1911] 2 K.B. 326 </w:t>
      </w:r>
      <w:r>
        <w:rPr/>
        <w:t>is hard to support, since there the creditors got nothing and so received </w:t>
      </w:r>
      <w:r>
        <w:rPr/>
        <w:t>no benefit. The consideration was said at 329 to be benefit to the debtor, but he was the person </w:t>
      </w:r>
      <w:r>
        <w:rPr>
          <w:rFonts w:ascii="Arial"/>
          <w:i/>
        </w:rPr>
        <w:t>to </w:t>
      </w:r>
      <w:r>
        <w:rPr/>
        <w:t>whom the promise was made, and benefit to the promisee is obviously no consideration. If it were, there would be consideration for every gratuitous promise.</w:t>
      </w:r>
    </w:p>
    <w:p>
      <w:pPr>
        <w:pStyle w:val="BodyText"/>
        <w:spacing w:before="4"/>
      </w:pPr>
    </w:p>
    <w:p>
      <w:pPr>
        <w:tabs>
          <w:tab w:pos="705" w:val="left" w:leader="none"/>
        </w:tabs>
        <w:spacing w:before="0"/>
        <w:ind w:left="165" w:right="0" w:firstLine="0"/>
        <w:jc w:val="left"/>
        <w:rPr>
          <w:sz w:val="20"/>
        </w:rPr>
      </w:pPr>
      <w:bookmarkStart w:name="_bookmark483" w:id="485"/>
      <w:bookmarkEnd w:id="485"/>
      <w:r>
        <w:rPr/>
      </w:r>
      <w:hyperlink w:history="true" w:anchor="_bookmark443">
        <w:r>
          <w:rPr>
            <w:color w:val="005DA1"/>
            <w:spacing w:val="-4"/>
            <w:position w:val="5"/>
            <w:sz w:val="14"/>
            <w:u w:val="single" w:color="005DA1"/>
          </w:rPr>
          <w:t>241</w:t>
        </w:r>
      </w:hyperlink>
      <w:r>
        <w:rPr>
          <w:spacing w:val="-4"/>
          <w:position w:val="5"/>
          <w:sz w:val="14"/>
        </w:rPr>
        <w:t>.</w:t>
      </w:r>
      <w:r>
        <w:rPr>
          <w:position w:val="5"/>
          <w:sz w:val="14"/>
        </w:rPr>
        <w:tab/>
      </w:r>
      <w:r>
        <w:rPr>
          <w:sz w:val="20"/>
        </w:rPr>
        <w:t>Above, para.4-</w:t>
      </w:r>
      <w:r>
        <w:rPr>
          <w:spacing w:val="-4"/>
          <w:sz w:val="20"/>
        </w:rPr>
        <w:t>006.</w:t>
      </w:r>
    </w:p>
    <w:p>
      <w:pPr>
        <w:pStyle w:val="BodyText"/>
        <w:spacing w:before="9"/>
      </w:pPr>
    </w:p>
    <w:p>
      <w:pPr>
        <w:pStyle w:val="BodyText"/>
        <w:spacing w:line="235" w:lineRule="auto"/>
        <w:ind w:left="705" w:right="167" w:hanging="541"/>
        <w:jc w:val="both"/>
      </w:pPr>
      <w:bookmarkStart w:name="_bookmark484" w:id="486"/>
      <w:bookmarkEnd w:id="486"/>
      <w:r>
        <w:rPr/>
      </w:r>
      <w:hyperlink w:history="true" w:anchor="_bookmark444">
        <w:r>
          <w:rPr>
            <w:color w:val="005DA1"/>
            <w:position w:val="5"/>
            <w:sz w:val="14"/>
            <w:u w:val="single" w:color="005DA1"/>
          </w:rPr>
          <w:t>242</w:t>
        </w:r>
      </w:hyperlink>
      <w:r>
        <w:rPr>
          <w:position w:val="5"/>
          <w:sz w:val="14"/>
        </w:rPr>
        <w:t>.</w:t>
      </w:r>
      <w:r>
        <w:rPr>
          <w:spacing w:val="80"/>
          <w:position w:val="5"/>
          <w:sz w:val="14"/>
        </w:rPr>
        <w:t>  </w:t>
      </w:r>
      <w:r>
        <w:rPr/>
        <w:t>Above, para.4-010. The creditors do not bargain for the debtor’s signature but for a dividend. </w:t>
      </w:r>
      <w:r>
        <w:rPr/>
        <w:t>If the debtor’s signature were regarded as the consideration it could equally well be so regarded</w:t>
      </w:r>
      <w:r>
        <w:rPr>
          <w:spacing w:val="40"/>
        </w:rPr>
        <w:t> </w:t>
      </w:r>
      <w:r>
        <w:rPr/>
        <w:t>in a composition with a single creditor, i.e. in a case such as </w:t>
      </w:r>
      <w:r>
        <w:rPr>
          <w:rFonts w:ascii="Arial" w:hAnsi="Arial"/>
          <w:i/>
        </w:rPr>
        <w:t>Foakes v Beer (1884) 9 App. Cas. 605</w:t>
      </w:r>
      <w:r>
        <w:rPr/>
        <w:t>, below, para.4-117, where it was held that there was no consideration for the creditor’s </w:t>
      </w:r>
      <w:r>
        <w:rPr>
          <w:spacing w:val="-2"/>
        </w:rPr>
        <w:t>promise.</w:t>
      </w:r>
    </w:p>
    <w:p>
      <w:pPr>
        <w:pStyle w:val="BodyText"/>
        <w:spacing w:before="4"/>
      </w:pPr>
    </w:p>
    <w:p>
      <w:pPr>
        <w:tabs>
          <w:tab w:pos="705" w:val="left" w:leader="none"/>
        </w:tabs>
        <w:spacing w:before="0"/>
        <w:ind w:left="165" w:right="0" w:firstLine="0"/>
        <w:jc w:val="left"/>
        <w:rPr>
          <w:sz w:val="20"/>
        </w:rPr>
      </w:pPr>
      <w:bookmarkStart w:name="_bookmark485" w:id="487"/>
      <w:bookmarkEnd w:id="487"/>
      <w:r>
        <w:rPr/>
      </w:r>
      <w:hyperlink w:history="true" w:anchor="_bookmark445">
        <w:r>
          <w:rPr>
            <w:color w:val="005DA1"/>
            <w:spacing w:val="-4"/>
            <w:position w:val="5"/>
            <w:sz w:val="14"/>
            <w:u w:val="single" w:color="005DA1"/>
          </w:rPr>
          <w:t>243</w:t>
        </w:r>
      </w:hyperlink>
      <w:r>
        <w:rPr>
          <w:spacing w:val="-4"/>
          <w:position w:val="5"/>
          <w:sz w:val="14"/>
        </w:rPr>
        <w:t>.</w:t>
      </w:r>
      <w:r>
        <w:rPr>
          <w:position w:val="5"/>
          <w:sz w:val="14"/>
        </w:rPr>
        <w:tab/>
      </w:r>
      <w:r>
        <w:rPr>
          <w:sz w:val="20"/>
        </w:rPr>
        <w:t>Below, para.4-</w:t>
      </w:r>
      <w:r>
        <w:rPr>
          <w:spacing w:val="-4"/>
          <w:sz w:val="20"/>
        </w:rPr>
        <w:t>127.</w:t>
      </w:r>
    </w:p>
    <w:p>
      <w:pPr>
        <w:pStyle w:val="BodyText"/>
        <w:spacing w:before="5"/>
      </w:pPr>
    </w:p>
    <w:p>
      <w:pPr>
        <w:tabs>
          <w:tab w:pos="705" w:val="left" w:leader="none"/>
        </w:tabs>
        <w:spacing w:before="0"/>
        <w:ind w:left="165" w:right="0" w:firstLine="0"/>
        <w:jc w:val="left"/>
        <w:rPr>
          <w:sz w:val="20"/>
        </w:rPr>
      </w:pPr>
      <w:bookmarkStart w:name="_bookmark486" w:id="488"/>
      <w:bookmarkEnd w:id="488"/>
      <w:r>
        <w:rPr/>
      </w:r>
      <w:hyperlink w:history="true" w:anchor="_bookmark446">
        <w:r>
          <w:rPr>
            <w:color w:val="005DA1"/>
            <w:spacing w:val="-4"/>
            <w:position w:val="5"/>
            <w:sz w:val="14"/>
            <w:u w:val="single" w:color="005DA1"/>
          </w:rPr>
          <w:t>244</w:t>
        </w:r>
      </w:hyperlink>
      <w:r>
        <w:rPr>
          <w:spacing w:val="-4"/>
          <w:position w:val="5"/>
          <w:sz w:val="14"/>
        </w:rPr>
        <w:t>.</w:t>
      </w:r>
      <w:r>
        <w:rPr>
          <w:position w:val="5"/>
          <w:sz w:val="14"/>
        </w:rPr>
        <w:tab/>
      </w:r>
      <w:r>
        <w:rPr>
          <w:rFonts w:ascii="Arial"/>
          <w:i/>
          <w:sz w:val="20"/>
        </w:rPr>
        <w:t>[2000]</w:t>
      </w:r>
      <w:r>
        <w:rPr>
          <w:rFonts w:ascii="Arial"/>
          <w:i/>
          <w:spacing w:val="-1"/>
          <w:sz w:val="20"/>
        </w:rPr>
        <w:t> </w:t>
      </w:r>
      <w:r>
        <w:rPr>
          <w:rFonts w:ascii="Arial"/>
          <w:i/>
          <w:sz w:val="20"/>
        </w:rPr>
        <w:t>Q.B. 501</w:t>
      </w:r>
      <w:r>
        <w:rPr>
          <w:sz w:val="20"/>
        </w:rPr>
        <w:t>; see also above, para.2-</w:t>
      </w:r>
      <w:r>
        <w:rPr>
          <w:spacing w:val="-4"/>
          <w:sz w:val="20"/>
        </w:rPr>
        <w:t>170.</w:t>
      </w:r>
    </w:p>
    <w:p>
      <w:pPr>
        <w:pStyle w:val="BodyText"/>
        <w:spacing w:before="9"/>
      </w:pPr>
    </w:p>
    <w:p>
      <w:pPr>
        <w:spacing w:line="235" w:lineRule="auto" w:before="0"/>
        <w:ind w:left="705" w:right="167" w:hanging="541"/>
        <w:jc w:val="both"/>
        <w:rPr>
          <w:sz w:val="20"/>
        </w:rPr>
      </w:pPr>
      <w:bookmarkStart w:name="_bookmark487" w:id="489"/>
      <w:bookmarkEnd w:id="489"/>
      <w:r>
        <w:rPr/>
      </w:r>
      <w:hyperlink w:history="true" w:anchor="_bookmark447">
        <w:r>
          <w:rPr>
            <w:color w:val="005DA1"/>
            <w:position w:val="5"/>
            <w:sz w:val="14"/>
            <w:u w:val="single" w:color="005DA1"/>
          </w:rPr>
          <w:t>245</w:t>
        </w:r>
      </w:hyperlink>
      <w:r>
        <w:rPr>
          <w:position w:val="5"/>
          <w:sz w:val="14"/>
        </w:rPr>
        <w:t>.</w:t>
      </w:r>
      <w:r>
        <w:rPr>
          <w:spacing w:val="80"/>
          <w:position w:val="5"/>
          <w:sz w:val="14"/>
        </w:rPr>
        <w:t> </w:t>
      </w:r>
      <w:r>
        <w:rPr>
          <w:sz w:val="20"/>
        </w:rPr>
        <w:t>But an application for pupillage is not one for “membership” of chambers within </w:t>
      </w:r>
      <w:r>
        <w:rPr>
          <w:sz w:val="20"/>
        </w:rPr>
        <w:t>Disability Discrimination Act 1995, s.13(1)(c): </w:t>
      </w:r>
      <w:r>
        <w:rPr>
          <w:rFonts w:ascii="Arial" w:hAnsi="Arial"/>
          <w:i/>
          <w:sz w:val="20"/>
        </w:rPr>
        <w:t>Horton v Higham [2004] EWCA Civ 941, [2005] I.C.R. 292</w:t>
      </w:r>
      <w:r>
        <w:rPr>
          <w:sz w:val="20"/>
        </w:rPr>
        <w:t>, where </w:t>
      </w:r>
      <w:r>
        <w:rPr>
          <w:rFonts w:ascii="Arial" w:hAnsi="Arial"/>
          <w:i/>
          <w:sz w:val="20"/>
        </w:rPr>
        <w:t>Edmonds v Lawson</w:t>
      </w:r>
      <w:r>
        <w:rPr>
          <w:sz w:val="20"/>
        </w:rPr>
        <w:t>, above n.240 is cited at [2].</w:t>
      </w:r>
    </w:p>
    <w:p>
      <w:pPr>
        <w:pStyle w:val="BodyText"/>
        <w:spacing w:before="5"/>
      </w:pPr>
    </w:p>
    <w:p>
      <w:pPr>
        <w:tabs>
          <w:tab w:pos="705" w:val="left" w:leader="none"/>
        </w:tabs>
        <w:spacing w:before="0"/>
        <w:ind w:left="165" w:right="0" w:firstLine="0"/>
        <w:jc w:val="left"/>
        <w:rPr>
          <w:sz w:val="20"/>
        </w:rPr>
      </w:pPr>
      <w:bookmarkStart w:name="_bookmark488" w:id="490"/>
      <w:bookmarkEnd w:id="490"/>
      <w:r>
        <w:rPr/>
      </w:r>
      <w:hyperlink w:history="true" w:anchor="_bookmark448">
        <w:r>
          <w:rPr>
            <w:color w:val="005DA1"/>
            <w:spacing w:val="-4"/>
            <w:position w:val="5"/>
            <w:sz w:val="14"/>
            <w:u w:val="single" w:color="005DA1"/>
          </w:rPr>
          <w:t>246</w:t>
        </w:r>
      </w:hyperlink>
      <w:r>
        <w:rPr>
          <w:spacing w:val="-4"/>
          <w:position w:val="5"/>
          <w:sz w:val="14"/>
        </w:rPr>
        <w:t>.</w:t>
      </w:r>
      <w:r>
        <w:rPr>
          <w:position w:val="5"/>
          <w:sz w:val="14"/>
        </w:rPr>
        <w:tab/>
      </w:r>
      <w:r>
        <w:rPr>
          <w:rFonts w:ascii="Arial"/>
          <w:i/>
          <w:sz w:val="20"/>
        </w:rPr>
        <w:t>[2000] Q.B. 501</w:t>
      </w:r>
      <w:r>
        <w:rPr>
          <w:rFonts w:ascii="Arial"/>
          <w:i/>
          <w:spacing w:val="-1"/>
          <w:sz w:val="20"/>
        </w:rPr>
        <w:t> </w:t>
      </w:r>
      <w:r>
        <w:rPr>
          <w:sz w:val="20"/>
        </w:rPr>
        <w:t>at </w:t>
      </w:r>
      <w:r>
        <w:rPr>
          <w:spacing w:val="-4"/>
          <w:sz w:val="20"/>
        </w:rPr>
        <w:t>515.</w:t>
      </w:r>
    </w:p>
    <w:p>
      <w:pPr>
        <w:pStyle w:val="BodyText"/>
        <w:spacing w:before="5"/>
      </w:pPr>
    </w:p>
    <w:p>
      <w:pPr>
        <w:tabs>
          <w:tab w:pos="705" w:val="left" w:leader="none"/>
        </w:tabs>
        <w:spacing w:before="0"/>
        <w:ind w:left="165" w:right="0" w:firstLine="0"/>
        <w:jc w:val="left"/>
        <w:rPr>
          <w:sz w:val="20"/>
        </w:rPr>
      </w:pPr>
      <w:bookmarkStart w:name="_bookmark489" w:id="491"/>
      <w:bookmarkEnd w:id="491"/>
      <w:r>
        <w:rPr/>
      </w:r>
      <w:hyperlink w:history="true" w:anchor="_bookmark449">
        <w:r>
          <w:rPr>
            <w:color w:val="005DA1"/>
            <w:spacing w:val="-4"/>
            <w:position w:val="5"/>
            <w:sz w:val="14"/>
            <w:u w:val="single" w:color="005DA1"/>
          </w:rPr>
          <w:t>247</w:t>
        </w:r>
      </w:hyperlink>
      <w:r>
        <w:rPr>
          <w:spacing w:val="-4"/>
          <w:position w:val="5"/>
          <w:sz w:val="14"/>
        </w:rPr>
        <w:t>.</w:t>
      </w:r>
      <w:r>
        <w:rPr>
          <w:position w:val="5"/>
          <w:sz w:val="14"/>
        </w:rPr>
        <w:tab/>
      </w:r>
      <w:r>
        <w:rPr>
          <w:spacing w:val="-2"/>
          <w:sz w:val="20"/>
        </w:rPr>
        <w:t>ibid.</w:t>
      </w:r>
    </w:p>
    <w:p>
      <w:pPr>
        <w:pStyle w:val="BodyText"/>
        <w:spacing w:before="9"/>
      </w:pPr>
    </w:p>
    <w:p>
      <w:pPr>
        <w:spacing w:line="235" w:lineRule="auto" w:before="0"/>
        <w:ind w:left="705" w:right="168" w:hanging="541"/>
        <w:jc w:val="both"/>
        <w:rPr>
          <w:sz w:val="20"/>
        </w:rPr>
      </w:pPr>
      <w:bookmarkStart w:name="_bookmark490" w:id="492"/>
      <w:bookmarkEnd w:id="492"/>
      <w:r>
        <w:rPr/>
      </w:r>
      <w:hyperlink w:history="true" w:anchor="_bookmark450">
        <w:r>
          <w:rPr>
            <w:color w:val="005DA1"/>
            <w:position w:val="5"/>
            <w:sz w:val="14"/>
            <w:u w:val="single" w:color="005DA1"/>
          </w:rPr>
          <w:t>248</w:t>
        </w:r>
      </w:hyperlink>
      <w:r>
        <w:rPr>
          <w:position w:val="5"/>
          <w:sz w:val="14"/>
        </w:rPr>
        <w:t>.</w:t>
      </w:r>
      <w:r>
        <w:rPr>
          <w:spacing w:val="80"/>
          <w:w w:val="150"/>
          <w:position w:val="5"/>
          <w:sz w:val="14"/>
        </w:rPr>
        <w:t> </w:t>
      </w:r>
      <w:r>
        <w:rPr>
          <w:rFonts w:ascii="Arial" w:hAnsi="Arial"/>
          <w:i/>
          <w:sz w:val="20"/>
        </w:rPr>
        <w:t>Re Wyvern Developments Ltd [1974] 1 W.L.R. 1097</w:t>
      </w:r>
      <w:r>
        <w:rPr>
          <w:sz w:val="20"/>
        </w:rPr>
        <w:t>; cf. </w:t>
      </w:r>
      <w:r>
        <w:rPr>
          <w:rFonts w:ascii="Arial" w:hAnsi="Arial"/>
          <w:i/>
          <w:sz w:val="20"/>
        </w:rPr>
        <w:t>International Petroleum Refining &amp; Supply Ltd v Caleb Brett &amp; Sons Ltd [1980] 1 Lloyd’s Rep. 569, 594 </w:t>
      </w:r>
      <w:r>
        <w:rPr>
          <w:sz w:val="20"/>
        </w:rPr>
        <w:t>(below, para.18-010); </w:t>
      </w:r>
      <w:r>
        <w:rPr>
          <w:rFonts w:ascii="Arial" w:hAnsi="Arial"/>
          <w:i/>
          <w:sz w:val="20"/>
        </w:rPr>
        <w:t>Barclays Bank plc v Weeks, Legg &amp; Dean [1998] 3 All E.R. 213, 220–221</w:t>
      </w:r>
      <w:r>
        <w:rPr>
          <w:sz w:val="20"/>
        </w:rPr>
        <w:t>.</w:t>
      </w:r>
    </w:p>
    <w:p>
      <w:pPr>
        <w:pStyle w:val="BodyText"/>
        <w:spacing w:before="5"/>
      </w:pPr>
    </w:p>
    <w:p>
      <w:pPr>
        <w:tabs>
          <w:tab w:pos="705" w:val="left" w:leader="none"/>
        </w:tabs>
        <w:spacing w:before="0"/>
        <w:ind w:left="165" w:right="0" w:firstLine="0"/>
        <w:jc w:val="left"/>
        <w:rPr>
          <w:sz w:val="20"/>
        </w:rPr>
      </w:pPr>
      <w:bookmarkStart w:name="_bookmark491" w:id="493"/>
      <w:bookmarkEnd w:id="493"/>
      <w:r>
        <w:rPr/>
      </w:r>
      <w:hyperlink w:history="true" w:anchor="_bookmark451">
        <w:r>
          <w:rPr>
            <w:color w:val="005DA1"/>
            <w:spacing w:val="-4"/>
            <w:position w:val="5"/>
            <w:sz w:val="14"/>
            <w:u w:val="single" w:color="005DA1"/>
          </w:rPr>
          <w:t>249</w:t>
        </w:r>
      </w:hyperlink>
      <w:r>
        <w:rPr>
          <w:spacing w:val="-4"/>
          <w:position w:val="5"/>
          <w:sz w:val="14"/>
        </w:rPr>
        <w:t>.</w:t>
      </w:r>
      <w:r>
        <w:rPr>
          <w:position w:val="5"/>
          <w:sz w:val="14"/>
        </w:rPr>
        <w:tab/>
      </w:r>
      <w:r>
        <w:rPr>
          <w:rFonts w:ascii="Arial"/>
          <w:i/>
          <w:sz w:val="20"/>
        </w:rPr>
        <w:t>Jones v Padavatton [1969] 1 W.L.R. </w:t>
      </w:r>
      <w:r>
        <w:rPr>
          <w:rFonts w:ascii="Arial"/>
          <w:i/>
          <w:spacing w:val="-4"/>
          <w:sz w:val="20"/>
        </w:rPr>
        <w:t>628</w:t>
      </w:r>
      <w:r>
        <w:rPr>
          <w:spacing w:val="-4"/>
          <w:sz w:val="20"/>
        </w:rPr>
        <w:t>.</w:t>
      </w:r>
    </w:p>
    <w:p>
      <w:pPr>
        <w:pStyle w:val="BodyText"/>
        <w:spacing w:before="9"/>
      </w:pPr>
    </w:p>
    <w:p>
      <w:pPr>
        <w:spacing w:line="235" w:lineRule="auto" w:before="0"/>
        <w:ind w:left="705" w:right="167" w:hanging="541"/>
        <w:jc w:val="both"/>
        <w:rPr>
          <w:rFonts w:ascii="Arial"/>
          <w:i/>
          <w:sz w:val="20"/>
        </w:rPr>
      </w:pPr>
      <w:bookmarkStart w:name="_bookmark492" w:id="494"/>
      <w:bookmarkEnd w:id="494"/>
      <w:r>
        <w:rPr/>
      </w:r>
      <w:hyperlink w:history="true" w:anchor="_bookmark451">
        <w:r>
          <w:rPr>
            <w:color w:val="005DA1"/>
            <w:position w:val="5"/>
            <w:sz w:val="14"/>
            <w:u w:val="single" w:color="005DA1"/>
          </w:rPr>
          <w:t>250</w:t>
        </w:r>
      </w:hyperlink>
      <w:r>
        <w:rPr>
          <w:position w:val="5"/>
          <w:sz w:val="14"/>
        </w:rPr>
        <w:t>.</w:t>
      </w:r>
      <w:r>
        <w:rPr>
          <w:spacing w:val="40"/>
          <w:position w:val="5"/>
          <w:sz w:val="14"/>
        </w:rPr>
        <w:t>  </w:t>
      </w:r>
      <w:r>
        <w:rPr>
          <w:rFonts w:ascii="Arial"/>
          <w:i/>
          <w:sz w:val="20"/>
        </w:rPr>
        <w:t>Tanner v Tanner [1975] 1 W.L.R. 1346</w:t>
      </w:r>
      <w:r>
        <w:rPr>
          <w:sz w:val="20"/>
        </w:rPr>
        <w:t>; contrast </w:t>
      </w:r>
      <w:r>
        <w:rPr>
          <w:rFonts w:ascii="Arial"/>
          <w:i/>
          <w:sz w:val="20"/>
        </w:rPr>
        <w:t>Horrocks v Forray [1976] 1 W.L.R. 230 </w:t>
      </w:r>
      <w:r>
        <w:rPr>
          <w:sz w:val="20"/>
        </w:rPr>
        <w:t>where there was no such (nor any other) consideration and no contract, partly for this reason </w:t>
      </w:r>
      <w:r>
        <w:rPr>
          <w:sz w:val="20"/>
        </w:rPr>
        <w:t>and partly</w:t>
      </w:r>
      <w:r>
        <w:rPr>
          <w:spacing w:val="17"/>
          <w:sz w:val="20"/>
        </w:rPr>
        <w:t> </w:t>
      </w:r>
      <w:r>
        <w:rPr>
          <w:sz w:val="20"/>
        </w:rPr>
        <w:t>for</w:t>
      </w:r>
      <w:r>
        <w:rPr>
          <w:spacing w:val="17"/>
          <w:sz w:val="20"/>
        </w:rPr>
        <w:t> </w:t>
      </w:r>
      <w:r>
        <w:rPr>
          <w:sz w:val="20"/>
        </w:rPr>
        <w:t>lack</w:t>
      </w:r>
      <w:r>
        <w:rPr>
          <w:spacing w:val="17"/>
          <w:sz w:val="20"/>
        </w:rPr>
        <w:t> </w:t>
      </w:r>
      <w:r>
        <w:rPr>
          <w:sz w:val="20"/>
        </w:rPr>
        <w:t>of</w:t>
      </w:r>
      <w:r>
        <w:rPr>
          <w:spacing w:val="17"/>
          <w:sz w:val="20"/>
        </w:rPr>
        <w:t> </w:t>
      </w:r>
      <w:r>
        <w:rPr>
          <w:sz w:val="20"/>
        </w:rPr>
        <w:t>contractual</w:t>
      </w:r>
      <w:r>
        <w:rPr>
          <w:spacing w:val="17"/>
          <w:sz w:val="20"/>
        </w:rPr>
        <w:t> </w:t>
      </w:r>
      <w:r>
        <w:rPr>
          <w:sz w:val="20"/>
        </w:rPr>
        <w:t>intention:</w:t>
      </w:r>
      <w:r>
        <w:rPr>
          <w:spacing w:val="17"/>
          <w:sz w:val="20"/>
        </w:rPr>
        <w:t> </w:t>
      </w:r>
      <w:r>
        <w:rPr>
          <w:sz w:val="20"/>
        </w:rPr>
        <w:t>above,</w:t>
      </w:r>
      <w:r>
        <w:rPr>
          <w:spacing w:val="17"/>
          <w:sz w:val="20"/>
        </w:rPr>
        <w:t> </w:t>
      </w:r>
      <w:r>
        <w:rPr>
          <w:sz w:val="20"/>
        </w:rPr>
        <w:t>para.2-177;</w:t>
      </w:r>
      <w:r>
        <w:rPr>
          <w:spacing w:val="17"/>
          <w:sz w:val="20"/>
        </w:rPr>
        <w:t> </w:t>
      </w:r>
      <w:r>
        <w:rPr>
          <w:sz w:val="20"/>
        </w:rPr>
        <w:t>and</w:t>
      </w:r>
      <w:r>
        <w:rPr>
          <w:spacing w:val="17"/>
          <w:sz w:val="20"/>
        </w:rPr>
        <w:t> </w:t>
      </w:r>
      <w:r>
        <w:rPr>
          <w:sz w:val="20"/>
        </w:rPr>
        <w:t>see</w:t>
      </w:r>
      <w:r>
        <w:rPr>
          <w:spacing w:val="16"/>
          <w:sz w:val="20"/>
        </w:rPr>
        <w:t> </w:t>
      </w:r>
      <w:r>
        <w:rPr>
          <w:rFonts w:ascii="Arial"/>
          <w:i/>
          <w:sz w:val="20"/>
        </w:rPr>
        <w:t>Coombes</w:t>
      </w:r>
      <w:r>
        <w:rPr>
          <w:rFonts w:ascii="Arial"/>
          <w:i/>
          <w:spacing w:val="17"/>
          <w:sz w:val="20"/>
        </w:rPr>
        <w:t> </w:t>
      </w:r>
      <w:r>
        <w:rPr>
          <w:rFonts w:ascii="Arial"/>
          <w:i/>
          <w:sz w:val="20"/>
        </w:rPr>
        <w:t>v</w:t>
      </w:r>
      <w:r>
        <w:rPr>
          <w:rFonts w:ascii="Arial"/>
          <w:i/>
          <w:spacing w:val="17"/>
          <w:sz w:val="20"/>
        </w:rPr>
        <w:t> </w:t>
      </w:r>
      <w:r>
        <w:rPr>
          <w:rFonts w:ascii="Arial"/>
          <w:i/>
          <w:sz w:val="20"/>
        </w:rPr>
        <w:t>Smith</w:t>
      </w:r>
      <w:r>
        <w:rPr>
          <w:rFonts w:ascii="Arial"/>
          <w:i/>
          <w:spacing w:val="17"/>
          <w:sz w:val="20"/>
        </w:rPr>
        <w:t> </w:t>
      </w:r>
      <w:r>
        <w:rPr>
          <w:rFonts w:ascii="Arial"/>
          <w:i/>
          <w:sz w:val="20"/>
        </w:rPr>
        <w:t>[1986]</w:t>
      </w:r>
      <w:r>
        <w:rPr>
          <w:rFonts w:ascii="Arial"/>
          <w:i/>
          <w:spacing w:val="17"/>
          <w:sz w:val="20"/>
        </w:rPr>
        <w:t> </w:t>
      </w:r>
      <w:r>
        <w:rPr>
          <w:rFonts w:ascii="Arial"/>
          <w:i/>
          <w:spacing w:val="-10"/>
          <w:sz w:val="20"/>
        </w:rPr>
        <w:t>1</w:t>
      </w:r>
    </w:p>
    <w:p>
      <w:pPr>
        <w:spacing w:line="225" w:lineRule="exact" w:before="0"/>
        <w:ind w:left="705" w:right="0" w:firstLine="0"/>
        <w:jc w:val="left"/>
        <w:rPr>
          <w:sz w:val="20"/>
        </w:rPr>
      </w:pPr>
      <w:r>
        <w:rPr>
          <w:rFonts w:ascii="Arial"/>
          <w:i/>
          <w:sz w:val="20"/>
        </w:rPr>
        <w:t>W.L.R.</w:t>
      </w:r>
      <w:r>
        <w:rPr>
          <w:rFonts w:ascii="Arial"/>
          <w:i/>
          <w:spacing w:val="-2"/>
          <w:sz w:val="20"/>
        </w:rPr>
        <w:t> </w:t>
      </w:r>
      <w:r>
        <w:rPr>
          <w:rFonts w:ascii="Arial"/>
          <w:i/>
          <w:spacing w:val="-4"/>
          <w:sz w:val="20"/>
        </w:rPr>
        <w:t>808</w:t>
      </w:r>
      <w:r>
        <w:rPr>
          <w:spacing w:val="-4"/>
          <w:sz w:val="20"/>
        </w:rPr>
        <w:t>.</w:t>
      </w:r>
    </w:p>
    <w:p>
      <w:pPr>
        <w:spacing w:after="0" w:line="225" w:lineRule="exact"/>
        <w:jc w:val="left"/>
        <w:rPr>
          <w:sz w:val="20"/>
        </w:rPr>
        <w:sectPr>
          <w:pgSz w:w="11900" w:h="16840"/>
          <w:pgMar w:header="971" w:footer="0" w:top="1160" w:bottom="280" w:left="1275" w:right="1275"/>
        </w:sectPr>
      </w:pPr>
    </w:p>
    <w:p>
      <w:pPr>
        <w:pStyle w:val="BodyText"/>
        <w:spacing w:before="84"/>
      </w:pPr>
    </w:p>
    <w:p>
      <w:pPr>
        <w:spacing w:line="235" w:lineRule="auto" w:before="1"/>
        <w:ind w:left="705" w:right="167" w:hanging="541"/>
        <w:jc w:val="both"/>
        <w:rPr>
          <w:rFonts w:ascii="Arial" w:hAnsi="Arial"/>
          <w:i/>
          <w:sz w:val="20"/>
        </w:rPr>
      </w:pPr>
      <w:hyperlink w:history="true" w:anchor="_bookmark452">
        <w:r>
          <w:rPr>
            <w:color w:val="005DA1"/>
            <w:position w:val="5"/>
            <w:sz w:val="14"/>
            <w:u w:val="single" w:color="005DA1"/>
          </w:rPr>
          <w:t>251</w:t>
        </w:r>
      </w:hyperlink>
      <w:r>
        <w:rPr>
          <w:position w:val="5"/>
          <w:sz w:val="14"/>
        </w:rPr>
        <w:t>.</w:t>
      </w:r>
      <w:r>
        <w:rPr>
          <w:spacing w:val="80"/>
          <w:position w:val="5"/>
          <w:sz w:val="14"/>
        </w:rPr>
        <w:t>  </w:t>
      </w:r>
      <w:r>
        <w:rPr>
          <w:sz w:val="20"/>
        </w:rPr>
        <w:t>See </w:t>
      </w:r>
      <w:r>
        <w:rPr>
          <w:rFonts w:ascii="Arial" w:hAnsi="Arial"/>
          <w:i/>
          <w:sz w:val="20"/>
        </w:rPr>
        <w:t>International Petroleum Refining Supply Ltd v Caleb Brett &amp; Son Ltd [1980] 1 Lloyd’s </w:t>
      </w:r>
      <w:r>
        <w:rPr>
          <w:rFonts w:ascii="Arial" w:hAnsi="Arial"/>
          <w:i/>
          <w:sz w:val="20"/>
        </w:rPr>
        <w:t>Rep. 569, 594</w:t>
      </w:r>
      <w:r>
        <w:rPr>
          <w:sz w:val="20"/>
        </w:rPr>
        <w:t>, where the promisor benefited indirectly since promisor and third party were</w:t>
      </w:r>
      <w:r>
        <w:rPr>
          <w:spacing w:val="40"/>
          <w:sz w:val="20"/>
        </w:rPr>
        <w:t> </w:t>
      </w:r>
      <w:r>
        <w:rPr>
          <w:sz w:val="20"/>
        </w:rPr>
        <w:t>associated</w:t>
      </w:r>
      <w:r>
        <w:rPr>
          <w:spacing w:val="5"/>
          <w:sz w:val="20"/>
        </w:rPr>
        <w:t> </w:t>
      </w:r>
      <w:r>
        <w:rPr>
          <w:sz w:val="20"/>
        </w:rPr>
        <w:t>companies.</w:t>
      </w:r>
      <w:r>
        <w:rPr>
          <w:spacing w:val="7"/>
          <w:sz w:val="20"/>
        </w:rPr>
        <w:t> </w:t>
      </w:r>
      <w:r>
        <w:rPr>
          <w:sz w:val="20"/>
        </w:rPr>
        <w:t>cf.</w:t>
      </w:r>
      <w:r>
        <w:rPr>
          <w:spacing w:val="6"/>
          <w:sz w:val="20"/>
        </w:rPr>
        <w:t> </w:t>
      </w:r>
      <w:r>
        <w:rPr>
          <w:rFonts w:ascii="Arial" w:hAnsi="Arial"/>
          <w:i/>
          <w:sz w:val="20"/>
        </w:rPr>
        <w:t>Pearl</w:t>
      </w:r>
      <w:r>
        <w:rPr>
          <w:rFonts w:ascii="Arial" w:hAnsi="Arial"/>
          <w:i/>
          <w:spacing w:val="7"/>
          <w:sz w:val="20"/>
        </w:rPr>
        <w:t> </w:t>
      </w:r>
      <w:r>
        <w:rPr>
          <w:rFonts w:ascii="Arial" w:hAnsi="Arial"/>
          <w:i/>
          <w:sz w:val="20"/>
        </w:rPr>
        <w:t>Carriers</w:t>
      </w:r>
      <w:r>
        <w:rPr>
          <w:rFonts w:ascii="Arial" w:hAnsi="Arial"/>
          <w:i/>
          <w:spacing w:val="7"/>
          <w:sz w:val="20"/>
        </w:rPr>
        <w:t> </w:t>
      </w:r>
      <w:r>
        <w:rPr>
          <w:rFonts w:ascii="Arial" w:hAnsi="Arial"/>
          <w:i/>
          <w:sz w:val="20"/>
        </w:rPr>
        <w:t>Inc.</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Japan</w:t>
      </w:r>
      <w:r>
        <w:rPr>
          <w:rFonts w:ascii="Arial" w:hAnsi="Arial"/>
          <w:i/>
          <w:spacing w:val="7"/>
          <w:sz w:val="20"/>
        </w:rPr>
        <w:t> </w:t>
      </w:r>
      <w:r>
        <w:rPr>
          <w:rFonts w:ascii="Arial" w:hAnsi="Arial"/>
          <w:i/>
          <w:sz w:val="20"/>
        </w:rPr>
        <w:t>Lines</w:t>
      </w:r>
      <w:r>
        <w:rPr>
          <w:rFonts w:ascii="Arial" w:hAnsi="Arial"/>
          <w:i/>
          <w:spacing w:val="7"/>
          <w:sz w:val="20"/>
        </w:rPr>
        <w:t> </w:t>
      </w:r>
      <w:r>
        <w:rPr>
          <w:rFonts w:ascii="Arial" w:hAnsi="Arial"/>
          <w:i/>
          <w:sz w:val="20"/>
        </w:rPr>
        <w:t>Ltd</w:t>
      </w:r>
      <w:r>
        <w:rPr>
          <w:rFonts w:ascii="Arial" w:hAnsi="Arial"/>
          <w:i/>
          <w:spacing w:val="7"/>
          <w:sz w:val="20"/>
        </w:rPr>
        <w:t> </w:t>
      </w:r>
      <w:r>
        <w:rPr>
          <w:rFonts w:ascii="Arial" w:hAnsi="Arial"/>
          <w:i/>
          <w:sz w:val="20"/>
        </w:rPr>
        <w:t>(The</w:t>
      </w:r>
      <w:r>
        <w:rPr>
          <w:rFonts w:ascii="Arial" w:hAnsi="Arial"/>
          <w:i/>
          <w:spacing w:val="7"/>
          <w:sz w:val="20"/>
        </w:rPr>
        <w:t> </w:t>
      </w:r>
      <w:r>
        <w:rPr>
          <w:rFonts w:ascii="Arial" w:hAnsi="Arial"/>
          <w:i/>
          <w:sz w:val="20"/>
        </w:rPr>
        <w:t>Chemical</w:t>
      </w:r>
      <w:r>
        <w:rPr>
          <w:rFonts w:ascii="Arial" w:hAnsi="Arial"/>
          <w:i/>
          <w:spacing w:val="7"/>
          <w:sz w:val="20"/>
        </w:rPr>
        <w:t> </w:t>
      </w:r>
      <w:r>
        <w:rPr>
          <w:rFonts w:ascii="Arial" w:hAnsi="Arial"/>
          <w:i/>
          <w:sz w:val="20"/>
        </w:rPr>
        <w:t>Venture)</w:t>
      </w:r>
      <w:r>
        <w:rPr>
          <w:rFonts w:ascii="Arial" w:hAnsi="Arial"/>
          <w:i/>
          <w:spacing w:val="7"/>
          <w:sz w:val="20"/>
        </w:rPr>
        <w:t> </w:t>
      </w:r>
      <w:r>
        <w:rPr>
          <w:rFonts w:ascii="Arial" w:hAnsi="Arial"/>
          <w:i/>
          <w:spacing w:val="-2"/>
          <w:sz w:val="20"/>
        </w:rPr>
        <w:t>[1993]</w:t>
      </w:r>
    </w:p>
    <w:p>
      <w:pPr>
        <w:pStyle w:val="BodyText"/>
        <w:spacing w:line="235" w:lineRule="auto"/>
        <w:ind w:left="705"/>
      </w:pPr>
      <w:r>
        <w:rPr>
          <w:rFonts w:ascii="Arial" w:hAnsi="Arial"/>
          <w:i/>
        </w:rPr>
        <w:t>1</w:t>
      </w:r>
      <w:r>
        <w:rPr>
          <w:rFonts w:ascii="Arial" w:hAnsi="Arial"/>
          <w:i/>
          <w:spacing w:val="40"/>
        </w:rPr>
        <w:t> </w:t>
      </w:r>
      <w:r>
        <w:rPr>
          <w:rFonts w:ascii="Arial" w:hAnsi="Arial"/>
          <w:i/>
        </w:rPr>
        <w:t>Lloyd’s</w:t>
      </w:r>
      <w:r>
        <w:rPr>
          <w:rFonts w:ascii="Arial" w:hAnsi="Arial"/>
          <w:i/>
          <w:spacing w:val="40"/>
        </w:rPr>
        <w:t> </w:t>
      </w:r>
      <w:r>
        <w:rPr>
          <w:rFonts w:ascii="Arial" w:hAnsi="Arial"/>
          <w:i/>
        </w:rPr>
        <w:t>Rep.</w:t>
      </w:r>
      <w:r>
        <w:rPr>
          <w:rFonts w:ascii="Arial" w:hAnsi="Arial"/>
          <w:i/>
          <w:spacing w:val="40"/>
        </w:rPr>
        <w:t> </w:t>
      </w:r>
      <w:r>
        <w:rPr>
          <w:rFonts w:ascii="Arial" w:hAnsi="Arial"/>
          <w:i/>
        </w:rPr>
        <w:t>509,</w:t>
      </w:r>
      <w:r>
        <w:rPr>
          <w:rFonts w:ascii="Arial" w:hAnsi="Arial"/>
          <w:i/>
          <w:spacing w:val="40"/>
        </w:rPr>
        <w:t> </w:t>
      </w:r>
      <w:r>
        <w:rPr>
          <w:rFonts w:ascii="Arial" w:hAnsi="Arial"/>
          <w:i/>
        </w:rPr>
        <w:t>522</w:t>
      </w:r>
      <w:r>
        <w:rPr>
          <w:rFonts w:ascii="Arial" w:hAnsi="Arial"/>
          <w:i/>
          <w:spacing w:val="40"/>
        </w:rPr>
        <w:t> </w:t>
      </w:r>
      <w:r>
        <w:rPr/>
        <w:t>(payments</w:t>
      </w:r>
      <w:r>
        <w:rPr>
          <w:spacing w:val="40"/>
        </w:rPr>
        <w:t> </w:t>
      </w:r>
      <w:r>
        <w:rPr/>
        <w:t>made</w:t>
      </w:r>
      <w:r>
        <w:rPr>
          <w:spacing w:val="40"/>
        </w:rPr>
        <w:t> </w:t>
      </w:r>
      <w:r>
        <w:rPr/>
        <w:t>by</w:t>
      </w:r>
      <w:r>
        <w:rPr>
          <w:spacing w:val="40"/>
        </w:rPr>
        <w:t> </w:t>
      </w:r>
      <w:r>
        <w:rPr/>
        <w:t>charterers</w:t>
      </w:r>
      <w:r>
        <w:rPr>
          <w:spacing w:val="40"/>
        </w:rPr>
        <w:t> </w:t>
      </w:r>
      <w:r>
        <w:rPr/>
        <w:t>of</w:t>
      </w:r>
      <w:r>
        <w:rPr>
          <w:spacing w:val="40"/>
        </w:rPr>
        <w:t> </w:t>
      </w:r>
      <w:r>
        <w:rPr/>
        <w:t>ship</w:t>
      </w:r>
      <w:r>
        <w:rPr>
          <w:spacing w:val="40"/>
        </w:rPr>
        <w:t> </w:t>
      </w:r>
      <w:r>
        <w:rPr/>
        <w:t>to</w:t>
      </w:r>
      <w:r>
        <w:rPr>
          <w:spacing w:val="40"/>
        </w:rPr>
        <w:t> </w:t>
      </w:r>
      <w:r>
        <w:rPr/>
        <w:t>the</w:t>
      </w:r>
      <w:r>
        <w:rPr>
          <w:spacing w:val="40"/>
        </w:rPr>
        <w:t> </w:t>
      </w:r>
      <w:r>
        <w:rPr/>
        <w:t>crew</w:t>
      </w:r>
      <w:r>
        <w:rPr>
          <w:spacing w:val="40"/>
        </w:rPr>
        <w:t> </w:t>
      </w:r>
      <w:r>
        <w:rPr/>
        <w:t>regarded</w:t>
      </w:r>
      <w:r>
        <w:rPr>
          <w:spacing w:val="51"/>
        </w:rPr>
        <w:t> </w:t>
      </w:r>
      <w:r>
        <w:rPr/>
        <w:t>as consideration for promise by shipowners to charterers).</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493" w:id="495"/>
      <w:bookmarkEnd w:id="495"/>
      <w:r>
        <w:rPr/>
      </w:r>
      <w:hyperlink w:history="true" w:anchor="_bookmark453">
        <w:r>
          <w:rPr>
            <w:color w:val="005DA1"/>
            <w:spacing w:val="-4"/>
            <w:position w:val="5"/>
            <w:sz w:val="14"/>
            <w:u w:val="single" w:color="005DA1"/>
          </w:rPr>
          <w:t>252</w:t>
        </w:r>
      </w:hyperlink>
      <w:r>
        <w:rPr>
          <w:spacing w:val="-4"/>
          <w:position w:val="5"/>
          <w:sz w:val="14"/>
        </w:rPr>
        <w:t>.</w:t>
      </w:r>
      <w:r>
        <w:rPr>
          <w:position w:val="5"/>
          <w:sz w:val="14"/>
        </w:rPr>
        <w:tab/>
      </w:r>
      <w:r>
        <w:rPr>
          <w:rFonts w:ascii="Arial"/>
          <w:i/>
          <w:sz w:val="20"/>
        </w:rPr>
        <w:t>R.</w:t>
      </w:r>
      <w:r>
        <w:rPr>
          <w:rFonts w:ascii="Arial"/>
          <w:i/>
          <w:spacing w:val="-1"/>
          <w:sz w:val="20"/>
        </w:rPr>
        <w:t> </w:t>
      </w:r>
      <w:r>
        <w:rPr>
          <w:rFonts w:ascii="Arial"/>
          <w:i/>
          <w:sz w:val="20"/>
        </w:rPr>
        <w:t>v Lambie [1982] A.C. 449</w:t>
      </w:r>
      <w:r>
        <w:rPr>
          <w:sz w:val="20"/>
        </w:rPr>
        <w:t>; </w:t>
      </w:r>
      <w:r>
        <w:rPr>
          <w:rFonts w:ascii="Arial"/>
          <w:i/>
          <w:sz w:val="20"/>
        </w:rPr>
        <w:t>Re Charge Card Services [1987] Ch. 150, affirmed [1989] Ch. </w:t>
      </w:r>
      <w:r>
        <w:rPr>
          <w:rFonts w:ascii="Arial"/>
          <w:i/>
          <w:spacing w:val="-5"/>
          <w:sz w:val="20"/>
        </w:rPr>
        <w:t>497</w:t>
      </w:r>
    </w:p>
    <w:p>
      <w:pPr>
        <w:spacing w:line="227" w:lineRule="exact" w:before="0"/>
        <w:ind w:left="705" w:right="0" w:firstLine="0"/>
        <w:jc w:val="left"/>
        <w:rPr>
          <w:sz w:val="20"/>
        </w:rPr>
      </w:pPr>
      <w:r>
        <w:rPr>
          <w:spacing w:val="-10"/>
          <w:sz w:val="20"/>
        </w:rPr>
        <w:t>.</w:t>
      </w:r>
    </w:p>
    <w:p>
      <w:pPr>
        <w:pStyle w:val="BodyText"/>
        <w:spacing w:before="5"/>
      </w:pPr>
    </w:p>
    <w:p>
      <w:pPr>
        <w:tabs>
          <w:tab w:pos="705" w:val="left" w:leader="none"/>
        </w:tabs>
        <w:spacing w:before="0"/>
        <w:ind w:left="165" w:right="0" w:firstLine="0"/>
        <w:jc w:val="left"/>
        <w:rPr>
          <w:sz w:val="20"/>
        </w:rPr>
      </w:pPr>
      <w:bookmarkStart w:name="_bookmark494" w:id="496"/>
      <w:bookmarkEnd w:id="496"/>
      <w:r>
        <w:rPr/>
      </w:r>
      <w:hyperlink w:history="true" w:anchor="_bookmark454">
        <w:r>
          <w:rPr>
            <w:color w:val="005DA1"/>
            <w:spacing w:val="-4"/>
            <w:position w:val="5"/>
            <w:sz w:val="14"/>
            <w:u w:val="single" w:color="005DA1"/>
          </w:rPr>
          <w:t>253</w:t>
        </w:r>
      </w:hyperlink>
      <w:r>
        <w:rPr>
          <w:spacing w:val="-4"/>
          <w:position w:val="5"/>
          <w:sz w:val="14"/>
        </w:rPr>
        <w:t>.</w:t>
      </w:r>
      <w:r>
        <w:rPr>
          <w:position w:val="5"/>
          <w:sz w:val="14"/>
        </w:rPr>
        <w:tab/>
      </w:r>
      <w:r>
        <w:rPr>
          <w:rFonts w:ascii="Arial"/>
          <w:i/>
          <w:sz w:val="20"/>
        </w:rPr>
        <w:t>Customs</w:t>
      </w:r>
      <w:r>
        <w:rPr>
          <w:rFonts w:ascii="Arial"/>
          <w:i/>
          <w:spacing w:val="-2"/>
          <w:sz w:val="20"/>
        </w:rPr>
        <w:t> </w:t>
      </w:r>
      <w:r>
        <w:rPr>
          <w:rFonts w:ascii="Arial"/>
          <w:i/>
          <w:sz w:val="20"/>
        </w:rPr>
        <w:t>&amp; Excise Commissioners v Diners Club Ltd [1989] 1 W.L.R. 1196, </w:t>
      </w:r>
      <w:r>
        <w:rPr>
          <w:rFonts w:ascii="Arial"/>
          <w:i/>
          <w:spacing w:val="-2"/>
          <w:sz w:val="20"/>
        </w:rPr>
        <w:t>1207</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495" w:id="497"/>
      <w:bookmarkEnd w:id="497"/>
      <w:r>
        <w:rPr/>
      </w:r>
      <w:hyperlink w:history="true" w:anchor="_bookmark455">
        <w:r>
          <w:rPr>
            <w:color w:val="005DA1"/>
            <w:spacing w:val="-4"/>
            <w:position w:val="5"/>
            <w:sz w:val="14"/>
            <w:u w:val="single" w:color="005DA1"/>
          </w:rPr>
          <w:t>254</w:t>
        </w:r>
      </w:hyperlink>
      <w:r>
        <w:rPr>
          <w:spacing w:val="-4"/>
          <w:position w:val="5"/>
          <w:sz w:val="14"/>
        </w:rPr>
        <w:t>.</w:t>
      </w:r>
      <w:r>
        <w:rPr>
          <w:position w:val="5"/>
          <w:sz w:val="14"/>
        </w:rPr>
        <w:tab/>
      </w:r>
      <w:r>
        <w:rPr>
          <w:rFonts w:ascii="Arial"/>
          <w:i/>
          <w:sz w:val="20"/>
        </w:rPr>
        <w:t>(1873) L.R. 9 Q.B. </w:t>
      </w:r>
      <w:r>
        <w:rPr>
          <w:rFonts w:ascii="Arial"/>
          <w:i/>
          <w:spacing w:val="-5"/>
          <w:sz w:val="20"/>
        </w:rPr>
        <w:t>55</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496" w:id="498"/>
      <w:bookmarkEnd w:id="498"/>
      <w:r>
        <w:rPr/>
      </w:r>
      <w:hyperlink w:history="true" w:anchor="_bookmark456">
        <w:r>
          <w:rPr>
            <w:color w:val="005DA1"/>
            <w:spacing w:val="-4"/>
            <w:position w:val="5"/>
            <w:sz w:val="14"/>
            <w:u w:val="single" w:color="005DA1"/>
          </w:rPr>
          <w:t>255</w:t>
        </w:r>
      </w:hyperlink>
      <w:r>
        <w:rPr>
          <w:spacing w:val="-4"/>
          <w:position w:val="5"/>
          <w:sz w:val="14"/>
        </w:rPr>
        <w:t>.</w:t>
      </w:r>
      <w:r>
        <w:rPr>
          <w:position w:val="5"/>
          <w:sz w:val="14"/>
        </w:rPr>
        <w:tab/>
      </w:r>
      <w:r>
        <w:rPr>
          <w:sz w:val="20"/>
        </w:rPr>
        <w:t>At </w:t>
      </w:r>
      <w:r>
        <w:rPr>
          <w:spacing w:val="-5"/>
          <w:sz w:val="20"/>
        </w:rPr>
        <w:t>57.</w:t>
      </w:r>
    </w:p>
    <w:p>
      <w:pPr>
        <w:pStyle w:val="BodyText"/>
        <w:spacing w:before="5"/>
      </w:pPr>
    </w:p>
    <w:p>
      <w:pPr>
        <w:tabs>
          <w:tab w:pos="705" w:val="left" w:leader="none"/>
        </w:tabs>
        <w:spacing w:before="0"/>
        <w:ind w:left="165" w:right="0" w:firstLine="0"/>
        <w:jc w:val="left"/>
        <w:rPr>
          <w:sz w:val="20"/>
        </w:rPr>
      </w:pPr>
      <w:bookmarkStart w:name="_bookmark497" w:id="499"/>
      <w:bookmarkEnd w:id="499"/>
      <w:r>
        <w:rPr/>
      </w:r>
      <w:hyperlink w:history="true" w:anchor="_bookmark457">
        <w:r>
          <w:rPr>
            <w:color w:val="005DA1"/>
            <w:spacing w:val="-4"/>
            <w:position w:val="5"/>
            <w:sz w:val="14"/>
            <w:u w:val="single" w:color="005DA1"/>
          </w:rPr>
          <w:t>256</w:t>
        </w:r>
      </w:hyperlink>
      <w:r>
        <w:rPr>
          <w:spacing w:val="-4"/>
          <w:position w:val="5"/>
          <w:sz w:val="14"/>
        </w:rPr>
        <w:t>.</w:t>
      </w:r>
      <w:r>
        <w:rPr>
          <w:position w:val="5"/>
          <w:sz w:val="14"/>
        </w:rPr>
        <w:tab/>
      </w:r>
      <w:r>
        <w:rPr>
          <w:sz w:val="20"/>
        </w:rPr>
        <w:t>Above, para.4-</w:t>
      </w:r>
      <w:r>
        <w:rPr>
          <w:spacing w:val="-4"/>
          <w:sz w:val="20"/>
        </w:rPr>
        <w:t>006.</w:t>
      </w:r>
    </w:p>
    <w:p>
      <w:pPr>
        <w:pStyle w:val="BodyText"/>
        <w:spacing w:before="5"/>
      </w:pPr>
    </w:p>
    <w:p>
      <w:pPr>
        <w:pStyle w:val="BodyText"/>
        <w:tabs>
          <w:tab w:pos="705" w:val="left" w:leader="none"/>
        </w:tabs>
        <w:ind w:left="165"/>
      </w:pPr>
      <w:bookmarkStart w:name="_bookmark498" w:id="500"/>
      <w:bookmarkEnd w:id="500"/>
      <w:r>
        <w:rPr/>
      </w:r>
      <w:hyperlink w:history="true" w:anchor="_bookmark458">
        <w:r>
          <w:rPr>
            <w:color w:val="005DA1"/>
            <w:spacing w:val="-4"/>
            <w:position w:val="5"/>
            <w:sz w:val="14"/>
            <w:u w:val="single" w:color="005DA1"/>
          </w:rPr>
          <w:t>257</w:t>
        </w:r>
      </w:hyperlink>
      <w:r>
        <w:rPr>
          <w:spacing w:val="-4"/>
          <w:position w:val="5"/>
          <w:sz w:val="14"/>
        </w:rPr>
        <w:t>.</w:t>
      </w:r>
      <w:r>
        <w:rPr>
          <w:position w:val="5"/>
          <w:sz w:val="14"/>
        </w:rPr>
        <w:tab/>
      </w:r>
      <w:r>
        <w:rPr/>
        <w:t>Cullity (1969) 85 L.Q.R. 530; Winterton (1970) 47 Can.Bar Rev. </w:t>
      </w:r>
      <w:r>
        <w:rPr>
          <w:spacing w:val="-4"/>
        </w:rPr>
        <w:t>483.</w:t>
      </w:r>
    </w:p>
    <w:p>
      <w:pPr>
        <w:pStyle w:val="BodyText"/>
        <w:spacing w:before="5"/>
      </w:pPr>
    </w:p>
    <w:p>
      <w:pPr>
        <w:pStyle w:val="BodyText"/>
        <w:tabs>
          <w:tab w:pos="705" w:val="left" w:leader="none"/>
        </w:tabs>
        <w:ind w:left="165"/>
      </w:pPr>
      <w:bookmarkStart w:name="_bookmark499" w:id="501"/>
      <w:bookmarkEnd w:id="501"/>
      <w:r>
        <w:rPr/>
      </w:r>
      <w:hyperlink w:history="true" w:anchor="_bookmark459">
        <w:r>
          <w:rPr>
            <w:color w:val="005DA1"/>
            <w:spacing w:val="-4"/>
            <w:position w:val="5"/>
            <w:sz w:val="14"/>
            <w:u w:val="single" w:color="005DA1"/>
          </w:rPr>
          <w:t>258</w:t>
        </w:r>
      </w:hyperlink>
      <w:r>
        <w:rPr>
          <w:spacing w:val="-4"/>
          <w:position w:val="5"/>
          <w:sz w:val="14"/>
        </w:rPr>
        <w:t>.</w:t>
      </w:r>
      <w:r>
        <w:rPr>
          <w:position w:val="5"/>
          <w:sz w:val="14"/>
        </w:rPr>
        <w:tab/>
      </w:r>
      <w:r>
        <w:rPr/>
        <w:t>Above, para.4-037, at </w:t>
      </w:r>
      <w:r>
        <w:rPr>
          <w:spacing w:val="-2"/>
        </w:rPr>
        <w:t>n.233.</w:t>
      </w:r>
    </w:p>
    <w:p>
      <w:pPr>
        <w:pStyle w:val="BodyText"/>
        <w:spacing w:before="9"/>
      </w:pPr>
    </w:p>
    <w:p>
      <w:pPr>
        <w:spacing w:line="235" w:lineRule="auto" w:before="0"/>
        <w:ind w:left="705" w:right="167" w:hanging="541"/>
        <w:jc w:val="both"/>
        <w:rPr>
          <w:sz w:val="20"/>
        </w:rPr>
      </w:pPr>
      <w:bookmarkStart w:name="_bookmark500" w:id="502"/>
      <w:bookmarkEnd w:id="502"/>
      <w:r>
        <w:rPr/>
      </w:r>
      <w:hyperlink w:history="true" w:anchor="_bookmark460">
        <w:r>
          <w:rPr>
            <w:color w:val="005DA1"/>
            <w:position w:val="5"/>
            <w:sz w:val="14"/>
            <w:u w:val="single" w:color="005DA1"/>
          </w:rPr>
          <w:t>259</w:t>
        </w:r>
      </w:hyperlink>
      <w:r>
        <w:rPr>
          <w:position w:val="5"/>
          <w:sz w:val="14"/>
        </w:rPr>
        <w:t>.</w:t>
      </w:r>
      <w:r>
        <w:rPr>
          <w:spacing w:val="40"/>
          <w:position w:val="5"/>
          <w:sz w:val="14"/>
        </w:rPr>
        <w:t>  </w:t>
      </w:r>
      <w:r>
        <w:rPr>
          <w:sz w:val="20"/>
        </w:rPr>
        <w:t>This</w:t>
      </w:r>
      <w:r>
        <w:rPr>
          <w:spacing w:val="-1"/>
          <w:sz w:val="20"/>
        </w:rPr>
        <w:t> </w:t>
      </w:r>
      <w:r>
        <w:rPr>
          <w:sz w:val="20"/>
        </w:rPr>
        <w:t>proposition</w:t>
      </w:r>
      <w:r>
        <w:rPr>
          <w:spacing w:val="-1"/>
          <w:sz w:val="20"/>
        </w:rPr>
        <w:t> </w:t>
      </w:r>
      <w:r>
        <w:rPr>
          <w:sz w:val="20"/>
        </w:rPr>
        <w:t>seems</w:t>
      </w:r>
      <w:r>
        <w:rPr>
          <w:spacing w:val="-1"/>
          <w:sz w:val="20"/>
        </w:rPr>
        <w:t> </w:t>
      </w:r>
      <w:r>
        <w:rPr>
          <w:sz w:val="20"/>
        </w:rPr>
        <w:t>to</w:t>
      </w:r>
      <w:r>
        <w:rPr>
          <w:spacing w:val="-1"/>
          <w:sz w:val="20"/>
        </w:rPr>
        <w:t> </w:t>
      </w:r>
      <w:r>
        <w:rPr>
          <w:sz w:val="20"/>
        </w:rPr>
        <w:t>have</w:t>
      </w:r>
      <w:r>
        <w:rPr>
          <w:spacing w:val="-1"/>
          <w:sz w:val="20"/>
        </w:rPr>
        <w:t> </w:t>
      </w:r>
      <w:r>
        <w:rPr>
          <w:sz w:val="20"/>
        </w:rPr>
        <w:t>been</w:t>
      </w:r>
      <w:r>
        <w:rPr>
          <w:spacing w:val="-1"/>
          <w:sz w:val="20"/>
        </w:rPr>
        <w:t> </w:t>
      </w:r>
      <w:r>
        <w:rPr>
          <w:sz w:val="20"/>
        </w:rPr>
        <w:t>accepted</w:t>
      </w:r>
      <w:r>
        <w:rPr>
          <w:spacing w:val="-1"/>
          <w:sz w:val="20"/>
        </w:rPr>
        <w:t> </w:t>
      </w:r>
      <w:r>
        <w:rPr>
          <w:sz w:val="20"/>
        </w:rPr>
        <w:t>in</w:t>
      </w:r>
      <w:r>
        <w:rPr>
          <w:spacing w:val="-2"/>
          <w:sz w:val="20"/>
        </w:rPr>
        <w:t> </w:t>
      </w:r>
      <w:r>
        <w:rPr>
          <w:rFonts w:ascii="Arial" w:hAnsi="Arial"/>
          <w:i/>
          <w:sz w:val="20"/>
        </w:rPr>
        <w:t>Coulls</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Bagot’s</w:t>
      </w:r>
      <w:r>
        <w:rPr>
          <w:rFonts w:ascii="Arial" w:hAnsi="Arial"/>
          <w:i/>
          <w:spacing w:val="-1"/>
          <w:sz w:val="20"/>
        </w:rPr>
        <w:t> </w:t>
      </w:r>
      <w:r>
        <w:rPr>
          <w:rFonts w:ascii="Arial" w:hAnsi="Arial"/>
          <w:i/>
          <w:sz w:val="20"/>
        </w:rPr>
        <w:t>Executor</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Trustee</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 [1967] A.L.R. 385</w:t>
      </w:r>
      <w:r>
        <w:rPr>
          <w:sz w:val="20"/>
        </w:rPr>
        <w:t>; though the majority of the court held that no joint promise had in fact been made: below, para.18-076.</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501" w:id="503"/>
      <w:bookmarkEnd w:id="503"/>
      <w:r>
        <w:rPr/>
      </w:r>
      <w:hyperlink w:history="true" w:anchor="_bookmark461">
        <w:r>
          <w:rPr>
            <w:color w:val="005DA1"/>
            <w:spacing w:val="-4"/>
            <w:position w:val="5"/>
            <w:sz w:val="14"/>
            <w:u w:val="single" w:color="005DA1"/>
          </w:rPr>
          <w:t>260</w:t>
        </w:r>
      </w:hyperlink>
      <w:r>
        <w:rPr>
          <w:spacing w:val="-4"/>
          <w:position w:val="5"/>
          <w:sz w:val="14"/>
        </w:rPr>
        <w:t>.</w:t>
      </w:r>
      <w:r>
        <w:rPr>
          <w:position w:val="5"/>
          <w:sz w:val="14"/>
        </w:rPr>
        <w:tab/>
      </w:r>
      <w:r>
        <w:rPr>
          <w:rFonts w:ascii="Arial"/>
          <w:i/>
          <w:sz w:val="20"/>
        </w:rPr>
        <w:t>Jell</w:t>
      </w:r>
      <w:r>
        <w:rPr>
          <w:rFonts w:ascii="Arial"/>
          <w:i/>
          <w:spacing w:val="26"/>
          <w:sz w:val="20"/>
        </w:rPr>
        <w:t> </w:t>
      </w:r>
      <w:r>
        <w:rPr>
          <w:rFonts w:ascii="Arial"/>
          <w:i/>
          <w:sz w:val="20"/>
        </w:rPr>
        <w:t>v</w:t>
      </w:r>
      <w:r>
        <w:rPr>
          <w:rFonts w:ascii="Arial"/>
          <w:i/>
          <w:spacing w:val="27"/>
          <w:sz w:val="20"/>
        </w:rPr>
        <w:t> </w:t>
      </w:r>
      <w:r>
        <w:rPr>
          <w:rFonts w:ascii="Arial"/>
          <w:i/>
          <w:sz w:val="20"/>
        </w:rPr>
        <w:t>Douglas</w:t>
      </w:r>
      <w:r>
        <w:rPr>
          <w:rFonts w:ascii="Arial"/>
          <w:i/>
          <w:spacing w:val="27"/>
          <w:sz w:val="20"/>
        </w:rPr>
        <w:t> </w:t>
      </w:r>
      <w:r>
        <w:rPr>
          <w:rFonts w:ascii="Arial"/>
          <w:i/>
          <w:sz w:val="20"/>
        </w:rPr>
        <w:t>(1821)</w:t>
      </w:r>
      <w:r>
        <w:rPr>
          <w:rFonts w:ascii="Arial"/>
          <w:i/>
          <w:spacing w:val="27"/>
          <w:sz w:val="20"/>
        </w:rPr>
        <w:t> </w:t>
      </w:r>
      <w:r>
        <w:rPr>
          <w:rFonts w:ascii="Arial"/>
          <w:i/>
          <w:sz w:val="20"/>
        </w:rPr>
        <w:t>4</w:t>
      </w:r>
      <w:r>
        <w:rPr>
          <w:rFonts w:ascii="Arial"/>
          <w:i/>
          <w:spacing w:val="27"/>
          <w:sz w:val="20"/>
        </w:rPr>
        <w:t> </w:t>
      </w:r>
      <w:r>
        <w:rPr>
          <w:rFonts w:ascii="Arial"/>
          <w:i/>
          <w:sz w:val="20"/>
        </w:rPr>
        <w:t>B.</w:t>
      </w:r>
      <w:r>
        <w:rPr>
          <w:rFonts w:ascii="Arial"/>
          <w:i/>
          <w:spacing w:val="27"/>
          <w:sz w:val="20"/>
        </w:rPr>
        <w:t> </w:t>
      </w:r>
      <w:r>
        <w:rPr>
          <w:rFonts w:ascii="Arial"/>
          <w:i/>
          <w:sz w:val="20"/>
        </w:rPr>
        <w:t>&amp;</w:t>
      </w:r>
      <w:r>
        <w:rPr>
          <w:rFonts w:ascii="Arial"/>
          <w:i/>
          <w:spacing w:val="27"/>
          <w:sz w:val="20"/>
        </w:rPr>
        <w:t> </w:t>
      </w:r>
      <w:r>
        <w:rPr>
          <w:rFonts w:ascii="Arial"/>
          <w:i/>
          <w:sz w:val="20"/>
        </w:rPr>
        <w:t>Ald.</w:t>
      </w:r>
      <w:r>
        <w:rPr>
          <w:rFonts w:ascii="Arial"/>
          <w:i/>
          <w:spacing w:val="27"/>
          <w:sz w:val="20"/>
        </w:rPr>
        <w:t> </w:t>
      </w:r>
      <w:r>
        <w:rPr>
          <w:rFonts w:ascii="Arial"/>
          <w:i/>
          <w:sz w:val="20"/>
        </w:rPr>
        <w:t>374</w:t>
      </w:r>
      <w:r>
        <w:rPr>
          <w:sz w:val="20"/>
        </w:rPr>
        <w:t>;</w:t>
      </w:r>
      <w:r>
        <w:rPr>
          <w:spacing w:val="27"/>
          <w:sz w:val="20"/>
        </w:rPr>
        <w:t> </w:t>
      </w:r>
      <w:r>
        <w:rPr>
          <w:rFonts w:ascii="Arial"/>
          <w:i/>
          <w:sz w:val="20"/>
        </w:rPr>
        <w:t>Sorsbie</w:t>
      </w:r>
      <w:r>
        <w:rPr>
          <w:rFonts w:ascii="Arial"/>
          <w:i/>
          <w:spacing w:val="26"/>
          <w:sz w:val="20"/>
        </w:rPr>
        <w:t> </w:t>
      </w:r>
      <w:r>
        <w:rPr>
          <w:rFonts w:ascii="Arial"/>
          <w:i/>
          <w:sz w:val="20"/>
        </w:rPr>
        <w:t>v</w:t>
      </w:r>
      <w:r>
        <w:rPr>
          <w:rFonts w:ascii="Arial"/>
          <w:i/>
          <w:spacing w:val="27"/>
          <w:sz w:val="20"/>
        </w:rPr>
        <w:t> </w:t>
      </w:r>
      <w:r>
        <w:rPr>
          <w:rFonts w:ascii="Arial"/>
          <w:i/>
          <w:sz w:val="20"/>
        </w:rPr>
        <w:t>Park</w:t>
      </w:r>
      <w:r>
        <w:rPr>
          <w:rFonts w:ascii="Arial"/>
          <w:i/>
          <w:spacing w:val="27"/>
          <w:sz w:val="20"/>
        </w:rPr>
        <w:t> </w:t>
      </w:r>
      <w:r>
        <w:rPr>
          <w:rFonts w:ascii="Arial"/>
          <w:i/>
          <w:sz w:val="20"/>
        </w:rPr>
        <w:t>(1843)</w:t>
      </w:r>
      <w:r>
        <w:rPr>
          <w:rFonts w:ascii="Arial"/>
          <w:i/>
          <w:spacing w:val="27"/>
          <w:sz w:val="20"/>
        </w:rPr>
        <w:t> </w:t>
      </w:r>
      <w:r>
        <w:rPr>
          <w:rFonts w:ascii="Arial"/>
          <w:i/>
          <w:sz w:val="20"/>
        </w:rPr>
        <w:t>12</w:t>
      </w:r>
      <w:r>
        <w:rPr>
          <w:rFonts w:ascii="Arial"/>
          <w:i/>
          <w:spacing w:val="27"/>
          <w:sz w:val="20"/>
        </w:rPr>
        <w:t> </w:t>
      </w:r>
      <w:r>
        <w:rPr>
          <w:rFonts w:ascii="Arial"/>
          <w:i/>
          <w:sz w:val="20"/>
        </w:rPr>
        <w:t>M.</w:t>
      </w:r>
      <w:r>
        <w:rPr>
          <w:rFonts w:ascii="Arial"/>
          <w:i/>
          <w:spacing w:val="27"/>
          <w:sz w:val="20"/>
        </w:rPr>
        <w:t> </w:t>
      </w:r>
      <w:r>
        <w:rPr>
          <w:rFonts w:ascii="Arial"/>
          <w:i/>
          <w:sz w:val="20"/>
        </w:rPr>
        <w:t>&amp;</w:t>
      </w:r>
      <w:r>
        <w:rPr>
          <w:rFonts w:ascii="Arial"/>
          <w:i/>
          <w:spacing w:val="27"/>
          <w:sz w:val="20"/>
        </w:rPr>
        <w:t> </w:t>
      </w:r>
      <w:r>
        <w:rPr>
          <w:rFonts w:ascii="Arial"/>
          <w:i/>
          <w:sz w:val="20"/>
        </w:rPr>
        <w:t>W.</w:t>
      </w:r>
      <w:r>
        <w:rPr>
          <w:rFonts w:ascii="Arial"/>
          <w:i/>
          <w:spacing w:val="27"/>
          <w:sz w:val="20"/>
        </w:rPr>
        <w:t> </w:t>
      </w:r>
      <w:r>
        <w:rPr>
          <w:rFonts w:ascii="Arial"/>
          <w:i/>
          <w:sz w:val="20"/>
        </w:rPr>
        <w:t>146</w:t>
      </w:r>
      <w:r>
        <w:rPr>
          <w:sz w:val="20"/>
        </w:rPr>
        <w:t>;</w:t>
      </w:r>
      <w:r>
        <w:rPr>
          <w:spacing w:val="27"/>
          <w:sz w:val="20"/>
        </w:rPr>
        <w:t> </w:t>
      </w:r>
      <w:r>
        <w:rPr>
          <w:rFonts w:ascii="Arial"/>
          <w:i/>
          <w:sz w:val="20"/>
        </w:rPr>
        <w:t>Thompson</w:t>
      </w:r>
      <w:r>
        <w:rPr>
          <w:rFonts w:ascii="Arial"/>
          <w:i/>
          <w:spacing w:val="27"/>
          <w:sz w:val="20"/>
        </w:rPr>
        <w:t> </w:t>
      </w:r>
      <w:r>
        <w:rPr>
          <w:rFonts w:ascii="Arial"/>
          <w:i/>
          <w:spacing w:val="-10"/>
          <w:sz w:val="20"/>
        </w:rPr>
        <w:t>v</w:t>
      </w:r>
    </w:p>
    <w:p>
      <w:pPr>
        <w:spacing w:line="227" w:lineRule="exact" w:before="0"/>
        <w:ind w:left="705" w:right="0" w:firstLine="0"/>
        <w:jc w:val="left"/>
        <w:rPr>
          <w:sz w:val="20"/>
        </w:rPr>
      </w:pPr>
      <w:r>
        <w:rPr>
          <w:rFonts w:ascii="Arial"/>
          <w:i/>
          <w:sz w:val="20"/>
        </w:rPr>
        <w:t>Hakewill (1865) 9 C.B.(N.S.) </w:t>
      </w:r>
      <w:r>
        <w:rPr>
          <w:rFonts w:ascii="Arial"/>
          <w:i/>
          <w:spacing w:val="-4"/>
          <w:sz w:val="20"/>
        </w:rPr>
        <w:t>713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02" w:id="504"/>
      <w:bookmarkEnd w:id="504"/>
      <w:r>
        <w:rPr/>
      </w:r>
      <w:hyperlink w:history="true" w:anchor="_bookmark462">
        <w:r>
          <w:rPr>
            <w:color w:val="005DA1"/>
            <w:spacing w:val="-4"/>
            <w:position w:val="5"/>
            <w:sz w:val="14"/>
            <w:u w:val="single" w:color="005DA1"/>
          </w:rPr>
          <w:t>261</w:t>
        </w:r>
      </w:hyperlink>
      <w:r>
        <w:rPr>
          <w:spacing w:val="-4"/>
          <w:position w:val="5"/>
          <w:sz w:val="14"/>
        </w:rPr>
        <w:t>.</w:t>
      </w:r>
      <w:r>
        <w:rPr>
          <w:position w:val="5"/>
          <w:sz w:val="14"/>
        </w:rPr>
        <w:tab/>
      </w:r>
      <w:r>
        <w:rPr>
          <w:rFonts w:ascii="Arial"/>
          <w:i/>
          <w:sz w:val="20"/>
        </w:rPr>
        <w:t>Anderson v Martindale (1801) 1 East </w:t>
      </w:r>
      <w:r>
        <w:rPr>
          <w:rFonts w:ascii="Arial"/>
          <w:i/>
          <w:spacing w:val="-4"/>
          <w:sz w:val="20"/>
        </w:rPr>
        <w:t>497</w:t>
      </w:r>
      <w:r>
        <w:rPr>
          <w:spacing w:val="-4"/>
          <w:sz w:val="20"/>
        </w:rPr>
        <w:t>.</w:t>
      </w:r>
    </w:p>
    <w:p>
      <w:pPr>
        <w:pStyle w:val="BodyText"/>
        <w:spacing w:before="9"/>
      </w:pPr>
    </w:p>
    <w:p>
      <w:pPr>
        <w:spacing w:line="235" w:lineRule="auto" w:before="0"/>
        <w:ind w:left="705" w:right="168" w:hanging="541"/>
        <w:jc w:val="both"/>
        <w:rPr>
          <w:sz w:val="20"/>
        </w:rPr>
      </w:pPr>
      <w:bookmarkStart w:name="_bookmark503" w:id="505"/>
      <w:bookmarkEnd w:id="505"/>
      <w:r>
        <w:rPr/>
      </w:r>
      <w:hyperlink w:history="true" w:anchor="_bookmark463">
        <w:r>
          <w:rPr>
            <w:color w:val="005DA1"/>
            <w:position w:val="5"/>
            <w:sz w:val="14"/>
            <w:u w:val="single" w:color="005DA1"/>
          </w:rPr>
          <w:t>262</w:t>
        </w:r>
      </w:hyperlink>
      <w:r>
        <w:rPr>
          <w:position w:val="5"/>
          <w:sz w:val="14"/>
        </w:rPr>
        <w:t>.</w:t>
      </w:r>
      <w:r>
        <w:rPr>
          <w:spacing w:val="80"/>
          <w:position w:val="5"/>
          <w:sz w:val="14"/>
        </w:rPr>
        <w:t>  </w:t>
      </w:r>
      <w:r>
        <w:rPr>
          <w:sz w:val="20"/>
        </w:rPr>
        <w:t>In such cases it is not necessary to join all the creditors to the action: </w:t>
      </w:r>
      <w:r>
        <w:rPr>
          <w:rFonts w:ascii="Arial"/>
          <w:i/>
          <w:sz w:val="20"/>
        </w:rPr>
        <w:t>James v Emery (1818) 5 Price 529</w:t>
      </w:r>
      <w:r>
        <w:rPr>
          <w:sz w:val="20"/>
        </w:rPr>
        <w:t>; </w:t>
      </w:r>
      <w:r>
        <w:rPr>
          <w:rFonts w:ascii="Arial"/>
          <w:i/>
          <w:sz w:val="20"/>
        </w:rPr>
        <w:t>Keightley v Watson (1849) 3 Ex. 716</w:t>
      </w:r>
      <w:r>
        <w:rPr>
          <w:sz w:val="20"/>
        </w:rPr>
        <w:t>; </w:t>
      </w:r>
      <w:r>
        <w:rPr>
          <w:rFonts w:ascii="Arial"/>
          <w:i/>
          <w:sz w:val="20"/>
        </w:rPr>
        <w:t>Palmer v Mallett (1887) 36 Ch.D. 411</w:t>
      </w:r>
      <w:r>
        <w:rPr>
          <w:sz w:val="20"/>
        </w:rPr>
        <w:t>; nor </w:t>
      </w:r>
      <w:r>
        <w:rPr>
          <w:sz w:val="20"/>
        </w:rPr>
        <w:t>did the doctrine of survivorship apply: </w:t>
      </w:r>
      <w:r>
        <w:rPr>
          <w:rFonts w:ascii="Arial"/>
          <w:i/>
          <w:sz w:val="20"/>
        </w:rPr>
        <w:t>Withers v Bircham (1824) 3 B. &amp; C. 254</w:t>
      </w:r>
      <w:r>
        <w:rPr>
          <w:sz w:val="20"/>
        </w:rPr>
        <w:t>.</w:t>
      </w:r>
    </w:p>
    <w:p>
      <w:pPr>
        <w:pStyle w:val="BodyText"/>
        <w:spacing w:before="9"/>
      </w:pPr>
    </w:p>
    <w:p>
      <w:pPr>
        <w:spacing w:line="235" w:lineRule="auto" w:before="0"/>
        <w:ind w:left="705" w:right="167" w:hanging="541"/>
        <w:jc w:val="both"/>
        <w:rPr>
          <w:sz w:val="20"/>
        </w:rPr>
      </w:pPr>
      <w:bookmarkStart w:name="_bookmark504" w:id="506"/>
      <w:bookmarkEnd w:id="506"/>
      <w:r>
        <w:rPr/>
      </w:r>
      <w:hyperlink w:history="true" w:anchor="_bookmark464">
        <w:r>
          <w:rPr>
            <w:color w:val="005DA1"/>
            <w:position w:val="5"/>
            <w:sz w:val="14"/>
            <w:u w:val="single" w:color="005DA1"/>
          </w:rPr>
          <w:t>263</w:t>
        </w:r>
      </w:hyperlink>
      <w:r>
        <w:rPr>
          <w:position w:val="5"/>
          <w:sz w:val="14"/>
        </w:rPr>
        <w:t>.</w:t>
      </w:r>
      <w:r>
        <w:rPr>
          <w:spacing w:val="40"/>
          <w:position w:val="5"/>
          <w:sz w:val="14"/>
        </w:rPr>
        <w:t>  </w:t>
      </w:r>
      <w:r>
        <w:rPr>
          <w:sz w:val="20"/>
        </w:rPr>
        <w:t>Re-enacting, with some changes, the Conveyancing Act 1881, s.60. Section 81 of the 1925 Act does not affect the law relating to joint </w:t>
      </w:r>
      <w:r>
        <w:rPr>
          <w:rFonts w:ascii="Arial"/>
          <w:i/>
          <w:sz w:val="20"/>
        </w:rPr>
        <w:t>debtors</w:t>
      </w:r>
      <w:r>
        <w:rPr>
          <w:sz w:val="20"/>
        </w:rPr>
        <w:t>: </w:t>
      </w:r>
      <w:r>
        <w:rPr>
          <w:rFonts w:ascii="Arial"/>
          <w:i/>
          <w:sz w:val="20"/>
        </w:rPr>
        <w:t>Johnson v Davies [1999] Ch. 117, 127</w:t>
      </w:r>
      <w:r>
        <w:rPr>
          <w:sz w:val="20"/>
        </w:rPr>
        <w:t>; but our present concern is with the case in which there is more than one </w:t>
      </w:r>
      <w:r>
        <w:rPr>
          <w:rFonts w:ascii="Arial"/>
          <w:i/>
          <w:sz w:val="20"/>
        </w:rPr>
        <w:t>creditor</w:t>
      </w:r>
      <w:r>
        <w:rPr>
          <w:sz w:val="20"/>
        </w:rPr>
        <w:t>.</w:t>
      </w:r>
    </w:p>
    <w:p>
      <w:pPr>
        <w:pStyle w:val="BodyText"/>
        <w:spacing w:before="5"/>
      </w:pPr>
    </w:p>
    <w:p>
      <w:pPr>
        <w:pStyle w:val="BodyText"/>
        <w:tabs>
          <w:tab w:pos="705" w:val="left" w:leader="none"/>
        </w:tabs>
        <w:ind w:left="165"/>
      </w:pPr>
      <w:bookmarkStart w:name="_bookmark505" w:id="507"/>
      <w:bookmarkEnd w:id="507"/>
      <w:r>
        <w:rPr/>
      </w:r>
      <w:hyperlink w:history="true" w:anchor="_bookmark465">
        <w:r>
          <w:rPr>
            <w:color w:val="005DA1"/>
            <w:spacing w:val="-4"/>
            <w:position w:val="5"/>
            <w:sz w:val="14"/>
            <w:u w:val="single" w:color="005DA1"/>
          </w:rPr>
          <w:t>264</w:t>
        </w:r>
      </w:hyperlink>
      <w:r>
        <w:rPr>
          <w:spacing w:val="-4"/>
          <w:position w:val="5"/>
          <w:sz w:val="14"/>
        </w:rPr>
        <w:t>.</w:t>
      </w:r>
      <w:r>
        <w:rPr>
          <w:position w:val="5"/>
          <w:sz w:val="14"/>
        </w:rPr>
        <w:tab/>
      </w:r>
      <w:r>
        <w:rPr/>
        <w:t>See now Law of Property (Miscellaneous Provisions) Act 1989, </w:t>
      </w:r>
      <w:r>
        <w:rPr>
          <w:spacing w:val="-2"/>
        </w:rPr>
        <w:t>s.1(7).</w:t>
      </w:r>
    </w:p>
    <w:p>
      <w:pPr>
        <w:pStyle w:val="BodyText"/>
        <w:spacing w:before="5"/>
      </w:pPr>
    </w:p>
    <w:p>
      <w:pPr>
        <w:pStyle w:val="BodyText"/>
        <w:tabs>
          <w:tab w:pos="705" w:val="left" w:leader="none"/>
        </w:tabs>
        <w:ind w:left="165"/>
      </w:pPr>
      <w:bookmarkStart w:name="_bookmark506" w:id="508"/>
      <w:bookmarkEnd w:id="508"/>
      <w:r>
        <w:rPr/>
      </w:r>
      <w:hyperlink w:history="true" w:anchor="_bookmark466">
        <w:r>
          <w:rPr>
            <w:color w:val="005DA1"/>
            <w:spacing w:val="-4"/>
            <w:position w:val="5"/>
            <w:sz w:val="14"/>
            <w:u w:val="single" w:color="005DA1"/>
          </w:rPr>
          <w:t>265</w:t>
        </w:r>
      </w:hyperlink>
      <w:r>
        <w:rPr>
          <w:spacing w:val="-4"/>
          <w:position w:val="5"/>
          <w:sz w:val="14"/>
        </w:rPr>
        <w:t>.</w:t>
      </w:r>
      <w:r>
        <w:rPr>
          <w:position w:val="5"/>
          <w:sz w:val="14"/>
        </w:rPr>
        <w:tab/>
      </w:r>
      <w:r>
        <w:rPr/>
        <w:t>For promises made by a number of persons, see Ch.17, </w:t>
      </w:r>
      <w:r>
        <w:rPr>
          <w:spacing w:val="-2"/>
        </w:rPr>
        <w:t>below.</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507" w:id="509"/>
      <w:bookmarkEnd w:id="509"/>
      <w:r>
        <w:rPr/>
      </w:r>
      <w:hyperlink w:history="true" w:anchor="_bookmark466">
        <w:r>
          <w:rPr>
            <w:color w:val="005DA1"/>
            <w:spacing w:val="-4"/>
            <w:position w:val="5"/>
            <w:sz w:val="14"/>
            <w:u w:val="single" w:color="005DA1"/>
          </w:rPr>
          <w:t>266</w:t>
        </w:r>
      </w:hyperlink>
      <w:r>
        <w:rPr>
          <w:spacing w:val="-4"/>
          <w:position w:val="5"/>
          <w:sz w:val="14"/>
        </w:rPr>
        <w:t>.</w:t>
      </w:r>
      <w:r>
        <w:rPr>
          <w:position w:val="5"/>
          <w:sz w:val="14"/>
        </w:rPr>
        <w:tab/>
      </w:r>
      <w:r>
        <w:rPr>
          <w:rFonts w:ascii="Arial" w:hAnsi="Arial"/>
          <w:i/>
          <w:sz w:val="20"/>
        </w:rPr>
        <w:t>Slingsby’s</w:t>
      </w:r>
      <w:r>
        <w:rPr>
          <w:rFonts w:ascii="Arial" w:hAnsi="Arial"/>
          <w:i/>
          <w:spacing w:val="7"/>
          <w:sz w:val="20"/>
        </w:rPr>
        <w:t> </w:t>
      </w:r>
      <w:r>
        <w:rPr>
          <w:rFonts w:ascii="Arial" w:hAnsi="Arial"/>
          <w:i/>
          <w:sz w:val="20"/>
        </w:rPr>
        <w:t>Case</w:t>
      </w:r>
      <w:r>
        <w:rPr>
          <w:rFonts w:ascii="Arial" w:hAnsi="Arial"/>
          <w:i/>
          <w:spacing w:val="8"/>
          <w:sz w:val="20"/>
        </w:rPr>
        <w:t> </w:t>
      </w:r>
      <w:r>
        <w:rPr>
          <w:rFonts w:ascii="Arial" w:hAnsi="Arial"/>
          <w:i/>
          <w:sz w:val="20"/>
        </w:rPr>
        <w:t>(1588)</w:t>
      </w:r>
      <w:r>
        <w:rPr>
          <w:rFonts w:ascii="Arial" w:hAnsi="Arial"/>
          <w:i/>
          <w:spacing w:val="8"/>
          <w:sz w:val="20"/>
        </w:rPr>
        <w:t> </w:t>
      </w:r>
      <w:r>
        <w:rPr>
          <w:rFonts w:ascii="Arial" w:hAnsi="Arial"/>
          <w:i/>
          <w:sz w:val="20"/>
        </w:rPr>
        <w:t>5</w:t>
      </w:r>
      <w:r>
        <w:rPr>
          <w:rFonts w:ascii="Arial" w:hAnsi="Arial"/>
          <w:i/>
          <w:spacing w:val="8"/>
          <w:sz w:val="20"/>
        </w:rPr>
        <w:t> </w:t>
      </w:r>
      <w:r>
        <w:rPr>
          <w:rFonts w:ascii="Arial" w:hAnsi="Arial"/>
          <w:i/>
          <w:sz w:val="20"/>
        </w:rPr>
        <w:t>Co.Rep.</w:t>
      </w:r>
      <w:r>
        <w:rPr>
          <w:rFonts w:ascii="Arial" w:hAnsi="Arial"/>
          <w:i/>
          <w:spacing w:val="8"/>
          <w:sz w:val="20"/>
        </w:rPr>
        <w:t> </w:t>
      </w:r>
      <w:r>
        <w:rPr>
          <w:rFonts w:ascii="Arial" w:hAnsi="Arial"/>
          <w:i/>
          <w:sz w:val="20"/>
        </w:rPr>
        <w:t>186</w:t>
      </w:r>
      <w:r>
        <w:rPr>
          <w:sz w:val="20"/>
        </w:rPr>
        <w:t>;</w:t>
      </w:r>
      <w:r>
        <w:rPr>
          <w:spacing w:val="8"/>
          <w:sz w:val="20"/>
        </w:rPr>
        <w:t> </w:t>
      </w:r>
      <w:r>
        <w:rPr>
          <w:rFonts w:ascii="Arial" w:hAnsi="Arial"/>
          <w:i/>
          <w:sz w:val="20"/>
        </w:rPr>
        <w:t>Anderson</w:t>
      </w:r>
      <w:r>
        <w:rPr>
          <w:rFonts w:ascii="Arial" w:hAnsi="Arial"/>
          <w:i/>
          <w:spacing w:val="8"/>
          <w:sz w:val="20"/>
        </w:rPr>
        <w:t> </w:t>
      </w:r>
      <w:r>
        <w:rPr>
          <w:rFonts w:ascii="Arial" w:hAnsi="Arial"/>
          <w:i/>
          <w:sz w:val="20"/>
        </w:rPr>
        <w:t>v</w:t>
      </w:r>
      <w:r>
        <w:rPr>
          <w:rFonts w:ascii="Arial" w:hAnsi="Arial"/>
          <w:i/>
          <w:spacing w:val="7"/>
          <w:sz w:val="20"/>
        </w:rPr>
        <w:t> </w:t>
      </w:r>
      <w:r>
        <w:rPr>
          <w:rFonts w:ascii="Arial" w:hAnsi="Arial"/>
          <w:i/>
          <w:sz w:val="20"/>
        </w:rPr>
        <w:t>Martindale</w:t>
      </w:r>
      <w:r>
        <w:rPr>
          <w:rFonts w:ascii="Arial" w:hAnsi="Arial"/>
          <w:i/>
          <w:spacing w:val="8"/>
          <w:sz w:val="20"/>
        </w:rPr>
        <w:t> </w:t>
      </w:r>
      <w:r>
        <w:rPr>
          <w:rFonts w:ascii="Arial" w:hAnsi="Arial"/>
          <w:i/>
          <w:sz w:val="20"/>
        </w:rPr>
        <w:t>(1801)</w:t>
      </w:r>
      <w:r>
        <w:rPr>
          <w:rFonts w:ascii="Arial" w:hAnsi="Arial"/>
          <w:i/>
          <w:spacing w:val="8"/>
          <w:sz w:val="20"/>
        </w:rPr>
        <w:t> </w:t>
      </w:r>
      <w:r>
        <w:rPr>
          <w:rFonts w:ascii="Arial" w:hAnsi="Arial"/>
          <w:i/>
          <w:sz w:val="20"/>
        </w:rPr>
        <w:t>1</w:t>
      </w:r>
      <w:r>
        <w:rPr>
          <w:rFonts w:ascii="Arial" w:hAnsi="Arial"/>
          <w:i/>
          <w:spacing w:val="8"/>
          <w:sz w:val="20"/>
        </w:rPr>
        <w:t> </w:t>
      </w:r>
      <w:r>
        <w:rPr>
          <w:rFonts w:ascii="Arial" w:hAnsi="Arial"/>
          <w:i/>
          <w:sz w:val="20"/>
        </w:rPr>
        <w:t>East</w:t>
      </w:r>
      <w:r>
        <w:rPr>
          <w:rFonts w:ascii="Arial" w:hAnsi="Arial"/>
          <w:i/>
          <w:spacing w:val="8"/>
          <w:sz w:val="20"/>
        </w:rPr>
        <w:t> </w:t>
      </w:r>
      <w:r>
        <w:rPr>
          <w:rFonts w:ascii="Arial" w:hAnsi="Arial"/>
          <w:i/>
          <w:sz w:val="20"/>
        </w:rPr>
        <w:t>487</w:t>
      </w:r>
      <w:r>
        <w:rPr>
          <w:sz w:val="20"/>
        </w:rPr>
        <w:t>;</w:t>
      </w:r>
      <w:r>
        <w:rPr>
          <w:spacing w:val="8"/>
          <w:sz w:val="20"/>
        </w:rPr>
        <w:t> </w:t>
      </w:r>
      <w:r>
        <w:rPr>
          <w:rFonts w:ascii="Arial" w:hAnsi="Arial"/>
          <w:i/>
          <w:sz w:val="20"/>
        </w:rPr>
        <w:t>Bradburne</w:t>
      </w:r>
      <w:r>
        <w:rPr>
          <w:rFonts w:ascii="Arial" w:hAnsi="Arial"/>
          <w:i/>
          <w:spacing w:val="8"/>
          <w:sz w:val="20"/>
        </w:rPr>
        <w:t> </w:t>
      </w:r>
      <w:r>
        <w:rPr>
          <w:rFonts w:ascii="Arial" w:hAnsi="Arial"/>
          <w:i/>
          <w:spacing w:val="-10"/>
          <w:sz w:val="20"/>
        </w:rPr>
        <w:t>v</w:t>
      </w:r>
    </w:p>
    <w:p>
      <w:pPr>
        <w:spacing w:line="235" w:lineRule="auto" w:before="1"/>
        <w:ind w:left="705" w:right="168" w:firstLine="0"/>
        <w:jc w:val="left"/>
        <w:rPr>
          <w:sz w:val="20"/>
        </w:rPr>
      </w:pPr>
      <w:r>
        <w:rPr>
          <w:rFonts w:ascii="Arial"/>
          <w:i/>
          <w:sz w:val="20"/>
        </w:rPr>
        <w:t>Batfield (1845) 14 M. &amp; W. 559, 573</w:t>
      </w:r>
      <w:r>
        <w:rPr>
          <w:sz w:val="20"/>
        </w:rPr>
        <w:t>; </w:t>
      </w:r>
      <w:r>
        <w:rPr>
          <w:rFonts w:ascii="Arial"/>
          <w:i/>
          <w:sz w:val="20"/>
        </w:rPr>
        <w:t>Keighley v Watson (1849) 3 Ex. 716, 723 </w:t>
      </w:r>
      <w:r>
        <w:rPr>
          <w:sz w:val="20"/>
        </w:rPr>
        <w:t>(criticising the</w:t>
      </w:r>
      <w:r>
        <w:rPr>
          <w:spacing w:val="40"/>
          <w:sz w:val="20"/>
        </w:rPr>
        <w:t> </w:t>
      </w:r>
      <w:r>
        <w:rPr>
          <w:spacing w:val="-2"/>
          <w:sz w:val="20"/>
        </w:rPr>
        <w:t>rule).</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508" w:id="510"/>
      <w:bookmarkEnd w:id="510"/>
      <w:r>
        <w:rPr/>
      </w:r>
      <w:hyperlink w:history="true" w:anchor="_bookmark467">
        <w:r>
          <w:rPr>
            <w:color w:val="005DA1"/>
            <w:spacing w:val="-4"/>
            <w:position w:val="5"/>
            <w:sz w:val="14"/>
            <w:u w:val="single" w:color="005DA1"/>
          </w:rPr>
          <w:t>267</w:t>
        </w:r>
      </w:hyperlink>
      <w:r>
        <w:rPr>
          <w:spacing w:val="-4"/>
          <w:position w:val="5"/>
          <w:sz w:val="14"/>
        </w:rPr>
        <w:t>.</w:t>
      </w:r>
      <w:r>
        <w:rPr>
          <w:position w:val="5"/>
          <w:sz w:val="14"/>
        </w:rPr>
        <w:tab/>
      </w:r>
      <w:r>
        <w:rPr>
          <w:rFonts w:ascii="Arial"/>
          <w:i/>
          <w:sz w:val="20"/>
        </w:rPr>
        <w:t>Thompson</w:t>
      </w:r>
      <w:r>
        <w:rPr>
          <w:rFonts w:ascii="Arial"/>
          <w:i/>
          <w:spacing w:val="-1"/>
          <w:sz w:val="20"/>
        </w:rPr>
        <w:t> </w:t>
      </w:r>
      <w:r>
        <w:rPr>
          <w:rFonts w:ascii="Arial"/>
          <w:i/>
          <w:sz w:val="20"/>
        </w:rPr>
        <w:t>v Hakewill (1865) 19 C.B.(N.S.) 713, 726</w:t>
      </w:r>
      <w:r>
        <w:rPr>
          <w:sz w:val="20"/>
        </w:rPr>
        <w:t>; </w:t>
      </w:r>
      <w:r>
        <w:rPr>
          <w:rFonts w:ascii="Arial"/>
          <w:i/>
          <w:sz w:val="20"/>
        </w:rPr>
        <w:t>Palmer v Mallett (1887) 36 Ch.D. 410, </w:t>
      </w:r>
      <w:r>
        <w:rPr>
          <w:rFonts w:ascii="Arial"/>
          <w:i/>
          <w:spacing w:val="-5"/>
          <w:sz w:val="20"/>
        </w:rPr>
        <w:t>421</w:t>
      </w:r>
    </w:p>
    <w:p>
      <w:pPr>
        <w:spacing w:line="227" w:lineRule="exact" w:before="0"/>
        <w:ind w:left="705" w:right="0" w:firstLine="0"/>
        <w:jc w:val="left"/>
        <w:rPr>
          <w:sz w:val="20"/>
        </w:rPr>
      </w:pPr>
      <w:r>
        <w:rPr>
          <w:spacing w:val="-10"/>
          <w:sz w:val="20"/>
        </w:rPr>
        <w:t>.</w:t>
      </w:r>
    </w:p>
    <w:p>
      <w:pPr>
        <w:pStyle w:val="BodyText"/>
        <w:spacing w:before="5"/>
      </w:pPr>
    </w:p>
    <w:p>
      <w:pPr>
        <w:tabs>
          <w:tab w:pos="705" w:val="left" w:leader="none"/>
        </w:tabs>
        <w:spacing w:before="0"/>
        <w:ind w:left="165" w:right="0" w:firstLine="0"/>
        <w:jc w:val="left"/>
        <w:rPr>
          <w:sz w:val="20"/>
        </w:rPr>
      </w:pPr>
      <w:bookmarkStart w:name="_bookmark509" w:id="511"/>
      <w:bookmarkEnd w:id="511"/>
      <w:r>
        <w:rPr/>
      </w:r>
      <w:hyperlink w:history="true" w:anchor="_bookmark468">
        <w:r>
          <w:rPr>
            <w:color w:val="005DA1"/>
            <w:spacing w:val="-4"/>
            <w:position w:val="5"/>
            <w:sz w:val="14"/>
            <w:u w:val="single" w:color="005DA1"/>
          </w:rPr>
          <w:t>268</w:t>
        </w:r>
      </w:hyperlink>
      <w:r>
        <w:rPr>
          <w:spacing w:val="-4"/>
          <w:position w:val="5"/>
          <w:sz w:val="14"/>
        </w:rPr>
        <w:t>.</w:t>
      </w:r>
      <w:r>
        <w:rPr>
          <w:position w:val="5"/>
          <w:sz w:val="14"/>
        </w:rPr>
        <w:tab/>
      </w:r>
      <w:r>
        <w:rPr>
          <w:rFonts w:ascii="Arial"/>
          <w:i/>
          <w:sz w:val="20"/>
        </w:rPr>
        <w:t>[1935] A.C. </w:t>
      </w:r>
      <w:r>
        <w:rPr>
          <w:rFonts w:ascii="Arial"/>
          <w:i/>
          <w:spacing w:val="-5"/>
          <w:sz w:val="20"/>
        </w:rPr>
        <w:t>24</w:t>
      </w:r>
      <w:r>
        <w:rPr>
          <w:spacing w:val="-5"/>
          <w:sz w:val="20"/>
        </w:rPr>
        <w:t>.</w:t>
      </w:r>
    </w:p>
    <w:p>
      <w:pPr>
        <w:pStyle w:val="BodyText"/>
        <w:spacing w:before="9"/>
      </w:pPr>
    </w:p>
    <w:p>
      <w:pPr>
        <w:pStyle w:val="BodyText"/>
        <w:tabs>
          <w:tab w:pos="705" w:val="left" w:leader="none"/>
        </w:tabs>
        <w:spacing w:line="235" w:lineRule="auto"/>
        <w:ind w:left="705" w:right="168" w:hanging="541"/>
      </w:pPr>
      <w:bookmarkStart w:name="_bookmark510" w:id="512"/>
      <w:bookmarkEnd w:id="512"/>
      <w:r>
        <w:rPr/>
      </w:r>
      <w:hyperlink w:history="true" w:anchor="_bookmark469">
        <w:r>
          <w:rPr>
            <w:color w:val="005DA1"/>
            <w:spacing w:val="-4"/>
            <w:position w:val="5"/>
            <w:sz w:val="14"/>
            <w:u w:val="single" w:color="005DA1"/>
          </w:rPr>
          <w:t>269</w:t>
        </w:r>
      </w:hyperlink>
      <w:r>
        <w:rPr>
          <w:spacing w:val="-4"/>
          <w:position w:val="5"/>
          <w:sz w:val="14"/>
        </w:rPr>
        <w:t>.</w:t>
      </w:r>
      <w:r>
        <w:rPr>
          <w:position w:val="5"/>
          <w:sz w:val="14"/>
        </w:rPr>
        <w:tab/>
      </w:r>
      <w:r>
        <w:rPr/>
        <w:t>Hence B would not be a “third party” within s.1(1) of the Contracts (Rights of Third Parties) Act 1999 (below, paras 18-090 et seq.).</w:t>
      </w:r>
    </w:p>
    <w:p>
      <w:pPr>
        <w:pStyle w:val="BodyText"/>
        <w:spacing w:before="5"/>
      </w:pPr>
    </w:p>
    <w:p>
      <w:pPr>
        <w:tabs>
          <w:tab w:pos="705" w:val="left" w:leader="none"/>
        </w:tabs>
        <w:spacing w:before="0"/>
        <w:ind w:left="165" w:right="0" w:firstLine="0"/>
        <w:jc w:val="left"/>
        <w:rPr>
          <w:sz w:val="20"/>
        </w:rPr>
      </w:pPr>
      <w:bookmarkStart w:name="_bookmark511" w:id="513"/>
      <w:bookmarkEnd w:id="513"/>
      <w:r>
        <w:rPr/>
      </w:r>
      <w:hyperlink w:history="true" w:anchor="_bookmark470">
        <w:r>
          <w:rPr>
            <w:color w:val="005DA1"/>
            <w:spacing w:val="-4"/>
            <w:position w:val="5"/>
            <w:sz w:val="14"/>
            <w:u w:val="single" w:color="005DA1"/>
          </w:rPr>
          <w:t>270</w:t>
        </w:r>
      </w:hyperlink>
      <w:r>
        <w:rPr>
          <w:spacing w:val="-4"/>
          <w:position w:val="5"/>
          <w:sz w:val="14"/>
        </w:rPr>
        <w:t>.</w:t>
      </w:r>
      <w:r>
        <w:rPr>
          <w:position w:val="5"/>
          <w:sz w:val="14"/>
        </w:rPr>
        <w:tab/>
      </w:r>
      <w:r>
        <w:rPr>
          <w:rFonts w:ascii="Arial"/>
          <w:i/>
          <w:sz w:val="20"/>
        </w:rPr>
        <w:t>[1935] A.C. 24, </w:t>
      </w:r>
      <w:r>
        <w:rPr>
          <w:rFonts w:ascii="Arial"/>
          <w:i/>
          <w:spacing w:val="-5"/>
          <w:sz w:val="20"/>
        </w:rPr>
        <w:t>43</w:t>
      </w:r>
      <w:r>
        <w:rPr>
          <w:spacing w:val="-5"/>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512" w:id="514"/>
      <w:bookmarkEnd w:id="514"/>
      <w:r>
        <w:rPr/>
      </w:r>
      <w:hyperlink w:history="true" w:anchor="_bookmark471">
        <w:r>
          <w:rPr>
            <w:color w:val="005DA1"/>
            <w:spacing w:val="-4"/>
            <w:position w:val="5"/>
            <w:sz w:val="14"/>
            <w:u w:val="single" w:color="005DA1"/>
          </w:rPr>
          <w:t>271</w:t>
        </w:r>
      </w:hyperlink>
      <w:r>
        <w:rPr>
          <w:spacing w:val="-4"/>
          <w:position w:val="5"/>
          <w:sz w:val="14"/>
        </w:rPr>
        <w:t>.</w:t>
      </w:r>
      <w:r>
        <w:rPr>
          <w:position w:val="5"/>
          <w:sz w:val="14"/>
        </w:rPr>
        <w:tab/>
      </w:r>
      <w:r>
        <w:rPr>
          <w:sz w:val="20"/>
        </w:rPr>
        <w:t>cf.</w:t>
      </w:r>
      <w:r>
        <w:rPr>
          <w:spacing w:val="40"/>
          <w:sz w:val="20"/>
        </w:rPr>
        <w:t> </w:t>
      </w:r>
      <w:r>
        <w:rPr>
          <w:rFonts w:ascii="Arial"/>
          <w:i/>
          <w:sz w:val="20"/>
        </w:rPr>
        <w:t>Aroso</w:t>
      </w:r>
      <w:r>
        <w:rPr>
          <w:rFonts w:ascii="Arial"/>
          <w:i/>
          <w:spacing w:val="40"/>
          <w:sz w:val="20"/>
        </w:rPr>
        <w:t> </w:t>
      </w:r>
      <w:r>
        <w:rPr>
          <w:rFonts w:ascii="Arial"/>
          <w:i/>
          <w:sz w:val="20"/>
        </w:rPr>
        <w:t>v</w:t>
      </w:r>
      <w:r>
        <w:rPr>
          <w:rFonts w:ascii="Arial"/>
          <w:i/>
          <w:spacing w:val="40"/>
          <w:sz w:val="20"/>
        </w:rPr>
        <w:t> </w:t>
      </w:r>
      <w:r>
        <w:rPr>
          <w:rFonts w:ascii="Arial"/>
          <w:i/>
          <w:sz w:val="20"/>
        </w:rPr>
        <w:t>Coutts</w:t>
      </w:r>
      <w:r>
        <w:rPr>
          <w:rFonts w:ascii="Arial"/>
          <w:i/>
          <w:spacing w:val="40"/>
          <w:sz w:val="20"/>
        </w:rPr>
        <w:t> </w:t>
      </w:r>
      <w:r>
        <w:rPr>
          <w:rFonts w:ascii="Arial"/>
          <w:i/>
          <w:sz w:val="20"/>
        </w:rPr>
        <w:t>&amp;</w:t>
      </w:r>
      <w:r>
        <w:rPr>
          <w:rFonts w:ascii="Arial"/>
          <w:i/>
          <w:spacing w:val="40"/>
          <w:sz w:val="20"/>
        </w:rPr>
        <w:t> </w:t>
      </w:r>
      <w:r>
        <w:rPr>
          <w:rFonts w:ascii="Arial"/>
          <w:i/>
          <w:sz w:val="20"/>
        </w:rPr>
        <w:t>Co</w:t>
      </w:r>
      <w:r>
        <w:rPr>
          <w:rFonts w:ascii="Arial"/>
          <w:i/>
          <w:spacing w:val="40"/>
          <w:sz w:val="20"/>
        </w:rPr>
        <w:t> </w:t>
      </w:r>
      <w:r>
        <w:rPr>
          <w:rFonts w:ascii="Arial"/>
          <w:i/>
          <w:sz w:val="20"/>
        </w:rPr>
        <w:t>[2002]</w:t>
      </w:r>
      <w:r>
        <w:rPr>
          <w:rFonts w:ascii="Arial"/>
          <w:i/>
          <w:spacing w:val="40"/>
          <w:sz w:val="20"/>
        </w:rPr>
        <w:t> </w:t>
      </w:r>
      <w:r>
        <w:rPr>
          <w:rFonts w:ascii="Arial"/>
          <w:i/>
          <w:sz w:val="20"/>
        </w:rPr>
        <w:t>1</w:t>
      </w:r>
      <w:r>
        <w:rPr>
          <w:rFonts w:ascii="Arial"/>
          <w:i/>
          <w:spacing w:val="40"/>
          <w:sz w:val="20"/>
        </w:rPr>
        <w:t> </w:t>
      </w:r>
      <w:r>
        <w:rPr>
          <w:rFonts w:ascii="Arial"/>
          <w:i/>
          <w:sz w:val="20"/>
        </w:rPr>
        <w:t>All</w:t>
      </w:r>
      <w:r>
        <w:rPr>
          <w:rFonts w:ascii="Arial"/>
          <w:i/>
          <w:spacing w:val="40"/>
          <w:sz w:val="20"/>
        </w:rPr>
        <w:t> </w:t>
      </w:r>
      <w:r>
        <w:rPr>
          <w:rFonts w:ascii="Arial"/>
          <w:i/>
          <w:sz w:val="20"/>
        </w:rPr>
        <w:t>E.R.</w:t>
      </w:r>
      <w:r>
        <w:rPr>
          <w:rFonts w:ascii="Arial"/>
          <w:i/>
          <w:spacing w:val="40"/>
          <w:sz w:val="20"/>
        </w:rPr>
        <w:t> </w:t>
      </w:r>
      <w:r>
        <w:rPr>
          <w:rFonts w:ascii="Arial"/>
          <w:i/>
          <w:sz w:val="20"/>
        </w:rPr>
        <w:t>(Comm)</w:t>
      </w:r>
      <w:r>
        <w:rPr>
          <w:rFonts w:ascii="Arial"/>
          <w:i/>
          <w:spacing w:val="40"/>
          <w:sz w:val="20"/>
        </w:rPr>
        <w:t> </w:t>
      </w:r>
      <w:r>
        <w:rPr>
          <w:rFonts w:ascii="Arial"/>
          <w:i/>
          <w:sz w:val="20"/>
        </w:rPr>
        <w:t>241</w:t>
      </w:r>
      <w:r>
        <w:rPr>
          <w:sz w:val="20"/>
        </w:rPr>
        <w:t>,</w:t>
      </w:r>
      <w:r>
        <w:rPr>
          <w:spacing w:val="40"/>
          <w:sz w:val="20"/>
        </w:rPr>
        <w:t> </w:t>
      </w:r>
      <w:r>
        <w:rPr>
          <w:sz w:val="20"/>
        </w:rPr>
        <w:t>where</w:t>
      </w:r>
      <w:r>
        <w:rPr>
          <w:spacing w:val="40"/>
          <w:sz w:val="20"/>
        </w:rPr>
        <w:t> </w:t>
      </w:r>
      <w:r>
        <w:rPr>
          <w:sz w:val="20"/>
        </w:rPr>
        <w:t>the</w:t>
      </w:r>
      <w:r>
        <w:rPr>
          <w:spacing w:val="40"/>
          <w:sz w:val="20"/>
        </w:rPr>
        <w:t> </w:t>
      </w:r>
      <w:r>
        <w:rPr>
          <w:sz w:val="20"/>
        </w:rPr>
        <w:t>contract</w:t>
      </w:r>
      <w:r>
        <w:rPr>
          <w:spacing w:val="40"/>
          <w:sz w:val="20"/>
        </w:rPr>
        <w:t> </w:t>
      </w:r>
      <w:r>
        <w:rPr>
          <w:sz w:val="20"/>
        </w:rPr>
        <w:t>expressly</w:t>
      </w:r>
      <w:r>
        <w:rPr>
          <w:spacing w:val="40"/>
          <w:sz w:val="20"/>
        </w:rPr>
        <w:t> </w:t>
      </w:r>
      <w:r>
        <w:rPr>
          <w:sz w:val="20"/>
        </w:rPr>
        <w:t>so </w:t>
      </w:r>
      <w:r>
        <w:rPr>
          <w:spacing w:val="-2"/>
          <w:sz w:val="20"/>
        </w:rPr>
        <w:t>provided.</w:t>
      </w:r>
    </w:p>
    <w:p>
      <w:pPr>
        <w:pStyle w:val="BodyText"/>
        <w:spacing w:before="5"/>
      </w:pPr>
    </w:p>
    <w:p>
      <w:pPr>
        <w:pStyle w:val="BodyText"/>
        <w:tabs>
          <w:tab w:pos="705" w:val="left" w:leader="none"/>
        </w:tabs>
        <w:spacing w:before="1"/>
        <w:ind w:left="165"/>
      </w:pPr>
      <w:bookmarkStart w:name="_bookmark513" w:id="515"/>
      <w:bookmarkEnd w:id="515"/>
      <w:r>
        <w:rPr/>
      </w:r>
      <w:hyperlink w:history="true" w:anchor="_bookmark472">
        <w:r>
          <w:rPr>
            <w:color w:val="005DA1"/>
            <w:spacing w:val="-4"/>
            <w:position w:val="5"/>
            <w:sz w:val="14"/>
            <w:u w:val="single" w:color="005DA1"/>
          </w:rPr>
          <w:t>272</w:t>
        </w:r>
      </w:hyperlink>
      <w:r>
        <w:rPr>
          <w:spacing w:val="-4"/>
          <w:position w:val="5"/>
          <w:sz w:val="14"/>
        </w:rPr>
        <w:t>.</w:t>
      </w:r>
      <w:r>
        <w:rPr>
          <w:position w:val="5"/>
          <w:sz w:val="14"/>
        </w:rPr>
        <w:tab/>
      </w:r>
      <w:r>
        <w:rPr/>
        <w:t>S.J.B.</w:t>
      </w:r>
      <w:r>
        <w:rPr>
          <w:spacing w:val="-2"/>
        </w:rPr>
        <w:t> </w:t>
      </w:r>
      <w:r>
        <w:rPr/>
        <w:t>(1935) 51 L.Q.R. </w:t>
      </w:r>
      <w:r>
        <w:rPr>
          <w:spacing w:val="-4"/>
        </w:rPr>
        <w:t>419.</w:t>
      </w:r>
    </w:p>
    <w:p>
      <w:pPr>
        <w:pStyle w:val="BodyText"/>
        <w:spacing w:after="0"/>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473">
        <w:r>
          <w:rPr>
            <w:color w:val="005DA1"/>
            <w:spacing w:val="-4"/>
            <w:position w:val="5"/>
            <w:sz w:val="14"/>
            <w:u w:val="single" w:color="005DA1"/>
          </w:rPr>
          <w:t>273</w:t>
        </w:r>
      </w:hyperlink>
      <w:r>
        <w:rPr>
          <w:spacing w:val="-4"/>
          <w:position w:val="5"/>
          <w:sz w:val="14"/>
        </w:rPr>
        <w:t>.</w:t>
      </w:r>
      <w:r>
        <w:rPr>
          <w:position w:val="5"/>
          <w:sz w:val="14"/>
        </w:rPr>
        <w:tab/>
      </w:r>
      <w:r>
        <w:rPr>
          <w:sz w:val="20"/>
        </w:rPr>
        <w:t>See</w:t>
      </w:r>
      <w:r>
        <w:rPr>
          <w:spacing w:val="-2"/>
          <w:sz w:val="20"/>
        </w:rPr>
        <w:t> </w:t>
      </w:r>
      <w:r>
        <w:rPr>
          <w:rFonts w:ascii="Arial" w:hAnsi="Arial"/>
          <w:i/>
          <w:sz w:val="20"/>
        </w:rPr>
        <w:t>Coulls v Bagot’s Executor and Trustee Co Ltd [1967] A.L.R. 385</w:t>
      </w:r>
      <w:r>
        <w:rPr>
          <w:sz w:val="20"/>
        </w:rPr>
        <w:t>; below, para.18-</w:t>
      </w:r>
      <w:r>
        <w:rPr>
          <w:spacing w:val="-4"/>
          <w:sz w:val="20"/>
        </w:rPr>
        <w:t>076.</w:t>
      </w:r>
    </w:p>
    <w:p>
      <w:pPr>
        <w:pStyle w:val="BodyText"/>
        <w:spacing w:before="9"/>
      </w:pPr>
    </w:p>
    <w:p>
      <w:pPr>
        <w:pStyle w:val="BodyText"/>
        <w:spacing w:line="235" w:lineRule="auto"/>
        <w:ind w:left="705" w:right="167" w:hanging="541"/>
        <w:jc w:val="both"/>
      </w:pPr>
      <w:bookmarkStart w:name="_bookmark514" w:id="516"/>
      <w:bookmarkEnd w:id="516"/>
      <w:r>
        <w:rPr/>
      </w:r>
      <w:hyperlink w:history="true" w:anchor="_bookmark474">
        <w:r>
          <w:rPr>
            <w:color w:val="005DA1"/>
            <w:position w:val="5"/>
            <w:sz w:val="14"/>
            <w:u w:val="single" w:color="005DA1"/>
          </w:rPr>
          <w:t>274</w:t>
        </w:r>
      </w:hyperlink>
      <w:r>
        <w:rPr>
          <w:position w:val="5"/>
          <w:sz w:val="14"/>
        </w:rPr>
        <w:t>.</w:t>
      </w:r>
      <w:r>
        <w:rPr>
          <w:spacing w:val="80"/>
          <w:position w:val="5"/>
          <w:sz w:val="14"/>
        </w:rPr>
        <w:t>  </w:t>
      </w:r>
      <w:r>
        <w:rPr>
          <w:rFonts w:ascii="Arial" w:hAnsi="Arial"/>
          <w:i/>
        </w:rPr>
        <w:t>[1985] 1 Lloyd’s Rep. 529</w:t>
      </w:r>
      <w:r>
        <w:rPr/>
        <w:t>. The Contracts (Rights of Third Parties) Act 1999 would not apply to such a case as it was not the intention of the contracting parties that B should be entitled to enforce the contract: see s.1(2) of the Act, below, paras 18-093, 18-094.</w:t>
      </w:r>
    </w:p>
    <w:p>
      <w:pPr>
        <w:pStyle w:val="BodyText"/>
        <w:spacing w:before="5"/>
      </w:pPr>
    </w:p>
    <w:p>
      <w:pPr>
        <w:pStyle w:val="BodyText"/>
        <w:tabs>
          <w:tab w:pos="705" w:val="left" w:leader="none"/>
        </w:tabs>
        <w:ind w:left="165"/>
      </w:pPr>
      <w:bookmarkStart w:name="_bookmark515" w:id="517"/>
      <w:bookmarkEnd w:id="517"/>
      <w:r>
        <w:rPr/>
      </w:r>
      <w:hyperlink w:history="true" w:anchor="_bookmark475">
        <w:r>
          <w:rPr>
            <w:color w:val="005DA1"/>
            <w:spacing w:val="-4"/>
            <w:position w:val="5"/>
            <w:sz w:val="14"/>
            <w:u w:val="single" w:color="005DA1"/>
          </w:rPr>
          <w:t>275</w:t>
        </w:r>
      </w:hyperlink>
      <w:r>
        <w:rPr>
          <w:spacing w:val="-4"/>
          <w:position w:val="5"/>
          <w:sz w:val="14"/>
        </w:rPr>
        <w:t>.</w:t>
      </w:r>
      <w:r>
        <w:rPr>
          <w:position w:val="5"/>
          <w:sz w:val="14"/>
        </w:rPr>
        <w:tab/>
      </w:r>
      <w:r>
        <w:rPr/>
        <w:t>Below,</w:t>
      </w:r>
      <w:r>
        <w:rPr>
          <w:spacing w:val="-2"/>
        </w:rPr>
        <w:t> </w:t>
      </w:r>
      <w:r>
        <w:rPr/>
        <w:t>paras 18-090 et </w:t>
      </w:r>
      <w:r>
        <w:rPr>
          <w:spacing w:val="-4"/>
        </w:rPr>
        <w:t>seq.</w:t>
      </w:r>
    </w:p>
    <w:p>
      <w:pPr>
        <w:pStyle w:val="BodyText"/>
        <w:spacing w:before="5"/>
      </w:pPr>
    </w:p>
    <w:p>
      <w:pPr>
        <w:pStyle w:val="BodyText"/>
        <w:tabs>
          <w:tab w:pos="705" w:val="left" w:leader="none"/>
        </w:tabs>
        <w:ind w:left="165"/>
      </w:pPr>
      <w:bookmarkStart w:name="_bookmark516" w:id="518"/>
      <w:bookmarkEnd w:id="518"/>
      <w:r>
        <w:rPr/>
      </w:r>
      <w:hyperlink w:history="true" w:anchor="_bookmark476">
        <w:r>
          <w:rPr>
            <w:color w:val="005DA1"/>
            <w:spacing w:val="-4"/>
            <w:position w:val="5"/>
            <w:sz w:val="14"/>
            <w:u w:val="single" w:color="005DA1"/>
          </w:rPr>
          <w:t>276</w:t>
        </w:r>
      </w:hyperlink>
      <w:r>
        <w:rPr>
          <w:spacing w:val="-4"/>
          <w:position w:val="5"/>
          <w:sz w:val="14"/>
        </w:rPr>
        <w:t>.</w:t>
      </w:r>
      <w:r>
        <w:rPr>
          <w:position w:val="5"/>
          <w:sz w:val="14"/>
        </w:rPr>
        <w:tab/>
      </w:r>
      <w:r>
        <w:rPr/>
        <w:t>Law Com. No.242 (on which the Act is based), </w:t>
      </w:r>
      <w:r>
        <w:rPr>
          <w:spacing w:val="-2"/>
        </w:rPr>
        <w:t>para.6.8.</w:t>
      </w:r>
    </w:p>
    <w:p>
      <w:pPr>
        <w:pStyle w:val="BodyText"/>
        <w:spacing w:before="5"/>
      </w:pPr>
    </w:p>
    <w:p>
      <w:pPr>
        <w:tabs>
          <w:tab w:pos="705" w:val="left" w:leader="none"/>
        </w:tabs>
        <w:spacing w:before="0"/>
        <w:ind w:left="165" w:right="0" w:firstLine="0"/>
        <w:jc w:val="left"/>
        <w:rPr>
          <w:sz w:val="20"/>
        </w:rPr>
      </w:pPr>
      <w:bookmarkStart w:name="_bookmark517" w:id="519"/>
      <w:bookmarkEnd w:id="519"/>
      <w:r>
        <w:rPr/>
      </w:r>
      <w:hyperlink w:history="true" w:anchor="_bookmark477">
        <w:r>
          <w:rPr>
            <w:color w:val="005DA1"/>
            <w:spacing w:val="-4"/>
            <w:position w:val="5"/>
            <w:sz w:val="14"/>
            <w:u w:val="single" w:color="005DA1"/>
          </w:rPr>
          <w:t>277</w:t>
        </w:r>
      </w:hyperlink>
      <w:r>
        <w:rPr>
          <w:spacing w:val="-4"/>
          <w:position w:val="5"/>
          <w:sz w:val="14"/>
        </w:rPr>
        <w:t>.</w:t>
      </w:r>
      <w:r>
        <w:rPr>
          <w:position w:val="5"/>
          <w:sz w:val="14"/>
        </w:rPr>
        <w:tab/>
      </w:r>
      <w:r>
        <w:rPr>
          <w:sz w:val="20"/>
        </w:rPr>
        <w:t>Below, para.18-</w:t>
      </w:r>
      <w:r>
        <w:rPr>
          <w:spacing w:val="-4"/>
          <w:sz w:val="20"/>
        </w:rPr>
        <w:t>102.</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727" w:right="2730"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74464">
                <wp:simplePos x="0" y="0"/>
                <wp:positionH relativeFrom="page">
                  <wp:posOffset>4707940</wp:posOffset>
                </wp:positionH>
                <wp:positionV relativeFrom="paragraph">
                  <wp:posOffset>377436</wp:posOffset>
                </wp:positionV>
                <wp:extent cx="4254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42016" from="370.70401pt,29.719406pt" to="374.04001pt,29.719406pt" stroked="true" strokeweight=".428pt" strokecolor="#005da1">
                <v:stroke dashstyle="solid"/>
                <w10:wrap type="none"/>
              </v:line>
            </w:pict>
          </mc:Fallback>
        </mc:AlternateContent>
      </w: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4 - Consideration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7. - Compromise and Forbearance to </w:t>
      </w:r>
      <w:r>
        <w:rPr>
          <w:rFonts w:ascii="Arial"/>
          <w:b/>
          <w:spacing w:val="-5"/>
          <w:sz w:val="24"/>
        </w:rPr>
        <w:t>Sue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Introductory</w:t>
      </w:r>
    </w:p>
    <w:p>
      <w:pPr>
        <w:pStyle w:val="BodyText"/>
        <w:spacing w:before="41"/>
        <w:rPr>
          <w:rFonts w:ascii="Arial"/>
          <w:b/>
          <w:sz w:val="18"/>
        </w:rPr>
      </w:pPr>
    </w:p>
    <w:p>
      <w:pPr>
        <w:pStyle w:val="Heading2"/>
      </w:pPr>
      <w:r>
        <w:rPr/>
        <w:t>4-</w:t>
      </w:r>
      <w:r>
        <w:rPr>
          <w:spacing w:val="-5"/>
        </w:rPr>
        <w:t>047</w:t>
      </w:r>
    </w:p>
    <w:p>
      <w:pPr>
        <w:pStyle w:val="BodyText"/>
        <w:spacing w:line="235" w:lineRule="auto" w:before="203"/>
        <w:ind w:left="165" w:right="167"/>
        <w:jc w:val="both"/>
      </w:pPr>
      <w:r>
        <w:rPr/>
        <w:t>Three situations here call for discussion: in the first a person promises not to enforce a </w:t>
      </w:r>
      <w:r>
        <w:rPr>
          <w:rFonts w:ascii="Arial"/>
          <w:i/>
        </w:rPr>
        <w:t>valid </w:t>
      </w:r>
      <w:r>
        <w:rPr/>
        <w:t>claim (or performs such a promise); in the second the claim which is the subject-matter of such a promise is </w:t>
      </w:r>
      <w:r>
        <w:rPr>
          <w:rFonts w:ascii="Arial"/>
          <w:i/>
        </w:rPr>
        <w:t>invalid </w:t>
      </w:r>
      <w:r>
        <w:rPr/>
        <w:t>or </w:t>
      </w:r>
      <w:r>
        <w:rPr>
          <w:rFonts w:ascii="Arial"/>
          <w:i/>
        </w:rPr>
        <w:t>doubtful</w:t>
      </w:r>
      <w:r>
        <w:rPr/>
        <w:t>; and in the third the person in question simply </w:t>
      </w:r>
      <w:r>
        <w:rPr>
          <w:rFonts w:ascii="Arial"/>
          <w:i/>
        </w:rPr>
        <w:t>forbears in fact </w:t>
      </w:r>
      <w:r>
        <w:rPr/>
        <w:t>from enforcing </w:t>
      </w:r>
      <w:r>
        <w:rPr/>
        <w:t>a claim, without making any </w:t>
      </w:r>
      <w:r>
        <w:rPr>
          <w:rFonts w:ascii="Arial"/>
          <w:i/>
        </w:rPr>
        <w:t>promise </w:t>
      </w:r>
      <w:r>
        <w:rPr/>
        <w:t>to forbear. The question in all these cases is whether the promise </w:t>
      </w:r>
      <w:bookmarkStart w:name="_bookmark518" w:id="520"/>
      <w:bookmarkEnd w:id="520"/>
      <w:r>
        <w:rPr/>
        <w:t>to</w:t>
      </w:r>
      <w:r>
        <w:rPr/>
        <w:t> forbear (or its performance), or the actual forbearance (without any promise), can constitute consideration for a (counter-) promise made by the other party. </w:t>
      </w:r>
      <w:r>
        <w:rPr>
          <w:color w:val="005DA1"/>
          <w:u w:val="single" w:color="005DA1"/>
          <w:vertAlign w:val="superscript"/>
        </w:rPr>
        <w:t>278</w:t>
      </w:r>
    </w:p>
    <w:p>
      <w:pPr>
        <w:pStyle w:val="BodyText"/>
      </w:pPr>
    </w:p>
    <w:p>
      <w:pPr>
        <w:pStyle w:val="BodyText"/>
        <w:spacing w:before="37"/>
      </w:pPr>
      <w:r>
        <w:rPr/>
        <mc:AlternateContent>
          <mc:Choice Requires="wps">
            <w:drawing>
              <wp:anchor distT="0" distB="0" distL="0" distR="0" allowOverlap="1" layoutInCell="1" locked="0" behindDoc="1" simplePos="0" relativeHeight="487607296">
                <wp:simplePos x="0" y="0"/>
                <wp:positionH relativeFrom="page">
                  <wp:posOffset>914400</wp:posOffset>
                </wp:positionH>
                <wp:positionV relativeFrom="paragraph">
                  <wp:posOffset>185160</wp:posOffset>
                </wp:positionV>
                <wp:extent cx="5724525"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79555pt;width:450.75pt;height:.1pt;mso-position-horizontal-relative:page;mso-position-vertical-relative:paragraph;z-index:-15709184;mso-wrap-distance-left:0;mso-wrap-distance-right:0" id="docshape22"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174976">
                <wp:simplePos x="0" y="0"/>
                <wp:positionH relativeFrom="page">
                  <wp:posOffset>914400</wp:posOffset>
                </wp:positionH>
                <wp:positionV relativeFrom="paragraph">
                  <wp:posOffset>97116</wp:posOffset>
                </wp:positionV>
                <wp:extent cx="4953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41504"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before="9"/>
      </w:pPr>
    </w:p>
    <w:p>
      <w:pPr>
        <w:pStyle w:val="BodyText"/>
        <w:spacing w:line="235" w:lineRule="auto"/>
        <w:ind w:left="705" w:right="167" w:hanging="541"/>
        <w:jc w:val="both"/>
      </w:pPr>
      <w:bookmarkStart w:name="_bookmark519" w:id="521"/>
      <w:bookmarkEnd w:id="521"/>
      <w:r>
        <w:rPr/>
      </w:r>
      <w:hyperlink w:history="true" w:anchor="_bookmark518">
        <w:r>
          <w:rPr>
            <w:color w:val="005DA1"/>
            <w:position w:val="5"/>
            <w:sz w:val="14"/>
            <w:u w:val="single" w:color="005DA1"/>
          </w:rPr>
          <w:t>278</w:t>
        </w:r>
      </w:hyperlink>
      <w:r>
        <w:rPr>
          <w:position w:val="5"/>
          <w:sz w:val="14"/>
        </w:rPr>
        <w:t>.</w:t>
      </w:r>
      <w:r>
        <w:rPr>
          <w:spacing w:val="80"/>
          <w:position w:val="5"/>
          <w:sz w:val="14"/>
        </w:rPr>
        <w:t> </w:t>
      </w:r>
      <w:r>
        <w:rPr/>
        <w:t>Our concern in the ensuing discussion is with compromises made otherwise than in legal proceedings. Where legal proceedings have been brought, acceptance of an offer to settle </w:t>
      </w:r>
      <w:r>
        <w:rPr/>
        <w:t>the proceedings under CPR Pt. 36 “may well create a contract and probably does so in the vast majority</w:t>
      </w:r>
      <w:r>
        <w:rPr>
          <w:spacing w:val="-2"/>
        </w:rPr>
        <w:t> </w:t>
      </w:r>
      <w:r>
        <w:rPr/>
        <w:t>of</w:t>
      </w:r>
      <w:r>
        <w:rPr>
          <w:spacing w:val="-2"/>
        </w:rPr>
        <w:t> </w:t>
      </w:r>
      <w:r>
        <w:rPr/>
        <w:t>cases”:</w:t>
      </w:r>
      <w:r>
        <w:rPr>
          <w:spacing w:val="-2"/>
        </w:rPr>
        <w:t> </w:t>
      </w:r>
      <w:r>
        <w:rPr>
          <w:rFonts w:ascii="Arial" w:hAnsi="Arial"/>
          <w:i/>
        </w:rPr>
        <w:t>Orton</w:t>
      </w:r>
      <w:r>
        <w:rPr>
          <w:rFonts w:ascii="Arial" w:hAnsi="Arial"/>
          <w:i/>
          <w:spacing w:val="-2"/>
        </w:rPr>
        <w:t> </w:t>
      </w:r>
      <w:r>
        <w:rPr>
          <w:rFonts w:ascii="Arial" w:hAnsi="Arial"/>
          <w:i/>
        </w:rPr>
        <w:t>v</w:t>
      </w:r>
      <w:r>
        <w:rPr>
          <w:rFonts w:ascii="Arial" w:hAnsi="Arial"/>
          <w:i/>
          <w:spacing w:val="-2"/>
        </w:rPr>
        <w:t> </w:t>
      </w:r>
      <w:r>
        <w:rPr>
          <w:rFonts w:ascii="Arial" w:hAnsi="Arial"/>
          <w:i/>
        </w:rPr>
        <w:t>Collins</w:t>
      </w:r>
      <w:r>
        <w:rPr>
          <w:rFonts w:ascii="Arial" w:hAnsi="Arial"/>
          <w:i/>
          <w:spacing w:val="-2"/>
        </w:rPr>
        <w:t> </w:t>
      </w:r>
      <w:r>
        <w:rPr>
          <w:rFonts w:ascii="Arial" w:hAnsi="Arial"/>
          <w:i/>
        </w:rPr>
        <w:t>[2007]</w:t>
      </w:r>
      <w:r>
        <w:rPr>
          <w:rFonts w:ascii="Arial" w:hAnsi="Arial"/>
          <w:i/>
          <w:spacing w:val="-2"/>
        </w:rPr>
        <w:t> </w:t>
      </w:r>
      <w:r>
        <w:rPr>
          <w:rFonts w:ascii="Arial" w:hAnsi="Arial"/>
          <w:i/>
        </w:rPr>
        <w:t>EWHC</w:t>
      </w:r>
      <w:r>
        <w:rPr>
          <w:rFonts w:ascii="Arial" w:hAnsi="Arial"/>
          <w:i/>
          <w:spacing w:val="-2"/>
        </w:rPr>
        <w:t> </w:t>
      </w:r>
      <w:r>
        <w:rPr>
          <w:rFonts w:ascii="Arial" w:hAnsi="Arial"/>
          <w:i/>
        </w:rPr>
        <w:t>803</w:t>
      </w:r>
      <w:r>
        <w:rPr>
          <w:rFonts w:ascii="Arial" w:hAnsi="Arial"/>
          <w:i/>
          <w:spacing w:val="-2"/>
        </w:rPr>
        <w:t> </w:t>
      </w:r>
      <w:r>
        <w:rPr>
          <w:rFonts w:ascii="Arial" w:hAnsi="Arial"/>
          <w:i/>
        </w:rPr>
        <w:t>(Ch),</w:t>
      </w:r>
      <w:r>
        <w:rPr>
          <w:rFonts w:ascii="Arial" w:hAnsi="Arial"/>
          <w:i/>
          <w:spacing w:val="-2"/>
        </w:rPr>
        <w:t> </w:t>
      </w:r>
      <w:r>
        <w:rPr>
          <w:rFonts w:ascii="Arial" w:hAnsi="Arial"/>
          <w:i/>
        </w:rPr>
        <w:t>[2007]</w:t>
      </w:r>
      <w:r>
        <w:rPr>
          <w:rFonts w:ascii="Arial" w:hAnsi="Arial"/>
          <w:i/>
          <w:spacing w:val="-2"/>
        </w:rPr>
        <w:t> </w:t>
      </w:r>
      <w:r>
        <w:rPr>
          <w:rFonts w:ascii="Arial" w:hAnsi="Arial"/>
          <w:i/>
        </w:rPr>
        <w:t>1</w:t>
      </w:r>
      <w:r>
        <w:rPr>
          <w:rFonts w:ascii="Arial" w:hAnsi="Arial"/>
          <w:i/>
          <w:spacing w:val="-2"/>
        </w:rPr>
        <w:t> </w:t>
      </w:r>
      <w:r>
        <w:rPr>
          <w:rFonts w:ascii="Arial" w:hAnsi="Arial"/>
          <w:i/>
        </w:rPr>
        <w:t>W.L.R.</w:t>
      </w:r>
      <w:r>
        <w:rPr>
          <w:rFonts w:ascii="Arial" w:hAnsi="Arial"/>
          <w:i/>
          <w:spacing w:val="-2"/>
        </w:rPr>
        <w:t> </w:t>
      </w:r>
      <w:r>
        <w:rPr>
          <w:rFonts w:ascii="Arial" w:hAnsi="Arial"/>
          <w:i/>
        </w:rPr>
        <w:t>2953</w:t>
      </w:r>
      <w:r>
        <w:rPr>
          <w:rFonts w:ascii="Arial" w:hAnsi="Arial"/>
          <w:i/>
          <w:spacing w:val="-2"/>
        </w:rPr>
        <w:t> </w:t>
      </w:r>
      <w:r>
        <w:rPr/>
        <w:t>at</w:t>
      </w:r>
      <w:r>
        <w:rPr>
          <w:spacing w:val="-2"/>
        </w:rPr>
        <w:t> </w:t>
      </w:r>
      <w:r>
        <w:rPr/>
        <w:t>[60].</w:t>
      </w:r>
      <w:r>
        <w:rPr>
          <w:spacing w:val="-2"/>
        </w:rPr>
        <w:t> </w:t>
      </w:r>
      <w:r>
        <w:rPr/>
        <w:t>But</w:t>
      </w:r>
      <w:r>
        <w:rPr>
          <w:spacing w:val="-2"/>
        </w:rPr>
        <w:t> </w:t>
      </w:r>
      <w:r>
        <w:rPr/>
        <w:t>the obligation that arises from a Pt. 36 settlement agreement “is not primarily contractual. It is sui generis. It is part of the court’s inherent jurisdiction …” (ibid., at [62]). It may therefore be</w:t>
      </w:r>
      <w:r>
        <w:rPr>
          <w:spacing w:val="40"/>
        </w:rPr>
        <w:t> </w:t>
      </w:r>
      <w:r>
        <w:rPr/>
        <w:t>binding even though it lacks contractual force, e.g. for failure to comply with formal</w:t>
      </w:r>
      <w:r>
        <w:rPr>
          <w:spacing w:val="40"/>
        </w:rPr>
        <w:t> </w:t>
      </w:r>
      <w:r>
        <w:rPr/>
        <w:t>requirements (as in </w:t>
      </w:r>
      <w:r>
        <w:rPr>
          <w:rFonts w:ascii="Arial" w:hAnsi="Arial"/>
          <w:i/>
        </w:rPr>
        <w:t>Orton v Collins</w:t>
      </w:r>
      <w:r>
        <w:rPr/>
        <w:t>, above) or, presumably, for want of consideration.</w:t>
      </w:r>
    </w:p>
    <w:p>
      <w:pPr>
        <w:pStyle w:val="BodyText"/>
        <w:spacing w:before="190"/>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18"/>
          <w:headerReference w:type="even" r:id="rId19"/>
          <w:pgSz w:w="11900" w:h="16840"/>
          <w:pgMar w:header="971" w:footer="0" w:top="1160" w:bottom="280" w:left="1275" w:right="1275"/>
          <w:pgNumType w:start="7"/>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727" w:right="2730"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75488">
                <wp:simplePos x="0" y="0"/>
                <wp:positionH relativeFrom="page">
                  <wp:posOffset>4707940</wp:posOffset>
                </wp:positionH>
                <wp:positionV relativeFrom="paragraph">
                  <wp:posOffset>377436</wp:posOffset>
                </wp:positionV>
                <wp:extent cx="4254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40992" from="370.70401pt,29.719406pt" to="374.04001pt,29.719406pt" stroked="true" strokeweight=".428pt" strokecolor="#005da1">
                <v:stroke dashstyle="solid"/>
                <w10:wrap type="none"/>
              </v:line>
            </w:pict>
          </mc:Fallback>
        </mc:AlternateContent>
      </w: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4 - Consideration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7. - Compromise and Forbearance to </w:t>
      </w:r>
      <w:r>
        <w:rPr>
          <w:rFonts w:ascii="Arial"/>
          <w:b/>
          <w:spacing w:val="-5"/>
          <w:sz w:val="24"/>
        </w:rPr>
        <w:t>Sue</w:t>
      </w:r>
    </w:p>
    <w:p>
      <w:pPr>
        <w:pStyle w:val="ListParagraph"/>
        <w:numPr>
          <w:ilvl w:val="0"/>
          <w:numId w:val="2"/>
        </w:numPr>
        <w:tabs>
          <w:tab w:pos="4065" w:val="left" w:leader="none"/>
        </w:tabs>
        <w:spacing w:line="240" w:lineRule="auto" w:before="194" w:after="0"/>
        <w:ind w:left="4065" w:right="0" w:hanging="360"/>
        <w:jc w:val="left"/>
        <w:rPr>
          <w:rFonts w:ascii="Arial"/>
          <w:b/>
          <w:sz w:val="24"/>
        </w:rPr>
      </w:pPr>
      <w:r>
        <w:rPr>
          <w:rFonts w:ascii="Arial"/>
          <w:b/>
          <w:sz w:val="24"/>
        </w:rPr>
        <w:t>- Valid </w:t>
      </w:r>
      <w:r>
        <w:rPr>
          <w:rFonts w:ascii="Arial"/>
          <w:b/>
          <w:spacing w:val="-2"/>
          <w:sz w:val="24"/>
        </w:rPr>
        <w:t>Claims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Promise not to sue on a valid </w:t>
      </w:r>
      <w:r>
        <w:rPr>
          <w:rFonts w:ascii="Arial"/>
          <w:b/>
          <w:spacing w:val="-2"/>
          <w:sz w:val="18"/>
        </w:rPr>
        <w:t>claim</w:t>
      </w:r>
    </w:p>
    <w:p>
      <w:pPr>
        <w:pStyle w:val="BodyText"/>
        <w:spacing w:before="41"/>
        <w:rPr>
          <w:rFonts w:ascii="Arial"/>
          <w:b/>
          <w:sz w:val="18"/>
        </w:rPr>
      </w:pPr>
    </w:p>
    <w:p>
      <w:pPr>
        <w:pStyle w:val="Heading2"/>
      </w:pPr>
      <w:r>
        <w:rPr/>
        <w:t>4-</w:t>
      </w:r>
      <w:r>
        <w:rPr>
          <w:spacing w:val="-5"/>
        </w:rPr>
        <w:t>048</w:t>
      </w:r>
    </w:p>
    <w:p>
      <w:pPr>
        <w:pStyle w:val="BodyText"/>
        <w:spacing w:line="235" w:lineRule="auto" w:before="203"/>
        <w:ind w:left="164" w:right="167"/>
        <w:jc w:val="both"/>
      </w:pPr>
      <w:bookmarkStart w:name="_bookmark520" w:id="522"/>
      <w:bookmarkEnd w:id="522"/>
      <w:r>
        <w:rPr/>
      </w:r>
      <w:r>
        <w:rPr/>
        <w:t>A creditor’s promise not to enforce a valid claim is normally good consideration for a promise given </w:t>
      </w:r>
      <w:r>
        <w:rPr/>
        <w:t>in return. </w:t>
      </w:r>
      <w:r>
        <w:rPr>
          <w:color w:val="005DA1"/>
          <w:u w:val="single" w:color="005DA1"/>
          <w:vertAlign w:val="superscript"/>
        </w:rPr>
        <w:t>279</w:t>
      </w:r>
      <w:r>
        <w:rPr>
          <w:color w:val="005DA1"/>
          <w:vertAlign w:val="baseline"/>
        </w:rPr>
        <w:t> </w:t>
      </w:r>
      <w:r>
        <w:rPr>
          <w:vertAlign w:val="baseline"/>
        </w:rPr>
        <w:t>For example, a creditor to whom a sum of money has become due may promise to give the debtor extra time to pay, in return for the debtor’s promise to give additional security or to pay higher interest. In such a case, there is good consideration for the debtor’s promise: the creditor suffers a </w:t>
      </w:r>
      <w:bookmarkStart w:name="_bookmark521" w:id="523"/>
      <w:bookmarkEnd w:id="523"/>
      <w:r>
        <w:rPr>
          <w:vertAlign w:val="baseline"/>
        </w:rPr>
        <w:t>detriment</w:t>
      </w:r>
      <w:r>
        <w:rPr>
          <w:vertAlign w:val="baseline"/>
        </w:rPr>
        <w:t> in that he is, at least for a time, kept out of his money, while the debtor benefits by getting </w:t>
      </w:r>
      <w:bookmarkStart w:name="_bookmark522" w:id="524"/>
      <w:bookmarkEnd w:id="524"/>
      <w:r>
        <w:rPr>
          <w:vertAlign w:val="baseline"/>
        </w:rPr>
        <w:t>extra</w:t>
      </w:r>
      <w:r>
        <w:rPr>
          <w:vertAlign w:val="baseline"/>
        </w:rPr>
        <w:t> time to pay. </w:t>
      </w:r>
      <w:r>
        <w:rPr>
          <w:color w:val="005DA1"/>
          <w:u w:val="single" w:color="005DA1"/>
          <w:vertAlign w:val="superscript"/>
        </w:rPr>
        <w:t>280</w:t>
      </w:r>
      <w:r>
        <w:rPr>
          <w:color w:val="005DA1"/>
          <w:vertAlign w:val="baseline"/>
        </w:rPr>
        <w:t> </w:t>
      </w:r>
      <w:r>
        <w:rPr>
          <w:vertAlign w:val="baseline"/>
        </w:rPr>
        <w:t>In the case put (of a creditor giving his debtor extra time to pay) there is such detriment and benefit even though the creditor has promised to forbear only for a limited time</w:t>
      </w:r>
      <w:r>
        <w:rPr>
          <w:spacing w:val="-1"/>
          <w:vertAlign w:val="baseline"/>
        </w:rPr>
        <w:t> </w:t>
      </w:r>
      <w:r>
        <w:rPr>
          <w:color w:val="005DA1"/>
          <w:u w:val="single" w:color="005DA1"/>
          <w:vertAlign w:val="superscript"/>
        </w:rPr>
        <w:t>281</w:t>
      </w:r>
      <w:r>
        <w:rPr>
          <w:vertAlign w:val="baseline"/>
        </w:rPr>
        <w:t>; if no </w:t>
      </w:r>
      <w:bookmarkStart w:name="_bookmark523" w:id="525"/>
      <w:bookmarkEnd w:id="525"/>
      <w:r>
        <w:rPr>
          <w:vertAlign w:val="baseline"/>
        </w:rPr>
        <w:t>time</w:t>
      </w:r>
      <w:r>
        <w:rPr>
          <w:vertAlign w:val="baseline"/>
        </w:rPr>
        <w:t> is specified in the promise, the court will infer that the creditor undertook to forbear for a </w:t>
      </w:r>
      <w:bookmarkStart w:name="_bookmark524" w:id="526"/>
      <w:bookmarkEnd w:id="526"/>
      <w:r>
        <w:rPr>
          <w:vertAlign w:val="baseline"/>
        </w:rPr>
        <w:t>reasonable</w:t>
      </w:r>
      <w:r>
        <w:rPr>
          <w:spacing w:val="-1"/>
          <w:vertAlign w:val="baseline"/>
        </w:rPr>
        <w:t> </w:t>
      </w:r>
      <w:r>
        <w:rPr>
          <w:vertAlign w:val="baseline"/>
        </w:rPr>
        <w:t>time.</w:t>
      </w:r>
      <w:r>
        <w:rPr>
          <w:spacing w:val="-2"/>
          <w:vertAlign w:val="baseline"/>
        </w:rPr>
        <w:t> </w:t>
      </w:r>
      <w:r>
        <w:rPr>
          <w:color w:val="005DA1"/>
          <w:u w:val="single" w:color="005DA1"/>
          <w:vertAlign w:val="superscript"/>
        </w:rPr>
        <w:t>282</w:t>
      </w:r>
      <w:r>
        <w:rPr>
          <w:color w:val="005DA1"/>
          <w:spacing w:val="-1"/>
          <w:vertAlign w:val="baseline"/>
        </w:rPr>
        <w:t> </w:t>
      </w:r>
      <w:r>
        <w:rPr>
          <w:vertAlign w:val="baseline"/>
        </w:rPr>
        <w:t>A</w:t>
      </w:r>
      <w:r>
        <w:rPr>
          <w:spacing w:val="-1"/>
          <w:vertAlign w:val="baseline"/>
        </w:rPr>
        <w:t> </w:t>
      </w:r>
      <w:r>
        <w:rPr>
          <w:vertAlign w:val="baseline"/>
        </w:rPr>
        <w:t>fortiori,</w:t>
      </w:r>
      <w:r>
        <w:rPr>
          <w:spacing w:val="-1"/>
          <w:vertAlign w:val="baseline"/>
        </w:rPr>
        <w:t> </w:t>
      </w:r>
      <w:r>
        <w:rPr>
          <w:vertAlign w:val="baseline"/>
        </w:rPr>
        <w:t>the</w:t>
      </w:r>
      <w:r>
        <w:rPr>
          <w:spacing w:val="-1"/>
          <w:vertAlign w:val="baseline"/>
        </w:rPr>
        <w:t> </w:t>
      </w:r>
      <w:r>
        <w:rPr>
          <w:vertAlign w:val="baseline"/>
        </w:rPr>
        <w:t>creditor</w:t>
      </w:r>
      <w:r>
        <w:rPr>
          <w:spacing w:val="-1"/>
          <w:vertAlign w:val="baseline"/>
        </w:rPr>
        <w:t> </w:t>
      </w:r>
      <w:r>
        <w:rPr>
          <w:vertAlign w:val="baseline"/>
        </w:rPr>
        <w:t>will</w:t>
      </w:r>
      <w:r>
        <w:rPr>
          <w:spacing w:val="-1"/>
          <w:vertAlign w:val="baseline"/>
        </w:rPr>
        <w:t> </w:t>
      </w:r>
      <w:r>
        <w:rPr>
          <w:vertAlign w:val="baseline"/>
        </w:rPr>
        <w:t>provide</w:t>
      </w:r>
      <w:r>
        <w:rPr>
          <w:spacing w:val="-1"/>
          <w:vertAlign w:val="baseline"/>
        </w:rPr>
        <w:t> </w:t>
      </w:r>
      <w:r>
        <w:rPr>
          <w:vertAlign w:val="baseline"/>
        </w:rPr>
        <w:t>consideration</w:t>
      </w:r>
      <w:r>
        <w:rPr>
          <w:spacing w:val="-1"/>
          <w:vertAlign w:val="baseline"/>
        </w:rPr>
        <w:t> </w:t>
      </w:r>
      <w:r>
        <w:rPr>
          <w:vertAlign w:val="baseline"/>
        </w:rPr>
        <w:t>where</w:t>
      </w:r>
      <w:r>
        <w:rPr>
          <w:spacing w:val="-1"/>
          <w:vertAlign w:val="baseline"/>
        </w:rPr>
        <w:t> </w:t>
      </w:r>
      <w:r>
        <w:rPr>
          <w:vertAlign w:val="baseline"/>
        </w:rPr>
        <w:t>he</w:t>
      </w:r>
      <w:r>
        <w:rPr>
          <w:spacing w:val="-1"/>
          <w:vertAlign w:val="baseline"/>
        </w:rPr>
        <w:t> </w:t>
      </w:r>
      <w:r>
        <w:rPr>
          <w:vertAlign w:val="baseline"/>
        </w:rPr>
        <w:t>promises</w:t>
      </w:r>
      <w:r>
        <w:rPr>
          <w:spacing w:val="-1"/>
          <w:vertAlign w:val="baseline"/>
        </w:rPr>
        <w:t> </w:t>
      </w:r>
      <w:r>
        <w:rPr>
          <w:vertAlign w:val="baseline"/>
        </w:rPr>
        <w:t>absolutely</w:t>
      </w:r>
      <w:r>
        <w:rPr>
          <w:spacing w:val="-1"/>
          <w:vertAlign w:val="baseline"/>
        </w:rPr>
        <w:t> </w:t>
      </w:r>
      <w:r>
        <w:rPr>
          <w:vertAlign w:val="baseline"/>
        </w:rPr>
        <w:t>not to sue on the claim </w:t>
      </w:r>
      <w:r>
        <w:rPr>
          <w:color w:val="005DA1"/>
          <w:u w:val="single" w:color="005DA1"/>
          <w:vertAlign w:val="superscript"/>
        </w:rPr>
        <w:t>283</w:t>
      </w:r>
      <w:r>
        <w:rPr>
          <w:vertAlign w:val="baseline"/>
        </w:rPr>
        <w:t>: this is the position where a valid claim is settled by agreement between the </w:t>
      </w:r>
      <w:bookmarkStart w:name="_bookmark525" w:id="527"/>
      <w:bookmarkEnd w:id="527"/>
      <w:r>
        <w:rPr>
          <w:vertAlign w:val="baseline"/>
        </w:rPr>
        <w:t>parties.</w:t>
      </w:r>
      <w:r>
        <w:rPr>
          <w:vertAlign w:val="baseline"/>
        </w:rPr>
        <w:t> The principles just stated apply not only to a promise not to enforce a claim but also to one to </w:t>
      </w:r>
      <w:bookmarkStart w:name="_bookmark526" w:id="528"/>
      <w:bookmarkEnd w:id="528"/>
      <w:r>
        <w:rPr>
          <w:vertAlign w:val="baseline"/>
        </w:rPr>
        <w:t>abandon</w:t>
      </w:r>
      <w:r>
        <w:rPr>
          <w:vertAlign w:val="baseline"/>
        </w:rPr>
        <w:t> a good defence </w:t>
      </w:r>
      <w:r>
        <w:rPr>
          <w:color w:val="005DA1"/>
          <w:u w:val="single" w:color="005DA1"/>
          <w:vertAlign w:val="superscript"/>
        </w:rPr>
        <w:t>284</w:t>
      </w:r>
      <w:r>
        <w:rPr>
          <w:vertAlign w:val="baseline"/>
        </w:rPr>
        <w:t>; and to one to abandon a particular remedy: e.g. to one to abandon arbitration proceedings. </w:t>
      </w:r>
      <w:r>
        <w:rPr>
          <w:color w:val="005DA1"/>
          <w:u w:val="single" w:color="005DA1"/>
          <w:vertAlign w:val="superscript"/>
        </w:rPr>
        <w:t>285</w:t>
      </w:r>
      <w:r>
        <w:rPr>
          <w:color w:val="005DA1"/>
          <w:vertAlign w:val="baseline"/>
        </w:rPr>
        <w:t> </w:t>
      </w:r>
      <w:r>
        <w:rPr>
          <w:vertAlign w:val="baseline"/>
        </w:rPr>
        <w:t>Analogous reasoning has been used to support the view that, where a husband is ordered to transfer property to his former wife by way of ancillary relief in divorce </w:t>
      </w:r>
      <w:bookmarkStart w:name="_bookmark527" w:id="529"/>
      <w:bookmarkEnd w:id="529"/>
      <w:r>
        <w:rPr>
          <w:vertAlign w:val="baseline"/>
        </w:rPr>
        <w:t>proceedings,</w:t>
      </w:r>
      <w:r>
        <w:rPr>
          <w:vertAlign w:val="baseline"/>
        </w:rPr>
        <w:t> then the wife provides consideration for the transfer in the sense that the transfer wholly or in part satisfies her claim for ancillary relief. </w:t>
      </w:r>
      <w:r>
        <w:rPr>
          <w:color w:val="005DA1"/>
          <w:u w:val="single" w:color="005DA1"/>
          <w:vertAlign w:val="superscript"/>
        </w:rPr>
        <w:t>286</w:t>
      </w:r>
    </w:p>
    <w:p>
      <w:pPr>
        <w:pStyle w:val="BodyText"/>
      </w:pPr>
    </w:p>
    <w:p>
      <w:pPr>
        <w:pStyle w:val="BodyText"/>
        <w:spacing w:before="32"/>
      </w:pPr>
    </w:p>
    <w:p>
      <w:pPr>
        <w:spacing w:before="0"/>
        <w:ind w:left="165" w:right="0" w:firstLine="0"/>
        <w:jc w:val="left"/>
        <w:rPr>
          <w:rFonts w:ascii="Arial"/>
          <w:b/>
          <w:sz w:val="18"/>
        </w:rPr>
      </w:pPr>
      <w:r>
        <w:rPr>
          <w:rFonts w:ascii="Arial"/>
          <w:b/>
          <w:sz w:val="18"/>
        </w:rPr>
        <w:t>Construction of </w:t>
      </w:r>
      <w:r>
        <w:rPr>
          <w:rFonts w:ascii="Arial"/>
          <w:b/>
          <w:spacing w:val="-2"/>
          <w:sz w:val="18"/>
        </w:rPr>
        <w:t>releases</w:t>
      </w:r>
    </w:p>
    <w:p>
      <w:pPr>
        <w:pStyle w:val="BodyText"/>
        <w:spacing w:before="41"/>
        <w:rPr>
          <w:rFonts w:ascii="Arial"/>
          <w:b/>
          <w:sz w:val="18"/>
        </w:rPr>
      </w:pPr>
    </w:p>
    <w:p>
      <w:pPr>
        <w:pStyle w:val="Heading2"/>
        <w:spacing w:before="1"/>
      </w:pPr>
      <w:r>
        <w:rPr/>
        <w:t>4-</w:t>
      </w:r>
      <w:r>
        <w:rPr>
          <w:spacing w:val="-5"/>
        </w:rPr>
        <w:t>049</w:t>
      </w:r>
    </w:p>
    <w:p>
      <w:pPr>
        <w:pStyle w:val="BodyText"/>
        <w:spacing w:line="235" w:lineRule="auto" w:before="202"/>
        <w:ind w:left="164" w:right="167"/>
        <w:jc w:val="both"/>
      </w:pPr>
      <w:r>
        <w:rPr/>
        <w:t>Although a promise to release a valid claim is thus supported by consideration, the court may protect </w:t>
      </w:r>
      <w:bookmarkStart w:name="_bookmark528" w:id="530"/>
      <w:bookmarkEnd w:id="530"/>
      <w:r>
        <w:rPr/>
        <w:t>the</w:t>
      </w:r>
      <w:r>
        <w:rPr/>
        <w:t> party granting the release on other grounds. This possibility is illustrated by </w:t>
      </w:r>
      <w:r>
        <w:rPr>
          <w:rFonts w:ascii="Arial" w:hAnsi="Arial"/>
          <w:i/>
        </w:rPr>
        <w:t>Bank of Credit and Commerce International S.A. v Ali </w:t>
      </w:r>
      <w:r>
        <w:rPr>
          <w:color w:val="005DA1"/>
          <w:u w:val="single" w:color="005DA1"/>
          <w:vertAlign w:val="superscript"/>
        </w:rPr>
        <w:t>287</w:t>
      </w:r>
      <w:r>
        <w:rPr>
          <w:color w:val="005DA1"/>
          <w:vertAlign w:val="baseline"/>
        </w:rPr>
        <w:t> </w:t>
      </w:r>
      <w:r>
        <w:rPr>
          <w:vertAlign w:val="baseline"/>
        </w:rPr>
        <w:t>where an employee, on being dismissed for </w:t>
      </w:r>
      <w:r>
        <w:rPr>
          <w:vertAlign w:val="baseline"/>
        </w:rPr>
        <w:t>redundancy, promised, in return for certain payments, to release all claims against the employers “of whatever nature that exist or may exist.” At the time of the release, claims for “stigma damages” were believed </w:t>
      </w:r>
      <w:bookmarkStart w:name="_bookmark529" w:id="531"/>
      <w:bookmarkEnd w:id="531"/>
      <w:r>
        <w:rPr>
          <w:vertAlign w:val="baseline"/>
        </w:rPr>
        <w:t>not</w:t>
      </w:r>
      <w:r>
        <w:rPr>
          <w:vertAlign w:val="baseline"/>
        </w:rPr>
        <w:t> to be available to employees for breach of their employment contracts, but the availability of such claims was established by a later decision of the House of Lords. </w:t>
      </w:r>
      <w:r>
        <w:rPr>
          <w:color w:val="005DA1"/>
          <w:u w:val="single" w:color="005DA1"/>
          <w:vertAlign w:val="superscript"/>
        </w:rPr>
        <w:t>288</w:t>
      </w:r>
      <w:r>
        <w:rPr>
          <w:color w:val="005DA1"/>
          <w:vertAlign w:val="baseline"/>
        </w:rPr>
        <w:t> </w:t>
      </w:r>
      <w:r>
        <w:rPr>
          <w:vertAlign w:val="baseline"/>
        </w:rPr>
        <w:t>It was held by the House of</w:t>
      </w:r>
      <w:r>
        <w:rPr>
          <w:spacing w:val="40"/>
          <w:vertAlign w:val="baseline"/>
        </w:rPr>
        <w:t> </w:t>
      </w:r>
      <w:r>
        <w:rPr>
          <w:vertAlign w:val="baseline"/>
        </w:rPr>
        <w:t>Lords in the present case that the general words of the release (quoted above) were not sufficiently </w:t>
      </w:r>
      <w:bookmarkStart w:name="_bookmark530" w:id="532"/>
      <w:bookmarkEnd w:id="532"/>
      <w:r>
        <w:rPr>
          <w:vertAlign w:val="baseline"/>
        </w:rPr>
        <w:t>clear</w:t>
      </w:r>
      <w:r>
        <w:rPr>
          <w:vertAlign w:val="baseline"/>
        </w:rPr>
        <w:t> to show “that the parties intended to provide for the release of rights and surrender of claims which they could never have had in contemplation at all.” </w:t>
      </w:r>
      <w:r>
        <w:rPr>
          <w:color w:val="005DA1"/>
          <w:u w:val="single" w:color="005DA1"/>
          <w:vertAlign w:val="superscript"/>
        </w:rPr>
        <w:t>289</w:t>
      </w:r>
      <w:r>
        <w:rPr>
          <w:color w:val="005DA1"/>
          <w:vertAlign w:val="baseline"/>
        </w:rPr>
        <w:t> </w:t>
      </w:r>
      <w:r>
        <w:rPr>
          <w:vertAlign w:val="baseline"/>
        </w:rPr>
        <w:t>It is implicit in this reasoning that the possibility of releasing such a claim is not ruled out as a matter of law: the court is simply “slow to</w:t>
      </w:r>
      <w:r>
        <w:rPr>
          <w:spacing w:val="40"/>
          <w:vertAlign w:val="baseline"/>
        </w:rPr>
        <w:t> </w:t>
      </w:r>
      <w:bookmarkStart w:name="_bookmark531" w:id="533"/>
      <w:bookmarkEnd w:id="533"/>
      <w:r>
        <w:rPr>
          <w:vertAlign w:val="baseline"/>
        </w:rPr>
        <w:t>infer</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party</w:t>
      </w:r>
      <w:r>
        <w:rPr>
          <w:spacing w:val="-2"/>
          <w:vertAlign w:val="baseline"/>
        </w:rPr>
        <w:t> </w:t>
      </w:r>
      <w:r>
        <w:rPr>
          <w:vertAlign w:val="baseline"/>
        </w:rPr>
        <w:t>intended</w:t>
      </w:r>
      <w:r>
        <w:rPr>
          <w:spacing w:val="-2"/>
          <w:vertAlign w:val="baseline"/>
        </w:rPr>
        <w:t> </w:t>
      </w:r>
      <w:r>
        <w:rPr>
          <w:vertAlign w:val="baseline"/>
        </w:rPr>
        <w:t>to</w:t>
      </w:r>
      <w:r>
        <w:rPr>
          <w:spacing w:val="-2"/>
          <w:vertAlign w:val="baseline"/>
        </w:rPr>
        <w:t> </w:t>
      </w:r>
      <w:r>
        <w:rPr>
          <w:vertAlign w:val="baseline"/>
        </w:rPr>
        <w:t>surrender</w:t>
      </w:r>
      <w:r>
        <w:rPr>
          <w:spacing w:val="-2"/>
          <w:vertAlign w:val="baseline"/>
        </w:rPr>
        <w:t> </w:t>
      </w:r>
      <w:r>
        <w:rPr>
          <w:vertAlign w:val="baseline"/>
        </w:rPr>
        <w:t>rights</w:t>
      </w:r>
      <w:r>
        <w:rPr>
          <w:spacing w:val="-2"/>
          <w:vertAlign w:val="baseline"/>
        </w:rPr>
        <w:t> </w:t>
      </w:r>
      <w:r>
        <w:rPr>
          <w:vertAlign w:val="baseline"/>
        </w:rPr>
        <w:t>and</w:t>
      </w:r>
      <w:r>
        <w:rPr>
          <w:spacing w:val="-2"/>
          <w:vertAlign w:val="baseline"/>
        </w:rPr>
        <w:t> </w:t>
      </w:r>
      <w:r>
        <w:rPr>
          <w:vertAlign w:val="baseline"/>
        </w:rPr>
        <w:t>claims</w:t>
      </w:r>
      <w:r>
        <w:rPr>
          <w:spacing w:val="-2"/>
          <w:vertAlign w:val="baseline"/>
        </w:rPr>
        <w:t> </w:t>
      </w:r>
      <w:r>
        <w:rPr>
          <w:vertAlign w:val="baseline"/>
        </w:rPr>
        <w:t>of</w:t>
      </w:r>
      <w:r>
        <w:rPr>
          <w:spacing w:val="-2"/>
          <w:vertAlign w:val="baseline"/>
        </w:rPr>
        <w:t> </w:t>
      </w:r>
      <w:r>
        <w:rPr>
          <w:vertAlign w:val="baseline"/>
        </w:rPr>
        <w:t>which</w:t>
      </w:r>
      <w:r>
        <w:rPr>
          <w:spacing w:val="-2"/>
          <w:vertAlign w:val="baseline"/>
        </w:rPr>
        <w:t> </w:t>
      </w:r>
      <w:r>
        <w:rPr>
          <w:vertAlign w:val="baseline"/>
        </w:rPr>
        <w:t>he</w:t>
      </w:r>
      <w:r>
        <w:rPr>
          <w:spacing w:val="-2"/>
          <w:vertAlign w:val="baseline"/>
        </w:rPr>
        <w:t> </w:t>
      </w:r>
      <w:r>
        <w:rPr>
          <w:vertAlign w:val="baseline"/>
        </w:rPr>
        <w:t>was</w:t>
      </w:r>
      <w:r>
        <w:rPr>
          <w:spacing w:val="-2"/>
          <w:vertAlign w:val="baseline"/>
        </w:rPr>
        <w:t> </w:t>
      </w:r>
      <w:r>
        <w:rPr>
          <w:vertAlign w:val="baseline"/>
        </w:rPr>
        <w:t>unaware</w:t>
      </w:r>
      <w:r>
        <w:rPr>
          <w:spacing w:val="-2"/>
          <w:vertAlign w:val="baseline"/>
        </w:rPr>
        <w:t> </w:t>
      </w:r>
      <w:r>
        <w:rPr>
          <w:vertAlign w:val="baseline"/>
        </w:rPr>
        <w:t>and</w:t>
      </w:r>
      <w:r>
        <w:rPr>
          <w:spacing w:val="-2"/>
          <w:vertAlign w:val="baseline"/>
        </w:rPr>
        <w:t> </w:t>
      </w:r>
      <w:r>
        <w:rPr>
          <w:vertAlign w:val="baseline"/>
        </w:rPr>
        <w:t>could</w:t>
      </w:r>
      <w:r>
        <w:rPr>
          <w:spacing w:val="-2"/>
          <w:vertAlign w:val="baseline"/>
        </w:rPr>
        <w:t> </w:t>
      </w:r>
      <w:r>
        <w:rPr>
          <w:vertAlign w:val="baseline"/>
        </w:rPr>
        <w:t>not</w:t>
      </w:r>
      <w:r>
        <w:rPr>
          <w:spacing w:val="-2"/>
          <w:vertAlign w:val="baseline"/>
        </w:rPr>
        <w:t> </w:t>
      </w:r>
      <w:r>
        <w:rPr>
          <w:vertAlign w:val="baseline"/>
        </w:rPr>
        <w:t>have </w:t>
      </w:r>
      <w:bookmarkStart w:name="_bookmark532" w:id="534"/>
      <w:bookmarkEnd w:id="534"/>
      <w:r>
        <w:rPr>
          <w:vertAlign w:val="baseline"/>
        </w:rPr>
        <w:t>been</w:t>
      </w:r>
      <w:r>
        <w:rPr>
          <w:vertAlign w:val="baseline"/>
        </w:rPr>
        <w:t> aware.” </w:t>
      </w:r>
      <w:r>
        <w:rPr>
          <w:color w:val="005DA1"/>
          <w:u w:val="single" w:color="005DA1"/>
          <w:vertAlign w:val="superscript"/>
        </w:rPr>
        <w:t>290</w:t>
      </w:r>
      <w:r>
        <w:rPr>
          <w:color w:val="005DA1"/>
          <w:vertAlign w:val="baseline"/>
        </w:rPr>
        <w:t> </w:t>
      </w:r>
      <w:r>
        <w:rPr>
          <w:vertAlign w:val="baseline"/>
        </w:rPr>
        <w:t>The principles of construction applied in this case also “apply to fraud-based claims.” </w:t>
      </w:r>
      <w:r>
        <w:rPr>
          <w:color w:val="005DA1"/>
          <w:u w:val="single" w:color="005DA1"/>
          <w:vertAlign w:val="superscript"/>
        </w:rPr>
        <w:t>291</w:t>
      </w:r>
      <w:r>
        <w:rPr>
          <w:color w:val="005DA1"/>
          <w:spacing w:val="-2"/>
          <w:vertAlign w:val="baseline"/>
        </w:rPr>
        <w:t> </w:t>
      </w:r>
      <w:r>
        <w:rPr>
          <w:vertAlign w:val="baseline"/>
        </w:rPr>
        <w:t>Hence</w:t>
      </w:r>
      <w:r>
        <w:rPr>
          <w:spacing w:val="-1"/>
          <w:vertAlign w:val="baseline"/>
        </w:rPr>
        <w:t> </w:t>
      </w:r>
      <w:r>
        <w:rPr>
          <w:vertAlign w:val="baseline"/>
        </w:rPr>
        <w:t>only</w:t>
      </w:r>
      <w:r>
        <w:rPr>
          <w:spacing w:val="-1"/>
          <w:vertAlign w:val="baseline"/>
        </w:rPr>
        <w:t> </w:t>
      </w:r>
      <w:r>
        <w:rPr>
          <w:vertAlign w:val="baseline"/>
        </w:rPr>
        <w:t>“very</w:t>
      </w:r>
      <w:r>
        <w:rPr>
          <w:spacing w:val="-1"/>
          <w:vertAlign w:val="baseline"/>
        </w:rPr>
        <w:t> </w:t>
      </w:r>
      <w:r>
        <w:rPr>
          <w:vertAlign w:val="baseline"/>
        </w:rPr>
        <w:t>clear</w:t>
      </w:r>
      <w:r>
        <w:rPr>
          <w:spacing w:val="-1"/>
          <w:vertAlign w:val="baseline"/>
        </w:rPr>
        <w:t> </w:t>
      </w:r>
      <w:r>
        <w:rPr>
          <w:vertAlign w:val="baseline"/>
        </w:rPr>
        <w:t>and</w:t>
      </w:r>
      <w:r>
        <w:rPr>
          <w:spacing w:val="-1"/>
          <w:vertAlign w:val="baseline"/>
        </w:rPr>
        <w:t> </w:t>
      </w:r>
      <w:r>
        <w:rPr>
          <w:vertAlign w:val="baseline"/>
        </w:rPr>
        <w:t>specific</w:t>
      </w:r>
      <w:r>
        <w:rPr>
          <w:spacing w:val="-1"/>
          <w:vertAlign w:val="baseline"/>
        </w:rPr>
        <w:t> </w:t>
      </w:r>
      <w:r>
        <w:rPr>
          <w:vertAlign w:val="baseline"/>
        </w:rPr>
        <w:t>language</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settlement</w:t>
      </w:r>
      <w:r>
        <w:rPr>
          <w:spacing w:val="-1"/>
          <w:vertAlign w:val="baseline"/>
        </w:rPr>
        <w:t> </w:t>
      </w:r>
      <w:r>
        <w:rPr>
          <w:vertAlign w:val="baseline"/>
        </w:rPr>
        <w:t>agreement”</w:t>
      </w:r>
      <w:r>
        <w:rPr>
          <w:spacing w:val="-3"/>
          <w:vertAlign w:val="baseline"/>
        </w:rPr>
        <w:t> </w:t>
      </w:r>
      <w:r>
        <w:rPr>
          <w:color w:val="005DA1"/>
          <w:u w:val="single" w:color="005DA1"/>
          <w:vertAlign w:val="superscript"/>
        </w:rPr>
        <w:t>292</w:t>
      </w:r>
      <w:r>
        <w:rPr>
          <w:color w:val="005DA1"/>
          <w:spacing w:val="-2"/>
          <w:vertAlign w:val="baseline"/>
        </w:rPr>
        <w:t> </w:t>
      </w:r>
      <w:r>
        <w:rPr>
          <w:vertAlign w:val="baseline"/>
        </w:rPr>
        <w:t>will</w:t>
      </w:r>
      <w:r>
        <w:rPr>
          <w:spacing w:val="-1"/>
          <w:vertAlign w:val="baseline"/>
        </w:rPr>
        <w:t> </w:t>
      </w:r>
      <w:r>
        <w:rPr>
          <w:vertAlign w:val="baseline"/>
        </w:rPr>
        <w:t>cover</w:t>
      </w:r>
      <w:r>
        <w:rPr>
          <w:spacing w:val="-1"/>
          <w:vertAlign w:val="baseline"/>
        </w:rPr>
        <w:t> </w:t>
      </w:r>
      <w:r>
        <w:rPr>
          <w:vertAlign w:val="baseline"/>
        </w:rPr>
        <w:t>such</w:t>
      </w:r>
      <w:r>
        <w:rPr>
          <w:spacing w:val="-1"/>
          <w:vertAlign w:val="baseline"/>
        </w:rPr>
        <w:t> </w:t>
      </w:r>
      <w:r>
        <w:rPr>
          <w:vertAlign w:val="baseline"/>
        </w:rPr>
        <w:t>claims.</w:t>
      </w:r>
    </w:p>
    <w:p>
      <w:pPr>
        <w:pStyle w:val="BodyText"/>
      </w:pPr>
    </w:p>
    <w:p>
      <w:pPr>
        <w:pStyle w:val="BodyText"/>
        <w:spacing w:before="33"/>
      </w:pPr>
    </w:p>
    <w:p>
      <w:pPr>
        <w:spacing w:before="1"/>
        <w:ind w:left="165" w:right="0" w:firstLine="0"/>
        <w:jc w:val="left"/>
        <w:rPr>
          <w:rFonts w:ascii="Arial"/>
          <w:b/>
          <w:sz w:val="18"/>
        </w:rPr>
      </w:pPr>
      <w:r>
        <w:rPr>
          <w:rFonts w:ascii="Arial"/>
          <w:b/>
          <w:sz w:val="18"/>
        </w:rPr>
        <w:t>Other grounds for </w:t>
      </w:r>
      <w:r>
        <w:rPr>
          <w:rFonts w:ascii="Arial"/>
          <w:b/>
          <w:spacing w:val="-2"/>
          <w:sz w:val="18"/>
        </w:rPr>
        <w:t>relief</w:t>
      </w:r>
    </w:p>
    <w:p>
      <w:pPr>
        <w:spacing w:after="0"/>
        <w:jc w:val="left"/>
        <w:rPr>
          <w:rFonts w:ascii="Arial"/>
          <w:b/>
          <w:sz w:val="18"/>
        </w:rPr>
        <w:sectPr>
          <w:pgSz w:w="11900" w:h="16840"/>
          <w:pgMar w:header="971" w:footer="0" w:top="1160" w:bottom="280" w:left="1275" w:right="1275"/>
        </w:sectPr>
      </w:pPr>
    </w:p>
    <w:p>
      <w:pPr>
        <w:pStyle w:val="BodyText"/>
        <w:spacing w:before="130"/>
        <w:rPr>
          <w:rFonts w:ascii="Arial"/>
          <w:b/>
          <w:sz w:val="24"/>
        </w:rPr>
      </w:pPr>
    </w:p>
    <w:p>
      <w:pPr>
        <w:pStyle w:val="Heading2"/>
      </w:pPr>
      <w:r>
        <w:rPr/>
        <w:t>4-</w:t>
      </w:r>
      <w:r>
        <w:rPr>
          <w:spacing w:val="-5"/>
        </w:rPr>
        <w:t>050</w:t>
      </w:r>
    </w:p>
    <w:p>
      <w:pPr>
        <w:pStyle w:val="BodyText"/>
        <w:spacing w:line="235" w:lineRule="auto" w:before="203"/>
        <w:ind w:left="164" w:right="167"/>
        <w:jc w:val="both"/>
      </w:pPr>
      <w:r>
        <w:rPr/>
        <w:t>The crucial point in </w:t>
      </w:r>
      <w:r>
        <w:rPr>
          <w:rFonts w:ascii="Arial" w:hAnsi="Arial"/>
          <w:i/>
        </w:rPr>
        <w:t>Ali’s </w:t>
      </w:r>
      <w:r>
        <w:rPr/>
        <w:t>case (above, para.4-049) seems to have been that </w:t>
      </w:r>
      <w:r>
        <w:rPr>
          <w:rFonts w:ascii="Arial" w:hAnsi="Arial"/>
          <w:i/>
        </w:rPr>
        <w:t>neither </w:t>
      </w:r>
      <w:r>
        <w:rPr/>
        <w:t>party could have been</w:t>
      </w:r>
      <w:r>
        <w:rPr>
          <w:spacing w:val="-1"/>
        </w:rPr>
        <w:t> </w:t>
      </w:r>
      <w:r>
        <w:rPr/>
        <w:t>aware</w:t>
      </w:r>
      <w:r>
        <w:rPr>
          <w:spacing w:val="-1"/>
        </w:rPr>
        <w:t> </w:t>
      </w:r>
      <w:r>
        <w:rPr/>
        <w:t>of</w:t>
      </w:r>
      <w:r>
        <w:rPr>
          <w:spacing w:val="-1"/>
        </w:rPr>
        <w:t> </w:t>
      </w:r>
      <w:r>
        <w:rPr/>
        <w:t>the</w:t>
      </w:r>
      <w:r>
        <w:rPr>
          <w:spacing w:val="-1"/>
        </w:rPr>
        <w:t> </w:t>
      </w:r>
      <w:r>
        <w:rPr/>
        <w:t>possibility</w:t>
      </w:r>
      <w:r>
        <w:rPr>
          <w:spacing w:val="-1"/>
        </w:rPr>
        <w:t> </w:t>
      </w:r>
      <w:r>
        <w:rPr/>
        <w:t>that</w:t>
      </w:r>
      <w:r>
        <w:rPr>
          <w:spacing w:val="-1"/>
        </w:rPr>
        <w:t> </w:t>
      </w:r>
      <w:r>
        <w:rPr/>
        <w:t>the</w:t>
      </w:r>
      <w:r>
        <w:rPr>
          <w:spacing w:val="-1"/>
        </w:rPr>
        <w:t> </w:t>
      </w:r>
      <w:r>
        <w:rPr/>
        <w:t>employee</w:t>
      </w:r>
      <w:r>
        <w:rPr>
          <w:spacing w:val="-1"/>
        </w:rPr>
        <w:t> </w:t>
      </w:r>
      <w:r>
        <w:rPr/>
        <w:t>might,</w:t>
      </w:r>
      <w:r>
        <w:rPr>
          <w:spacing w:val="-1"/>
        </w:rPr>
        <w:t> </w:t>
      </w:r>
      <w:r>
        <w:rPr/>
        <w:t>in</w:t>
      </w:r>
      <w:r>
        <w:rPr>
          <w:spacing w:val="-1"/>
        </w:rPr>
        <w:t> </w:t>
      </w:r>
      <w:r>
        <w:rPr/>
        <w:t>law,</w:t>
      </w:r>
      <w:r>
        <w:rPr>
          <w:spacing w:val="-1"/>
        </w:rPr>
        <w:t> </w:t>
      </w:r>
      <w:r>
        <w:rPr/>
        <w:t>have</w:t>
      </w:r>
      <w:r>
        <w:rPr>
          <w:spacing w:val="-1"/>
        </w:rPr>
        <w:t> </w:t>
      </w:r>
      <w:r>
        <w:rPr/>
        <w:t>had</w:t>
      </w:r>
      <w:r>
        <w:rPr>
          <w:spacing w:val="-1"/>
        </w:rPr>
        <w:t> </w:t>
      </w:r>
      <w:r>
        <w:rPr/>
        <w:t>a</w:t>
      </w:r>
      <w:r>
        <w:rPr>
          <w:spacing w:val="-1"/>
        </w:rPr>
        <w:t> </w:t>
      </w:r>
      <w:r>
        <w:rPr/>
        <w:t>claim</w:t>
      </w:r>
      <w:r>
        <w:rPr>
          <w:spacing w:val="-1"/>
        </w:rPr>
        <w:t> </w:t>
      </w:r>
      <w:r>
        <w:rPr/>
        <w:t>for</w:t>
      </w:r>
      <w:r>
        <w:rPr>
          <w:spacing w:val="-1"/>
        </w:rPr>
        <w:t> </w:t>
      </w:r>
      <w:r>
        <w:rPr/>
        <w:t>stigma</w:t>
      </w:r>
      <w:r>
        <w:rPr>
          <w:spacing w:val="-1"/>
        </w:rPr>
        <w:t> </w:t>
      </w:r>
      <w:r>
        <w:rPr/>
        <w:t>damages.</w:t>
      </w:r>
      <w:r>
        <w:rPr>
          <w:spacing w:val="-1"/>
        </w:rPr>
        <w:t> </w:t>
      </w:r>
      <w:r>
        <w:rPr/>
        <w:t>If the </w:t>
      </w:r>
      <w:r>
        <w:rPr>
          <w:rFonts w:ascii="Arial" w:hAnsi="Arial"/>
          <w:i/>
        </w:rPr>
        <w:t>employer </w:t>
      </w:r>
      <w:r>
        <w:rPr/>
        <w:t>had been aware of this possibility, it is far from clear that the employee would have succeeded on the issue of </w:t>
      </w:r>
      <w:r>
        <w:rPr>
          <w:rFonts w:ascii="Arial" w:hAnsi="Arial"/>
          <w:i/>
        </w:rPr>
        <w:t>construction</w:t>
      </w:r>
      <w:r>
        <w:rPr/>
        <w:t>. There is, however, the further possibility that the amount of a settlement may be affected by the fact that “the party to whom the release was given [B] knew that</w:t>
      </w:r>
      <w:r>
        <w:rPr>
          <w:spacing w:val="80"/>
        </w:rPr>
        <w:t> </w:t>
      </w:r>
      <w:bookmarkStart w:name="_bookmark533" w:id="535"/>
      <w:bookmarkEnd w:id="535"/>
      <w:r>
        <w:rPr/>
        <w:t>the</w:t>
      </w:r>
      <w:r>
        <w:rPr/>
        <w:t> other party [A] had or might have a claim [beyond the one he thought he was releasing] </w:t>
      </w:r>
      <w:r>
        <w:rPr>
          <w:rFonts w:ascii="Arial" w:hAnsi="Arial"/>
          <w:i/>
        </w:rPr>
        <w:t>and knew </w:t>
      </w:r>
      <w:bookmarkStart w:name="_bookmark534" w:id="536"/>
      <w:bookmarkEnd w:id="536"/>
      <w:r>
        <w:rPr>
          <w:rFonts w:ascii="Arial" w:hAnsi="Arial"/>
          <w:i/>
        </w:rPr>
        <w:t>also</w:t>
      </w:r>
      <w:r>
        <w:rPr>
          <w:rFonts w:ascii="Arial" w:hAnsi="Arial"/>
          <w:i/>
        </w:rPr>
        <w:t> </w:t>
      </w:r>
      <w:r>
        <w:rPr/>
        <w:t>that the other party was ignorant of this.” </w:t>
      </w:r>
      <w:r>
        <w:rPr>
          <w:color w:val="005DA1"/>
          <w:u w:val="single" w:color="005DA1"/>
          <w:vertAlign w:val="superscript"/>
        </w:rPr>
        <w:t>293</w:t>
      </w:r>
      <w:r>
        <w:rPr>
          <w:color w:val="005DA1"/>
          <w:vertAlign w:val="baseline"/>
        </w:rPr>
        <w:t> </w:t>
      </w:r>
      <w:r>
        <w:rPr>
          <w:vertAlign w:val="baseline"/>
        </w:rPr>
        <w:t>B’s taking the release “without disclosing the </w:t>
      </w:r>
      <w:bookmarkStart w:name="_bookmark535" w:id="537"/>
      <w:bookmarkEnd w:id="537"/>
      <w:r>
        <w:rPr>
          <w:vertAlign w:val="baseline"/>
        </w:rPr>
        <w:t>existence</w:t>
      </w:r>
      <w:r>
        <w:rPr>
          <w:vertAlign w:val="baseline"/>
        </w:rPr>
        <w:t> of the claim or possible claim” would then be “unacceptable sharp practice” </w:t>
      </w:r>
      <w:r>
        <w:rPr>
          <w:color w:val="005DA1"/>
          <w:u w:val="single" w:color="005DA1"/>
          <w:vertAlign w:val="superscript"/>
        </w:rPr>
        <w:t>294</w:t>
      </w:r>
      <w:r>
        <w:rPr>
          <w:color w:val="005DA1"/>
          <w:vertAlign w:val="baseline"/>
        </w:rPr>
        <w:t> </w:t>
      </w:r>
      <w:r>
        <w:rPr>
          <w:vertAlign w:val="baseline"/>
        </w:rPr>
        <w:t>and there is judicial support for the view that the law should on this ground grant relief to A, </w:t>
      </w:r>
      <w:r>
        <w:rPr>
          <w:color w:val="005DA1"/>
          <w:u w:val="single" w:color="005DA1"/>
          <w:vertAlign w:val="superscript"/>
        </w:rPr>
        <w:t>295</w:t>
      </w:r>
      <w:r>
        <w:rPr>
          <w:color w:val="005DA1"/>
          <w:vertAlign w:val="baseline"/>
        </w:rPr>
        <w:t> </w:t>
      </w:r>
      <w:r>
        <w:rPr>
          <w:vertAlign w:val="baseline"/>
        </w:rPr>
        <w:t>i.e. allow him to pursue the claim which he had unwittingly abandoned.</w:t>
      </w:r>
    </w:p>
    <w:p>
      <w:pPr>
        <w:pStyle w:val="BodyText"/>
      </w:pPr>
    </w:p>
    <w:p>
      <w:pPr>
        <w:pStyle w:val="BodyText"/>
        <w:spacing w:before="36"/>
      </w:pPr>
      <w:r>
        <w:rPr/>
        <mc:AlternateContent>
          <mc:Choice Requires="wps">
            <w:drawing>
              <wp:anchor distT="0" distB="0" distL="0" distR="0" allowOverlap="1" layoutInCell="1" locked="0" behindDoc="1" simplePos="0" relativeHeight="487609344">
                <wp:simplePos x="0" y="0"/>
                <wp:positionH relativeFrom="page">
                  <wp:posOffset>914400</wp:posOffset>
                </wp:positionH>
                <wp:positionV relativeFrom="paragraph">
                  <wp:posOffset>184195</wp:posOffset>
                </wp:positionV>
                <wp:extent cx="5724525"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03578pt;width:450.75pt;height:.1pt;mso-position-horizontal-relative:page;mso-position-vertical-relative:paragraph;z-index:-15707136;mso-wrap-distance-left:0;mso-wrap-distance-right:0" id="docshape25" coordorigin="1440,290" coordsize="9015,0" path="m1440,290l10454,290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176512">
                <wp:simplePos x="0" y="0"/>
                <wp:positionH relativeFrom="page">
                  <wp:posOffset>914400</wp:posOffset>
                </wp:positionH>
                <wp:positionV relativeFrom="paragraph">
                  <wp:posOffset>97116</wp:posOffset>
                </wp:positionV>
                <wp:extent cx="4953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9968"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536" w:id="538"/>
      <w:bookmarkEnd w:id="538"/>
      <w:r>
        <w:rPr/>
      </w:r>
      <w:hyperlink w:history="true" w:anchor="_bookmark520">
        <w:r>
          <w:rPr>
            <w:color w:val="005DA1"/>
            <w:spacing w:val="-4"/>
            <w:position w:val="5"/>
            <w:sz w:val="14"/>
            <w:u w:val="single" w:color="005DA1"/>
          </w:rPr>
          <w:t>279</w:t>
        </w:r>
      </w:hyperlink>
      <w:r>
        <w:rPr>
          <w:spacing w:val="-4"/>
          <w:position w:val="5"/>
          <w:sz w:val="14"/>
        </w:rPr>
        <w:t>.</w:t>
      </w:r>
      <w:r>
        <w:rPr>
          <w:position w:val="5"/>
          <w:sz w:val="14"/>
        </w:rPr>
        <w:tab/>
      </w:r>
      <w:r>
        <w:rPr>
          <w:sz w:val="20"/>
        </w:rPr>
        <w:t>See</w:t>
      </w:r>
      <w:r>
        <w:rPr>
          <w:spacing w:val="19"/>
          <w:sz w:val="20"/>
        </w:rPr>
        <w:t> </w:t>
      </w:r>
      <w:r>
        <w:rPr>
          <w:rFonts w:ascii="Arial"/>
          <w:i/>
          <w:sz w:val="20"/>
        </w:rPr>
        <w:t>Pullin</w:t>
      </w:r>
      <w:r>
        <w:rPr>
          <w:rFonts w:ascii="Arial"/>
          <w:i/>
          <w:spacing w:val="22"/>
          <w:sz w:val="20"/>
        </w:rPr>
        <w:t> </w:t>
      </w:r>
      <w:r>
        <w:rPr>
          <w:rFonts w:ascii="Arial"/>
          <w:i/>
          <w:sz w:val="20"/>
        </w:rPr>
        <w:t>v</w:t>
      </w:r>
      <w:r>
        <w:rPr>
          <w:rFonts w:ascii="Arial"/>
          <w:i/>
          <w:spacing w:val="22"/>
          <w:sz w:val="20"/>
        </w:rPr>
        <w:t> </w:t>
      </w:r>
      <w:r>
        <w:rPr>
          <w:rFonts w:ascii="Arial"/>
          <w:i/>
          <w:sz w:val="20"/>
        </w:rPr>
        <w:t>Stokes</w:t>
      </w:r>
      <w:r>
        <w:rPr>
          <w:rFonts w:ascii="Arial"/>
          <w:i/>
          <w:spacing w:val="22"/>
          <w:sz w:val="20"/>
        </w:rPr>
        <w:t> </w:t>
      </w:r>
      <w:r>
        <w:rPr>
          <w:rFonts w:ascii="Arial"/>
          <w:i/>
          <w:sz w:val="20"/>
        </w:rPr>
        <w:t>(1794)</w:t>
      </w:r>
      <w:r>
        <w:rPr>
          <w:rFonts w:ascii="Arial"/>
          <w:i/>
          <w:spacing w:val="22"/>
          <w:sz w:val="20"/>
        </w:rPr>
        <w:t> </w:t>
      </w:r>
      <w:r>
        <w:rPr>
          <w:rFonts w:ascii="Arial"/>
          <w:i/>
          <w:sz w:val="20"/>
        </w:rPr>
        <w:t>2</w:t>
      </w:r>
      <w:r>
        <w:rPr>
          <w:rFonts w:ascii="Arial"/>
          <w:i/>
          <w:spacing w:val="22"/>
          <w:sz w:val="20"/>
        </w:rPr>
        <w:t> </w:t>
      </w:r>
      <w:r>
        <w:rPr>
          <w:rFonts w:ascii="Arial"/>
          <w:i/>
          <w:sz w:val="20"/>
        </w:rPr>
        <w:t>H.Bl.</w:t>
      </w:r>
      <w:r>
        <w:rPr>
          <w:rFonts w:ascii="Arial"/>
          <w:i/>
          <w:spacing w:val="22"/>
          <w:sz w:val="20"/>
        </w:rPr>
        <w:t> </w:t>
      </w:r>
      <w:r>
        <w:rPr>
          <w:rFonts w:ascii="Arial"/>
          <w:i/>
          <w:sz w:val="20"/>
        </w:rPr>
        <w:t>312</w:t>
      </w:r>
      <w:r>
        <w:rPr>
          <w:sz w:val="20"/>
        </w:rPr>
        <w:t>;</w:t>
      </w:r>
      <w:r>
        <w:rPr>
          <w:spacing w:val="22"/>
          <w:sz w:val="20"/>
        </w:rPr>
        <w:t> </w:t>
      </w:r>
      <w:r>
        <w:rPr>
          <w:rFonts w:ascii="Arial"/>
          <w:i/>
          <w:sz w:val="20"/>
        </w:rPr>
        <w:t>Smith</w:t>
      </w:r>
      <w:r>
        <w:rPr>
          <w:rFonts w:ascii="Arial"/>
          <w:i/>
          <w:spacing w:val="22"/>
          <w:sz w:val="20"/>
        </w:rPr>
        <w:t> </w:t>
      </w:r>
      <w:r>
        <w:rPr>
          <w:rFonts w:ascii="Arial"/>
          <w:i/>
          <w:sz w:val="20"/>
        </w:rPr>
        <w:t>v</w:t>
      </w:r>
      <w:r>
        <w:rPr>
          <w:rFonts w:ascii="Arial"/>
          <w:i/>
          <w:spacing w:val="21"/>
          <w:sz w:val="20"/>
        </w:rPr>
        <w:t> </w:t>
      </w:r>
      <w:r>
        <w:rPr>
          <w:rFonts w:ascii="Arial"/>
          <w:i/>
          <w:sz w:val="20"/>
        </w:rPr>
        <w:t>Algar</w:t>
      </w:r>
      <w:r>
        <w:rPr>
          <w:rFonts w:ascii="Arial"/>
          <w:i/>
          <w:spacing w:val="22"/>
          <w:sz w:val="20"/>
        </w:rPr>
        <w:t> </w:t>
      </w:r>
      <w:r>
        <w:rPr>
          <w:rFonts w:ascii="Arial"/>
          <w:i/>
          <w:sz w:val="20"/>
        </w:rPr>
        <w:t>(1830)</w:t>
      </w:r>
      <w:r>
        <w:rPr>
          <w:rFonts w:ascii="Arial"/>
          <w:i/>
          <w:spacing w:val="22"/>
          <w:sz w:val="20"/>
        </w:rPr>
        <w:t> </w:t>
      </w:r>
      <w:r>
        <w:rPr>
          <w:rFonts w:ascii="Arial"/>
          <w:i/>
          <w:sz w:val="20"/>
        </w:rPr>
        <w:t>1</w:t>
      </w:r>
      <w:r>
        <w:rPr>
          <w:rFonts w:ascii="Arial"/>
          <w:i/>
          <w:spacing w:val="22"/>
          <w:sz w:val="20"/>
        </w:rPr>
        <w:t> </w:t>
      </w:r>
      <w:r>
        <w:rPr>
          <w:rFonts w:ascii="Arial"/>
          <w:i/>
          <w:sz w:val="20"/>
        </w:rPr>
        <w:t>B.</w:t>
      </w:r>
      <w:r>
        <w:rPr>
          <w:rFonts w:ascii="Arial"/>
          <w:i/>
          <w:spacing w:val="22"/>
          <w:sz w:val="20"/>
        </w:rPr>
        <w:t> </w:t>
      </w:r>
      <w:r>
        <w:rPr>
          <w:rFonts w:ascii="Arial"/>
          <w:i/>
          <w:sz w:val="20"/>
        </w:rPr>
        <w:t>&amp;</w:t>
      </w:r>
      <w:r>
        <w:rPr>
          <w:rFonts w:ascii="Arial"/>
          <w:i/>
          <w:spacing w:val="22"/>
          <w:sz w:val="20"/>
        </w:rPr>
        <w:t> </w:t>
      </w:r>
      <w:r>
        <w:rPr>
          <w:rFonts w:ascii="Arial"/>
          <w:i/>
          <w:sz w:val="20"/>
        </w:rPr>
        <w:t>Ad.</w:t>
      </w:r>
      <w:r>
        <w:rPr>
          <w:rFonts w:ascii="Arial"/>
          <w:i/>
          <w:spacing w:val="22"/>
          <w:sz w:val="20"/>
        </w:rPr>
        <w:t> </w:t>
      </w:r>
      <w:r>
        <w:rPr>
          <w:rFonts w:ascii="Arial"/>
          <w:i/>
          <w:sz w:val="20"/>
        </w:rPr>
        <w:t>603</w:t>
      </w:r>
      <w:r>
        <w:rPr>
          <w:sz w:val="20"/>
        </w:rPr>
        <w:t>;</w:t>
      </w:r>
      <w:r>
        <w:rPr>
          <w:spacing w:val="22"/>
          <w:sz w:val="20"/>
        </w:rPr>
        <w:t> </w:t>
      </w:r>
      <w:r>
        <w:rPr>
          <w:rFonts w:ascii="Arial"/>
          <w:i/>
          <w:sz w:val="20"/>
        </w:rPr>
        <w:t>Morton</w:t>
      </w:r>
      <w:r>
        <w:rPr>
          <w:rFonts w:ascii="Arial"/>
          <w:i/>
          <w:spacing w:val="22"/>
          <w:sz w:val="20"/>
        </w:rPr>
        <w:t> </w:t>
      </w:r>
      <w:r>
        <w:rPr>
          <w:rFonts w:ascii="Arial"/>
          <w:i/>
          <w:sz w:val="20"/>
        </w:rPr>
        <w:t>v</w:t>
      </w:r>
      <w:r>
        <w:rPr>
          <w:rFonts w:ascii="Arial"/>
          <w:i/>
          <w:spacing w:val="22"/>
          <w:sz w:val="20"/>
        </w:rPr>
        <w:t> </w:t>
      </w:r>
      <w:r>
        <w:rPr>
          <w:rFonts w:ascii="Arial"/>
          <w:i/>
          <w:spacing w:val="-4"/>
          <w:sz w:val="20"/>
        </w:rPr>
        <w:t>Burn</w:t>
      </w:r>
    </w:p>
    <w:p>
      <w:pPr>
        <w:spacing w:line="225" w:lineRule="exact" w:before="0"/>
        <w:ind w:left="0" w:right="168" w:firstLine="0"/>
        <w:jc w:val="right"/>
        <w:rPr>
          <w:sz w:val="20"/>
        </w:rPr>
      </w:pPr>
      <w:r>
        <w:rPr>
          <w:rFonts w:ascii="Arial"/>
          <w:i/>
          <w:sz w:val="20"/>
        </w:rPr>
        <w:t>(1837)</w:t>
      </w:r>
      <w:r>
        <w:rPr>
          <w:rFonts w:ascii="Arial"/>
          <w:i/>
          <w:spacing w:val="-1"/>
          <w:sz w:val="20"/>
        </w:rPr>
        <w:t> </w:t>
      </w:r>
      <w:r>
        <w:rPr>
          <w:rFonts w:ascii="Arial"/>
          <w:i/>
          <w:sz w:val="20"/>
        </w:rPr>
        <w:t>7 A. &amp; E. 19</w:t>
      </w:r>
      <w:r>
        <w:rPr>
          <w:sz w:val="20"/>
        </w:rPr>
        <w:t>; </w:t>
      </w:r>
      <w:r>
        <w:rPr>
          <w:rFonts w:ascii="Arial"/>
          <w:i/>
          <w:sz w:val="20"/>
        </w:rPr>
        <w:t>Coles v Pack (1869) L.R.</w:t>
      </w:r>
      <w:r>
        <w:rPr>
          <w:rFonts w:ascii="Arial"/>
          <w:i/>
          <w:spacing w:val="-1"/>
          <w:sz w:val="20"/>
        </w:rPr>
        <w:t> </w:t>
      </w:r>
      <w:r>
        <w:rPr>
          <w:rFonts w:ascii="Arial"/>
          <w:i/>
          <w:sz w:val="20"/>
        </w:rPr>
        <w:t>5 C.P. 65</w:t>
      </w:r>
      <w:r>
        <w:rPr>
          <w:sz w:val="20"/>
        </w:rPr>
        <w:t>; </w:t>
      </w:r>
      <w:r>
        <w:rPr>
          <w:rFonts w:ascii="Arial"/>
          <w:i/>
          <w:sz w:val="20"/>
        </w:rPr>
        <w:t>Crears v Hunter (1887) 19 Q.B.D. </w:t>
      </w:r>
      <w:r>
        <w:rPr>
          <w:rFonts w:ascii="Arial"/>
          <w:i/>
          <w:spacing w:val="-4"/>
          <w:sz w:val="20"/>
        </w:rPr>
        <w:t>341</w:t>
      </w:r>
      <w:r>
        <w:rPr>
          <w:spacing w:val="-4"/>
          <w:sz w:val="20"/>
        </w:rPr>
        <w:t>;</w:t>
      </w:r>
    </w:p>
    <w:p>
      <w:pPr>
        <w:spacing w:line="225" w:lineRule="exact" w:before="0"/>
        <w:ind w:left="0" w:right="168" w:firstLine="0"/>
        <w:jc w:val="right"/>
        <w:rPr>
          <w:rFonts w:ascii="Arial"/>
          <w:i/>
          <w:sz w:val="20"/>
        </w:rPr>
      </w:pPr>
      <w:r>
        <w:rPr>
          <w:rFonts w:ascii="Arial"/>
          <w:i/>
          <w:sz w:val="20"/>
        </w:rPr>
        <w:t>Greene</w:t>
      </w:r>
      <w:r>
        <w:rPr>
          <w:rFonts w:ascii="Arial"/>
          <w:i/>
          <w:spacing w:val="6"/>
          <w:sz w:val="20"/>
        </w:rPr>
        <w:t> </w:t>
      </w:r>
      <w:r>
        <w:rPr>
          <w:rFonts w:ascii="Arial"/>
          <w:i/>
          <w:sz w:val="20"/>
        </w:rPr>
        <w:t>v</w:t>
      </w:r>
      <w:r>
        <w:rPr>
          <w:rFonts w:ascii="Arial"/>
          <w:i/>
          <w:spacing w:val="7"/>
          <w:sz w:val="20"/>
        </w:rPr>
        <w:t> </w:t>
      </w:r>
      <w:r>
        <w:rPr>
          <w:rFonts w:ascii="Arial"/>
          <w:i/>
          <w:sz w:val="20"/>
        </w:rPr>
        <w:t>Church</w:t>
      </w:r>
      <w:r>
        <w:rPr>
          <w:rFonts w:ascii="Arial"/>
          <w:i/>
          <w:spacing w:val="7"/>
          <w:sz w:val="20"/>
        </w:rPr>
        <w:t> </w:t>
      </w:r>
      <w:r>
        <w:rPr>
          <w:rFonts w:ascii="Arial"/>
          <w:i/>
          <w:sz w:val="20"/>
        </w:rPr>
        <w:t>Commissioners</w:t>
      </w:r>
      <w:r>
        <w:rPr>
          <w:rFonts w:ascii="Arial"/>
          <w:i/>
          <w:spacing w:val="7"/>
          <w:sz w:val="20"/>
        </w:rPr>
        <w:t> </w:t>
      </w:r>
      <w:r>
        <w:rPr>
          <w:rFonts w:ascii="Arial"/>
          <w:i/>
          <w:sz w:val="20"/>
        </w:rPr>
        <w:t>for</w:t>
      </w:r>
      <w:r>
        <w:rPr>
          <w:rFonts w:ascii="Arial"/>
          <w:i/>
          <w:spacing w:val="7"/>
          <w:sz w:val="20"/>
        </w:rPr>
        <w:t> </w:t>
      </w:r>
      <w:r>
        <w:rPr>
          <w:rFonts w:ascii="Arial"/>
          <w:i/>
          <w:sz w:val="20"/>
        </w:rPr>
        <w:t>England</w:t>
      </w:r>
      <w:r>
        <w:rPr>
          <w:rFonts w:ascii="Arial"/>
          <w:i/>
          <w:spacing w:val="7"/>
          <w:sz w:val="20"/>
        </w:rPr>
        <w:t> </w:t>
      </w:r>
      <w:r>
        <w:rPr>
          <w:rFonts w:ascii="Arial"/>
          <w:i/>
          <w:sz w:val="20"/>
        </w:rPr>
        <w:t>[1974]</w:t>
      </w:r>
      <w:r>
        <w:rPr>
          <w:rFonts w:ascii="Arial"/>
          <w:i/>
          <w:spacing w:val="7"/>
          <w:sz w:val="20"/>
        </w:rPr>
        <w:t> </w:t>
      </w:r>
      <w:r>
        <w:rPr>
          <w:rFonts w:ascii="Arial"/>
          <w:i/>
          <w:sz w:val="20"/>
        </w:rPr>
        <w:t>Ch.</w:t>
      </w:r>
      <w:r>
        <w:rPr>
          <w:rFonts w:ascii="Arial"/>
          <w:i/>
          <w:spacing w:val="7"/>
          <w:sz w:val="20"/>
        </w:rPr>
        <w:t> </w:t>
      </w:r>
      <w:r>
        <w:rPr>
          <w:rFonts w:ascii="Arial"/>
          <w:i/>
          <w:sz w:val="20"/>
        </w:rPr>
        <w:t>467</w:t>
      </w:r>
      <w:r>
        <w:rPr>
          <w:sz w:val="20"/>
        </w:rPr>
        <w:t>.</w:t>
      </w:r>
      <w:r>
        <w:rPr>
          <w:spacing w:val="7"/>
          <w:sz w:val="20"/>
        </w:rPr>
        <w:t> </w:t>
      </w:r>
      <w:r>
        <w:rPr>
          <w:sz w:val="20"/>
        </w:rPr>
        <w:t>See</w:t>
      </w:r>
      <w:r>
        <w:rPr>
          <w:spacing w:val="7"/>
          <w:sz w:val="20"/>
        </w:rPr>
        <w:t> </w:t>
      </w:r>
      <w:r>
        <w:rPr>
          <w:sz w:val="20"/>
        </w:rPr>
        <w:t>also</w:t>
      </w:r>
      <w:r>
        <w:rPr>
          <w:spacing w:val="7"/>
          <w:sz w:val="20"/>
        </w:rPr>
        <w:t> </w:t>
      </w:r>
      <w:r>
        <w:rPr>
          <w:rFonts w:ascii="Arial"/>
          <w:i/>
          <w:sz w:val="20"/>
        </w:rPr>
        <w:t>Oliver</w:t>
      </w:r>
      <w:r>
        <w:rPr>
          <w:rFonts w:ascii="Arial"/>
          <w:i/>
          <w:spacing w:val="7"/>
          <w:sz w:val="20"/>
        </w:rPr>
        <w:t> </w:t>
      </w:r>
      <w:r>
        <w:rPr>
          <w:rFonts w:ascii="Arial"/>
          <w:i/>
          <w:sz w:val="20"/>
        </w:rPr>
        <w:t>v</w:t>
      </w:r>
      <w:r>
        <w:rPr>
          <w:rFonts w:ascii="Arial"/>
          <w:i/>
          <w:spacing w:val="7"/>
          <w:sz w:val="20"/>
        </w:rPr>
        <w:t> </w:t>
      </w:r>
      <w:r>
        <w:rPr>
          <w:rFonts w:ascii="Arial"/>
          <w:i/>
          <w:sz w:val="20"/>
        </w:rPr>
        <w:t>Davis</w:t>
      </w:r>
      <w:r>
        <w:rPr>
          <w:rFonts w:ascii="Arial"/>
          <w:i/>
          <w:spacing w:val="7"/>
          <w:sz w:val="20"/>
        </w:rPr>
        <w:t> </w:t>
      </w:r>
      <w:r>
        <w:rPr>
          <w:rFonts w:ascii="Arial"/>
          <w:i/>
          <w:sz w:val="20"/>
        </w:rPr>
        <w:t>[1949]</w:t>
      </w:r>
      <w:r>
        <w:rPr>
          <w:rFonts w:ascii="Arial"/>
          <w:i/>
          <w:spacing w:val="7"/>
          <w:sz w:val="20"/>
        </w:rPr>
        <w:t> </w:t>
      </w:r>
      <w:r>
        <w:rPr>
          <w:rFonts w:ascii="Arial"/>
          <w:i/>
          <w:spacing w:val="-10"/>
          <w:sz w:val="20"/>
        </w:rPr>
        <w:t>2</w:t>
      </w:r>
    </w:p>
    <w:p>
      <w:pPr>
        <w:spacing w:line="235" w:lineRule="auto" w:before="1"/>
        <w:ind w:left="705" w:right="168" w:firstLine="0"/>
        <w:jc w:val="both"/>
        <w:rPr>
          <w:sz w:val="20"/>
        </w:rPr>
      </w:pPr>
      <w:r>
        <w:rPr>
          <w:rFonts w:ascii="Arial" w:hAnsi="Arial"/>
          <w:i/>
          <w:sz w:val="20"/>
        </w:rPr>
        <w:t>K.B. 727</w:t>
      </w:r>
      <w:r>
        <w:rPr>
          <w:sz w:val="20"/>
        </w:rPr>
        <w:t>, especially at 743; </w:t>
      </w:r>
      <w:r>
        <w:rPr>
          <w:rFonts w:ascii="Arial" w:hAnsi="Arial"/>
          <w:i/>
          <w:sz w:val="20"/>
        </w:rPr>
        <w:t>Centrovincial Estates plc v Merchant Investors Assurance Co Ltd, The Times, March 8, 1983 </w:t>
      </w:r>
      <w:r>
        <w:rPr>
          <w:sz w:val="20"/>
        </w:rPr>
        <w:t>(as to which see above para.2-003, n.15); </w:t>
      </w:r>
      <w:r>
        <w:rPr>
          <w:rFonts w:ascii="Arial" w:hAnsi="Arial"/>
          <w:i/>
          <w:sz w:val="20"/>
        </w:rPr>
        <w:t>G.N. Angelakis Co SA v Cie Algérienne de Navigation (The Attika Hope) [1988] 1 Lloyd’s Rep. 439</w:t>
      </w:r>
      <w:r>
        <w:rPr>
          <w:sz w:val="20"/>
        </w:rPr>
        <w:t>; </w:t>
      </w:r>
      <w:r>
        <w:rPr>
          <w:rFonts w:ascii="Arial" w:hAnsi="Arial"/>
          <w:i/>
          <w:sz w:val="20"/>
        </w:rPr>
        <w:t>Haines v Hill [2007] EWCA Civ 1284, [2008] Ch. 412 </w:t>
      </w:r>
      <w:r>
        <w:rPr>
          <w:sz w:val="20"/>
        </w:rPr>
        <w:t>at [79].</w:t>
      </w:r>
    </w:p>
    <w:p>
      <w:pPr>
        <w:pStyle w:val="BodyText"/>
        <w:spacing w:before="9"/>
      </w:pPr>
    </w:p>
    <w:p>
      <w:pPr>
        <w:tabs>
          <w:tab w:pos="705" w:val="left" w:leader="none"/>
        </w:tabs>
        <w:spacing w:line="235" w:lineRule="auto" w:before="0"/>
        <w:ind w:left="705" w:right="168" w:hanging="541"/>
        <w:jc w:val="left"/>
        <w:rPr>
          <w:sz w:val="20"/>
        </w:rPr>
      </w:pPr>
      <w:bookmarkStart w:name="_bookmark537" w:id="539"/>
      <w:bookmarkEnd w:id="539"/>
      <w:r>
        <w:rPr/>
      </w:r>
      <w:hyperlink w:history="true" w:anchor="_bookmark521">
        <w:r>
          <w:rPr>
            <w:color w:val="005DA1"/>
            <w:spacing w:val="-4"/>
            <w:position w:val="5"/>
            <w:sz w:val="14"/>
            <w:u w:val="single" w:color="005DA1"/>
          </w:rPr>
          <w:t>280</w:t>
        </w:r>
      </w:hyperlink>
      <w:r>
        <w:rPr>
          <w:spacing w:val="-4"/>
          <w:position w:val="5"/>
          <w:sz w:val="14"/>
        </w:rPr>
        <w:t>.</w:t>
      </w:r>
      <w:r>
        <w:rPr>
          <w:position w:val="5"/>
          <w:sz w:val="14"/>
        </w:rPr>
        <w:tab/>
      </w:r>
      <w:r>
        <w:rPr>
          <w:rFonts w:ascii="Arial"/>
          <w:i/>
          <w:sz w:val="20"/>
        </w:rPr>
        <w:t>Crowther v Farrer (1850) 15 Q.B. 677</w:t>
      </w:r>
      <w:r>
        <w:rPr>
          <w:sz w:val="20"/>
        </w:rPr>
        <w:t>. It seems to be immaterial whether the proceedings have been commenced or not: see </w:t>
      </w:r>
      <w:r>
        <w:rPr>
          <w:rFonts w:ascii="Arial"/>
          <w:i/>
          <w:sz w:val="20"/>
        </w:rPr>
        <w:t>Wade v Simeon (1846) 2 C.B. 548, 565, 567</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538" w:id="540"/>
      <w:bookmarkEnd w:id="540"/>
      <w:r>
        <w:rPr/>
      </w:r>
      <w:hyperlink w:history="true" w:anchor="_bookmark522">
        <w:r>
          <w:rPr>
            <w:color w:val="005DA1"/>
            <w:spacing w:val="-4"/>
            <w:position w:val="5"/>
            <w:sz w:val="14"/>
            <w:u w:val="single" w:color="005DA1"/>
          </w:rPr>
          <w:t>281</w:t>
        </w:r>
      </w:hyperlink>
      <w:r>
        <w:rPr>
          <w:spacing w:val="-4"/>
          <w:position w:val="5"/>
          <w:sz w:val="14"/>
        </w:rPr>
        <w:t>.</w:t>
      </w:r>
      <w:r>
        <w:rPr>
          <w:position w:val="5"/>
          <w:sz w:val="14"/>
        </w:rPr>
        <w:tab/>
      </w:r>
      <w:r>
        <w:rPr>
          <w:rFonts w:ascii="Arial"/>
          <w:i/>
          <w:sz w:val="20"/>
        </w:rPr>
        <w:t>Willatts</w:t>
      </w:r>
      <w:r>
        <w:rPr>
          <w:rFonts w:ascii="Arial"/>
          <w:i/>
          <w:spacing w:val="7"/>
          <w:sz w:val="20"/>
        </w:rPr>
        <w:t> </w:t>
      </w:r>
      <w:r>
        <w:rPr>
          <w:rFonts w:ascii="Arial"/>
          <w:i/>
          <w:sz w:val="20"/>
        </w:rPr>
        <w:t>v</w:t>
      </w:r>
      <w:r>
        <w:rPr>
          <w:rFonts w:ascii="Arial"/>
          <w:i/>
          <w:spacing w:val="8"/>
          <w:sz w:val="20"/>
        </w:rPr>
        <w:t> </w:t>
      </w:r>
      <w:r>
        <w:rPr>
          <w:rFonts w:ascii="Arial"/>
          <w:i/>
          <w:sz w:val="20"/>
        </w:rPr>
        <w:t>Kennedy</w:t>
      </w:r>
      <w:r>
        <w:rPr>
          <w:rFonts w:ascii="Arial"/>
          <w:i/>
          <w:spacing w:val="8"/>
          <w:sz w:val="20"/>
        </w:rPr>
        <w:t> </w:t>
      </w:r>
      <w:r>
        <w:rPr>
          <w:rFonts w:ascii="Arial"/>
          <w:i/>
          <w:sz w:val="20"/>
        </w:rPr>
        <w:t>(1831)</w:t>
      </w:r>
      <w:r>
        <w:rPr>
          <w:rFonts w:ascii="Arial"/>
          <w:i/>
          <w:spacing w:val="8"/>
          <w:sz w:val="20"/>
        </w:rPr>
        <w:t> </w:t>
      </w:r>
      <w:r>
        <w:rPr>
          <w:rFonts w:ascii="Arial"/>
          <w:i/>
          <w:sz w:val="20"/>
        </w:rPr>
        <w:t>8</w:t>
      </w:r>
      <w:r>
        <w:rPr>
          <w:rFonts w:ascii="Arial"/>
          <w:i/>
          <w:spacing w:val="8"/>
          <w:sz w:val="20"/>
        </w:rPr>
        <w:t> </w:t>
      </w:r>
      <w:r>
        <w:rPr>
          <w:rFonts w:ascii="Arial"/>
          <w:i/>
          <w:sz w:val="20"/>
        </w:rPr>
        <w:t>Bing.</w:t>
      </w:r>
      <w:r>
        <w:rPr>
          <w:rFonts w:ascii="Arial"/>
          <w:i/>
          <w:spacing w:val="8"/>
          <w:sz w:val="20"/>
        </w:rPr>
        <w:t> </w:t>
      </w:r>
      <w:r>
        <w:rPr>
          <w:rFonts w:ascii="Arial"/>
          <w:i/>
          <w:sz w:val="20"/>
        </w:rPr>
        <w:t>5</w:t>
      </w:r>
      <w:r>
        <w:rPr>
          <w:sz w:val="20"/>
        </w:rPr>
        <w:t>;</w:t>
      </w:r>
      <w:r>
        <w:rPr>
          <w:spacing w:val="8"/>
          <w:sz w:val="20"/>
        </w:rPr>
        <w:t> </w:t>
      </w:r>
      <w:r>
        <w:rPr>
          <w:rFonts w:ascii="Arial"/>
          <w:i/>
          <w:sz w:val="20"/>
        </w:rPr>
        <w:t>Morton</w:t>
      </w:r>
      <w:r>
        <w:rPr>
          <w:rFonts w:ascii="Arial"/>
          <w:i/>
          <w:spacing w:val="8"/>
          <w:sz w:val="20"/>
        </w:rPr>
        <w:t> </w:t>
      </w:r>
      <w:r>
        <w:rPr>
          <w:rFonts w:ascii="Arial"/>
          <w:i/>
          <w:sz w:val="20"/>
        </w:rPr>
        <w:t>v</w:t>
      </w:r>
      <w:r>
        <w:rPr>
          <w:rFonts w:ascii="Arial"/>
          <w:i/>
          <w:spacing w:val="8"/>
          <w:sz w:val="20"/>
        </w:rPr>
        <w:t> </w:t>
      </w:r>
      <w:r>
        <w:rPr>
          <w:rFonts w:ascii="Arial"/>
          <w:i/>
          <w:sz w:val="20"/>
        </w:rPr>
        <w:t>Burn</w:t>
      </w:r>
      <w:r>
        <w:rPr>
          <w:rFonts w:ascii="Arial"/>
          <w:i/>
          <w:spacing w:val="7"/>
          <w:sz w:val="20"/>
        </w:rPr>
        <w:t> </w:t>
      </w:r>
      <w:r>
        <w:rPr>
          <w:rFonts w:ascii="Arial"/>
          <w:i/>
          <w:sz w:val="20"/>
        </w:rPr>
        <w:t>(1837)</w:t>
      </w:r>
      <w:r>
        <w:rPr>
          <w:rFonts w:ascii="Arial"/>
          <w:i/>
          <w:spacing w:val="8"/>
          <w:sz w:val="20"/>
        </w:rPr>
        <w:t> </w:t>
      </w:r>
      <w:r>
        <w:rPr>
          <w:rFonts w:ascii="Arial"/>
          <w:i/>
          <w:sz w:val="20"/>
        </w:rPr>
        <w:t>A.</w:t>
      </w:r>
      <w:r>
        <w:rPr>
          <w:rFonts w:ascii="Arial"/>
          <w:i/>
          <w:spacing w:val="8"/>
          <w:sz w:val="20"/>
        </w:rPr>
        <w:t> </w:t>
      </w:r>
      <w:r>
        <w:rPr>
          <w:rFonts w:ascii="Arial"/>
          <w:i/>
          <w:sz w:val="20"/>
        </w:rPr>
        <w:t>&amp;</w:t>
      </w:r>
      <w:r>
        <w:rPr>
          <w:rFonts w:ascii="Arial"/>
          <w:i/>
          <w:spacing w:val="8"/>
          <w:sz w:val="20"/>
        </w:rPr>
        <w:t> </w:t>
      </w:r>
      <w:r>
        <w:rPr>
          <w:rFonts w:ascii="Arial"/>
          <w:i/>
          <w:sz w:val="20"/>
        </w:rPr>
        <w:t>E.</w:t>
      </w:r>
      <w:r>
        <w:rPr>
          <w:rFonts w:ascii="Arial"/>
          <w:i/>
          <w:spacing w:val="8"/>
          <w:sz w:val="20"/>
        </w:rPr>
        <w:t> </w:t>
      </w:r>
      <w:r>
        <w:rPr>
          <w:rFonts w:ascii="Arial"/>
          <w:i/>
          <w:sz w:val="20"/>
        </w:rPr>
        <w:t>19</w:t>
      </w:r>
      <w:r>
        <w:rPr>
          <w:sz w:val="20"/>
        </w:rPr>
        <w:t>;</w:t>
      </w:r>
      <w:r>
        <w:rPr>
          <w:spacing w:val="8"/>
          <w:sz w:val="20"/>
        </w:rPr>
        <w:t> </w:t>
      </w:r>
      <w:r>
        <w:rPr>
          <w:rFonts w:ascii="Arial"/>
          <w:i/>
          <w:sz w:val="20"/>
        </w:rPr>
        <w:t>Board</w:t>
      </w:r>
      <w:r>
        <w:rPr>
          <w:rFonts w:ascii="Arial"/>
          <w:i/>
          <w:spacing w:val="8"/>
          <w:sz w:val="20"/>
        </w:rPr>
        <w:t> </w:t>
      </w:r>
      <w:r>
        <w:rPr>
          <w:rFonts w:ascii="Arial"/>
          <w:i/>
          <w:sz w:val="20"/>
        </w:rPr>
        <w:t>v</w:t>
      </w:r>
      <w:r>
        <w:rPr>
          <w:rFonts w:ascii="Arial"/>
          <w:i/>
          <w:spacing w:val="8"/>
          <w:sz w:val="20"/>
        </w:rPr>
        <w:t> </w:t>
      </w:r>
      <w:r>
        <w:rPr>
          <w:rFonts w:ascii="Arial"/>
          <w:i/>
          <w:sz w:val="20"/>
        </w:rPr>
        <w:t>Hoey</w:t>
      </w:r>
      <w:r>
        <w:rPr>
          <w:rFonts w:ascii="Arial"/>
          <w:i/>
          <w:spacing w:val="8"/>
          <w:sz w:val="20"/>
        </w:rPr>
        <w:t> </w:t>
      </w:r>
      <w:r>
        <w:rPr>
          <w:rFonts w:ascii="Arial"/>
          <w:i/>
          <w:sz w:val="20"/>
        </w:rPr>
        <w:t>(1949)</w:t>
      </w:r>
      <w:r>
        <w:rPr>
          <w:rFonts w:ascii="Arial"/>
          <w:i/>
          <w:spacing w:val="8"/>
          <w:sz w:val="20"/>
        </w:rPr>
        <w:t> </w:t>
      </w:r>
      <w:r>
        <w:rPr>
          <w:rFonts w:ascii="Arial"/>
          <w:i/>
          <w:spacing w:val="-5"/>
          <w:sz w:val="20"/>
        </w:rPr>
        <w:t>65</w:t>
      </w:r>
    </w:p>
    <w:p>
      <w:pPr>
        <w:spacing w:line="227" w:lineRule="exact" w:before="0"/>
        <w:ind w:left="705" w:right="0" w:firstLine="0"/>
        <w:jc w:val="left"/>
        <w:rPr>
          <w:sz w:val="20"/>
        </w:rPr>
      </w:pPr>
      <w:r>
        <w:rPr>
          <w:rFonts w:ascii="Arial"/>
          <w:i/>
          <w:sz w:val="20"/>
        </w:rPr>
        <w:t>T.L.R. </w:t>
      </w:r>
      <w:r>
        <w:rPr>
          <w:rFonts w:ascii="Arial"/>
          <w:i/>
          <w:spacing w:val="-5"/>
          <w:sz w:val="20"/>
        </w:rPr>
        <w:t>43</w:t>
      </w:r>
      <w:r>
        <w:rPr>
          <w:spacing w:val="-5"/>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539" w:id="541"/>
      <w:bookmarkEnd w:id="541"/>
      <w:r>
        <w:rPr/>
      </w:r>
      <w:hyperlink w:history="true" w:anchor="_bookmark523">
        <w:r>
          <w:rPr>
            <w:color w:val="005DA1"/>
            <w:spacing w:val="-4"/>
            <w:position w:val="5"/>
            <w:sz w:val="14"/>
            <w:u w:val="single" w:color="005DA1"/>
          </w:rPr>
          <w:t>282</w:t>
        </w:r>
      </w:hyperlink>
      <w:r>
        <w:rPr>
          <w:spacing w:val="-4"/>
          <w:position w:val="5"/>
          <w:sz w:val="14"/>
        </w:rPr>
        <w:t>.</w:t>
      </w:r>
      <w:r>
        <w:rPr>
          <w:position w:val="5"/>
          <w:sz w:val="14"/>
        </w:rPr>
        <w:tab/>
      </w:r>
      <w:r>
        <w:rPr>
          <w:rFonts w:ascii="Arial"/>
          <w:i/>
          <w:sz w:val="20"/>
        </w:rPr>
        <w:t>Payne</w:t>
      </w:r>
      <w:r>
        <w:rPr>
          <w:rFonts w:ascii="Arial"/>
          <w:i/>
          <w:spacing w:val="30"/>
          <w:sz w:val="20"/>
        </w:rPr>
        <w:t> </w:t>
      </w:r>
      <w:r>
        <w:rPr>
          <w:rFonts w:ascii="Arial"/>
          <w:i/>
          <w:sz w:val="20"/>
        </w:rPr>
        <w:t>v</w:t>
      </w:r>
      <w:r>
        <w:rPr>
          <w:rFonts w:ascii="Arial"/>
          <w:i/>
          <w:spacing w:val="31"/>
          <w:sz w:val="20"/>
        </w:rPr>
        <w:t> </w:t>
      </w:r>
      <w:r>
        <w:rPr>
          <w:rFonts w:ascii="Arial"/>
          <w:i/>
          <w:sz w:val="20"/>
        </w:rPr>
        <w:t>Wilson</w:t>
      </w:r>
      <w:r>
        <w:rPr>
          <w:rFonts w:ascii="Arial"/>
          <w:i/>
          <w:spacing w:val="31"/>
          <w:sz w:val="20"/>
        </w:rPr>
        <w:t> </w:t>
      </w:r>
      <w:r>
        <w:rPr>
          <w:rFonts w:ascii="Arial"/>
          <w:i/>
          <w:sz w:val="20"/>
        </w:rPr>
        <w:t>(1827)</w:t>
      </w:r>
      <w:r>
        <w:rPr>
          <w:rFonts w:ascii="Arial"/>
          <w:i/>
          <w:spacing w:val="31"/>
          <w:sz w:val="20"/>
        </w:rPr>
        <w:t> </w:t>
      </w:r>
      <w:r>
        <w:rPr>
          <w:rFonts w:ascii="Arial"/>
          <w:i/>
          <w:sz w:val="20"/>
        </w:rPr>
        <w:t>7</w:t>
      </w:r>
      <w:r>
        <w:rPr>
          <w:rFonts w:ascii="Arial"/>
          <w:i/>
          <w:spacing w:val="31"/>
          <w:sz w:val="20"/>
        </w:rPr>
        <w:t> </w:t>
      </w:r>
      <w:r>
        <w:rPr>
          <w:rFonts w:ascii="Arial"/>
          <w:i/>
          <w:sz w:val="20"/>
        </w:rPr>
        <w:t>B.</w:t>
      </w:r>
      <w:r>
        <w:rPr>
          <w:rFonts w:ascii="Arial"/>
          <w:i/>
          <w:spacing w:val="31"/>
          <w:sz w:val="20"/>
        </w:rPr>
        <w:t> </w:t>
      </w:r>
      <w:r>
        <w:rPr>
          <w:rFonts w:ascii="Arial"/>
          <w:i/>
          <w:sz w:val="20"/>
        </w:rPr>
        <w:t>&amp;</w:t>
      </w:r>
      <w:r>
        <w:rPr>
          <w:rFonts w:ascii="Arial"/>
          <w:i/>
          <w:spacing w:val="31"/>
          <w:sz w:val="20"/>
        </w:rPr>
        <w:t> </w:t>
      </w:r>
      <w:r>
        <w:rPr>
          <w:rFonts w:ascii="Arial"/>
          <w:i/>
          <w:sz w:val="20"/>
        </w:rPr>
        <w:t>C.</w:t>
      </w:r>
      <w:r>
        <w:rPr>
          <w:rFonts w:ascii="Arial"/>
          <w:i/>
          <w:spacing w:val="31"/>
          <w:sz w:val="20"/>
        </w:rPr>
        <w:t> </w:t>
      </w:r>
      <w:r>
        <w:rPr>
          <w:rFonts w:ascii="Arial"/>
          <w:i/>
          <w:sz w:val="20"/>
        </w:rPr>
        <w:t>423</w:t>
      </w:r>
      <w:r>
        <w:rPr>
          <w:sz w:val="20"/>
        </w:rPr>
        <w:t>;</w:t>
      </w:r>
      <w:r>
        <w:rPr>
          <w:spacing w:val="31"/>
          <w:sz w:val="20"/>
        </w:rPr>
        <w:t> </w:t>
      </w:r>
      <w:r>
        <w:rPr>
          <w:rFonts w:ascii="Arial"/>
          <w:i/>
          <w:sz w:val="20"/>
        </w:rPr>
        <w:t>Oldershaw</w:t>
      </w:r>
      <w:r>
        <w:rPr>
          <w:rFonts w:ascii="Arial"/>
          <w:i/>
          <w:spacing w:val="30"/>
          <w:sz w:val="20"/>
        </w:rPr>
        <w:t> </w:t>
      </w:r>
      <w:r>
        <w:rPr>
          <w:rFonts w:ascii="Arial"/>
          <w:i/>
          <w:sz w:val="20"/>
        </w:rPr>
        <w:t>v</w:t>
      </w:r>
      <w:r>
        <w:rPr>
          <w:rFonts w:ascii="Arial"/>
          <w:i/>
          <w:spacing w:val="31"/>
          <w:sz w:val="20"/>
        </w:rPr>
        <w:t> </w:t>
      </w:r>
      <w:r>
        <w:rPr>
          <w:rFonts w:ascii="Arial"/>
          <w:i/>
          <w:sz w:val="20"/>
        </w:rPr>
        <w:t>King</w:t>
      </w:r>
      <w:r>
        <w:rPr>
          <w:rFonts w:ascii="Arial"/>
          <w:i/>
          <w:spacing w:val="31"/>
          <w:sz w:val="20"/>
        </w:rPr>
        <w:t> </w:t>
      </w:r>
      <w:r>
        <w:rPr>
          <w:rFonts w:ascii="Arial"/>
          <w:i/>
          <w:sz w:val="20"/>
        </w:rPr>
        <w:t>(1857)</w:t>
      </w:r>
      <w:r>
        <w:rPr>
          <w:rFonts w:ascii="Arial"/>
          <w:i/>
          <w:spacing w:val="31"/>
          <w:sz w:val="20"/>
        </w:rPr>
        <w:t> </w:t>
      </w:r>
      <w:r>
        <w:rPr>
          <w:rFonts w:ascii="Arial"/>
          <w:i/>
          <w:sz w:val="20"/>
        </w:rPr>
        <w:t>2</w:t>
      </w:r>
      <w:r>
        <w:rPr>
          <w:rFonts w:ascii="Arial"/>
          <w:i/>
          <w:spacing w:val="31"/>
          <w:sz w:val="20"/>
        </w:rPr>
        <w:t> </w:t>
      </w:r>
      <w:r>
        <w:rPr>
          <w:rFonts w:ascii="Arial"/>
          <w:i/>
          <w:sz w:val="20"/>
        </w:rPr>
        <w:t>H.</w:t>
      </w:r>
      <w:r>
        <w:rPr>
          <w:rFonts w:ascii="Arial"/>
          <w:i/>
          <w:spacing w:val="31"/>
          <w:sz w:val="20"/>
        </w:rPr>
        <w:t> </w:t>
      </w:r>
      <w:r>
        <w:rPr>
          <w:rFonts w:ascii="Arial"/>
          <w:i/>
          <w:sz w:val="20"/>
        </w:rPr>
        <w:t>&amp;</w:t>
      </w:r>
      <w:r>
        <w:rPr>
          <w:rFonts w:ascii="Arial"/>
          <w:i/>
          <w:spacing w:val="31"/>
          <w:sz w:val="20"/>
        </w:rPr>
        <w:t> </w:t>
      </w:r>
      <w:r>
        <w:rPr>
          <w:rFonts w:ascii="Arial"/>
          <w:i/>
          <w:sz w:val="20"/>
        </w:rPr>
        <w:t>N.</w:t>
      </w:r>
      <w:r>
        <w:rPr>
          <w:rFonts w:ascii="Arial"/>
          <w:i/>
          <w:spacing w:val="31"/>
          <w:sz w:val="20"/>
        </w:rPr>
        <w:t> </w:t>
      </w:r>
      <w:r>
        <w:rPr>
          <w:rFonts w:ascii="Arial"/>
          <w:i/>
          <w:sz w:val="20"/>
        </w:rPr>
        <w:t>517</w:t>
      </w:r>
      <w:r>
        <w:rPr>
          <w:sz w:val="20"/>
        </w:rPr>
        <w:t>;</w:t>
      </w:r>
      <w:r>
        <w:rPr>
          <w:spacing w:val="31"/>
          <w:sz w:val="20"/>
        </w:rPr>
        <w:t> </w:t>
      </w:r>
      <w:r>
        <w:rPr>
          <w:rFonts w:ascii="Arial"/>
          <w:i/>
          <w:sz w:val="20"/>
        </w:rPr>
        <w:t>Fullerton</w:t>
      </w:r>
      <w:r>
        <w:rPr>
          <w:rFonts w:ascii="Arial"/>
          <w:i/>
          <w:spacing w:val="31"/>
          <w:sz w:val="20"/>
        </w:rPr>
        <w:t> </w:t>
      </w:r>
      <w:r>
        <w:rPr>
          <w:rFonts w:ascii="Arial"/>
          <w:i/>
          <w:spacing w:val="-10"/>
          <w:sz w:val="20"/>
        </w:rPr>
        <w:t>v</w:t>
      </w:r>
    </w:p>
    <w:p>
      <w:pPr>
        <w:spacing w:line="227" w:lineRule="exact" w:before="0"/>
        <w:ind w:left="705" w:right="0" w:firstLine="0"/>
        <w:jc w:val="left"/>
        <w:rPr>
          <w:sz w:val="20"/>
        </w:rPr>
      </w:pPr>
      <w:r>
        <w:rPr>
          <w:rFonts w:ascii="Arial"/>
          <w:i/>
          <w:sz w:val="20"/>
        </w:rPr>
        <w:t>Provincial Bank of Ireland [1903] A.C. 309, </w:t>
      </w:r>
      <w:r>
        <w:rPr>
          <w:rFonts w:ascii="Arial"/>
          <w:i/>
          <w:spacing w:val="-4"/>
          <w:sz w:val="20"/>
        </w:rPr>
        <w:t>313</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540" w:id="542"/>
      <w:bookmarkEnd w:id="542"/>
      <w:r>
        <w:rPr/>
      </w:r>
      <w:hyperlink w:history="true" w:anchor="_bookmark524">
        <w:r>
          <w:rPr>
            <w:color w:val="005DA1"/>
            <w:spacing w:val="-4"/>
            <w:position w:val="5"/>
            <w:sz w:val="14"/>
            <w:u w:val="single" w:color="005DA1"/>
          </w:rPr>
          <w:t>283</w:t>
        </w:r>
      </w:hyperlink>
      <w:r>
        <w:rPr>
          <w:spacing w:val="-4"/>
          <w:position w:val="5"/>
          <w:sz w:val="14"/>
        </w:rPr>
        <w:t>.</w:t>
      </w:r>
      <w:r>
        <w:rPr>
          <w:position w:val="5"/>
          <w:sz w:val="14"/>
        </w:rPr>
        <w:tab/>
      </w:r>
      <w:r>
        <w:rPr>
          <w:rFonts w:ascii="Arial"/>
          <w:i/>
          <w:sz w:val="20"/>
        </w:rPr>
        <w:t>Mapes v Sidney (1624) Cro.Jac. </w:t>
      </w:r>
      <w:r>
        <w:rPr>
          <w:rFonts w:ascii="Arial"/>
          <w:i/>
          <w:spacing w:val="-4"/>
          <w:sz w:val="20"/>
        </w:rPr>
        <w:t>683</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541" w:id="543"/>
      <w:bookmarkEnd w:id="543"/>
      <w:r>
        <w:rPr/>
      </w:r>
      <w:hyperlink w:history="true" w:anchor="_bookmark525">
        <w:r>
          <w:rPr>
            <w:color w:val="005DA1"/>
            <w:spacing w:val="-4"/>
            <w:position w:val="5"/>
            <w:sz w:val="14"/>
            <w:u w:val="single" w:color="005DA1"/>
          </w:rPr>
          <w:t>284</w:t>
        </w:r>
      </w:hyperlink>
      <w:r>
        <w:rPr>
          <w:spacing w:val="-4"/>
          <w:position w:val="5"/>
          <w:sz w:val="14"/>
        </w:rPr>
        <w:t>.</w:t>
      </w:r>
      <w:r>
        <w:rPr>
          <w:position w:val="5"/>
          <w:sz w:val="14"/>
        </w:rPr>
        <w:tab/>
      </w:r>
      <w:r>
        <w:rPr>
          <w:sz w:val="20"/>
        </w:rPr>
        <w:t>See</w:t>
      </w:r>
      <w:r>
        <w:rPr>
          <w:spacing w:val="20"/>
          <w:sz w:val="20"/>
        </w:rPr>
        <w:t> </w:t>
      </w:r>
      <w:r>
        <w:rPr>
          <w:rFonts w:ascii="Arial" w:hAnsi="Arial"/>
          <w:i/>
          <w:sz w:val="20"/>
        </w:rPr>
        <w:t>Banque</w:t>
      </w:r>
      <w:r>
        <w:rPr>
          <w:rFonts w:ascii="Arial" w:hAnsi="Arial"/>
          <w:i/>
          <w:spacing w:val="20"/>
          <w:sz w:val="20"/>
        </w:rPr>
        <w:t> </w:t>
      </w:r>
      <w:r>
        <w:rPr>
          <w:rFonts w:ascii="Arial" w:hAnsi="Arial"/>
          <w:i/>
          <w:sz w:val="20"/>
        </w:rPr>
        <w:t>de</w:t>
      </w:r>
      <w:r>
        <w:rPr>
          <w:rFonts w:ascii="Arial" w:hAnsi="Arial"/>
          <w:i/>
          <w:spacing w:val="20"/>
          <w:sz w:val="20"/>
        </w:rPr>
        <w:t> </w:t>
      </w:r>
      <w:r>
        <w:rPr>
          <w:rFonts w:ascii="Arial" w:hAnsi="Arial"/>
          <w:i/>
          <w:sz w:val="20"/>
        </w:rPr>
        <w:t>l’Indochine</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J.</w:t>
      </w:r>
      <w:r>
        <w:rPr>
          <w:rFonts w:ascii="Arial" w:hAnsi="Arial"/>
          <w:i/>
          <w:spacing w:val="20"/>
          <w:sz w:val="20"/>
        </w:rPr>
        <w:t> </w:t>
      </w:r>
      <w:r>
        <w:rPr>
          <w:rFonts w:ascii="Arial" w:hAnsi="Arial"/>
          <w:i/>
          <w:sz w:val="20"/>
        </w:rPr>
        <w:t>H.</w:t>
      </w:r>
      <w:r>
        <w:rPr>
          <w:rFonts w:ascii="Arial" w:hAnsi="Arial"/>
          <w:i/>
          <w:spacing w:val="20"/>
          <w:sz w:val="20"/>
        </w:rPr>
        <w:t> </w:t>
      </w:r>
      <w:r>
        <w:rPr>
          <w:rFonts w:ascii="Arial" w:hAnsi="Arial"/>
          <w:i/>
          <w:sz w:val="20"/>
        </w:rPr>
        <w:t>Rayner</w:t>
      </w:r>
      <w:r>
        <w:rPr>
          <w:rFonts w:ascii="Arial" w:hAnsi="Arial"/>
          <w:i/>
          <w:spacing w:val="20"/>
          <w:sz w:val="20"/>
        </w:rPr>
        <w:t> </w:t>
      </w:r>
      <w:r>
        <w:rPr>
          <w:rFonts w:ascii="Arial" w:hAnsi="Arial"/>
          <w:i/>
          <w:sz w:val="20"/>
        </w:rPr>
        <w:t>(Mincing</w:t>
      </w:r>
      <w:r>
        <w:rPr>
          <w:rFonts w:ascii="Arial" w:hAnsi="Arial"/>
          <w:i/>
          <w:spacing w:val="20"/>
          <w:sz w:val="20"/>
        </w:rPr>
        <w:t> </w:t>
      </w:r>
      <w:r>
        <w:rPr>
          <w:rFonts w:ascii="Arial" w:hAnsi="Arial"/>
          <w:i/>
          <w:sz w:val="20"/>
        </w:rPr>
        <w:t>Lane)</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[1983]</w:t>
      </w:r>
      <w:r>
        <w:rPr>
          <w:rFonts w:ascii="Arial" w:hAnsi="Arial"/>
          <w:i/>
          <w:spacing w:val="20"/>
          <w:sz w:val="20"/>
        </w:rPr>
        <w:t> </w:t>
      </w:r>
      <w:r>
        <w:rPr>
          <w:rFonts w:ascii="Arial" w:hAnsi="Arial"/>
          <w:i/>
          <w:sz w:val="20"/>
        </w:rPr>
        <w:t>Q.B.</w:t>
      </w:r>
      <w:r>
        <w:rPr>
          <w:rFonts w:ascii="Arial" w:hAnsi="Arial"/>
          <w:i/>
          <w:spacing w:val="20"/>
          <w:sz w:val="20"/>
        </w:rPr>
        <w:t> </w:t>
      </w:r>
      <w:r>
        <w:rPr>
          <w:rFonts w:ascii="Arial" w:hAnsi="Arial"/>
          <w:i/>
          <w:sz w:val="20"/>
        </w:rPr>
        <w:t>711</w:t>
      </w:r>
      <w:r>
        <w:rPr>
          <w:sz w:val="20"/>
        </w:rPr>
        <w:t>;</w:t>
      </w:r>
      <w:r>
        <w:rPr>
          <w:spacing w:val="20"/>
          <w:sz w:val="20"/>
        </w:rPr>
        <w:t> </w:t>
      </w:r>
      <w:r>
        <w:rPr>
          <w:rFonts w:ascii="Arial" w:hAnsi="Arial"/>
          <w:i/>
          <w:sz w:val="20"/>
        </w:rPr>
        <w:t>Haines</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Hill [2007] EWCA Civ 1284, [2008] Ch. 412 </w:t>
      </w:r>
      <w:r>
        <w:rPr>
          <w:sz w:val="20"/>
        </w:rPr>
        <w:t>at [30].</w:t>
      </w:r>
    </w:p>
    <w:p>
      <w:pPr>
        <w:pStyle w:val="BodyText"/>
        <w:spacing w:before="6"/>
      </w:pPr>
    </w:p>
    <w:p>
      <w:pPr>
        <w:tabs>
          <w:tab w:pos="705" w:val="left" w:leader="none"/>
        </w:tabs>
        <w:spacing w:line="227" w:lineRule="exact" w:before="0"/>
        <w:ind w:left="165" w:right="0" w:firstLine="0"/>
        <w:jc w:val="left"/>
        <w:rPr>
          <w:rFonts w:ascii="Arial" w:hAnsi="Arial"/>
          <w:i/>
          <w:sz w:val="20"/>
        </w:rPr>
      </w:pPr>
      <w:bookmarkStart w:name="_bookmark542" w:id="544"/>
      <w:bookmarkEnd w:id="544"/>
      <w:r>
        <w:rPr/>
      </w:r>
      <w:hyperlink w:history="true" w:anchor="_bookmark526">
        <w:r>
          <w:rPr>
            <w:color w:val="005DA1"/>
            <w:spacing w:val="-4"/>
            <w:position w:val="5"/>
            <w:sz w:val="14"/>
            <w:u w:val="single" w:color="005DA1"/>
          </w:rPr>
          <w:t>285</w:t>
        </w:r>
      </w:hyperlink>
      <w:r>
        <w:rPr>
          <w:spacing w:val="-4"/>
          <w:position w:val="5"/>
          <w:sz w:val="14"/>
        </w:rPr>
        <w:t>.</w:t>
      </w:r>
      <w:r>
        <w:rPr>
          <w:position w:val="5"/>
          <w:sz w:val="14"/>
        </w:rPr>
        <w:tab/>
      </w:r>
      <w:r>
        <w:rPr>
          <w:rFonts w:ascii="Arial" w:hAnsi="Arial"/>
          <w:i/>
          <w:sz w:val="20"/>
        </w:rPr>
        <w:t>Allied</w:t>
      </w:r>
      <w:r>
        <w:rPr>
          <w:rFonts w:ascii="Arial" w:hAnsi="Arial"/>
          <w:i/>
          <w:spacing w:val="31"/>
          <w:sz w:val="20"/>
        </w:rPr>
        <w:t> </w:t>
      </w:r>
      <w:r>
        <w:rPr>
          <w:rFonts w:ascii="Arial" w:hAnsi="Arial"/>
          <w:i/>
          <w:sz w:val="20"/>
        </w:rPr>
        <w:t>Marine</w:t>
      </w:r>
      <w:r>
        <w:rPr>
          <w:rFonts w:ascii="Arial" w:hAnsi="Arial"/>
          <w:i/>
          <w:spacing w:val="31"/>
          <w:sz w:val="20"/>
        </w:rPr>
        <w:t> </w:t>
      </w:r>
      <w:r>
        <w:rPr>
          <w:rFonts w:ascii="Arial" w:hAnsi="Arial"/>
          <w:i/>
          <w:sz w:val="20"/>
        </w:rPr>
        <w:t>Transport</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Vale</w:t>
      </w:r>
      <w:r>
        <w:rPr>
          <w:rFonts w:ascii="Arial" w:hAnsi="Arial"/>
          <w:i/>
          <w:spacing w:val="31"/>
          <w:sz w:val="20"/>
        </w:rPr>
        <w:t> </w:t>
      </w:r>
      <w:r>
        <w:rPr>
          <w:rFonts w:ascii="Arial" w:hAnsi="Arial"/>
          <w:i/>
          <w:sz w:val="20"/>
        </w:rPr>
        <w:t>do</w:t>
      </w:r>
      <w:r>
        <w:rPr>
          <w:rFonts w:ascii="Arial" w:hAnsi="Arial"/>
          <w:i/>
          <w:spacing w:val="31"/>
          <w:sz w:val="20"/>
        </w:rPr>
        <w:t> </w:t>
      </w:r>
      <w:r>
        <w:rPr>
          <w:rFonts w:ascii="Arial" w:hAnsi="Arial"/>
          <w:i/>
          <w:sz w:val="20"/>
        </w:rPr>
        <w:t>Rio</w:t>
      </w:r>
      <w:r>
        <w:rPr>
          <w:rFonts w:ascii="Arial" w:hAnsi="Arial"/>
          <w:i/>
          <w:spacing w:val="31"/>
          <w:sz w:val="20"/>
        </w:rPr>
        <w:t> </w:t>
      </w:r>
      <w:r>
        <w:rPr>
          <w:rFonts w:ascii="Arial" w:hAnsi="Arial"/>
          <w:i/>
          <w:sz w:val="20"/>
        </w:rPr>
        <w:t>Doce</w:t>
      </w:r>
      <w:r>
        <w:rPr>
          <w:rFonts w:ascii="Arial" w:hAnsi="Arial"/>
          <w:i/>
          <w:spacing w:val="31"/>
          <w:sz w:val="20"/>
        </w:rPr>
        <w:t> </w:t>
      </w:r>
      <w:r>
        <w:rPr>
          <w:rFonts w:ascii="Arial" w:hAnsi="Arial"/>
          <w:i/>
          <w:sz w:val="20"/>
        </w:rPr>
        <w:t>Navegaçao</w:t>
      </w:r>
      <w:r>
        <w:rPr>
          <w:rFonts w:ascii="Arial" w:hAnsi="Arial"/>
          <w:i/>
          <w:spacing w:val="31"/>
          <w:sz w:val="20"/>
        </w:rPr>
        <w:t> </w:t>
      </w:r>
      <w:r>
        <w:rPr>
          <w:rFonts w:ascii="Arial" w:hAnsi="Arial"/>
          <w:i/>
          <w:sz w:val="20"/>
        </w:rPr>
        <w:t>SA</w:t>
      </w:r>
      <w:r>
        <w:rPr>
          <w:rFonts w:ascii="Arial" w:hAnsi="Arial"/>
          <w:i/>
          <w:spacing w:val="31"/>
          <w:sz w:val="20"/>
        </w:rPr>
        <w:t> </w:t>
      </w:r>
      <w:r>
        <w:rPr>
          <w:rFonts w:ascii="Arial" w:hAnsi="Arial"/>
          <w:i/>
          <w:sz w:val="20"/>
        </w:rPr>
        <w:t>(The</w:t>
      </w:r>
      <w:r>
        <w:rPr>
          <w:rFonts w:ascii="Arial" w:hAnsi="Arial"/>
          <w:i/>
          <w:spacing w:val="31"/>
          <w:sz w:val="20"/>
        </w:rPr>
        <w:t> </w:t>
      </w:r>
      <w:r>
        <w:rPr>
          <w:rFonts w:ascii="Arial" w:hAnsi="Arial"/>
          <w:i/>
          <w:sz w:val="20"/>
        </w:rPr>
        <w:t>Leonidas</w:t>
      </w:r>
      <w:r>
        <w:rPr>
          <w:rFonts w:ascii="Arial" w:hAnsi="Arial"/>
          <w:i/>
          <w:spacing w:val="31"/>
          <w:sz w:val="20"/>
        </w:rPr>
        <w:t> </w:t>
      </w:r>
      <w:r>
        <w:rPr>
          <w:rFonts w:ascii="Arial" w:hAnsi="Arial"/>
          <w:i/>
          <w:sz w:val="20"/>
        </w:rPr>
        <w:t>D.)</w:t>
      </w:r>
      <w:r>
        <w:rPr>
          <w:rFonts w:ascii="Arial" w:hAnsi="Arial"/>
          <w:i/>
          <w:spacing w:val="31"/>
          <w:sz w:val="20"/>
        </w:rPr>
        <w:t> </w:t>
      </w:r>
      <w:r>
        <w:rPr>
          <w:rFonts w:ascii="Arial" w:hAnsi="Arial"/>
          <w:i/>
          <w:sz w:val="20"/>
        </w:rPr>
        <w:t>[1985]</w:t>
      </w:r>
      <w:r>
        <w:rPr>
          <w:rFonts w:ascii="Arial" w:hAnsi="Arial"/>
          <w:i/>
          <w:spacing w:val="31"/>
          <w:sz w:val="20"/>
        </w:rPr>
        <w:t> </w:t>
      </w:r>
      <w:r>
        <w:rPr>
          <w:rFonts w:ascii="Arial" w:hAnsi="Arial"/>
          <w:i/>
          <w:spacing w:val="-10"/>
          <w:sz w:val="20"/>
        </w:rPr>
        <w:t>1</w:t>
      </w:r>
    </w:p>
    <w:p>
      <w:pPr>
        <w:spacing w:line="227" w:lineRule="exact" w:before="0"/>
        <w:ind w:left="705" w:right="0" w:firstLine="0"/>
        <w:jc w:val="left"/>
        <w:rPr>
          <w:sz w:val="20"/>
        </w:rPr>
      </w:pPr>
      <w:r>
        <w:rPr>
          <w:rFonts w:ascii="Arial"/>
          <w:i/>
          <w:sz w:val="20"/>
        </w:rPr>
        <w:t>W.L.R.</w:t>
      </w:r>
      <w:r>
        <w:rPr>
          <w:rFonts w:ascii="Arial"/>
          <w:i/>
          <w:spacing w:val="-2"/>
          <w:sz w:val="20"/>
        </w:rPr>
        <w:t> </w:t>
      </w:r>
      <w:r>
        <w:rPr>
          <w:rFonts w:ascii="Arial"/>
          <w:i/>
          <w:sz w:val="20"/>
        </w:rPr>
        <w:t>925, </w:t>
      </w:r>
      <w:r>
        <w:rPr>
          <w:rFonts w:ascii="Arial"/>
          <w:i/>
          <w:spacing w:val="-4"/>
          <w:sz w:val="20"/>
        </w:rPr>
        <w:t>933</w:t>
      </w:r>
      <w:r>
        <w:rPr>
          <w:spacing w:val="-4"/>
          <w:sz w:val="20"/>
        </w:rPr>
        <w:t>.</w:t>
      </w:r>
    </w:p>
    <w:p>
      <w:pPr>
        <w:pStyle w:val="BodyText"/>
        <w:spacing w:before="8"/>
      </w:pPr>
    </w:p>
    <w:p>
      <w:pPr>
        <w:pStyle w:val="BodyText"/>
        <w:spacing w:line="235" w:lineRule="auto" w:before="1"/>
        <w:ind w:left="705" w:right="167" w:hanging="541"/>
        <w:jc w:val="both"/>
      </w:pPr>
      <w:bookmarkStart w:name="_bookmark543" w:id="545"/>
      <w:bookmarkEnd w:id="545"/>
      <w:r>
        <w:rPr/>
      </w:r>
      <w:hyperlink w:history="true" w:anchor="_bookmark527">
        <w:r>
          <w:rPr>
            <w:color w:val="005DA1"/>
            <w:position w:val="5"/>
            <w:sz w:val="14"/>
            <w:u w:val="single" w:color="005DA1"/>
          </w:rPr>
          <w:t>286</w:t>
        </w:r>
      </w:hyperlink>
      <w:r>
        <w:rPr>
          <w:position w:val="5"/>
          <w:sz w:val="14"/>
        </w:rPr>
        <w:t>.</w:t>
      </w:r>
      <w:r>
        <w:rPr>
          <w:spacing w:val="40"/>
          <w:position w:val="5"/>
          <w:sz w:val="14"/>
        </w:rPr>
        <w:t>  </w:t>
      </w:r>
      <w:r>
        <w:rPr>
          <w:rFonts w:ascii="Arial" w:hAnsi="Arial"/>
          <w:i/>
        </w:rPr>
        <w:t>Haines v Hill [2007] EWCA Civ 1284, [2008] Ch. 412 </w:t>
      </w:r>
      <w:r>
        <w:rPr/>
        <w:t>at [39]; the issue in this case was not whether there was any consideration for a </w:t>
      </w:r>
      <w:r>
        <w:rPr>
          <w:rFonts w:ascii="Arial" w:hAnsi="Arial"/>
          <w:i/>
        </w:rPr>
        <w:t>promise </w:t>
      </w:r>
      <w:r>
        <w:rPr/>
        <w:t>but whether there was consideration for </w:t>
      </w:r>
      <w:r>
        <w:rPr/>
        <w:t>a </w:t>
      </w:r>
      <w:r>
        <w:rPr>
          <w:rFonts w:ascii="Arial" w:hAnsi="Arial"/>
          <w:i/>
        </w:rPr>
        <w:t>transfer</w:t>
      </w:r>
      <w:r>
        <w:rPr>
          <w:rFonts w:ascii="Arial" w:hAnsi="Arial"/>
          <w:i/>
          <w:spacing w:val="-1"/>
        </w:rPr>
        <w:t> </w:t>
      </w:r>
      <w:r>
        <w:rPr/>
        <w:t>(cf.</w:t>
      </w:r>
      <w:r>
        <w:rPr>
          <w:spacing w:val="-1"/>
        </w:rPr>
        <w:t> </w:t>
      </w:r>
      <w:r>
        <w:rPr/>
        <w:t>above,</w:t>
      </w:r>
      <w:r>
        <w:rPr>
          <w:spacing w:val="-1"/>
        </w:rPr>
        <w:t> </w:t>
      </w:r>
      <w:r>
        <w:rPr/>
        <w:t>paras</w:t>
      </w:r>
      <w:r>
        <w:rPr>
          <w:spacing w:val="-1"/>
        </w:rPr>
        <w:t> </w:t>
      </w:r>
      <w:r>
        <w:rPr/>
        <w:t>4-016,</w:t>
      </w:r>
      <w:r>
        <w:rPr>
          <w:spacing w:val="-1"/>
        </w:rPr>
        <w:t> </w:t>
      </w:r>
      <w:r>
        <w:rPr/>
        <w:t>4-032).</w:t>
      </w:r>
      <w:r>
        <w:rPr>
          <w:spacing w:val="-1"/>
        </w:rPr>
        <w:t> </w:t>
      </w:r>
      <w:r>
        <w:rPr/>
        <w:t>The</w:t>
      </w:r>
      <w:r>
        <w:rPr>
          <w:spacing w:val="-1"/>
        </w:rPr>
        <w:t> </w:t>
      </w:r>
      <w:r>
        <w:rPr/>
        <w:t>wife</w:t>
      </w:r>
      <w:r>
        <w:rPr>
          <w:spacing w:val="-1"/>
        </w:rPr>
        <w:t> </w:t>
      </w:r>
      <w:r>
        <w:rPr/>
        <w:t>was</w:t>
      </w:r>
      <w:r>
        <w:rPr>
          <w:spacing w:val="-1"/>
        </w:rPr>
        <w:t> </w:t>
      </w:r>
      <w:r>
        <w:rPr/>
        <w:t>held</w:t>
      </w:r>
      <w:r>
        <w:rPr>
          <w:spacing w:val="-1"/>
        </w:rPr>
        <w:t> </w:t>
      </w:r>
      <w:r>
        <w:rPr/>
        <w:t>to</w:t>
      </w:r>
      <w:r>
        <w:rPr>
          <w:spacing w:val="-1"/>
        </w:rPr>
        <w:t> </w:t>
      </w:r>
      <w:r>
        <w:rPr/>
        <w:t>have</w:t>
      </w:r>
      <w:r>
        <w:rPr>
          <w:spacing w:val="-1"/>
        </w:rPr>
        <w:t> </w:t>
      </w:r>
      <w:r>
        <w:rPr/>
        <w:t>provided</w:t>
      </w:r>
      <w:r>
        <w:rPr>
          <w:spacing w:val="-1"/>
        </w:rPr>
        <w:t> </w:t>
      </w:r>
      <w:r>
        <w:rPr/>
        <w:t>such</w:t>
      </w:r>
      <w:r>
        <w:rPr>
          <w:spacing w:val="-1"/>
        </w:rPr>
        <w:t> </w:t>
      </w:r>
      <w:r>
        <w:rPr/>
        <w:t>consideration even though her original claim depended for its quantification on the discretion of the court: </w:t>
      </w:r>
      <w:r>
        <w:rPr>
          <w:rFonts w:ascii="Arial" w:hAnsi="Arial"/>
          <w:i/>
        </w:rPr>
        <w:t>Haines v Hill</w:t>
      </w:r>
      <w:r>
        <w:rPr/>
        <w:t>, above, at [39], approving the judgment of District Judge Cooke, described at [53] as “a model of lucid erudition”.</w:t>
      </w:r>
    </w:p>
    <w:p>
      <w:pPr>
        <w:pStyle w:val="BodyText"/>
        <w:spacing w:before="3"/>
      </w:pPr>
    </w:p>
    <w:p>
      <w:pPr>
        <w:tabs>
          <w:tab w:pos="705" w:val="left" w:leader="none"/>
        </w:tabs>
        <w:spacing w:before="1"/>
        <w:ind w:left="165" w:right="0" w:firstLine="0"/>
        <w:jc w:val="left"/>
        <w:rPr>
          <w:sz w:val="20"/>
        </w:rPr>
      </w:pPr>
      <w:bookmarkStart w:name="_bookmark544" w:id="546"/>
      <w:bookmarkEnd w:id="546"/>
      <w:r>
        <w:rPr/>
      </w:r>
      <w:hyperlink w:history="true" w:anchor="_bookmark528">
        <w:r>
          <w:rPr>
            <w:color w:val="005DA1"/>
            <w:spacing w:val="-4"/>
            <w:position w:val="5"/>
            <w:sz w:val="14"/>
            <w:u w:val="single" w:color="005DA1"/>
          </w:rPr>
          <w:t>287</w:t>
        </w:r>
      </w:hyperlink>
      <w:r>
        <w:rPr>
          <w:spacing w:val="-4"/>
          <w:position w:val="5"/>
          <w:sz w:val="14"/>
        </w:rPr>
        <w:t>.</w:t>
      </w:r>
      <w:r>
        <w:rPr>
          <w:position w:val="5"/>
          <w:sz w:val="14"/>
        </w:rPr>
        <w:tab/>
      </w:r>
      <w:r>
        <w:rPr>
          <w:rFonts w:ascii="Arial"/>
          <w:i/>
          <w:sz w:val="20"/>
        </w:rPr>
        <w:t>[2001] UKHL 8; [2002] 1 A.C. </w:t>
      </w:r>
      <w:r>
        <w:rPr>
          <w:rFonts w:ascii="Arial"/>
          <w:i/>
          <w:spacing w:val="-4"/>
          <w:sz w:val="20"/>
        </w:rPr>
        <w:t>251</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545" w:id="547"/>
      <w:bookmarkEnd w:id="547"/>
      <w:r>
        <w:rPr/>
      </w:r>
      <w:hyperlink w:history="true" w:anchor="_bookmark529">
        <w:r>
          <w:rPr>
            <w:color w:val="005DA1"/>
            <w:spacing w:val="-4"/>
            <w:position w:val="5"/>
            <w:sz w:val="14"/>
            <w:u w:val="single" w:color="005DA1"/>
          </w:rPr>
          <w:t>288</w:t>
        </w:r>
      </w:hyperlink>
      <w:r>
        <w:rPr>
          <w:spacing w:val="-4"/>
          <w:position w:val="5"/>
          <w:sz w:val="14"/>
        </w:rPr>
        <w:t>.</w:t>
      </w:r>
      <w:r>
        <w:rPr>
          <w:position w:val="5"/>
          <w:sz w:val="14"/>
        </w:rPr>
        <w:tab/>
      </w:r>
      <w:r>
        <w:rPr>
          <w:rFonts w:ascii="Arial"/>
          <w:i/>
          <w:sz w:val="20"/>
        </w:rPr>
        <w:t>Malik v Bank of Credit and Commerce International [1998] A.C. </w:t>
      </w:r>
      <w:r>
        <w:rPr>
          <w:rFonts w:ascii="Arial"/>
          <w:i/>
          <w:spacing w:val="-5"/>
          <w:sz w:val="20"/>
        </w:rPr>
        <w:t>20</w:t>
      </w:r>
      <w:r>
        <w:rPr>
          <w:spacing w:val="-5"/>
          <w:sz w:val="20"/>
        </w:rPr>
        <w:t>.</w:t>
      </w:r>
    </w:p>
    <w:p>
      <w:pPr>
        <w:pStyle w:val="BodyText"/>
        <w:spacing w:before="8"/>
      </w:pPr>
    </w:p>
    <w:p>
      <w:pPr>
        <w:spacing w:line="235" w:lineRule="auto" w:before="0"/>
        <w:ind w:left="705" w:right="167" w:hanging="541"/>
        <w:jc w:val="both"/>
        <w:rPr>
          <w:rFonts w:ascii="Arial" w:hAnsi="Arial"/>
          <w:i/>
          <w:sz w:val="20"/>
        </w:rPr>
      </w:pPr>
      <w:bookmarkStart w:name="_bookmark546" w:id="548"/>
      <w:bookmarkEnd w:id="548"/>
      <w:r>
        <w:rPr/>
      </w:r>
      <w:hyperlink w:history="true" w:anchor="_bookmark530">
        <w:r>
          <w:rPr>
            <w:color w:val="005DA1"/>
            <w:position w:val="5"/>
            <w:sz w:val="14"/>
            <w:u w:val="single" w:color="005DA1"/>
          </w:rPr>
          <w:t>289</w:t>
        </w:r>
      </w:hyperlink>
      <w:r>
        <w:rPr>
          <w:position w:val="5"/>
          <w:sz w:val="14"/>
        </w:rPr>
        <w:t>.</w:t>
      </w:r>
      <w:r>
        <w:rPr>
          <w:spacing w:val="80"/>
          <w:w w:val="150"/>
          <w:position w:val="5"/>
          <w:sz w:val="14"/>
        </w:rPr>
        <w:t> </w:t>
      </w:r>
      <w:r>
        <w:rPr>
          <w:rFonts w:ascii="Arial" w:hAnsi="Arial"/>
          <w:i/>
          <w:sz w:val="20"/>
        </w:rPr>
        <w:t>Ali’s case, [2001] UKHL 8 </w:t>
      </w:r>
      <w:r>
        <w:rPr>
          <w:sz w:val="20"/>
        </w:rPr>
        <w:t>at [19]. This reasoning does not apply to an arbitration clause in </w:t>
      </w:r>
      <w:r>
        <w:rPr>
          <w:sz w:val="20"/>
        </w:rPr>
        <w:t>a contract since the very purpose of such a clause is “to provide machinery for the resolution of disputes which may arise in the future”: </w:t>
      </w:r>
      <w:r>
        <w:rPr>
          <w:rFonts w:ascii="Arial" w:hAnsi="Arial"/>
          <w:i/>
          <w:sz w:val="20"/>
        </w:rPr>
        <w:t>Capital Trust Investment Ltd v Radio Design TJAB [2002]</w:t>
      </w:r>
      <w:r>
        <w:rPr>
          <w:rFonts w:ascii="Arial" w:hAnsi="Arial"/>
          <w:i/>
          <w:spacing w:val="5"/>
          <w:sz w:val="20"/>
        </w:rPr>
        <w:t> </w:t>
      </w:r>
      <w:r>
        <w:rPr>
          <w:rFonts w:ascii="Arial" w:hAnsi="Arial"/>
          <w:i/>
          <w:sz w:val="20"/>
        </w:rPr>
        <w:t>EWCA</w:t>
      </w:r>
      <w:r>
        <w:rPr>
          <w:rFonts w:ascii="Arial" w:hAnsi="Arial"/>
          <w:i/>
          <w:spacing w:val="8"/>
          <w:sz w:val="20"/>
        </w:rPr>
        <w:t> </w:t>
      </w:r>
      <w:r>
        <w:rPr>
          <w:rFonts w:ascii="Arial" w:hAnsi="Arial"/>
          <w:i/>
          <w:sz w:val="20"/>
        </w:rPr>
        <w:t>Civ</w:t>
      </w:r>
      <w:r>
        <w:rPr>
          <w:rFonts w:ascii="Arial" w:hAnsi="Arial"/>
          <w:i/>
          <w:spacing w:val="8"/>
          <w:sz w:val="20"/>
        </w:rPr>
        <w:t> </w:t>
      </w:r>
      <w:r>
        <w:rPr>
          <w:rFonts w:ascii="Arial" w:hAnsi="Arial"/>
          <w:i/>
          <w:sz w:val="20"/>
        </w:rPr>
        <w:t>135;</w:t>
      </w:r>
      <w:r>
        <w:rPr>
          <w:rFonts w:ascii="Arial" w:hAnsi="Arial"/>
          <w:i/>
          <w:spacing w:val="8"/>
          <w:sz w:val="20"/>
        </w:rPr>
        <w:t> </w:t>
      </w:r>
      <w:r>
        <w:rPr>
          <w:rFonts w:ascii="Arial" w:hAnsi="Arial"/>
          <w:i/>
          <w:sz w:val="20"/>
        </w:rPr>
        <w:t>[2002]</w:t>
      </w:r>
      <w:r>
        <w:rPr>
          <w:rFonts w:ascii="Arial" w:hAnsi="Arial"/>
          <w:i/>
          <w:spacing w:val="8"/>
          <w:sz w:val="20"/>
        </w:rPr>
        <w:t> </w:t>
      </w:r>
      <w:r>
        <w:rPr>
          <w:rFonts w:ascii="Arial" w:hAnsi="Arial"/>
          <w:i/>
          <w:sz w:val="20"/>
        </w:rPr>
        <w:t>2</w:t>
      </w:r>
      <w:r>
        <w:rPr>
          <w:rFonts w:ascii="Arial" w:hAnsi="Arial"/>
          <w:i/>
          <w:spacing w:val="8"/>
          <w:sz w:val="20"/>
        </w:rPr>
        <w:t> </w:t>
      </w:r>
      <w:r>
        <w:rPr>
          <w:rFonts w:ascii="Arial" w:hAnsi="Arial"/>
          <w:i/>
          <w:sz w:val="20"/>
        </w:rPr>
        <w:t>All</w:t>
      </w:r>
      <w:r>
        <w:rPr>
          <w:rFonts w:ascii="Arial" w:hAnsi="Arial"/>
          <w:i/>
          <w:spacing w:val="8"/>
          <w:sz w:val="20"/>
        </w:rPr>
        <w:t> </w:t>
      </w:r>
      <w:r>
        <w:rPr>
          <w:rFonts w:ascii="Arial" w:hAnsi="Arial"/>
          <w:i/>
          <w:sz w:val="20"/>
        </w:rPr>
        <w:t>E.R.</w:t>
      </w:r>
      <w:r>
        <w:rPr>
          <w:rFonts w:ascii="Arial" w:hAnsi="Arial"/>
          <w:i/>
          <w:spacing w:val="8"/>
          <w:sz w:val="20"/>
        </w:rPr>
        <w:t> </w:t>
      </w:r>
      <w:r>
        <w:rPr>
          <w:rFonts w:ascii="Arial" w:hAnsi="Arial"/>
          <w:i/>
          <w:sz w:val="20"/>
        </w:rPr>
        <w:t>159</w:t>
      </w:r>
      <w:r>
        <w:rPr>
          <w:sz w:val="20"/>
        </w:rPr>
        <w:t>,</w:t>
      </w:r>
      <w:r>
        <w:rPr>
          <w:spacing w:val="8"/>
          <w:sz w:val="20"/>
        </w:rPr>
        <w:t> </w:t>
      </w:r>
      <w:r>
        <w:rPr>
          <w:sz w:val="20"/>
        </w:rPr>
        <w:t>at</w:t>
      </w:r>
      <w:r>
        <w:rPr>
          <w:spacing w:val="8"/>
          <w:sz w:val="20"/>
        </w:rPr>
        <w:t> </w:t>
      </w:r>
      <w:r>
        <w:rPr>
          <w:sz w:val="20"/>
        </w:rPr>
        <w:t>[50];</w:t>
      </w:r>
      <w:r>
        <w:rPr>
          <w:spacing w:val="8"/>
          <w:sz w:val="20"/>
        </w:rPr>
        <w:t> </w:t>
      </w:r>
      <w:r>
        <w:rPr>
          <w:sz w:val="20"/>
        </w:rPr>
        <w:t>cf.</w:t>
      </w:r>
      <w:r>
        <w:rPr>
          <w:spacing w:val="8"/>
          <w:sz w:val="20"/>
        </w:rPr>
        <w:t> </w:t>
      </w:r>
      <w:r>
        <w:rPr>
          <w:sz w:val="20"/>
        </w:rPr>
        <w:t>on</w:t>
      </w:r>
      <w:r>
        <w:rPr>
          <w:spacing w:val="8"/>
          <w:sz w:val="20"/>
        </w:rPr>
        <w:t> </w:t>
      </w:r>
      <w:r>
        <w:rPr>
          <w:sz w:val="20"/>
        </w:rPr>
        <w:t>the</w:t>
      </w:r>
      <w:r>
        <w:rPr>
          <w:spacing w:val="8"/>
          <w:sz w:val="20"/>
        </w:rPr>
        <w:t> </w:t>
      </w:r>
      <w:r>
        <w:rPr>
          <w:sz w:val="20"/>
        </w:rPr>
        <w:t>issue</w:t>
      </w:r>
      <w:r>
        <w:rPr>
          <w:spacing w:val="8"/>
          <w:sz w:val="20"/>
        </w:rPr>
        <w:t> </w:t>
      </w:r>
      <w:r>
        <w:rPr>
          <w:sz w:val="20"/>
        </w:rPr>
        <w:t>of</w:t>
      </w:r>
      <w:r>
        <w:rPr>
          <w:spacing w:val="8"/>
          <w:sz w:val="20"/>
        </w:rPr>
        <w:t> </w:t>
      </w:r>
      <w:r>
        <w:rPr>
          <w:sz w:val="20"/>
        </w:rPr>
        <w:t>construction,</w:t>
      </w:r>
      <w:r>
        <w:rPr>
          <w:spacing w:val="7"/>
          <w:sz w:val="20"/>
        </w:rPr>
        <w:t> </w:t>
      </w:r>
      <w:r>
        <w:rPr>
          <w:rFonts w:ascii="Arial" w:hAnsi="Arial"/>
          <w:i/>
          <w:spacing w:val="-2"/>
          <w:sz w:val="20"/>
        </w:rPr>
        <w:t>Mostcash</w:t>
      </w:r>
    </w:p>
    <w:p>
      <w:pPr>
        <w:spacing w:line="225" w:lineRule="exact" w:before="0"/>
        <w:ind w:left="705" w:right="0" w:firstLine="0"/>
        <w:jc w:val="left"/>
        <w:rPr>
          <w:sz w:val="20"/>
        </w:rPr>
      </w:pPr>
      <w:r>
        <w:rPr>
          <w:rFonts w:ascii="Arial"/>
          <w:i/>
          <w:sz w:val="20"/>
        </w:rPr>
        <w:t>plc v Fluor Ltd [2002] EWCA Civ 975, [2002] B.L.R. </w:t>
      </w:r>
      <w:r>
        <w:rPr>
          <w:rFonts w:ascii="Arial"/>
          <w:i/>
          <w:spacing w:val="-4"/>
          <w:sz w:val="20"/>
        </w:rPr>
        <w:t>411</w:t>
      </w:r>
      <w:r>
        <w:rPr>
          <w:spacing w:val="-4"/>
          <w:sz w:val="20"/>
        </w:rPr>
        <w:t>.</w:t>
      </w:r>
    </w:p>
    <w:p>
      <w:pPr>
        <w:spacing w:after="0" w:line="225" w:lineRule="exact"/>
        <w:jc w:val="left"/>
        <w:rPr>
          <w:sz w:val="20"/>
        </w:rPr>
        <w:sectPr>
          <w:headerReference w:type="even" r:id="rId20"/>
          <w:headerReference w:type="default" r:id="rId21"/>
          <w:pgSz w:w="11900" w:h="16840"/>
          <w:pgMar w:header="971" w:footer="0" w:top="1160" w:bottom="280" w:left="1275" w:right="1275"/>
          <w:pgNumType w:start="2"/>
        </w:sectPr>
      </w:pPr>
    </w:p>
    <w:p>
      <w:pPr>
        <w:pStyle w:val="BodyText"/>
        <w:spacing w:before="81"/>
      </w:pPr>
    </w:p>
    <w:p>
      <w:pPr>
        <w:tabs>
          <w:tab w:pos="705" w:val="left" w:leader="none"/>
        </w:tabs>
        <w:spacing w:before="0"/>
        <w:ind w:left="165" w:right="0" w:firstLine="0"/>
        <w:jc w:val="left"/>
        <w:rPr>
          <w:sz w:val="20"/>
        </w:rPr>
      </w:pPr>
      <w:hyperlink w:history="true" w:anchor="_bookmark531">
        <w:r>
          <w:rPr>
            <w:color w:val="005DA1"/>
            <w:spacing w:val="-4"/>
            <w:position w:val="5"/>
            <w:sz w:val="14"/>
            <w:u w:val="single" w:color="005DA1"/>
          </w:rPr>
          <w:t>290</w:t>
        </w:r>
      </w:hyperlink>
      <w:r>
        <w:rPr>
          <w:spacing w:val="-4"/>
          <w:position w:val="5"/>
          <w:sz w:val="14"/>
        </w:rPr>
        <w:t>.</w:t>
      </w:r>
      <w:r>
        <w:rPr>
          <w:position w:val="5"/>
          <w:sz w:val="14"/>
        </w:rPr>
        <w:tab/>
      </w:r>
      <w:r>
        <w:rPr>
          <w:rFonts w:ascii="Arial" w:hAnsi="Arial"/>
          <w:i/>
          <w:sz w:val="20"/>
        </w:rPr>
        <w:t>Ali’s case, [2001] UKHL 8</w:t>
      </w:r>
      <w:r>
        <w:rPr>
          <w:rFonts w:ascii="Arial" w:hAnsi="Arial"/>
          <w:i/>
          <w:spacing w:val="-1"/>
          <w:sz w:val="20"/>
        </w:rPr>
        <w:t> </w:t>
      </w:r>
      <w:r>
        <w:rPr>
          <w:sz w:val="20"/>
        </w:rPr>
        <w:t>at [10]. Lord Hoffmann </w:t>
      </w:r>
      <w:r>
        <w:rPr>
          <w:spacing w:val="-2"/>
          <w:sz w:val="20"/>
        </w:rPr>
        <w:t>dissented.</w:t>
      </w:r>
    </w:p>
    <w:p>
      <w:pPr>
        <w:pStyle w:val="BodyText"/>
        <w:spacing w:before="9"/>
      </w:pPr>
    </w:p>
    <w:p>
      <w:pPr>
        <w:tabs>
          <w:tab w:pos="705" w:val="left" w:leader="none"/>
        </w:tabs>
        <w:spacing w:line="235" w:lineRule="auto" w:before="0"/>
        <w:ind w:left="705" w:right="168" w:hanging="541"/>
        <w:jc w:val="left"/>
        <w:rPr>
          <w:sz w:val="20"/>
        </w:rPr>
      </w:pPr>
      <w:bookmarkStart w:name="_bookmark547" w:id="549"/>
      <w:bookmarkEnd w:id="549"/>
      <w:r>
        <w:rPr/>
      </w:r>
      <w:hyperlink w:history="true" w:anchor="_bookmark531">
        <w:r>
          <w:rPr>
            <w:color w:val="005DA1"/>
            <w:spacing w:val="-4"/>
            <w:position w:val="5"/>
            <w:sz w:val="14"/>
            <w:u w:val="single" w:color="005DA1"/>
          </w:rPr>
          <w:t>291</w:t>
        </w:r>
      </w:hyperlink>
      <w:r>
        <w:rPr>
          <w:spacing w:val="-4"/>
          <w:position w:val="5"/>
          <w:sz w:val="14"/>
        </w:rPr>
        <w:t>.</w:t>
      </w:r>
      <w:r>
        <w:rPr>
          <w:position w:val="5"/>
          <w:sz w:val="14"/>
        </w:rPr>
        <w:tab/>
      </w:r>
      <w:r>
        <w:rPr>
          <w:rFonts w:ascii="Arial"/>
          <w:i/>
          <w:sz w:val="20"/>
        </w:rPr>
        <w:t>Saytam Computer Services Ltd v Upaid Systems Ltd [2008] EWCA Civ 487, [2008] 2 All </w:t>
      </w:r>
      <w:r>
        <w:rPr>
          <w:rFonts w:ascii="Arial"/>
          <w:i/>
          <w:sz w:val="20"/>
        </w:rPr>
        <w:t>E.R.</w:t>
      </w:r>
      <w:r>
        <w:rPr>
          <w:rFonts w:ascii="Arial"/>
          <w:i/>
          <w:spacing w:val="40"/>
          <w:sz w:val="20"/>
        </w:rPr>
        <w:t> </w:t>
      </w:r>
      <w:r>
        <w:rPr>
          <w:rFonts w:ascii="Arial"/>
          <w:i/>
          <w:sz w:val="20"/>
        </w:rPr>
        <w:t>(Comm) 465 </w:t>
      </w:r>
      <w:r>
        <w:rPr>
          <w:sz w:val="20"/>
        </w:rPr>
        <w:t>at [84].</w:t>
      </w:r>
    </w:p>
    <w:p>
      <w:pPr>
        <w:pStyle w:val="BodyText"/>
        <w:spacing w:before="5"/>
      </w:pPr>
    </w:p>
    <w:p>
      <w:pPr>
        <w:tabs>
          <w:tab w:pos="705" w:val="left" w:leader="none"/>
        </w:tabs>
        <w:spacing w:before="0"/>
        <w:ind w:left="165" w:right="0" w:firstLine="0"/>
        <w:jc w:val="left"/>
        <w:rPr>
          <w:sz w:val="20"/>
        </w:rPr>
      </w:pPr>
      <w:bookmarkStart w:name="_bookmark548" w:id="550"/>
      <w:bookmarkEnd w:id="550"/>
      <w:r>
        <w:rPr/>
      </w:r>
      <w:hyperlink w:history="true" w:anchor="_bookmark532">
        <w:r>
          <w:rPr>
            <w:color w:val="005DA1"/>
            <w:spacing w:val="-4"/>
            <w:position w:val="5"/>
            <w:sz w:val="14"/>
            <w:u w:val="single" w:color="005DA1"/>
          </w:rPr>
          <w:t>292</w:t>
        </w:r>
      </w:hyperlink>
      <w:r>
        <w:rPr>
          <w:spacing w:val="-4"/>
          <w:position w:val="5"/>
          <w:sz w:val="14"/>
        </w:rPr>
        <w:t>.</w:t>
      </w:r>
      <w:r>
        <w:rPr>
          <w:position w:val="5"/>
          <w:sz w:val="14"/>
        </w:rPr>
        <w:tab/>
      </w:r>
      <w:r>
        <w:rPr>
          <w:sz w:val="20"/>
        </w:rPr>
        <w:t>ibid., at </w:t>
      </w:r>
      <w:r>
        <w:rPr>
          <w:spacing w:val="-2"/>
          <w:sz w:val="20"/>
        </w:rPr>
        <w:t>[82].</w:t>
      </w:r>
    </w:p>
    <w:p>
      <w:pPr>
        <w:pStyle w:val="BodyText"/>
        <w:spacing w:before="5"/>
      </w:pPr>
    </w:p>
    <w:p>
      <w:pPr>
        <w:tabs>
          <w:tab w:pos="705" w:val="left" w:leader="none"/>
        </w:tabs>
        <w:spacing w:before="0"/>
        <w:ind w:left="165" w:right="0" w:firstLine="0"/>
        <w:jc w:val="left"/>
        <w:rPr>
          <w:sz w:val="20"/>
        </w:rPr>
      </w:pPr>
      <w:bookmarkStart w:name="_bookmark549" w:id="551"/>
      <w:bookmarkEnd w:id="551"/>
      <w:r>
        <w:rPr/>
      </w:r>
      <w:hyperlink w:history="true" w:anchor="_bookmark533">
        <w:r>
          <w:rPr>
            <w:color w:val="005DA1"/>
            <w:spacing w:val="-4"/>
            <w:position w:val="5"/>
            <w:sz w:val="14"/>
            <w:u w:val="single" w:color="005DA1"/>
          </w:rPr>
          <w:t>293</w:t>
        </w:r>
      </w:hyperlink>
      <w:r>
        <w:rPr>
          <w:spacing w:val="-4"/>
          <w:position w:val="5"/>
          <w:sz w:val="14"/>
        </w:rPr>
        <w:t>.</w:t>
      </w:r>
      <w:r>
        <w:rPr>
          <w:position w:val="5"/>
          <w:sz w:val="14"/>
        </w:rPr>
        <w:tab/>
      </w:r>
      <w:r>
        <w:rPr>
          <w:rFonts w:ascii="Arial" w:hAnsi="Arial"/>
          <w:i/>
          <w:sz w:val="20"/>
        </w:rPr>
        <w:t>Ali’s case [2001] UKHL 8</w:t>
      </w:r>
      <w:r>
        <w:rPr>
          <w:rFonts w:ascii="Arial" w:hAnsi="Arial"/>
          <w:i/>
          <w:spacing w:val="-1"/>
          <w:sz w:val="20"/>
        </w:rPr>
        <w:t> </w:t>
      </w:r>
      <w:r>
        <w:rPr>
          <w:sz w:val="20"/>
        </w:rPr>
        <w:t>at [32], italics </w:t>
      </w:r>
      <w:r>
        <w:rPr>
          <w:spacing w:val="-2"/>
          <w:sz w:val="20"/>
        </w:rPr>
        <w:t>supplied.</w:t>
      </w:r>
    </w:p>
    <w:p>
      <w:pPr>
        <w:pStyle w:val="BodyText"/>
        <w:spacing w:before="9"/>
      </w:pPr>
    </w:p>
    <w:p>
      <w:pPr>
        <w:pStyle w:val="BodyText"/>
        <w:spacing w:line="235" w:lineRule="auto"/>
        <w:ind w:left="705" w:right="167" w:hanging="541"/>
        <w:jc w:val="both"/>
      </w:pPr>
      <w:bookmarkStart w:name="_bookmark550" w:id="552"/>
      <w:bookmarkEnd w:id="552"/>
      <w:r>
        <w:rPr/>
      </w:r>
      <w:hyperlink w:history="true" w:anchor="_bookmark534">
        <w:r>
          <w:rPr>
            <w:color w:val="005DA1"/>
            <w:position w:val="5"/>
            <w:sz w:val="14"/>
            <w:u w:val="single" w:color="005DA1"/>
          </w:rPr>
          <w:t>294</w:t>
        </w:r>
      </w:hyperlink>
      <w:r>
        <w:rPr>
          <w:position w:val="5"/>
          <w:sz w:val="14"/>
        </w:rPr>
        <w:t>.</w:t>
      </w:r>
      <w:r>
        <w:rPr>
          <w:spacing w:val="40"/>
          <w:position w:val="5"/>
          <w:sz w:val="14"/>
        </w:rPr>
        <w:t>  </w:t>
      </w:r>
      <w:r>
        <w:rPr/>
        <w:t>ibid., at [32]. In </w:t>
      </w:r>
      <w:r>
        <w:rPr>
          <w:rFonts w:ascii="Arial" w:hAnsi="Arial"/>
          <w:i/>
        </w:rPr>
        <w:t>Ali’s </w:t>
      </w:r>
      <w:r>
        <w:rPr/>
        <w:t>case there was no such knowledge on B’s part. The “sharp practice”</w:t>
      </w:r>
      <w:r>
        <w:rPr>
          <w:spacing w:val="80"/>
        </w:rPr>
        <w:t> </w:t>
      </w:r>
      <w:r>
        <w:rPr/>
        <w:t>referred to in the dictum quoted above is that of the person </w:t>
      </w:r>
      <w:r>
        <w:rPr>
          <w:rFonts w:ascii="Arial" w:hAnsi="Arial"/>
          <w:i/>
        </w:rPr>
        <w:t>against </w:t>
      </w:r>
      <w:r>
        <w:rPr/>
        <w:t>whom the claim was made. In this respect this situation differs from that discussed in the last sentence of para.4-049</w:t>
      </w:r>
      <w:r>
        <w:rPr>
          <w:spacing w:val="40"/>
        </w:rPr>
        <w:t> </w:t>
      </w:r>
      <w:r>
        <w:rPr/>
        <w:t>above, in which the fraud is that of the person </w:t>
      </w:r>
      <w:r>
        <w:rPr>
          <w:rFonts w:ascii="Arial" w:hAnsi="Arial"/>
          <w:i/>
        </w:rPr>
        <w:t>by </w:t>
      </w:r>
      <w:r>
        <w:rPr/>
        <w:t>whom the claim was made.</w:t>
      </w:r>
    </w:p>
    <w:p>
      <w:pPr>
        <w:pStyle w:val="BodyText"/>
        <w:spacing w:before="8"/>
      </w:pPr>
    </w:p>
    <w:p>
      <w:pPr>
        <w:tabs>
          <w:tab w:pos="705" w:val="left" w:leader="none"/>
        </w:tabs>
        <w:spacing w:line="235" w:lineRule="auto" w:before="1"/>
        <w:ind w:left="705" w:right="168" w:hanging="541"/>
        <w:jc w:val="left"/>
        <w:rPr>
          <w:sz w:val="20"/>
        </w:rPr>
      </w:pPr>
      <w:bookmarkStart w:name="_bookmark551" w:id="553"/>
      <w:bookmarkEnd w:id="553"/>
      <w:r>
        <w:rPr/>
      </w:r>
      <w:hyperlink w:history="true" w:anchor="_bookmark535">
        <w:r>
          <w:rPr>
            <w:color w:val="005DA1"/>
            <w:spacing w:val="-4"/>
            <w:position w:val="5"/>
            <w:sz w:val="14"/>
            <w:u w:val="single" w:color="005DA1"/>
          </w:rPr>
          <w:t>295</w:t>
        </w:r>
      </w:hyperlink>
      <w:r>
        <w:rPr>
          <w:spacing w:val="-4"/>
          <w:position w:val="5"/>
          <w:sz w:val="14"/>
        </w:rPr>
        <w:t>.</w:t>
      </w:r>
      <w:r>
        <w:rPr>
          <w:position w:val="5"/>
          <w:sz w:val="14"/>
        </w:rPr>
        <w:tab/>
      </w:r>
      <w:r>
        <w:rPr>
          <w:rFonts w:ascii="Arial" w:hAnsi="Arial"/>
          <w:i/>
          <w:sz w:val="20"/>
        </w:rPr>
        <w:t>Ali’s case [2001] UKHL 8 </w:t>
      </w:r>
      <w:r>
        <w:rPr>
          <w:sz w:val="20"/>
        </w:rPr>
        <w:t>at [32], per Lord Nicholls. Lord Bingham left the point open: ibid., at</w:t>
      </w:r>
      <w:r>
        <w:rPr>
          <w:spacing w:val="80"/>
          <w:sz w:val="20"/>
        </w:rPr>
        <w:t> </w:t>
      </w:r>
      <w:r>
        <w:rPr>
          <w:spacing w:val="-2"/>
          <w:sz w:val="20"/>
        </w:rPr>
        <w:t>[20].</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727" w:right="2730"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77024">
                <wp:simplePos x="0" y="0"/>
                <wp:positionH relativeFrom="page">
                  <wp:posOffset>4707940</wp:posOffset>
                </wp:positionH>
                <wp:positionV relativeFrom="paragraph">
                  <wp:posOffset>377436</wp:posOffset>
                </wp:positionV>
                <wp:extent cx="4254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9456" from="370.70401pt,29.719406pt" to="374.04001pt,29.719406pt" stroked="true" strokeweight=".428pt" strokecolor="#005da1">
                <v:stroke dashstyle="solid"/>
                <w10:wrap type="none"/>
              </v:line>
            </w:pict>
          </mc:Fallback>
        </mc:AlternateContent>
      </w: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4 - Consideration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7. - Compromise and Forbearance to </w:t>
      </w:r>
      <w:r>
        <w:rPr>
          <w:rFonts w:ascii="Arial"/>
          <w:b/>
          <w:spacing w:val="-5"/>
          <w:sz w:val="24"/>
        </w:rPr>
        <w:t>Sue</w:t>
      </w:r>
    </w:p>
    <w:p>
      <w:pPr>
        <w:pStyle w:val="ListParagraph"/>
        <w:numPr>
          <w:ilvl w:val="0"/>
          <w:numId w:val="2"/>
        </w:numPr>
        <w:tabs>
          <w:tab w:pos="3298" w:val="left" w:leader="none"/>
        </w:tabs>
        <w:spacing w:line="240" w:lineRule="auto" w:before="194" w:after="0"/>
        <w:ind w:left="3298" w:right="0" w:hanging="373"/>
        <w:jc w:val="left"/>
        <w:rPr>
          <w:rFonts w:ascii="Arial"/>
          <w:b/>
          <w:sz w:val="24"/>
        </w:rPr>
      </w:pPr>
      <w:r>
        <w:rPr>
          <w:rFonts w:ascii="Arial"/>
          <w:b/>
          <w:sz w:val="24"/>
        </w:rPr>
        <w:t>- Invalid or Doubtful </w:t>
      </w:r>
      <w:r>
        <w:rPr>
          <w:rFonts w:ascii="Arial"/>
          <w:b/>
          <w:spacing w:val="-2"/>
          <w:sz w:val="24"/>
        </w:rPr>
        <w:t>Claims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Claims known to be </w:t>
      </w:r>
      <w:r>
        <w:rPr>
          <w:rFonts w:ascii="Arial"/>
          <w:b/>
          <w:spacing w:val="-2"/>
          <w:sz w:val="18"/>
        </w:rPr>
        <w:t>invalid</w:t>
      </w:r>
    </w:p>
    <w:p>
      <w:pPr>
        <w:pStyle w:val="BodyText"/>
        <w:spacing w:before="41"/>
        <w:rPr>
          <w:rFonts w:ascii="Arial"/>
          <w:b/>
          <w:sz w:val="18"/>
        </w:rPr>
      </w:pPr>
    </w:p>
    <w:p>
      <w:pPr>
        <w:pStyle w:val="Heading2"/>
      </w:pPr>
      <w:r>
        <w:rPr/>
        <w:t>4-</w:t>
      </w:r>
      <w:r>
        <w:rPr>
          <w:spacing w:val="-5"/>
        </w:rPr>
        <w:t>051</w:t>
      </w:r>
    </w:p>
    <w:p>
      <w:pPr>
        <w:pStyle w:val="BodyText"/>
        <w:spacing w:line="235" w:lineRule="auto" w:before="203"/>
        <w:ind w:left="165" w:right="167"/>
        <w:jc w:val="both"/>
      </w:pPr>
      <w:r>
        <w:rPr/>
        <w:t>A compromise of a claim which is legally invalid and which is either known by the party asserting it to be invalid or not believed by that party to be valid is not contractually binding. This rule can </w:t>
      </w:r>
      <w:r>
        <w:rPr/>
        <w:t>be </w:t>
      </w:r>
      <w:bookmarkStart w:name="_bookmark552" w:id="554"/>
      <w:bookmarkEnd w:id="554"/>
      <w:r>
        <w:rPr/>
        <w:t>explained</w:t>
      </w:r>
      <w:r>
        <w:rPr/>
        <w:t> either on the ground that merely making or performing a promise to give up a worthless </w:t>
      </w:r>
      <w:bookmarkStart w:name="_bookmark553" w:id="555"/>
      <w:bookmarkEnd w:id="555"/>
      <w:r>
        <w:rPr/>
        <w:t>claim</w:t>
      </w:r>
      <w:r>
        <w:rPr/>
        <w:t> cannot constitute consideration for the counter-promise, </w:t>
      </w:r>
      <w:r>
        <w:rPr>
          <w:color w:val="005DA1"/>
          <w:u w:val="single" w:color="005DA1"/>
          <w:vertAlign w:val="superscript"/>
        </w:rPr>
        <w:t>296</w:t>
      </w:r>
      <w:r>
        <w:rPr>
          <w:color w:val="005DA1"/>
          <w:vertAlign w:val="baseline"/>
        </w:rPr>
        <w:t> </w:t>
      </w:r>
      <w:r>
        <w:rPr>
          <w:vertAlign w:val="baseline"/>
        </w:rPr>
        <w:t>or (preferably) on grounds of public policy. As Tindal C.J. said in </w:t>
      </w:r>
      <w:r>
        <w:rPr>
          <w:rFonts w:ascii="Arial" w:hAnsi="Arial"/>
          <w:i/>
          <w:vertAlign w:val="baseline"/>
        </w:rPr>
        <w:t>Wade v Simeon </w:t>
      </w:r>
      <w:r>
        <w:rPr>
          <w:color w:val="005DA1"/>
          <w:u w:val="single" w:color="005DA1"/>
          <w:vertAlign w:val="superscript"/>
        </w:rPr>
        <w:t>297</w:t>
      </w:r>
      <w:r>
        <w:rPr>
          <w:vertAlign w:val="baseline"/>
        </w:rPr>
        <w:t>: “It is almost contra bonos mores and certainly contrary to all the principles of natural justice that a man should institute proceedings against another when he is conscious that he has no good cause of action.”</w:t>
      </w:r>
    </w:p>
    <w:p>
      <w:pPr>
        <w:pStyle w:val="BodyText"/>
      </w:pPr>
    </w:p>
    <w:p>
      <w:pPr>
        <w:pStyle w:val="BodyText"/>
        <w:spacing w:before="36"/>
      </w:pPr>
    </w:p>
    <w:p>
      <w:pPr>
        <w:spacing w:before="0"/>
        <w:ind w:left="165" w:right="0" w:firstLine="0"/>
        <w:jc w:val="left"/>
        <w:rPr>
          <w:rFonts w:ascii="Arial"/>
          <w:b/>
          <w:sz w:val="18"/>
        </w:rPr>
      </w:pPr>
      <w:r>
        <w:rPr>
          <w:rFonts w:ascii="Arial"/>
          <w:b/>
          <w:sz w:val="18"/>
        </w:rPr>
        <w:t>Claims which are doubtful in </w:t>
      </w:r>
      <w:r>
        <w:rPr>
          <w:rFonts w:ascii="Arial"/>
          <w:b/>
          <w:spacing w:val="-5"/>
          <w:sz w:val="18"/>
        </w:rPr>
        <w:t>law</w:t>
      </w:r>
    </w:p>
    <w:p>
      <w:pPr>
        <w:pStyle w:val="BodyText"/>
        <w:spacing w:before="41"/>
        <w:rPr>
          <w:rFonts w:ascii="Arial"/>
          <w:b/>
          <w:sz w:val="18"/>
        </w:rPr>
      </w:pPr>
    </w:p>
    <w:p>
      <w:pPr>
        <w:pStyle w:val="Heading2"/>
      </w:pPr>
      <w:r>
        <w:rPr/>
        <w:t>4-</w:t>
      </w:r>
      <w:r>
        <w:rPr>
          <w:spacing w:val="-5"/>
        </w:rPr>
        <w:t>052</w:t>
      </w:r>
    </w:p>
    <w:p>
      <w:pPr>
        <w:pStyle w:val="BodyText"/>
        <w:spacing w:line="235" w:lineRule="auto" w:before="203"/>
        <w:ind w:left="165" w:right="167"/>
        <w:jc w:val="both"/>
      </w:pPr>
      <w:r>
        <w:rPr/>
        <w:t>The compromise of a claim which is doubtful in law is binding as a contract. Making or performing a promise to give up a doubtful claim can constitute consideration for a counter-promise since </w:t>
      </w:r>
      <w:r>
        <w:rPr/>
        <w:t>it</w:t>
      </w:r>
      <w:r>
        <w:rPr>
          <w:spacing w:val="40"/>
        </w:rPr>
        <w:t> </w:t>
      </w:r>
      <w:bookmarkStart w:name="_bookmark554" w:id="556"/>
      <w:bookmarkEnd w:id="556"/>
      <w:r>
        <w:rPr/>
        <w:t>involves</w:t>
      </w:r>
      <w:r>
        <w:rPr/>
        <w:t> the possibility of detriment to the person to whom the latter promise is made and that of benefit to the person making it. In </w:t>
      </w:r>
      <w:r>
        <w:rPr>
          <w:rFonts w:ascii="Arial" w:hAnsi="Arial"/>
          <w:i/>
        </w:rPr>
        <w:t>Haigh v Brooks</w:t>
      </w:r>
      <w:r>
        <w:rPr/>
        <w:t>, for example, </w:t>
      </w:r>
      <w:r>
        <w:rPr>
          <w:color w:val="005DA1"/>
          <w:u w:val="single" w:color="005DA1"/>
          <w:vertAlign w:val="superscript"/>
        </w:rPr>
        <w:t>298</w:t>
      </w:r>
      <w:r>
        <w:rPr>
          <w:color w:val="005DA1"/>
          <w:vertAlign w:val="baseline"/>
        </w:rPr>
        <w:t> </w:t>
      </w:r>
      <w:r>
        <w:rPr>
          <w:vertAlign w:val="baseline"/>
        </w:rPr>
        <w:t>it was held that the promisee had </w:t>
      </w:r>
      <w:bookmarkStart w:name="_bookmark555" w:id="557"/>
      <w:bookmarkEnd w:id="557"/>
      <w:r>
        <w:rPr>
          <w:vertAlign w:val="baseline"/>
        </w:rPr>
        <w:t>provided</w:t>
      </w:r>
      <w:r>
        <w:rPr>
          <w:vertAlign w:val="baseline"/>
        </w:rPr>
        <w:t> consideration by giving up a guarantee containing “an ambiguity that might be explained … so as to make it a valid contract.” </w:t>
      </w:r>
      <w:r>
        <w:rPr>
          <w:color w:val="005DA1"/>
          <w:u w:val="single" w:color="005DA1"/>
          <w:vertAlign w:val="superscript"/>
        </w:rPr>
        <w:t>299</w:t>
      </w:r>
    </w:p>
    <w:p>
      <w:pPr>
        <w:pStyle w:val="BodyText"/>
      </w:pPr>
    </w:p>
    <w:p>
      <w:pPr>
        <w:pStyle w:val="BodyText"/>
        <w:spacing w:before="36"/>
      </w:pPr>
    </w:p>
    <w:p>
      <w:pPr>
        <w:spacing w:before="0"/>
        <w:ind w:left="165" w:right="0" w:firstLine="0"/>
        <w:jc w:val="left"/>
        <w:rPr>
          <w:rFonts w:ascii="Arial"/>
          <w:b/>
          <w:sz w:val="18"/>
        </w:rPr>
      </w:pPr>
      <w:r>
        <w:rPr>
          <w:rFonts w:ascii="Arial"/>
          <w:b/>
          <w:sz w:val="18"/>
        </w:rPr>
        <w:t>Claims in law invalid but made in good </w:t>
      </w:r>
      <w:r>
        <w:rPr>
          <w:rFonts w:ascii="Arial"/>
          <w:b/>
          <w:spacing w:val="-2"/>
          <w:sz w:val="18"/>
        </w:rPr>
        <w:t>faith</w:t>
      </w:r>
    </w:p>
    <w:p>
      <w:pPr>
        <w:pStyle w:val="BodyText"/>
        <w:spacing w:before="41"/>
        <w:rPr>
          <w:rFonts w:ascii="Arial"/>
          <w:b/>
          <w:sz w:val="18"/>
        </w:rPr>
      </w:pPr>
    </w:p>
    <w:p>
      <w:pPr>
        <w:pStyle w:val="Heading2"/>
      </w:pPr>
      <w:r>
        <w:rPr/>
        <w:t>4-</w:t>
      </w:r>
      <w:r>
        <w:rPr>
          <w:spacing w:val="-5"/>
        </w:rPr>
        <w:t>053</w:t>
      </w:r>
    </w:p>
    <w:p>
      <w:pPr>
        <w:pStyle w:val="BodyText"/>
        <w:spacing w:line="235" w:lineRule="auto" w:before="203"/>
        <w:ind w:left="164" w:right="167"/>
        <w:jc w:val="both"/>
      </w:pPr>
      <w:bookmarkStart w:name="_bookmark556" w:id="558"/>
      <w:bookmarkEnd w:id="558"/>
      <w:r>
        <w:rPr/>
      </w:r>
      <w:r>
        <w:rPr/>
        <w:t>The rule stated in para.4-052 above applies also if the forbearing party’s claim is</w:t>
      </w:r>
      <w:r>
        <w:rPr>
          <w:spacing w:val="-1"/>
        </w:rPr>
        <w:t> </w:t>
      </w:r>
      <w:r>
        <w:rPr>
          <w:rFonts w:ascii="Arial" w:hAnsi="Arial"/>
          <w:i/>
        </w:rPr>
        <w:t>clearly invalid </w:t>
      </w:r>
      <w:r>
        <w:rPr/>
        <w:t>in law, </w:t>
      </w:r>
      <w:bookmarkStart w:name="_bookmark557" w:id="559"/>
      <w:bookmarkEnd w:id="559"/>
      <w:r>
        <w:rPr/>
        <w:t>so</w:t>
      </w:r>
      <w:r>
        <w:rPr/>
        <w:t> long as it was a “reasonable claim” </w:t>
      </w:r>
      <w:r>
        <w:rPr>
          <w:color w:val="005DA1"/>
          <w:u w:val="single" w:color="005DA1"/>
          <w:vertAlign w:val="superscript"/>
        </w:rPr>
        <w:t>300</w:t>
      </w:r>
      <w:r>
        <w:rPr>
          <w:color w:val="005DA1"/>
          <w:vertAlign w:val="baseline"/>
        </w:rPr>
        <w:t> </w:t>
      </w:r>
      <w:r>
        <w:rPr>
          <w:vertAlign w:val="baseline"/>
        </w:rPr>
        <w:t>(i.e. one made on reasonable grounds) which was in good faith believed by the party forbearing to have at any rate a fair chance of success. </w:t>
      </w:r>
      <w:r>
        <w:rPr>
          <w:color w:val="005DA1"/>
          <w:u w:val="single" w:color="005DA1"/>
          <w:vertAlign w:val="superscript"/>
        </w:rPr>
        <w:t>301</w:t>
      </w:r>
      <w:r>
        <w:rPr>
          <w:color w:val="005DA1"/>
          <w:vertAlign w:val="baseline"/>
        </w:rPr>
        <w:t> </w:t>
      </w:r>
      <w:r>
        <w:rPr>
          <w:vertAlign w:val="baseline"/>
        </w:rPr>
        <w:t>Since the claimant</w:t>
      </w:r>
      <w:r>
        <w:rPr>
          <w:spacing w:val="-2"/>
          <w:vertAlign w:val="baseline"/>
        </w:rPr>
        <w:t> </w:t>
      </w:r>
      <w:r>
        <w:rPr>
          <w:vertAlign w:val="baseline"/>
        </w:rPr>
        <w:t>would,</w:t>
      </w:r>
      <w:r>
        <w:rPr>
          <w:spacing w:val="-2"/>
          <w:vertAlign w:val="baseline"/>
        </w:rPr>
        <w:t> </w:t>
      </w:r>
      <w:r>
        <w:rPr>
          <w:vertAlign w:val="baseline"/>
        </w:rPr>
        <w:t>if</w:t>
      </w:r>
      <w:r>
        <w:rPr>
          <w:spacing w:val="-2"/>
          <w:vertAlign w:val="baseline"/>
        </w:rPr>
        <w:t> </w:t>
      </w:r>
      <w:r>
        <w:rPr>
          <w:vertAlign w:val="baseline"/>
        </w:rPr>
        <w:t>he</w:t>
      </w:r>
      <w:r>
        <w:rPr>
          <w:spacing w:val="-2"/>
          <w:vertAlign w:val="baseline"/>
        </w:rPr>
        <w:t> </w:t>
      </w:r>
      <w:r>
        <w:rPr>
          <w:vertAlign w:val="baseline"/>
        </w:rPr>
        <w:t>did</w:t>
      </w:r>
      <w:r>
        <w:rPr>
          <w:spacing w:val="-2"/>
          <w:vertAlign w:val="baseline"/>
        </w:rPr>
        <w:t> </w:t>
      </w:r>
      <w:r>
        <w:rPr>
          <w:vertAlign w:val="baseline"/>
        </w:rPr>
        <w:t>not</w:t>
      </w:r>
      <w:r>
        <w:rPr>
          <w:spacing w:val="-2"/>
          <w:vertAlign w:val="baseline"/>
        </w:rPr>
        <w:t> </w:t>
      </w:r>
      <w:r>
        <w:rPr>
          <w:vertAlign w:val="baseline"/>
        </w:rPr>
        <w:t>forbear,</w:t>
      </w:r>
      <w:r>
        <w:rPr>
          <w:spacing w:val="-2"/>
          <w:vertAlign w:val="baseline"/>
        </w:rPr>
        <w:t> </w:t>
      </w:r>
      <w:r>
        <w:rPr>
          <w:vertAlign w:val="baseline"/>
        </w:rPr>
        <w:t>in</w:t>
      </w:r>
      <w:r>
        <w:rPr>
          <w:spacing w:val="-2"/>
          <w:vertAlign w:val="baseline"/>
        </w:rPr>
        <w:t> </w:t>
      </w:r>
      <w:r>
        <w:rPr>
          <w:vertAlign w:val="baseline"/>
        </w:rPr>
        <w:t>such</w:t>
      </w:r>
      <w:r>
        <w:rPr>
          <w:spacing w:val="-2"/>
          <w:vertAlign w:val="baseline"/>
        </w:rPr>
        <w:t> </w:t>
      </w:r>
      <w:r>
        <w:rPr>
          <w:vertAlign w:val="baseline"/>
        </w:rPr>
        <w:t>a</w:t>
      </w:r>
      <w:r>
        <w:rPr>
          <w:spacing w:val="-2"/>
          <w:vertAlign w:val="baseline"/>
        </w:rPr>
        <w:t> </w:t>
      </w:r>
      <w:r>
        <w:rPr>
          <w:vertAlign w:val="baseline"/>
        </w:rPr>
        <w:t>case</w:t>
      </w:r>
      <w:r>
        <w:rPr>
          <w:spacing w:val="-2"/>
          <w:vertAlign w:val="baseline"/>
        </w:rPr>
        <w:t> </w:t>
      </w:r>
      <w:r>
        <w:rPr>
          <w:vertAlign w:val="baseline"/>
        </w:rPr>
        <w:t>lose</w:t>
      </w:r>
      <w:r>
        <w:rPr>
          <w:spacing w:val="-2"/>
          <w:vertAlign w:val="baseline"/>
        </w:rPr>
        <w:t> </w:t>
      </w:r>
      <w:r>
        <w:rPr>
          <w:vertAlign w:val="baseline"/>
        </w:rPr>
        <w:t>both</w:t>
      </w:r>
      <w:r>
        <w:rPr>
          <w:spacing w:val="-2"/>
          <w:vertAlign w:val="baseline"/>
        </w:rPr>
        <w:t> </w:t>
      </w:r>
      <w:r>
        <w:rPr>
          <w:vertAlign w:val="baseline"/>
        </w:rPr>
        <w:t>his</w:t>
      </w:r>
      <w:r>
        <w:rPr>
          <w:spacing w:val="-2"/>
          <w:vertAlign w:val="baseline"/>
        </w:rPr>
        <w:t> </w:t>
      </w:r>
      <w:r>
        <w:rPr>
          <w:vertAlign w:val="baseline"/>
        </w:rPr>
        <w:t>action</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costs,</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easy</w:t>
      </w:r>
      <w:r>
        <w:rPr>
          <w:spacing w:val="-2"/>
          <w:vertAlign w:val="baseline"/>
        </w:rPr>
        <w:t> </w:t>
      </w:r>
      <w:r>
        <w:rPr>
          <w:vertAlign w:val="baseline"/>
        </w:rPr>
        <w:t>to </w:t>
      </w:r>
      <w:bookmarkStart w:name="_bookmark558" w:id="560"/>
      <w:bookmarkEnd w:id="560"/>
      <w:r>
        <w:rPr>
          <w:vertAlign w:val="baseline"/>
        </w:rPr>
        <w:t>see</w:t>
      </w:r>
      <w:r>
        <w:rPr>
          <w:vertAlign w:val="baseline"/>
        </w:rPr>
        <w:t> what detriment he suffers by forbearing; one possible argument is that the delay in bringing the action (induced by the other party’s promise) will increase the difficulty and costs of bringing it, </w:t>
      </w:r>
      <w:r>
        <w:rPr>
          <w:color w:val="005DA1"/>
          <w:u w:val="single" w:color="005DA1"/>
          <w:vertAlign w:val="superscript"/>
        </w:rPr>
        <w:t>302</w:t>
      </w:r>
      <w:r>
        <w:rPr>
          <w:color w:val="005DA1"/>
          <w:vertAlign w:val="baseline"/>
        </w:rPr>
        <w:t> </w:t>
      </w:r>
      <w:bookmarkStart w:name="_bookmark559" w:id="561"/>
      <w:bookmarkEnd w:id="561"/>
      <w:r>
        <w:rPr>
          <w:color w:val="005DA1"/>
          <w:w w:val="92"/>
          <w:vertAlign w:val="baseline"/>
        </w:rPr>
      </w:r>
      <w:r>
        <w:rPr>
          <w:vertAlign w:val="baseline"/>
        </w:rPr>
        <w:t>even though it was bound to fail. It is also arguable that the other party (the promisor) benefits since “instead of being annoyed with the action, he escapes from the vexations incident to it.” </w:t>
      </w:r>
      <w:r>
        <w:rPr>
          <w:color w:val="005DA1"/>
          <w:u w:val="single" w:color="005DA1"/>
          <w:vertAlign w:val="superscript"/>
        </w:rPr>
        <w:t>303</w:t>
      </w:r>
      <w:r>
        <w:rPr>
          <w:color w:val="005DA1"/>
          <w:vertAlign w:val="baseline"/>
        </w:rPr>
        <w:t> </w:t>
      </w:r>
      <w:r>
        <w:rPr>
          <w:vertAlign w:val="baseline"/>
        </w:rPr>
        <w:t>This may, indeed, also be true where the claim is </w:t>
      </w:r>
      <w:r>
        <w:rPr>
          <w:rFonts w:ascii="Arial" w:hAnsi="Arial"/>
          <w:i/>
          <w:vertAlign w:val="baseline"/>
        </w:rPr>
        <w:t>known </w:t>
      </w:r>
      <w:r>
        <w:rPr>
          <w:vertAlign w:val="baseline"/>
        </w:rPr>
        <w:t>to be invalid; but the rule that a compromise of such a claim is not binding is, as has been suggested in para.4-051 above, more appropriately based on grounds of public policy than on want of consideration.</w:t>
      </w:r>
    </w:p>
    <w:p>
      <w:pPr>
        <w:pStyle w:val="BodyText"/>
        <w:spacing w:before="77"/>
      </w:pPr>
    </w:p>
    <w:p>
      <w:pPr>
        <w:pStyle w:val="Heading2"/>
      </w:pPr>
      <w:r>
        <w:rPr/>
        <w:t>4-</w:t>
      </w:r>
      <w:r>
        <w:rPr>
          <w:spacing w:val="-5"/>
        </w:rPr>
        <w:t>054</w:t>
      </w:r>
    </w:p>
    <w:p>
      <w:pPr>
        <w:pStyle w:val="Heading2"/>
        <w:spacing w:after="0"/>
        <w:sectPr>
          <w:headerReference w:type="default" r:id="rId22"/>
          <w:headerReference w:type="even" r:id="rId23"/>
          <w:pgSz w:w="11900" w:h="16840"/>
          <w:pgMar w:header="971" w:footer="0" w:top="1160" w:bottom="280" w:left="1275" w:right="1275"/>
          <w:pgNumType w:start="1"/>
        </w:sectPr>
      </w:pPr>
    </w:p>
    <w:p>
      <w:pPr>
        <w:pStyle w:val="BodyText"/>
        <w:spacing w:before="124"/>
        <w:rPr>
          <w:rFonts w:ascii="Arial"/>
          <w:b/>
        </w:rPr>
      </w:pPr>
    </w:p>
    <w:p>
      <w:pPr>
        <w:pStyle w:val="BodyText"/>
        <w:spacing w:line="235" w:lineRule="auto" w:before="1"/>
        <w:ind w:left="165" w:right="167"/>
        <w:jc w:val="both"/>
      </w:pPr>
      <w:r>
        <w:rPr/>
        <w:t>Two further conditions must be satisfied by a party who relies on his forbearance to enforce an invalid </w:t>
      </w:r>
      <w:bookmarkStart w:name="_bookmark560" w:id="562"/>
      <w:bookmarkEnd w:id="562"/>
      <w:r>
        <w:rPr/>
        <w:t>claim</w:t>
      </w:r>
      <w:r>
        <w:rPr>
          <w:spacing w:val="-2"/>
        </w:rPr>
        <w:t> </w:t>
      </w:r>
      <w:r>
        <w:rPr/>
        <w:t>as</w:t>
      </w:r>
      <w:r>
        <w:rPr>
          <w:spacing w:val="-2"/>
        </w:rPr>
        <w:t> </w:t>
      </w:r>
      <w:r>
        <w:rPr/>
        <w:t>the</w:t>
      </w:r>
      <w:r>
        <w:rPr>
          <w:spacing w:val="-2"/>
        </w:rPr>
        <w:t> </w:t>
      </w:r>
      <w:r>
        <w:rPr/>
        <w:t>consideration</w:t>
      </w:r>
      <w:r>
        <w:rPr>
          <w:spacing w:val="-2"/>
        </w:rPr>
        <w:t> </w:t>
      </w:r>
      <w:r>
        <w:rPr/>
        <w:t>for</w:t>
      </w:r>
      <w:r>
        <w:rPr>
          <w:spacing w:val="-2"/>
        </w:rPr>
        <w:t> </w:t>
      </w:r>
      <w:r>
        <w:rPr/>
        <w:t>a</w:t>
      </w:r>
      <w:r>
        <w:rPr>
          <w:spacing w:val="-2"/>
        </w:rPr>
        <w:t> </w:t>
      </w:r>
      <w:r>
        <w:rPr/>
        <w:t>promise</w:t>
      </w:r>
      <w:r>
        <w:rPr>
          <w:spacing w:val="-2"/>
        </w:rPr>
        <w:t> </w:t>
      </w:r>
      <w:r>
        <w:rPr/>
        <w:t>made</w:t>
      </w:r>
      <w:r>
        <w:rPr>
          <w:spacing w:val="-2"/>
        </w:rPr>
        <w:t> </w:t>
      </w:r>
      <w:r>
        <w:rPr/>
        <w:t>to</w:t>
      </w:r>
      <w:r>
        <w:rPr>
          <w:spacing w:val="-2"/>
        </w:rPr>
        <w:t> </w:t>
      </w:r>
      <w:r>
        <w:rPr/>
        <w:t>him.</w:t>
      </w:r>
      <w:r>
        <w:rPr>
          <w:spacing w:val="-2"/>
        </w:rPr>
        <w:t> </w:t>
      </w:r>
      <w:r>
        <w:rPr/>
        <w:t>He</w:t>
      </w:r>
      <w:r>
        <w:rPr>
          <w:spacing w:val="-2"/>
        </w:rPr>
        <w:t> </w:t>
      </w:r>
      <w:r>
        <w:rPr/>
        <w:t>must</w:t>
      </w:r>
      <w:r>
        <w:rPr>
          <w:spacing w:val="-2"/>
        </w:rPr>
        <w:t> </w:t>
      </w:r>
      <w:r>
        <w:rPr/>
        <w:t>not</w:t>
      </w:r>
      <w:r>
        <w:rPr>
          <w:spacing w:val="-2"/>
        </w:rPr>
        <w:t> </w:t>
      </w:r>
      <w:r>
        <w:rPr/>
        <w:t>deliberately</w:t>
      </w:r>
      <w:r>
        <w:rPr>
          <w:spacing w:val="-2"/>
        </w:rPr>
        <w:t> </w:t>
      </w:r>
      <w:r>
        <w:rPr/>
        <w:t>conceal</w:t>
      </w:r>
      <w:r>
        <w:rPr>
          <w:spacing w:val="-2"/>
        </w:rPr>
        <w:t> </w:t>
      </w:r>
      <w:r>
        <w:rPr/>
        <w:t>from</w:t>
      </w:r>
      <w:r>
        <w:rPr>
          <w:spacing w:val="-2"/>
        </w:rPr>
        <w:t> </w:t>
      </w:r>
      <w:r>
        <w:rPr/>
        <w:t>the</w:t>
      </w:r>
      <w:r>
        <w:rPr>
          <w:spacing w:val="-2"/>
        </w:rPr>
        <w:t> </w:t>
      </w:r>
      <w:r>
        <w:rPr/>
        <w:t>other </w:t>
      </w:r>
      <w:bookmarkStart w:name="_bookmark561" w:id="563"/>
      <w:bookmarkEnd w:id="563"/>
      <w:r>
        <w:rPr/>
        <w:t>party</w:t>
      </w:r>
      <w:r>
        <w:rPr/>
        <w:t> (i.e. the promisor) facts which, if known to the latter, would enable him to defeat the claim. </w:t>
      </w:r>
      <w:r>
        <w:rPr>
          <w:color w:val="005DA1"/>
          <w:u w:val="single" w:color="005DA1"/>
          <w:vertAlign w:val="superscript"/>
        </w:rPr>
        <w:t>304</w:t>
      </w:r>
      <w:r>
        <w:rPr>
          <w:color w:val="005DA1"/>
          <w:vertAlign w:val="baseline"/>
        </w:rPr>
        <w:t> </w:t>
      </w:r>
      <w:r>
        <w:rPr>
          <w:vertAlign w:val="baseline"/>
        </w:rPr>
        <w:t>And he must show that he seriously intended to pursue the claim. </w:t>
      </w:r>
      <w:r>
        <w:rPr>
          <w:color w:val="005DA1"/>
          <w:u w:val="single" w:color="005DA1"/>
          <w:vertAlign w:val="superscript"/>
        </w:rPr>
        <w:t>305</w:t>
      </w:r>
    </w:p>
    <w:p>
      <w:pPr>
        <w:pStyle w:val="BodyText"/>
      </w:pPr>
    </w:p>
    <w:p>
      <w:pPr>
        <w:pStyle w:val="BodyText"/>
        <w:spacing w:before="37"/>
      </w:pPr>
    </w:p>
    <w:p>
      <w:pPr>
        <w:spacing w:before="0"/>
        <w:ind w:left="165" w:right="0" w:firstLine="0"/>
        <w:jc w:val="left"/>
        <w:rPr>
          <w:rFonts w:ascii="Arial"/>
          <w:b/>
          <w:sz w:val="18"/>
        </w:rPr>
      </w:pPr>
      <w:r>
        <w:rPr>
          <w:rFonts w:ascii="Arial"/>
          <w:b/>
          <w:sz w:val="18"/>
        </w:rPr>
        <w:t>Claims on disputed </w:t>
      </w:r>
      <w:r>
        <w:rPr>
          <w:rFonts w:ascii="Arial"/>
          <w:b/>
          <w:spacing w:val="-2"/>
          <w:sz w:val="18"/>
        </w:rPr>
        <w:t>facts</w:t>
      </w:r>
    </w:p>
    <w:p>
      <w:pPr>
        <w:pStyle w:val="BodyText"/>
        <w:spacing w:before="41"/>
        <w:rPr>
          <w:rFonts w:ascii="Arial"/>
          <w:b/>
          <w:sz w:val="18"/>
        </w:rPr>
      </w:pPr>
    </w:p>
    <w:p>
      <w:pPr>
        <w:pStyle w:val="Heading2"/>
      </w:pPr>
      <w:r>
        <w:rPr/>
        <w:t>4-</w:t>
      </w:r>
      <w:r>
        <w:rPr>
          <w:spacing w:val="-5"/>
        </w:rPr>
        <w:t>055</w:t>
      </w:r>
    </w:p>
    <w:p>
      <w:pPr>
        <w:pStyle w:val="BodyText"/>
        <w:spacing w:line="235" w:lineRule="auto" w:before="203"/>
        <w:ind w:left="164" w:right="167"/>
        <w:jc w:val="both"/>
      </w:pPr>
      <w:r>
        <w:rPr/>
        <w:t>The</w:t>
      </w:r>
      <w:r>
        <w:rPr>
          <w:spacing w:val="-1"/>
        </w:rPr>
        <w:t> </w:t>
      </w:r>
      <w:r>
        <w:rPr/>
        <w:t>cases</w:t>
      </w:r>
      <w:r>
        <w:rPr>
          <w:spacing w:val="-1"/>
        </w:rPr>
        <w:t> </w:t>
      </w:r>
      <w:r>
        <w:rPr/>
        <w:t>considered</w:t>
      </w:r>
      <w:r>
        <w:rPr>
          <w:spacing w:val="-1"/>
        </w:rPr>
        <w:t> </w:t>
      </w:r>
      <w:r>
        <w:rPr/>
        <w:t>in</w:t>
      </w:r>
      <w:r>
        <w:rPr>
          <w:spacing w:val="-1"/>
        </w:rPr>
        <w:t> </w:t>
      </w:r>
      <w:r>
        <w:rPr/>
        <w:t>paras</w:t>
      </w:r>
      <w:r>
        <w:rPr>
          <w:spacing w:val="-1"/>
        </w:rPr>
        <w:t> </w:t>
      </w:r>
      <w:r>
        <w:rPr/>
        <w:t>4-052</w:t>
      </w:r>
      <w:r>
        <w:rPr>
          <w:spacing w:val="-1"/>
        </w:rPr>
        <w:t> </w:t>
      </w:r>
      <w:r>
        <w:rPr/>
        <w:t>and</w:t>
      </w:r>
      <w:r>
        <w:rPr>
          <w:spacing w:val="-1"/>
        </w:rPr>
        <w:t> </w:t>
      </w:r>
      <w:r>
        <w:rPr/>
        <w:t>4-053</w:t>
      </w:r>
      <w:r>
        <w:rPr>
          <w:spacing w:val="-1"/>
        </w:rPr>
        <w:t> </w:t>
      </w:r>
      <w:r>
        <w:rPr/>
        <w:t>above</w:t>
      </w:r>
      <w:r>
        <w:rPr>
          <w:spacing w:val="-1"/>
        </w:rPr>
        <w:t> </w:t>
      </w:r>
      <w:r>
        <w:rPr/>
        <w:t>concern</w:t>
      </w:r>
      <w:r>
        <w:rPr>
          <w:spacing w:val="-1"/>
        </w:rPr>
        <w:t> </w:t>
      </w:r>
      <w:r>
        <w:rPr/>
        <w:t>claims</w:t>
      </w:r>
      <w:r>
        <w:rPr>
          <w:spacing w:val="-1"/>
        </w:rPr>
        <w:t> </w:t>
      </w:r>
      <w:r>
        <w:rPr/>
        <w:t>the</w:t>
      </w:r>
      <w:r>
        <w:rPr>
          <w:spacing w:val="-1"/>
        </w:rPr>
        <w:t> </w:t>
      </w:r>
      <w:r>
        <w:rPr/>
        <w:t>validity</w:t>
      </w:r>
      <w:r>
        <w:rPr>
          <w:spacing w:val="-1"/>
        </w:rPr>
        <w:t> </w:t>
      </w:r>
      <w:r>
        <w:rPr/>
        <w:t>of</w:t>
      </w:r>
      <w:r>
        <w:rPr>
          <w:spacing w:val="-1"/>
        </w:rPr>
        <w:t> </w:t>
      </w:r>
      <w:r>
        <w:rPr/>
        <w:t>which</w:t>
      </w:r>
      <w:r>
        <w:rPr>
          <w:spacing w:val="-1"/>
        </w:rPr>
        <w:t> </w:t>
      </w:r>
      <w:r>
        <w:rPr/>
        <w:t>is</w:t>
      </w:r>
      <w:r>
        <w:rPr>
          <w:spacing w:val="-1"/>
        </w:rPr>
        <w:t> </w:t>
      </w:r>
      <w:r>
        <w:rPr/>
        <w:t>doubtful in law. It seems that the same principles can apply where the validity of a claim is in doubt because of </w:t>
      </w:r>
      <w:bookmarkStart w:name="_bookmark562" w:id="564"/>
      <w:bookmarkEnd w:id="564"/>
      <w:r>
        <w:rPr/>
        <w:t>a</w:t>
      </w:r>
      <w:r>
        <w:rPr/>
        <w:t> dispute about the facts. A settlement based on a simple </w:t>
      </w:r>
      <w:r>
        <w:rPr>
          <w:rFonts w:ascii="Arial"/>
          <w:i/>
        </w:rPr>
        <w:t>mistake </w:t>
      </w:r>
      <w:r>
        <w:rPr/>
        <w:t>of fact shared by both parties may be void for mistake. </w:t>
      </w:r>
      <w:r>
        <w:rPr>
          <w:color w:val="005DA1"/>
          <w:u w:val="single" w:color="005DA1"/>
          <w:vertAlign w:val="superscript"/>
        </w:rPr>
        <w:t>306</w:t>
      </w:r>
      <w:r>
        <w:rPr>
          <w:color w:val="005DA1"/>
          <w:vertAlign w:val="baseline"/>
        </w:rPr>
        <w:t> </w:t>
      </w:r>
      <w:r>
        <w:rPr>
          <w:vertAlign w:val="baseline"/>
        </w:rPr>
        <w:t>But this would not be the case where both parties knowingly took the risk that the facts might turn out to be different from the facts as they were alleged or supposed to be. A negotiation of a settlement on disputed facts always takes such an element of risk into account.</w:t>
      </w:r>
    </w:p>
    <w:p>
      <w:pPr>
        <w:pStyle w:val="BodyText"/>
      </w:pPr>
    </w:p>
    <w:p>
      <w:pPr>
        <w:pStyle w:val="BodyText"/>
        <w:spacing w:before="36"/>
      </w:pPr>
    </w:p>
    <w:p>
      <w:pPr>
        <w:spacing w:before="0"/>
        <w:ind w:left="164" w:right="0" w:firstLine="0"/>
        <w:jc w:val="left"/>
        <w:rPr>
          <w:rFonts w:ascii="Arial"/>
          <w:b/>
          <w:sz w:val="18"/>
        </w:rPr>
      </w:pPr>
      <w:r>
        <w:rPr>
          <w:rFonts w:ascii="Arial"/>
          <w:b/>
          <w:sz w:val="18"/>
        </w:rPr>
        <w:t>Void </w:t>
      </w:r>
      <w:r>
        <w:rPr>
          <w:rFonts w:ascii="Arial"/>
          <w:b/>
          <w:spacing w:val="-2"/>
          <w:sz w:val="18"/>
        </w:rPr>
        <w:t>forbearances</w:t>
      </w:r>
    </w:p>
    <w:p>
      <w:pPr>
        <w:pStyle w:val="BodyText"/>
        <w:spacing w:before="41"/>
        <w:rPr>
          <w:rFonts w:ascii="Arial"/>
          <w:b/>
          <w:sz w:val="18"/>
        </w:rPr>
      </w:pPr>
    </w:p>
    <w:p>
      <w:pPr>
        <w:pStyle w:val="Heading2"/>
        <w:ind w:left="164"/>
      </w:pPr>
      <w:r>
        <w:rPr/>
        <w:t>4-</w:t>
      </w:r>
      <w:r>
        <w:rPr>
          <w:spacing w:val="-5"/>
        </w:rPr>
        <w:t>056</w:t>
      </w:r>
    </w:p>
    <w:p>
      <w:pPr>
        <w:pStyle w:val="BodyText"/>
        <w:spacing w:line="235" w:lineRule="auto" w:before="203"/>
        <w:ind w:left="164" w:right="167"/>
        <w:jc w:val="both"/>
      </w:pPr>
      <w:r>
        <w:rPr/>
        <w:t>The forbearance itself (as opposed to the claim forborne) may be void on grounds of public policy, or </w:t>
      </w:r>
      <w:bookmarkStart w:name="_bookmark563" w:id="565"/>
      <w:bookmarkEnd w:id="565"/>
      <w:r>
        <w:rPr/>
        <w:t>by</w:t>
      </w:r>
      <w:r>
        <w:rPr/>
        <w:t> statute: for example, where a wife promises her husband not to apply for maintenance in matrimonial proceedings. </w:t>
      </w:r>
      <w:r>
        <w:rPr>
          <w:color w:val="005DA1"/>
          <w:u w:val="single" w:color="005DA1"/>
          <w:vertAlign w:val="superscript"/>
        </w:rPr>
        <w:t>307</w:t>
      </w:r>
      <w:r>
        <w:rPr>
          <w:color w:val="005DA1"/>
          <w:vertAlign w:val="baseline"/>
        </w:rPr>
        <w:t> </w:t>
      </w:r>
      <w:r>
        <w:rPr>
          <w:vertAlign w:val="baseline"/>
        </w:rPr>
        <w:t>In such cases the promise to forbear cannot of course be enforced; but, </w:t>
      </w:r>
      <w:bookmarkStart w:name="_bookmark564" w:id="566"/>
      <w:bookmarkEnd w:id="566"/>
      <w:r>
        <w:rPr>
          <w:vertAlign w:val="baseline"/>
        </w:rPr>
        <w:t>unless</w:t>
      </w:r>
      <w:r>
        <w:rPr>
          <w:vertAlign w:val="baseline"/>
        </w:rPr>
        <w:t> the promise is illegal, it may nevertheless constitute consideration for a counter-promise </w:t>
      </w:r>
      <w:r>
        <w:rPr>
          <w:vertAlign w:val="baseline"/>
        </w:rPr>
        <w:t>to </w:t>
      </w:r>
      <w:bookmarkStart w:name="_bookmark565" w:id="567"/>
      <w:bookmarkEnd w:id="567"/>
      <w:r>
        <w:rPr>
          <w:vertAlign w:val="baseline"/>
        </w:rPr>
        <w:t>make</w:t>
      </w:r>
      <w:r>
        <w:rPr>
          <w:vertAlign w:val="baseline"/>
        </w:rPr>
        <w:t> a payment in return for it. </w:t>
      </w:r>
      <w:r>
        <w:rPr>
          <w:color w:val="005DA1"/>
          <w:u w:val="single" w:color="005DA1"/>
          <w:vertAlign w:val="superscript"/>
        </w:rPr>
        <w:t>308</w:t>
      </w:r>
      <w:r>
        <w:rPr>
          <w:color w:val="005DA1"/>
          <w:vertAlign w:val="baseline"/>
        </w:rPr>
        <w:t> </w:t>
      </w:r>
      <w:r>
        <w:rPr>
          <w:vertAlign w:val="baseline"/>
        </w:rPr>
        <w:t>A fortiori the performance of the promise to forbear may (if the promise was not illegal) be good consideration for a counter-promise </w:t>
      </w:r>
      <w:r>
        <w:rPr>
          <w:color w:val="005DA1"/>
          <w:u w:val="single" w:color="005DA1"/>
          <w:vertAlign w:val="superscript"/>
        </w:rPr>
        <w:t>309</w:t>
      </w:r>
      <w:r>
        <w:rPr>
          <w:color w:val="005DA1"/>
          <w:vertAlign w:val="baseline"/>
        </w:rPr>
        <w:t> </w:t>
      </w:r>
      <w:r>
        <w:rPr>
          <w:vertAlign w:val="baseline"/>
        </w:rPr>
        <w:t>even though the promise could not have been enforced.</w:t>
      </w:r>
    </w:p>
    <w:p>
      <w:pPr>
        <w:pStyle w:val="BodyText"/>
      </w:pPr>
    </w:p>
    <w:p>
      <w:pPr>
        <w:pStyle w:val="BodyText"/>
        <w:spacing w:before="36"/>
      </w:pPr>
    </w:p>
    <w:p>
      <w:pPr>
        <w:spacing w:before="0"/>
        <w:ind w:left="165" w:right="0" w:firstLine="0"/>
        <w:jc w:val="left"/>
        <w:rPr>
          <w:rFonts w:ascii="Arial"/>
          <w:b/>
          <w:sz w:val="18"/>
        </w:rPr>
      </w:pPr>
      <w:r>
        <w:rPr>
          <w:rFonts w:ascii="Arial"/>
          <w:b/>
          <w:sz w:val="18"/>
        </w:rPr>
        <w:t>Executed </w:t>
      </w:r>
      <w:r>
        <w:rPr>
          <w:rFonts w:ascii="Arial"/>
          <w:b/>
          <w:spacing w:val="-2"/>
          <w:sz w:val="18"/>
        </w:rPr>
        <w:t>compromises</w:t>
      </w:r>
    </w:p>
    <w:p>
      <w:pPr>
        <w:pStyle w:val="BodyText"/>
        <w:spacing w:before="41"/>
        <w:rPr>
          <w:rFonts w:ascii="Arial"/>
          <w:b/>
          <w:sz w:val="18"/>
        </w:rPr>
      </w:pPr>
    </w:p>
    <w:p>
      <w:pPr>
        <w:pStyle w:val="Heading2"/>
      </w:pPr>
      <w:r>
        <w:rPr/>
        <w:t>4-</w:t>
      </w:r>
      <w:r>
        <w:rPr>
          <w:spacing w:val="-5"/>
        </w:rPr>
        <w:t>057</w:t>
      </w:r>
    </w:p>
    <w:p>
      <w:pPr>
        <w:pStyle w:val="BodyText"/>
        <w:spacing w:line="235" w:lineRule="auto" w:before="203"/>
        <w:ind w:left="164" w:right="167"/>
        <w:jc w:val="both"/>
      </w:pPr>
      <w:r>
        <w:rPr/>
        <w:t>The discussion in paras 4-051 to 4-056 above is concerned with the enforceability of an agreement to compromise a claim. Different problems can arise after such an agreement has been </w:t>
      </w:r>
      <w:r>
        <w:rPr>
          <w:rFonts w:ascii="Arial" w:hAnsi="Arial"/>
          <w:i/>
        </w:rPr>
        <w:t>performed</w:t>
      </w:r>
      <w:r>
        <w:rPr/>
        <w:t>, generally by payment of the amount which one party agreed to pay under the compromise. Even if </w:t>
      </w:r>
      <w:bookmarkStart w:name="_bookmark566" w:id="568"/>
      <w:bookmarkEnd w:id="568"/>
      <w:r>
        <w:rPr/>
        <w:t>there</w:t>
      </w:r>
      <w:r>
        <w:rPr/>
        <w:t> was, under the rules discussed above, no consideration for that party’s promise, he will not </w:t>
      </w:r>
      <w:r>
        <w:rPr/>
        <w:t>be </w:t>
      </w:r>
      <w:bookmarkStart w:name="_bookmark567" w:id="569"/>
      <w:bookmarkEnd w:id="569"/>
      <w:r>
        <w:rPr/>
        <w:t>entitled</w:t>
      </w:r>
      <w:r>
        <w:rPr/>
        <w:t> to the return of the payment if it was made “to close the transaction” </w:t>
      </w:r>
      <w:r>
        <w:rPr>
          <w:color w:val="005DA1"/>
          <w:u w:val="single" w:color="005DA1"/>
          <w:vertAlign w:val="superscript"/>
        </w:rPr>
        <w:t>310</w:t>
      </w:r>
      <w:r>
        <w:rPr>
          <w:vertAlign w:val="baseline"/>
        </w:rPr>
        <w:t>; in such a case the </w:t>
      </w:r>
      <w:bookmarkStart w:name="_bookmark568" w:id="570"/>
      <w:bookmarkEnd w:id="570"/>
      <w:r>
        <w:rPr>
          <w:vertAlign w:val="baseline"/>
        </w:rPr>
        <w:t>payment</w:t>
      </w:r>
      <w:r>
        <w:rPr>
          <w:vertAlign w:val="baseline"/>
        </w:rPr>
        <w:t> is treated as if it were an executed gift. </w:t>
      </w:r>
      <w:r>
        <w:rPr>
          <w:color w:val="005DA1"/>
          <w:u w:val="single" w:color="005DA1"/>
          <w:vertAlign w:val="superscript"/>
        </w:rPr>
        <w:t>311</w:t>
      </w:r>
      <w:r>
        <w:rPr>
          <w:color w:val="005DA1"/>
          <w:vertAlign w:val="baseline"/>
        </w:rPr>
        <w:t> </w:t>
      </w:r>
      <w:r>
        <w:rPr>
          <w:vertAlign w:val="baseline"/>
        </w:rPr>
        <w:t>To give rise to a claim for repayment, it will be necessary to establish other circumstances, such as that the payment was made under duress. </w:t>
      </w:r>
      <w:r>
        <w:rPr>
          <w:color w:val="005DA1"/>
          <w:u w:val="single" w:color="005DA1"/>
          <w:vertAlign w:val="superscript"/>
        </w:rPr>
        <w:t>312</w:t>
      </w:r>
    </w:p>
    <w:p>
      <w:pPr>
        <w:pStyle w:val="BodyText"/>
      </w:pPr>
    </w:p>
    <w:p>
      <w:pPr>
        <w:pStyle w:val="BodyText"/>
        <w:spacing w:before="37"/>
      </w:pPr>
      <w:r>
        <w:rPr/>
        <mc:AlternateContent>
          <mc:Choice Requires="wps">
            <w:drawing>
              <wp:anchor distT="0" distB="0" distL="0" distR="0" allowOverlap="1" layoutInCell="1" locked="0" behindDoc="1" simplePos="0" relativeHeight="487610880">
                <wp:simplePos x="0" y="0"/>
                <wp:positionH relativeFrom="page">
                  <wp:posOffset>914400</wp:posOffset>
                </wp:positionH>
                <wp:positionV relativeFrom="paragraph">
                  <wp:posOffset>185105</wp:posOffset>
                </wp:positionV>
                <wp:extent cx="5724525"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75258pt;width:450.75pt;height:.1pt;mso-position-horizontal-relative:page;mso-position-vertical-relative:paragraph;z-index:-15705600;mso-wrap-distance-left:0;mso-wrap-distance-right:0" id="docshape28"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178048">
                <wp:simplePos x="0" y="0"/>
                <wp:positionH relativeFrom="page">
                  <wp:posOffset>914400</wp:posOffset>
                </wp:positionH>
                <wp:positionV relativeFrom="paragraph">
                  <wp:posOffset>97116</wp:posOffset>
                </wp:positionV>
                <wp:extent cx="4953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8432"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before="9"/>
      </w:pPr>
    </w:p>
    <w:p>
      <w:pPr>
        <w:tabs>
          <w:tab w:pos="705" w:val="left" w:leader="none"/>
        </w:tabs>
        <w:spacing w:line="235" w:lineRule="auto" w:before="0"/>
        <w:ind w:left="705" w:right="168" w:hanging="541"/>
        <w:jc w:val="left"/>
        <w:rPr>
          <w:sz w:val="20"/>
        </w:rPr>
      </w:pPr>
      <w:bookmarkStart w:name="_bookmark569" w:id="571"/>
      <w:bookmarkEnd w:id="571"/>
      <w:r>
        <w:rPr/>
      </w:r>
      <w:hyperlink w:history="true" w:anchor="_bookmark552">
        <w:r>
          <w:rPr>
            <w:color w:val="005DA1"/>
            <w:spacing w:val="-4"/>
            <w:position w:val="5"/>
            <w:sz w:val="14"/>
            <w:u w:val="single" w:color="005DA1"/>
          </w:rPr>
          <w:t>296</w:t>
        </w:r>
      </w:hyperlink>
      <w:r>
        <w:rPr>
          <w:spacing w:val="-4"/>
          <w:position w:val="5"/>
          <w:sz w:val="14"/>
        </w:rPr>
        <w:t>.</w:t>
      </w:r>
      <w:r>
        <w:rPr>
          <w:position w:val="5"/>
          <w:sz w:val="14"/>
        </w:rPr>
        <w:tab/>
      </w:r>
      <w:r>
        <w:rPr>
          <w:sz w:val="20"/>
        </w:rPr>
        <w:t>The position is different if there is also </w:t>
      </w:r>
      <w:r>
        <w:rPr>
          <w:rFonts w:ascii="Arial" w:hAnsi="Arial"/>
          <w:i/>
          <w:sz w:val="20"/>
        </w:rPr>
        <w:t>other </w:t>
      </w:r>
      <w:r>
        <w:rPr>
          <w:sz w:val="20"/>
        </w:rPr>
        <w:t>consideration for the promise; see </w:t>
      </w:r>
      <w:r>
        <w:rPr>
          <w:rFonts w:ascii="Arial" w:hAnsi="Arial"/>
          <w:i/>
          <w:sz w:val="20"/>
        </w:rPr>
        <w:t>The Siboen and the Sibotre [1976] 1 Lloyd’s Rep. 293, 334</w:t>
      </w:r>
      <w:r>
        <w:rPr>
          <w:sz w:val="20"/>
        </w:rPr>
        <w:t>.</w:t>
      </w:r>
    </w:p>
    <w:p>
      <w:pPr>
        <w:pStyle w:val="BodyText"/>
        <w:spacing w:before="9"/>
      </w:pPr>
    </w:p>
    <w:p>
      <w:pPr>
        <w:spacing w:line="235" w:lineRule="auto" w:before="0"/>
        <w:ind w:left="705" w:right="167" w:hanging="541"/>
        <w:jc w:val="both"/>
        <w:rPr>
          <w:sz w:val="20"/>
        </w:rPr>
      </w:pPr>
      <w:bookmarkStart w:name="_bookmark570" w:id="572"/>
      <w:bookmarkEnd w:id="572"/>
      <w:r>
        <w:rPr/>
      </w:r>
      <w:hyperlink w:history="true" w:anchor="_bookmark553">
        <w:r>
          <w:rPr>
            <w:color w:val="005DA1"/>
            <w:position w:val="5"/>
            <w:sz w:val="14"/>
            <w:u w:val="single" w:color="005DA1"/>
          </w:rPr>
          <w:t>297</w:t>
        </w:r>
      </w:hyperlink>
      <w:r>
        <w:rPr>
          <w:position w:val="5"/>
          <w:sz w:val="14"/>
        </w:rPr>
        <w:t>.</w:t>
      </w:r>
      <w:r>
        <w:rPr>
          <w:spacing w:val="40"/>
          <w:position w:val="5"/>
          <w:sz w:val="14"/>
        </w:rPr>
        <w:t>  </w:t>
      </w:r>
      <w:r>
        <w:rPr>
          <w:rFonts w:ascii="Arial" w:hAnsi="Arial"/>
          <w:i/>
          <w:sz w:val="20"/>
        </w:rPr>
        <w:t>(1846) 2 C.B. 548, 564</w:t>
      </w:r>
      <w:r>
        <w:rPr>
          <w:sz w:val="20"/>
        </w:rPr>
        <w:t>. See also </w:t>
      </w:r>
      <w:r>
        <w:rPr>
          <w:rFonts w:ascii="Arial" w:hAnsi="Arial"/>
          <w:i/>
          <w:sz w:val="20"/>
        </w:rPr>
        <w:t>Edwards v Baugh (1843) 11 M. &amp; W. 641</w:t>
      </w:r>
      <w:r>
        <w:rPr>
          <w:sz w:val="20"/>
        </w:rPr>
        <w:t>, especially at 646; </w:t>
      </w:r>
      <w:r>
        <w:rPr>
          <w:rFonts w:ascii="Arial" w:hAnsi="Arial"/>
          <w:i/>
          <w:sz w:val="20"/>
        </w:rPr>
        <w:t>Callisher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Bischoffsheim</w:t>
      </w:r>
      <w:r>
        <w:rPr>
          <w:rFonts w:ascii="Arial" w:hAnsi="Arial"/>
          <w:i/>
          <w:spacing w:val="-2"/>
          <w:sz w:val="20"/>
        </w:rPr>
        <w:t> </w:t>
      </w:r>
      <w:r>
        <w:rPr>
          <w:rFonts w:ascii="Arial" w:hAnsi="Arial"/>
          <w:i/>
          <w:sz w:val="20"/>
        </w:rPr>
        <w:t>(1870)</w:t>
      </w:r>
      <w:r>
        <w:rPr>
          <w:rFonts w:ascii="Arial" w:hAnsi="Arial"/>
          <w:i/>
          <w:spacing w:val="-2"/>
          <w:sz w:val="20"/>
        </w:rPr>
        <w:t> </w:t>
      </w:r>
      <w:r>
        <w:rPr>
          <w:rFonts w:ascii="Arial" w:hAnsi="Arial"/>
          <w:i/>
          <w:sz w:val="20"/>
        </w:rPr>
        <w:t>L.R.</w:t>
      </w:r>
      <w:r>
        <w:rPr>
          <w:rFonts w:ascii="Arial" w:hAnsi="Arial"/>
          <w:i/>
          <w:spacing w:val="-2"/>
          <w:sz w:val="20"/>
        </w:rPr>
        <w:t> </w:t>
      </w:r>
      <w:r>
        <w:rPr>
          <w:rFonts w:ascii="Arial" w:hAnsi="Arial"/>
          <w:i/>
          <w:sz w:val="20"/>
        </w:rPr>
        <w:t>5</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449</w:t>
      </w:r>
      <w:r>
        <w:rPr>
          <w:rFonts w:ascii="Arial" w:hAnsi="Arial"/>
          <w:i/>
          <w:spacing w:val="-3"/>
          <w:sz w:val="20"/>
        </w:rPr>
        <w:t> </w:t>
      </w:r>
      <w:r>
        <w:rPr>
          <w:sz w:val="20"/>
        </w:rPr>
        <w:t>at</w:t>
      </w:r>
      <w:r>
        <w:rPr>
          <w:spacing w:val="-2"/>
          <w:sz w:val="20"/>
        </w:rPr>
        <w:t> </w:t>
      </w:r>
      <w:r>
        <w:rPr>
          <w:sz w:val="20"/>
        </w:rPr>
        <w:t>452</w:t>
      </w:r>
      <w:r>
        <w:rPr>
          <w:spacing w:val="-2"/>
          <w:sz w:val="20"/>
        </w:rPr>
        <w:t> </w:t>
      </w:r>
      <w:r>
        <w:rPr>
          <w:sz w:val="20"/>
        </w:rPr>
        <w:t>(“fraudulent”).</w:t>
      </w:r>
      <w:r>
        <w:rPr>
          <w:spacing w:val="-2"/>
          <w:sz w:val="20"/>
        </w:rPr>
        <w:t> </w:t>
      </w:r>
      <w:r>
        <w:rPr>
          <w:sz w:val="20"/>
        </w:rPr>
        <w:t>It</w:t>
      </w:r>
      <w:r>
        <w:rPr>
          <w:spacing w:val="-2"/>
          <w:sz w:val="20"/>
        </w:rPr>
        <w:t> </w:t>
      </w:r>
      <w:r>
        <w:rPr>
          <w:sz w:val="20"/>
        </w:rPr>
        <w:t>followed</w:t>
      </w:r>
      <w:r>
        <w:rPr>
          <w:spacing w:val="-2"/>
          <w:sz w:val="20"/>
        </w:rPr>
        <w:t> </w:t>
      </w:r>
      <w:r>
        <w:rPr>
          <w:sz w:val="20"/>
        </w:rPr>
        <w:t>that</w:t>
      </w:r>
      <w:r>
        <w:rPr>
          <w:spacing w:val="-2"/>
          <w:sz w:val="20"/>
        </w:rPr>
        <w:t> </w:t>
      </w:r>
      <w:r>
        <w:rPr>
          <w:sz w:val="20"/>
        </w:rPr>
        <w:t>a</w:t>
      </w:r>
      <w:r>
        <w:rPr>
          <w:spacing w:val="-2"/>
          <w:sz w:val="20"/>
        </w:rPr>
        <w:t> </w:t>
      </w:r>
      <w:r>
        <w:rPr>
          <w:sz w:val="20"/>
        </w:rPr>
        <w:t>promise by a bookmaker not to sue his client for lost bets was formerly no consideration for a promise made in return by the client: </w:t>
      </w:r>
      <w:r>
        <w:rPr>
          <w:rFonts w:ascii="Arial" w:hAnsi="Arial"/>
          <w:i/>
          <w:sz w:val="20"/>
        </w:rPr>
        <w:t>Hyams v Coombes (1912) 28 T.L.R. 413</w:t>
      </w:r>
      <w:r>
        <w:rPr>
          <w:sz w:val="20"/>
        </w:rPr>
        <w:t>; </w:t>
      </w:r>
      <w:r>
        <w:rPr>
          <w:rFonts w:ascii="Arial" w:hAnsi="Arial"/>
          <w:i/>
          <w:sz w:val="20"/>
        </w:rPr>
        <w:t>Burrell &amp; Son v Leven (1926) 42 T.L.R. 407</w:t>
      </w:r>
      <w:r>
        <w:rPr>
          <w:sz w:val="20"/>
        </w:rPr>
        <w:t>; </w:t>
      </w:r>
      <w:r>
        <w:rPr>
          <w:rFonts w:ascii="Arial" w:hAnsi="Arial"/>
          <w:i/>
          <w:sz w:val="20"/>
        </w:rPr>
        <w:t>Poteliakhoff v Teakle [1938] 2 K.B. 816</w:t>
      </w:r>
      <w:r>
        <w:rPr>
          <w:sz w:val="20"/>
        </w:rPr>
        <w:t>; </w:t>
      </w:r>
      <w:r>
        <w:rPr>
          <w:rFonts w:ascii="Arial" w:hAnsi="Arial"/>
          <w:i/>
          <w:sz w:val="20"/>
        </w:rPr>
        <w:t>Goodson v Baker (1908) 98 L.T. 415</w:t>
      </w:r>
      <w:r>
        <w:rPr>
          <w:rFonts w:ascii="Arial" w:hAnsi="Arial"/>
          <w:i/>
          <w:spacing w:val="-3"/>
          <w:sz w:val="20"/>
        </w:rPr>
        <w:t> </w:t>
      </w:r>
      <w:r>
        <w:rPr>
          <w:sz w:val="20"/>
        </w:rPr>
        <w:t>(contra)</w:t>
      </w:r>
      <w:r>
        <w:rPr>
          <w:spacing w:val="-3"/>
          <w:sz w:val="20"/>
        </w:rPr>
        <w:t> </w:t>
      </w:r>
      <w:r>
        <w:rPr>
          <w:sz w:val="20"/>
        </w:rPr>
        <w:t>was</w:t>
      </w:r>
      <w:r>
        <w:rPr>
          <w:spacing w:val="-3"/>
          <w:sz w:val="20"/>
        </w:rPr>
        <w:t> </w:t>
      </w:r>
      <w:r>
        <w:rPr>
          <w:sz w:val="20"/>
        </w:rPr>
        <w:t>hard</w:t>
      </w:r>
      <w:r>
        <w:rPr>
          <w:spacing w:val="-3"/>
          <w:sz w:val="20"/>
        </w:rPr>
        <w:t> </w:t>
      </w:r>
      <w:r>
        <w:rPr>
          <w:sz w:val="20"/>
        </w:rPr>
        <w:t>to</w:t>
      </w:r>
      <w:r>
        <w:rPr>
          <w:spacing w:val="-3"/>
          <w:sz w:val="20"/>
        </w:rPr>
        <w:t> </w:t>
      </w:r>
      <w:r>
        <w:rPr>
          <w:sz w:val="20"/>
        </w:rPr>
        <w:t>support.</w:t>
      </w:r>
      <w:r>
        <w:rPr>
          <w:spacing w:val="-3"/>
          <w:sz w:val="20"/>
        </w:rPr>
        <w:t> </w:t>
      </w:r>
      <w:r>
        <w:rPr>
          <w:sz w:val="20"/>
        </w:rPr>
        <w:t>Now</w:t>
      </w:r>
      <w:r>
        <w:rPr>
          <w:spacing w:val="-3"/>
          <w:sz w:val="20"/>
        </w:rPr>
        <w:t> </w:t>
      </w:r>
      <w:r>
        <w:rPr>
          <w:sz w:val="20"/>
        </w:rPr>
        <w:t>that</w:t>
      </w:r>
      <w:r>
        <w:rPr>
          <w:spacing w:val="-3"/>
          <w:sz w:val="20"/>
        </w:rPr>
        <w:t> </w:t>
      </w:r>
      <w:r>
        <w:rPr>
          <w:sz w:val="20"/>
        </w:rPr>
        <w:t>the</w:t>
      </w:r>
      <w:r>
        <w:rPr>
          <w:spacing w:val="-3"/>
          <w:sz w:val="20"/>
        </w:rPr>
        <w:t> </w:t>
      </w:r>
      <w:r>
        <w:rPr>
          <w:sz w:val="20"/>
        </w:rPr>
        <w:t>bookmaker</w:t>
      </w:r>
      <w:r>
        <w:rPr>
          <w:spacing w:val="-3"/>
          <w:sz w:val="20"/>
        </w:rPr>
        <w:t> </w:t>
      </w:r>
      <w:r>
        <w:rPr>
          <w:sz w:val="20"/>
        </w:rPr>
        <w:t>can,</w:t>
      </w:r>
      <w:r>
        <w:rPr>
          <w:spacing w:val="-3"/>
          <w:sz w:val="20"/>
        </w:rPr>
        <w:t> </w:t>
      </w:r>
      <w:r>
        <w:rPr>
          <w:sz w:val="20"/>
        </w:rPr>
        <w:t>subject</w:t>
      </w:r>
      <w:r>
        <w:rPr>
          <w:spacing w:val="-3"/>
          <w:sz w:val="20"/>
        </w:rPr>
        <w:t> </w:t>
      </w:r>
      <w:r>
        <w:rPr>
          <w:sz w:val="20"/>
        </w:rPr>
        <w:t>to</w:t>
      </w:r>
      <w:r>
        <w:rPr>
          <w:spacing w:val="-3"/>
          <w:sz w:val="20"/>
        </w:rPr>
        <w:t> </w:t>
      </w:r>
      <w:r>
        <w:rPr>
          <w:sz w:val="20"/>
        </w:rPr>
        <w:t>exceptions</w:t>
      </w:r>
      <w:r>
        <w:rPr>
          <w:spacing w:val="-3"/>
          <w:sz w:val="20"/>
        </w:rPr>
        <w:t> </w:t>
      </w:r>
      <w:r>
        <w:rPr>
          <w:sz w:val="20"/>
        </w:rPr>
        <w:t>discussed in Vol.II, paras 41-016 et seq., enforce the client’s promise by virtue of Gambling Act 2005, s.335(1)</w:t>
      </w:r>
      <w:r>
        <w:rPr>
          <w:spacing w:val="14"/>
          <w:sz w:val="20"/>
        </w:rPr>
        <w:t> </w:t>
      </w:r>
      <w:r>
        <w:rPr>
          <w:sz w:val="20"/>
        </w:rPr>
        <w:t>(Vol.II,</w:t>
      </w:r>
      <w:r>
        <w:rPr>
          <w:spacing w:val="14"/>
          <w:sz w:val="20"/>
        </w:rPr>
        <w:t> </w:t>
      </w:r>
      <w:r>
        <w:rPr>
          <w:sz w:val="20"/>
        </w:rPr>
        <w:t>para.41-011),</w:t>
      </w:r>
      <w:r>
        <w:rPr>
          <w:spacing w:val="14"/>
          <w:sz w:val="20"/>
        </w:rPr>
        <w:t> </w:t>
      </w:r>
      <w:r>
        <w:rPr>
          <w:sz w:val="20"/>
        </w:rPr>
        <w:t>the</w:t>
      </w:r>
      <w:r>
        <w:rPr>
          <w:spacing w:val="14"/>
          <w:sz w:val="20"/>
        </w:rPr>
        <w:t> </w:t>
      </w:r>
      <w:r>
        <w:rPr>
          <w:sz w:val="20"/>
        </w:rPr>
        <w:t>bookmaker’s</w:t>
      </w:r>
      <w:r>
        <w:rPr>
          <w:spacing w:val="14"/>
          <w:sz w:val="20"/>
        </w:rPr>
        <w:t> </w:t>
      </w:r>
      <w:r>
        <w:rPr>
          <w:sz w:val="20"/>
        </w:rPr>
        <w:t>promise</w:t>
      </w:r>
      <w:r>
        <w:rPr>
          <w:spacing w:val="14"/>
          <w:sz w:val="20"/>
        </w:rPr>
        <w:t> </w:t>
      </w:r>
      <w:r>
        <w:rPr>
          <w:sz w:val="20"/>
        </w:rPr>
        <w:t>not</w:t>
      </w:r>
      <w:r>
        <w:rPr>
          <w:spacing w:val="14"/>
          <w:sz w:val="20"/>
        </w:rPr>
        <w:t> </w:t>
      </w:r>
      <w:r>
        <w:rPr>
          <w:sz w:val="20"/>
        </w:rPr>
        <w:t>to</w:t>
      </w:r>
      <w:r>
        <w:rPr>
          <w:spacing w:val="14"/>
          <w:sz w:val="20"/>
        </w:rPr>
        <w:t> </w:t>
      </w:r>
      <w:r>
        <w:rPr>
          <w:sz w:val="20"/>
        </w:rPr>
        <w:t>sue</w:t>
      </w:r>
      <w:r>
        <w:rPr>
          <w:spacing w:val="14"/>
          <w:sz w:val="20"/>
        </w:rPr>
        <w:t> </w:t>
      </w:r>
      <w:r>
        <w:rPr>
          <w:sz w:val="20"/>
        </w:rPr>
        <w:t>the</w:t>
      </w:r>
      <w:r>
        <w:rPr>
          <w:spacing w:val="14"/>
          <w:sz w:val="20"/>
        </w:rPr>
        <w:t> </w:t>
      </w:r>
      <w:r>
        <w:rPr>
          <w:sz w:val="20"/>
        </w:rPr>
        <w:t>client</w:t>
      </w:r>
      <w:r>
        <w:rPr>
          <w:spacing w:val="14"/>
          <w:sz w:val="20"/>
        </w:rPr>
        <w:t> </w:t>
      </w:r>
      <w:r>
        <w:rPr>
          <w:sz w:val="20"/>
        </w:rPr>
        <w:t>for</w:t>
      </w:r>
      <w:r>
        <w:rPr>
          <w:spacing w:val="14"/>
          <w:sz w:val="20"/>
        </w:rPr>
        <w:t> </w:t>
      </w:r>
      <w:r>
        <w:rPr>
          <w:sz w:val="20"/>
        </w:rPr>
        <w:t>the</w:t>
      </w:r>
      <w:r>
        <w:rPr>
          <w:spacing w:val="14"/>
          <w:sz w:val="20"/>
        </w:rPr>
        <w:t> </w:t>
      </w:r>
      <w:r>
        <w:rPr>
          <w:sz w:val="20"/>
        </w:rPr>
        <w:t>amount</w:t>
      </w:r>
      <w:r>
        <w:rPr>
          <w:spacing w:val="14"/>
          <w:sz w:val="20"/>
        </w:rPr>
        <w:t> </w:t>
      </w:r>
      <w:r>
        <w:rPr>
          <w:spacing w:val="-5"/>
          <w:sz w:val="20"/>
        </w:rPr>
        <w:t>of</w:t>
      </w:r>
    </w:p>
    <w:p>
      <w:pPr>
        <w:spacing w:after="0" w:line="235" w:lineRule="auto"/>
        <w:jc w:val="both"/>
        <w:rPr>
          <w:sz w:val="20"/>
        </w:rPr>
        <w:sectPr>
          <w:pgSz w:w="11900" w:h="16840"/>
          <w:pgMar w:header="971" w:footer="0" w:top="1160" w:bottom="280" w:left="1275" w:right="1275"/>
        </w:sectPr>
      </w:pPr>
    </w:p>
    <w:p>
      <w:pPr>
        <w:pStyle w:val="BodyText"/>
        <w:spacing w:before="24"/>
      </w:pPr>
    </w:p>
    <w:p>
      <w:pPr>
        <w:pStyle w:val="BodyText"/>
        <w:spacing w:line="235" w:lineRule="auto" w:before="1"/>
        <w:ind w:left="705"/>
      </w:pPr>
      <w:r>
        <w:rPr/>
        <w:t>the</w:t>
      </w:r>
      <w:r>
        <w:rPr>
          <w:spacing w:val="28"/>
        </w:rPr>
        <w:t> </w:t>
      </w:r>
      <w:r>
        <w:rPr/>
        <w:t>lost</w:t>
      </w:r>
      <w:r>
        <w:rPr>
          <w:spacing w:val="28"/>
        </w:rPr>
        <w:t> </w:t>
      </w:r>
      <w:r>
        <w:rPr/>
        <w:t>bet</w:t>
      </w:r>
      <w:r>
        <w:rPr>
          <w:spacing w:val="28"/>
        </w:rPr>
        <w:t> </w:t>
      </w:r>
      <w:r>
        <w:rPr/>
        <w:t>will</w:t>
      </w:r>
      <w:r>
        <w:rPr>
          <w:spacing w:val="28"/>
        </w:rPr>
        <w:t> </w:t>
      </w:r>
      <w:r>
        <w:rPr/>
        <w:t>generally</w:t>
      </w:r>
      <w:r>
        <w:rPr>
          <w:spacing w:val="28"/>
        </w:rPr>
        <w:t> </w:t>
      </w:r>
      <w:r>
        <w:rPr/>
        <w:t>constitute</w:t>
      </w:r>
      <w:r>
        <w:rPr>
          <w:spacing w:val="28"/>
        </w:rPr>
        <w:t> </w:t>
      </w:r>
      <w:r>
        <w:rPr/>
        <w:t>good</w:t>
      </w:r>
      <w:r>
        <w:rPr>
          <w:spacing w:val="28"/>
        </w:rPr>
        <w:t> </w:t>
      </w:r>
      <w:r>
        <w:rPr/>
        <w:t>consideration</w:t>
      </w:r>
      <w:r>
        <w:rPr>
          <w:spacing w:val="28"/>
        </w:rPr>
        <w:t> </w:t>
      </w:r>
      <w:r>
        <w:rPr/>
        <w:t>for</w:t>
      </w:r>
      <w:r>
        <w:rPr>
          <w:spacing w:val="28"/>
        </w:rPr>
        <w:t> </w:t>
      </w:r>
      <w:r>
        <w:rPr/>
        <w:t>a</w:t>
      </w:r>
      <w:r>
        <w:rPr>
          <w:spacing w:val="28"/>
        </w:rPr>
        <w:t> </w:t>
      </w:r>
      <w:r>
        <w:rPr/>
        <w:t>promise</w:t>
      </w:r>
      <w:r>
        <w:rPr>
          <w:spacing w:val="28"/>
        </w:rPr>
        <w:t> </w:t>
      </w:r>
      <w:r>
        <w:rPr/>
        <w:t>made</w:t>
      </w:r>
      <w:r>
        <w:rPr>
          <w:spacing w:val="28"/>
        </w:rPr>
        <w:t> </w:t>
      </w:r>
      <w:r>
        <w:rPr/>
        <w:t>in</w:t>
      </w:r>
      <w:r>
        <w:rPr>
          <w:spacing w:val="28"/>
        </w:rPr>
        <w:t> </w:t>
      </w:r>
      <w:r>
        <w:rPr/>
        <w:t>return</w:t>
      </w:r>
      <w:r>
        <w:rPr>
          <w:spacing w:val="28"/>
        </w:rPr>
        <w:t> </w:t>
      </w:r>
      <w:r>
        <w:rPr/>
        <w:t>by</w:t>
      </w:r>
      <w:r>
        <w:rPr>
          <w:spacing w:val="28"/>
        </w:rPr>
        <w:t> </w:t>
      </w:r>
      <w:r>
        <w:rPr/>
        <w:t>the client: see Vol.II, para.41-026.</w:t>
      </w:r>
    </w:p>
    <w:p>
      <w:pPr>
        <w:pStyle w:val="BodyText"/>
        <w:spacing w:before="5"/>
      </w:pPr>
    </w:p>
    <w:p>
      <w:pPr>
        <w:tabs>
          <w:tab w:pos="705" w:val="left" w:leader="none"/>
        </w:tabs>
        <w:spacing w:line="227" w:lineRule="exact" w:before="0"/>
        <w:ind w:left="165" w:right="0" w:firstLine="0"/>
        <w:jc w:val="left"/>
        <w:rPr>
          <w:sz w:val="20"/>
        </w:rPr>
      </w:pPr>
      <w:bookmarkStart w:name="_bookmark571" w:id="573"/>
      <w:bookmarkEnd w:id="573"/>
      <w:r>
        <w:rPr/>
      </w:r>
      <w:hyperlink w:history="true" w:anchor="_bookmark554">
        <w:r>
          <w:rPr>
            <w:color w:val="005DA1"/>
            <w:spacing w:val="-4"/>
            <w:position w:val="5"/>
            <w:sz w:val="14"/>
            <w:u w:val="single" w:color="005DA1"/>
          </w:rPr>
          <w:t>298</w:t>
        </w:r>
      </w:hyperlink>
      <w:r>
        <w:rPr>
          <w:spacing w:val="-4"/>
          <w:position w:val="5"/>
          <w:sz w:val="14"/>
        </w:rPr>
        <w:t>.</w:t>
      </w:r>
      <w:r>
        <w:rPr>
          <w:position w:val="5"/>
          <w:sz w:val="14"/>
        </w:rPr>
        <w:tab/>
      </w:r>
      <w:r>
        <w:rPr>
          <w:rFonts w:ascii="Arial"/>
          <w:i/>
          <w:sz w:val="20"/>
        </w:rPr>
        <w:t>(1839)</w:t>
      </w:r>
      <w:r>
        <w:rPr>
          <w:rFonts w:ascii="Arial"/>
          <w:i/>
          <w:spacing w:val="7"/>
          <w:sz w:val="20"/>
        </w:rPr>
        <w:t> </w:t>
      </w:r>
      <w:r>
        <w:rPr>
          <w:rFonts w:ascii="Arial"/>
          <w:i/>
          <w:sz w:val="20"/>
        </w:rPr>
        <w:t>10</w:t>
      </w:r>
      <w:r>
        <w:rPr>
          <w:rFonts w:ascii="Arial"/>
          <w:i/>
          <w:spacing w:val="8"/>
          <w:sz w:val="20"/>
        </w:rPr>
        <w:t> </w:t>
      </w:r>
      <w:r>
        <w:rPr>
          <w:rFonts w:ascii="Arial"/>
          <w:i/>
          <w:sz w:val="20"/>
        </w:rPr>
        <w:t>A.</w:t>
      </w:r>
      <w:r>
        <w:rPr>
          <w:rFonts w:ascii="Arial"/>
          <w:i/>
          <w:spacing w:val="8"/>
          <w:sz w:val="20"/>
        </w:rPr>
        <w:t> </w:t>
      </w:r>
      <w:r>
        <w:rPr>
          <w:rFonts w:ascii="Arial"/>
          <w:i/>
          <w:sz w:val="20"/>
        </w:rPr>
        <w:t>&amp;</w:t>
      </w:r>
      <w:r>
        <w:rPr>
          <w:rFonts w:ascii="Arial"/>
          <w:i/>
          <w:spacing w:val="8"/>
          <w:sz w:val="20"/>
        </w:rPr>
        <w:t> </w:t>
      </w:r>
      <w:r>
        <w:rPr>
          <w:rFonts w:ascii="Arial"/>
          <w:i/>
          <w:sz w:val="20"/>
        </w:rPr>
        <w:t>E.</w:t>
      </w:r>
      <w:r>
        <w:rPr>
          <w:rFonts w:ascii="Arial"/>
          <w:i/>
          <w:spacing w:val="8"/>
          <w:sz w:val="20"/>
        </w:rPr>
        <w:t> </w:t>
      </w:r>
      <w:r>
        <w:rPr>
          <w:rFonts w:ascii="Arial"/>
          <w:i/>
          <w:sz w:val="20"/>
        </w:rPr>
        <w:t>309</w:t>
      </w:r>
      <w:r>
        <w:rPr>
          <w:sz w:val="20"/>
        </w:rPr>
        <w:t>;</w:t>
      </w:r>
      <w:r>
        <w:rPr>
          <w:spacing w:val="8"/>
          <w:sz w:val="20"/>
        </w:rPr>
        <w:t> </w:t>
      </w:r>
      <w:r>
        <w:rPr>
          <w:sz w:val="20"/>
        </w:rPr>
        <w:t>for</w:t>
      </w:r>
      <w:r>
        <w:rPr>
          <w:spacing w:val="8"/>
          <w:sz w:val="20"/>
        </w:rPr>
        <w:t> </w:t>
      </w:r>
      <w:r>
        <w:rPr>
          <w:sz w:val="20"/>
        </w:rPr>
        <w:t>the</w:t>
      </w:r>
      <w:r>
        <w:rPr>
          <w:spacing w:val="8"/>
          <w:sz w:val="20"/>
        </w:rPr>
        <w:t> </w:t>
      </w:r>
      <w:r>
        <w:rPr>
          <w:sz w:val="20"/>
        </w:rPr>
        <w:t>earlier,</w:t>
      </w:r>
      <w:r>
        <w:rPr>
          <w:spacing w:val="8"/>
          <w:sz w:val="20"/>
        </w:rPr>
        <w:t> </w:t>
      </w:r>
      <w:r>
        <w:rPr>
          <w:sz w:val="20"/>
        </w:rPr>
        <w:t>contrary</w:t>
      </w:r>
      <w:r>
        <w:rPr>
          <w:spacing w:val="8"/>
          <w:sz w:val="20"/>
        </w:rPr>
        <w:t> </w:t>
      </w:r>
      <w:r>
        <w:rPr>
          <w:sz w:val="20"/>
        </w:rPr>
        <w:t>view</w:t>
      </w:r>
      <w:r>
        <w:rPr>
          <w:spacing w:val="8"/>
          <w:sz w:val="20"/>
        </w:rPr>
        <w:t> </w:t>
      </w:r>
      <w:r>
        <w:rPr>
          <w:sz w:val="20"/>
        </w:rPr>
        <w:t>see</w:t>
      </w:r>
      <w:r>
        <w:rPr>
          <w:spacing w:val="8"/>
          <w:sz w:val="20"/>
        </w:rPr>
        <w:t> </w:t>
      </w:r>
      <w:r>
        <w:rPr>
          <w:rFonts w:ascii="Arial"/>
          <w:i/>
          <w:sz w:val="20"/>
        </w:rPr>
        <w:t>Stone</w:t>
      </w:r>
      <w:r>
        <w:rPr>
          <w:rFonts w:ascii="Arial"/>
          <w:i/>
          <w:spacing w:val="8"/>
          <w:sz w:val="20"/>
        </w:rPr>
        <w:t> </w:t>
      </w:r>
      <w:r>
        <w:rPr>
          <w:rFonts w:ascii="Arial"/>
          <w:i/>
          <w:sz w:val="20"/>
        </w:rPr>
        <w:t>v</w:t>
      </w:r>
      <w:r>
        <w:rPr>
          <w:rFonts w:ascii="Arial"/>
          <w:i/>
          <w:spacing w:val="8"/>
          <w:sz w:val="20"/>
        </w:rPr>
        <w:t> </w:t>
      </w:r>
      <w:r>
        <w:rPr>
          <w:rFonts w:ascii="Arial"/>
          <w:i/>
          <w:sz w:val="20"/>
        </w:rPr>
        <w:t>Wythipol</w:t>
      </w:r>
      <w:r>
        <w:rPr>
          <w:rFonts w:ascii="Arial"/>
          <w:i/>
          <w:spacing w:val="8"/>
          <w:sz w:val="20"/>
        </w:rPr>
        <w:t> </w:t>
      </w:r>
      <w:r>
        <w:rPr>
          <w:rFonts w:ascii="Arial"/>
          <w:i/>
          <w:sz w:val="20"/>
        </w:rPr>
        <w:t>(1588)</w:t>
      </w:r>
      <w:r>
        <w:rPr>
          <w:rFonts w:ascii="Arial"/>
          <w:i/>
          <w:spacing w:val="8"/>
          <w:sz w:val="20"/>
        </w:rPr>
        <w:t> </w:t>
      </w:r>
      <w:r>
        <w:rPr>
          <w:rFonts w:ascii="Arial"/>
          <w:i/>
          <w:sz w:val="20"/>
        </w:rPr>
        <w:t>Cro.Eliz.</w:t>
      </w:r>
      <w:r>
        <w:rPr>
          <w:rFonts w:ascii="Arial"/>
          <w:i/>
          <w:spacing w:val="8"/>
          <w:sz w:val="20"/>
        </w:rPr>
        <w:t> </w:t>
      </w:r>
      <w:r>
        <w:rPr>
          <w:rFonts w:ascii="Arial"/>
          <w:i/>
          <w:spacing w:val="-4"/>
          <w:sz w:val="20"/>
        </w:rPr>
        <w:t>126</w:t>
      </w:r>
      <w:r>
        <w:rPr>
          <w:spacing w:val="-4"/>
          <w:sz w:val="20"/>
        </w:rPr>
        <w:t>;</w:t>
      </w:r>
    </w:p>
    <w:p>
      <w:pPr>
        <w:spacing w:line="225" w:lineRule="exact" w:before="0"/>
        <w:ind w:left="705" w:right="0" w:firstLine="0"/>
        <w:jc w:val="left"/>
        <w:rPr>
          <w:rFonts w:ascii="Arial"/>
          <w:i/>
          <w:sz w:val="20"/>
        </w:rPr>
      </w:pPr>
      <w:r>
        <w:rPr>
          <w:rFonts w:ascii="Arial"/>
          <w:i/>
          <w:sz w:val="20"/>
        </w:rPr>
        <w:t>Jones</w:t>
      </w:r>
      <w:r>
        <w:rPr>
          <w:rFonts w:ascii="Arial"/>
          <w:i/>
          <w:spacing w:val="20"/>
          <w:sz w:val="20"/>
        </w:rPr>
        <w:t> </w:t>
      </w:r>
      <w:r>
        <w:rPr>
          <w:rFonts w:ascii="Arial"/>
          <w:i/>
          <w:sz w:val="20"/>
        </w:rPr>
        <w:t>v</w:t>
      </w:r>
      <w:r>
        <w:rPr>
          <w:rFonts w:ascii="Arial"/>
          <w:i/>
          <w:spacing w:val="20"/>
          <w:sz w:val="20"/>
        </w:rPr>
        <w:t> </w:t>
      </w:r>
      <w:r>
        <w:rPr>
          <w:rFonts w:ascii="Arial"/>
          <w:i/>
          <w:sz w:val="20"/>
        </w:rPr>
        <w:t>Ashburnham</w:t>
      </w:r>
      <w:r>
        <w:rPr>
          <w:rFonts w:ascii="Arial"/>
          <w:i/>
          <w:spacing w:val="20"/>
          <w:sz w:val="20"/>
        </w:rPr>
        <w:t> </w:t>
      </w:r>
      <w:r>
        <w:rPr>
          <w:rFonts w:ascii="Arial"/>
          <w:i/>
          <w:sz w:val="20"/>
        </w:rPr>
        <w:t>(1804)</w:t>
      </w:r>
      <w:r>
        <w:rPr>
          <w:rFonts w:ascii="Arial"/>
          <w:i/>
          <w:spacing w:val="20"/>
          <w:sz w:val="20"/>
        </w:rPr>
        <w:t> </w:t>
      </w:r>
      <w:r>
        <w:rPr>
          <w:rFonts w:ascii="Arial"/>
          <w:i/>
          <w:sz w:val="20"/>
        </w:rPr>
        <w:t>4</w:t>
      </w:r>
      <w:r>
        <w:rPr>
          <w:rFonts w:ascii="Arial"/>
          <w:i/>
          <w:spacing w:val="20"/>
          <w:sz w:val="20"/>
        </w:rPr>
        <w:t> </w:t>
      </w:r>
      <w:r>
        <w:rPr>
          <w:rFonts w:ascii="Arial"/>
          <w:i/>
          <w:sz w:val="20"/>
        </w:rPr>
        <w:t>East</w:t>
      </w:r>
      <w:r>
        <w:rPr>
          <w:rFonts w:ascii="Arial"/>
          <w:i/>
          <w:spacing w:val="20"/>
          <w:sz w:val="20"/>
        </w:rPr>
        <w:t> </w:t>
      </w:r>
      <w:r>
        <w:rPr>
          <w:rFonts w:ascii="Arial"/>
          <w:i/>
          <w:sz w:val="20"/>
        </w:rPr>
        <w:t>455</w:t>
      </w:r>
      <w:r>
        <w:rPr>
          <w:rFonts w:ascii="Arial"/>
          <w:i/>
          <w:spacing w:val="19"/>
          <w:sz w:val="20"/>
        </w:rPr>
        <w:t> </w:t>
      </w:r>
      <w:r>
        <w:rPr>
          <w:sz w:val="20"/>
        </w:rPr>
        <w:t>and</w:t>
      </w:r>
      <w:r>
        <w:rPr>
          <w:spacing w:val="20"/>
          <w:sz w:val="20"/>
        </w:rPr>
        <w:t> </w:t>
      </w:r>
      <w:r>
        <w:rPr>
          <w:sz w:val="20"/>
        </w:rPr>
        <w:t>dicta</w:t>
      </w:r>
      <w:r>
        <w:rPr>
          <w:spacing w:val="20"/>
          <w:sz w:val="20"/>
        </w:rPr>
        <w:t> </w:t>
      </w:r>
      <w:r>
        <w:rPr>
          <w:sz w:val="20"/>
        </w:rPr>
        <w:t>in</w:t>
      </w:r>
      <w:r>
        <w:rPr>
          <w:spacing w:val="20"/>
          <w:sz w:val="20"/>
        </w:rPr>
        <w:t> </w:t>
      </w:r>
      <w:r>
        <w:rPr>
          <w:rFonts w:ascii="Arial"/>
          <w:i/>
          <w:sz w:val="20"/>
        </w:rPr>
        <w:t>Ex</w:t>
      </w:r>
      <w:r>
        <w:rPr>
          <w:rFonts w:ascii="Arial"/>
          <w:i/>
          <w:spacing w:val="20"/>
          <w:sz w:val="20"/>
        </w:rPr>
        <w:t> </w:t>
      </w:r>
      <w:r>
        <w:rPr>
          <w:rFonts w:ascii="Arial"/>
          <w:i/>
          <w:sz w:val="20"/>
        </w:rPr>
        <w:t>p.</w:t>
      </w:r>
      <w:r>
        <w:rPr>
          <w:rFonts w:ascii="Arial"/>
          <w:i/>
          <w:spacing w:val="20"/>
          <w:sz w:val="20"/>
        </w:rPr>
        <w:t> </w:t>
      </w:r>
      <w:r>
        <w:rPr>
          <w:rFonts w:ascii="Arial"/>
          <w:i/>
          <w:sz w:val="20"/>
        </w:rPr>
        <w:t>Banner</w:t>
      </w:r>
      <w:r>
        <w:rPr>
          <w:rFonts w:ascii="Arial"/>
          <w:i/>
          <w:spacing w:val="20"/>
          <w:sz w:val="20"/>
        </w:rPr>
        <w:t> </w:t>
      </w:r>
      <w:r>
        <w:rPr>
          <w:rFonts w:ascii="Arial"/>
          <w:i/>
          <w:sz w:val="20"/>
        </w:rPr>
        <w:t>(1881)</w:t>
      </w:r>
      <w:r>
        <w:rPr>
          <w:rFonts w:ascii="Arial"/>
          <w:i/>
          <w:spacing w:val="20"/>
          <w:sz w:val="20"/>
        </w:rPr>
        <w:t> </w:t>
      </w:r>
      <w:r>
        <w:rPr>
          <w:rFonts w:ascii="Arial"/>
          <w:i/>
          <w:sz w:val="20"/>
        </w:rPr>
        <w:t>17</w:t>
      </w:r>
      <w:r>
        <w:rPr>
          <w:rFonts w:ascii="Arial"/>
          <w:i/>
          <w:spacing w:val="20"/>
          <w:sz w:val="20"/>
        </w:rPr>
        <w:t> </w:t>
      </w:r>
      <w:r>
        <w:rPr>
          <w:rFonts w:ascii="Arial"/>
          <w:i/>
          <w:sz w:val="20"/>
        </w:rPr>
        <w:t>Ch.D.</w:t>
      </w:r>
      <w:r>
        <w:rPr>
          <w:rFonts w:ascii="Arial"/>
          <w:i/>
          <w:spacing w:val="20"/>
          <w:sz w:val="20"/>
        </w:rPr>
        <w:t> </w:t>
      </w:r>
      <w:r>
        <w:rPr>
          <w:rFonts w:ascii="Arial"/>
          <w:i/>
          <w:sz w:val="20"/>
        </w:rPr>
        <w:t>480,</w:t>
      </w:r>
      <w:r>
        <w:rPr>
          <w:rFonts w:ascii="Arial"/>
          <w:i/>
          <w:spacing w:val="20"/>
          <w:sz w:val="20"/>
        </w:rPr>
        <w:t> </w:t>
      </w:r>
      <w:r>
        <w:rPr>
          <w:rFonts w:ascii="Arial"/>
          <w:i/>
          <w:spacing w:val="-5"/>
          <w:sz w:val="20"/>
        </w:rPr>
        <w:t>490</w:t>
      </w:r>
    </w:p>
    <w:p>
      <w:pPr>
        <w:spacing w:line="227" w:lineRule="exact" w:before="0"/>
        <w:ind w:left="705" w:right="0" w:firstLine="0"/>
        <w:jc w:val="left"/>
        <w:rPr>
          <w:sz w:val="20"/>
        </w:rPr>
      </w:pPr>
      <w:r>
        <w:rPr>
          <w:sz w:val="20"/>
        </w:rPr>
        <w:t>(these dicta being disapproved in</w:t>
      </w:r>
      <w:r>
        <w:rPr>
          <w:spacing w:val="-1"/>
          <w:sz w:val="20"/>
        </w:rPr>
        <w:t> </w:t>
      </w:r>
      <w:r>
        <w:rPr>
          <w:rFonts w:ascii="Arial"/>
          <w:i/>
          <w:sz w:val="20"/>
        </w:rPr>
        <w:t>Miles v New Zealand Alford Estate Co (1885) 32 Ch.D. </w:t>
      </w:r>
      <w:r>
        <w:rPr>
          <w:rFonts w:ascii="Arial"/>
          <w:i/>
          <w:spacing w:val="-2"/>
          <w:sz w:val="20"/>
        </w:rPr>
        <w:t>266</w:t>
      </w:r>
      <w:r>
        <w:rPr>
          <w:spacing w:val="-2"/>
          <w:sz w:val="20"/>
        </w:rPr>
        <w:t>).</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572" w:id="574"/>
      <w:bookmarkEnd w:id="574"/>
      <w:r>
        <w:rPr/>
      </w:r>
      <w:hyperlink w:history="true" w:anchor="_bookmark555">
        <w:r>
          <w:rPr>
            <w:color w:val="005DA1"/>
            <w:spacing w:val="-4"/>
            <w:position w:val="5"/>
            <w:sz w:val="14"/>
            <w:u w:val="single" w:color="005DA1"/>
          </w:rPr>
          <w:t>299</w:t>
        </w:r>
      </w:hyperlink>
      <w:r>
        <w:rPr>
          <w:spacing w:val="-4"/>
          <w:position w:val="5"/>
          <w:sz w:val="14"/>
        </w:rPr>
        <w:t>.</w:t>
      </w:r>
      <w:r>
        <w:rPr>
          <w:position w:val="5"/>
          <w:sz w:val="14"/>
        </w:rPr>
        <w:tab/>
      </w:r>
      <w:r>
        <w:rPr>
          <w:rFonts w:ascii="Arial"/>
          <w:i/>
          <w:sz w:val="20"/>
        </w:rPr>
        <w:t>(1839)</w:t>
      </w:r>
      <w:r>
        <w:rPr>
          <w:rFonts w:ascii="Arial"/>
          <w:i/>
          <w:spacing w:val="19"/>
          <w:sz w:val="20"/>
        </w:rPr>
        <w:t> </w:t>
      </w:r>
      <w:r>
        <w:rPr>
          <w:rFonts w:ascii="Arial"/>
          <w:i/>
          <w:sz w:val="20"/>
        </w:rPr>
        <w:t>10</w:t>
      </w:r>
      <w:r>
        <w:rPr>
          <w:rFonts w:ascii="Arial"/>
          <w:i/>
          <w:spacing w:val="20"/>
          <w:sz w:val="20"/>
        </w:rPr>
        <w:t> </w:t>
      </w:r>
      <w:r>
        <w:rPr>
          <w:rFonts w:ascii="Arial"/>
          <w:i/>
          <w:sz w:val="20"/>
        </w:rPr>
        <w:t>A.</w:t>
      </w:r>
      <w:r>
        <w:rPr>
          <w:rFonts w:ascii="Arial"/>
          <w:i/>
          <w:spacing w:val="20"/>
          <w:sz w:val="20"/>
        </w:rPr>
        <w:t> </w:t>
      </w:r>
      <w:r>
        <w:rPr>
          <w:rFonts w:ascii="Arial"/>
          <w:i/>
          <w:sz w:val="20"/>
        </w:rPr>
        <w:t>&amp;</w:t>
      </w:r>
      <w:r>
        <w:rPr>
          <w:rFonts w:ascii="Arial"/>
          <w:i/>
          <w:spacing w:val="20"/>
          <w:sz w:val="20"/>
        </w:rPr>
        <w:t> </w:t>
      </w:r>
      <w:r>
        <w:rPr>
          <w:rFonts w:ascii="Arial"/>
          <w:i/>
          <w:sz w:val="20"/>
        </w:rPr>
        <w:t>E.</w:t>
      </w:r>
      <w:r>
        <w:rPr>
          <w:rFonts w:ascii="Arial"/>
          <w:i/>
          <w:spacing w:val="20"/>
          <w:sz w:val="20"/>
        </w:rPr>
        <w:t> </w:t>
      </w:r>
      <w:r>
        <w:rPr>
          <w:rFonts w:ascii="Arial"/>
          <w:i/>
          <w:sz w:val="20"/>
        </w:rPr>
        <w:t>309,</w:t>
      </w:r>
      <w:r>
        <w:rPr>
          <w:rFonts w:ascii="Arial"/>
          <w:i/>
          <w:spacing w:val="20"/>
          <w:sz w:val="20"/>
        </w:rPr>
        <w:t> </w:t>
      </w:r>
      <w:r>
        <w:rPr>
          <w:rFonts w:ascii="Arial"/>
          <w:i/>
          <w:sz w:val="20"/>
        </w:rPr>
        <w:t>334</w:t>
      </w:r>
      <w:r>
        <w:rPr>
          <w:sz w:val="20"/>
        </w:rPr>
        <w:t>;</w:t>
      </w:r>
      <w:r>
        <w:rPr>
          <w:spacing w:val="20"/>
          <w:sz w:val="20"/>
        </w:rPr>
        <w:t> </w:t>
      </w:r>
      <w:r>
        <w:rPr>
          <w:sz w:val="20"/>
        </w:rPr>
        <w:t>cf.</w:t>
      </w:r>
      <w:r>
        <w:rPr>
          <w:spacing w:val="20"/>
          <w:sz w:val="20"/>
        </w:rPr>
        <w:t> </w:t>
      </w:r>
      <w:r>
        <w:rPr>
          <w:rFonts w:ascii="Arial"/>
          <w:i/>
          <w:sz w:val="20"/>
        </w:rPr>
        <w:t>Colchester</w:t>
      </w:r>
      <w:r>
        <w:rPr>
          <w:rFonts w:ascii="Arial"/>
          <w:i/>
          <w:spacing w:val="19"/>
          <w:sz w:val="20"/>
        </w:rPr>
        <w:t> </w:t>
      </w:r>
      <w:r>
        <w:rPr>
          <w:rFonts w:ascii="Arial"/>
          <w:i/>
          <w:sz w:val="20"/>
        </w:rPr>
        <w:t>BC</w:t>
      </w:r>
      <w:r>
        <w:rPr>
          <w:rFonts w:ascii="Arial"/>
          <w:i/>
          <w:spacing w:val="20"/>
          <w:sz w:val="20"/>
        </w:rPr>
        <w:t> </w:t>
      </w:r>
      <w:r>
        <w:rPr>
          <w:rFonts w:ascii="Arial"/>
          <w:i/>
          <w:sz w:val="20"/>
        </w:rPr>
        <w:t>v</w:t>
      </w:r>
      <w:r>
        <w:rPr>
          <w:rFonts w:ascii="Arial"/>
          <w:i/>
          <w:spacing w:val="20"/>
          <w:sz w:val="20"/>
        </w:rPr>
        <w:t> </w:t>
      </w:r>
      <w:r>
        <w:rPr>
          <w:rFonts w:ascii="Arial"/>
          <w:i/>
          <w:sz w:val="20"/>
        </w:rPr>
        <w:t>Smith</w:t>
      </w:r>
      <w:r>
        <w:rPr>
          <w:rFonts w:ascii="Arial"/>
          <w:i/>
          <w:spacing w:val="20"/>
          <w:sz w:val="20"/>
        </w:rPr>
        <w:t> </w:t>
      </w:r>
      <w:r>
        <w:rPr>
          <w:rFonts w:ascii="Arial"/>
          <w:i/>
          <w:sz w:val="20"/>
        </w:rPr>
        <w:t>[1992]</w:t>
      </w:r>
      <w:r>
        <w:rPr>
          <w:rFonts w:ascii="Arial"/>
          <w:i/>
          <w:spacing w:val="20"/>
          <w:sz w:val="20"/>
        </w:rPr>
        <w:t> </w:t>
      </w:r>
      <w:r>
        <w:rPr>
          <w:rFonts w:ascii="Arial"/>
          <w:i/>
          <w:sz w:val="20"/>
        </w:rPr>
        <w:t>Ch.</w:t>
      </w:r>
      <w:r>
        <w:rPr>
          <w:rFonts w:ascii="Arial"/>
          <w:i/>
          <w:spacing w:val="20"/>
          <w:sz w:val="20"/>
        </w:rPr>
        <w:t> </w:t>
      </w:r>
      <w:r>
        <w:rPr>
          <w:rFonts w:ascii="Arial"/>
          <w:i/>
          <w:sz w:val="20"/>
        </w:rPr>
        <w:t>421</w:t>
      </w:r>
      <w:r>
        <w:rPr>
          <w:sz w:val="20"/>
        </w:rPr>
        <w:t>;</w:t>
      </w:r>
      <w:r>
        <w:rPr>
          <w:spacing w:val="20"/>
          <w:sz w:val="20"/>
        </w:rPr>
        <w:t> </w:t>
      </w:r>
      <w:r>
        <w:rPr>
          <w:rFonts w:ascii="Arial"/>
          <w:i/>
          <w:sz w:val="20"/>
        </w:rPr>
        <w:t>Colonia</w:t>
      </w:r>
      <w:r>
        <w:rPr>
          <w:rFonts w:ascii="Arial"/>
          <w:i/>
          <w:spacing w:val="20"/>
          <w:sz w:val="20"/>
        </w:rPr>
        <w:t> </w:t>
      </w:r>
      <w:r>
        <w:rPr>
          <w:rFonts w:ascii="Arial"/>
          <w:i/>
          <w:spacing w:val="-2"/>
          <w:sz w:val="20"/>
        </w:rPr>
        <w:t>Versicherung</w:t>
      </w:r>
    </w:p>
    <w:p>
      <w:pPr>
        <w:spacing w:line="225" w:lineRule="exact" w:before="0"/>
        <w:ind w:left="0" w:right="168" w:firstLine="0"/>
        <w:jc w:val="right"/>
        <w:rPr>
          <w:sz w:val="20"/>
        </w:rPr>
      </w:pPr>
      <w:r>
        <w:rPr>
          <w:rFonts w:ascii="Arial" w:hAnsi="Arial"/>
          <w:i/>
          <w:sz w:val="20"/>
        </w:rPr>
        <w:t>A.G.</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Amoco</w:t>
      </w:r>
      <w:r>
        <w:rPr>
          <w:rFonts w:ascii="Arial" w:hAnsi="Arial"/>
          <w:i/>
          <w:spacing w:val="21"/>
          <w:sz w:val="20"/>
        </w:rPr>
        <w:t> </w:t>
      </w:r>
      <w:r>
        <w:rPr>
          <w:rFonts w:ascii="Arial" w:hAnsi="Arial"/>
          <w:i/>
          <w:sz w:val="20"/>
        </w:rPr>
        <w:t>Oil</w:t>
      </w:r>
      <w:r>
        <w:rPr>
          <w:rFonts w:ascii="Arial" w:hAnsi="Arial"/>
          <w:i/>
          <w:spacing w:val="21"/>
          <w:sz w:val="20"/>
        </w:rPr>
        <w:t> </w:t>
      </w:r>
      <w:r>
        <w:rPr>
          <w:rFonts w:ascii="Arial" w:hAnsi="Arial"/>
          <w:i/>
          <w:sz w:val="20"/>
        </w:rPr>
        <w:t>Co</w:t>
      </w:r>
      <w:r>
        <w:rPr>
          <w:rFonts w:ascii="Arial" w:hAnsi="Arial"/>
          <w:i/>
          <w:spacing w:val="21"/>
          <w:sz w:val="20"/>
        </w:rPr>
        <w:t> </w:t>
      </w:r>
      <w:r>
        <w:rPr>
          <w:rFonts w:ascii="Arial" w:hAnsi="Arial"/>
          <w:i/>
          <w:sz w:val="20"/>
        </w:rPr>
        <w:t>[1995]</w:t>
      </w:r>
      <w:r>
        <w:rPr>
          <w:rFonts w:ascii="Arial" w:hAnsi="Arial"/>
          <w:i/>
          <w:spacing w:val="21"/>
          <w:sz w:val="20"/>
        </w:rPr>
        <w:t> </w:t>
      </w:r>
      <w:r>
        <w:rPr>
          <w:rFonts w:ascii="Arial" w:hAnsi="Arial"/>
          <w:i/>
          <w:sz w:val="20"/>
        </w:rPr>
        <w:t>1</w:t>
      </w:r>
      <w:r>
        <w:rPr>
          <w:rFonts w:ascii="Arial" w:hAnsi="Arial"/>
          <w:i/>
          <w:spacing w:val="21"/>
          <w:sz w:val="20"/>
        </w:rPr>
        <w:t> </w:t>
      </w:r>
      <w:r>
        <w:rPr>
          <w:rFonts w:ascii="Arial" w:hAnsi="Arial"/>
          <w:i/>
          <w:sz w:val="20"/>
        </w:rPr>
        <w:t>Lloyd’s</w:t>
      </w:r>
      <w:r>
        <w:rPr>
          <w:rFonts w:ascii="Arial" w:hAnsi="Arial"/>
          <w:i/>
          <w:spacing w:val="21"/>
          <w:sz w:val="20"/>
        </w:rPr>
        <w:t> </w:t>
      </w:r>
      <w:r>
        <w:rPr>
          <w:rFonts w:ascii="Arial" w:hAnsi="Arial"/>
          <w:i/>
          <w:sz w:val="20"/>
        </w:rPr>
        <w:t>Rep.</w:t>
      </w:r>
      <w:r>
        <w:rPr>
          <w:rFonts w:ascii="Arial" w:hAnsi="Arial"/>
          <w:i/>
          <w:spacing w:val="21"/>
          <w:sz w:val="20"/>
        </w:rPr>
        <w:t> </w:t>
      </w:r>
      <w:r>
        <w:rPr>
          <w:rFonts w:ascii="Arial" w:hAnsi="Arial"/>
          <w:i/>
          <w:sz w:val="20"/>
        </w:rPr>
        <w:t>570,</w:t>
      </w:r>
      <w:r>
        <w:rPr>
          <w:rFonts w:ascii="Arial" w:hAnsi="Arial"/>
          <w:i/>
          <w:spacing w:val="21"/>
          <w:sz w:val="20"/>
        </w:rPr>
        <w:t> </w:t>
      </w:r>
      <w:r>
        <w:rPr>
          <w:rFonts w:ascii="Arial" w:hAnsi="Arial"/>
          <w:i/>
          <w:sz w:val="20"/>
        </w:rPr>
        <w:t>577</w:t>
      </w:r>
      <w:r>
        <w:rPr>
          <w:rFonts w:ascii="Arial" w:hAnsi="Arial"/>
          <w:i/>
          <w:spacing w:val="21"/>
          <w:sz w:val="20"/>
        </w:rPr>
        <w:t> </w:t>
      </w:r>
      <w:r>
        <w:rPr>
          <w:sz w:val="20"/>
        </w:rPr>
        <w:t>(affirmed</w:t>
      </w:r>
      <w:r>
        <w:rPr>
          <w:spacing w:val="21"/>
          <w:sz w:val="20"/>
        </w:rPr>
        <w:t> </w:t>
      </w:r>
      <w:r>
        <w:rPr>
          <w:sz w:val="20"/>
        </w:rPr>
        <w:t>without</w:t>
      </w:r>
      <w:r>
        <w:rPr>
          <w:spacing w:val="21"/>
          <w:sz w:val="20"/>
        </w:rPr>
        <w:t> </w:t>
      </w:r>
      <w:r>
        <w:rPr>
          <w:sz w:val="20"/>
        </w:rPr>
        <w:t>reference</w:t>
      </w:r>
      <w:r>
        <w:rPr>
          <w:spacing w:val="21"/>
          <w:sz w:val="20"/>
        </w:rPr>
        <w:t> </w:t>
      </w:r>
      <w:r>
        <w:rPr>
          <w:sz w:val="20"/>
        </w:rPr>
        <w:t>to</w:t>
      </w:r>
      <w:r>
        <w:rPr>
          <w:spacing w:val="21"/>
          <w:sz w:val="20"/>
        </w:rPr>
        <w:t> </w:t>
      </w:r>
      <w:r>
        <w:rPr>
          <w:sz w:val="20"/>
        </w:rPr>
        <w:t>this</w:t>
      </w:r>
      <w:r>
        <w:rPr>
          <w:spacing w:val="21"/>
          <w:sz w:val="20"/>
        </w:rPr>
        <w:t> </w:t>
      </w:r>
      <w:r>
        <w:rPr>
          <w:spacing w:val="-2"/>
          <w:sz w:val="20"/>
        </w:rPr>
        <w:t>point</w:t>
      </w:r>
    </w:p>
    <w:p>
      <w:pPr>
        <w:spacing w:line="227" w:lineRule="exact" w:before="0"/>
        <w:ind w:left="705" w:right="0" w:firstLine="0"/>
        <w:jc w:val="left"/>
        <w:rPr>
          <w:sz w:val="20"/>
        </w:rPr>
      </w:pPr>
      <w:r>
        <w:rPr>
          <w:rFonts w:ascii="Arial" w:hAnsi="Arial"/>
          <w:i/>
          <w:sz w:val="20"/>
        </w:rPr>
        <w:t>[1997] 1 Lloyd’s Rep. </w:t>
      </w:r>
      <w:r>
        <w:rPr>
          <w:rFonts w:ascii="Arial" w:hAnsi="Arial"/>
          <w:i/>
          <w:spacing w:val="-2"/>
          <w:sz w:val="20"/>
        </w:rPr>
        <w:t>261</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573" w:id="575"/>
      <w:bookmarkEnd w:id="575"/>
      <w:r>
        <w:rPr/>
      </w:r>
      <w:hyperlink w:history="true" w:anchor="_bookmark556">
        <w:r>
          <w:rPr>
            <w:color w:val="005DA1"/>
            <w:spacing w:val="-4"/>
            <w:position w:val="5"/>
            <w:sz w:val="14"/>
            <w:u w:val="single" w:color="005DA1"/>
          </w:rPr>
          <w:t>300</w:t>
        </w:r>
      </w:hyperlink>
      <w:r>
        <w:rPr>
          <w:spacing w:val="-4"/>
          <w:position w:val="5"/>
          <w:sz w:val="14"/>
        </w:rPr>
        <w:t>.</w:t>
      </w:r>
      <w:r>
        <w:rPr>
          <w:position w:val="5"/>
          <w:sz w:val="14"/>
        </w:rPr>
        <w:tab/>
      </w:r>
      <w:r>
        <w:rPr>
          <w:rFonts w:ascii="Arial"/>
          <w:i/>
          <w:sz w:val="20"/>
        </w:rPr>
        <w:t>Cook v Wright (1861) 1 B. &amp; S. 559, </w:t>
      </w:r>
      <w:r>
        <w:rPr>
          <w:rFonts w:ascii="Arial"/>
          <w:i/>
          <w:spacing w:val="-4"/>
          <w:sz w:val="20"/>
        </w:rPr>
        <w:t>569</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574" w:id="576"/>
      <w:bookmarkEnd w:id="576"/>
      <w:r>
        <w:rPr/>
      </w:r>
      <w:hyperlink w:history="true" w:anchor="_bookmark557">
        <w:r>
          <w:rPr>
            <w:color w:val="005DA1"/>
            <w:spacing w:val="-4"/>
            <w:position w:val="5"/>
            <w:sz w:val="14"/>
            <w:u w:val="single" w:color="005DA1"/>
          </w:rPr>
          <w:t>301</w:t>
        </w:r>
      </w:hyperlink>
      <w:r>
        <w:rPr>
          <w:spacing w:val="-4"/>
          <w:position w:val="5"/>
          <w:sz w:val="14"/>
        </w:rPr>
        <w:t>.</w:t>
      </w:r>
      <w:r>
        <w:rPr>
          <w:position w:val="5"/>
          <w:sz w:val="14"/>
        </w:rPr>
        <w:tab/>
      </w:r>
      <w:r>
        <w:rPr>
          <w:rFonts w:ascii="Arial"/>
          <w:i/>
          <w:sz w:val="20"/>
        </w:rPr>
        <w:t>Callisher</w:t>
      </w:r>
      <w:r>
        <w:rPr>
          <w:rFonts w:ascii="Arial"/>
          <w:i/>
          <w:spacing w:val="13"/>
          <w:sz w:val="20"/>
        </w:rPr>
        <w:t> </w:t>
      </w:r>
      <w:r>
        <w:rPr>
          <w:rFonts w:ascii="Arial"/>
          <w:i/>
          <w:sz w:val="20"/>
        </w:rPr>
        <w:t>v</w:t>
      </w:r>
      <w:r>
        <w:rPr>
          <w:rFonts w:ascii="Arial"/>
          <w:i/>
          <w:spacing w:val="14"/>
          <w:sz w:val="20"/>
        </w:rPr>
        <w:t> </w:t>
      </w:r>
      <w:r>
        <w:rPr>
          <w:rFonts w:ascii="Arial"/>
          <w:i/>
          <w:sz w:val="20"/>
        </w:rPr>
        <w:t>Bischoffsheim</w:t>
      </w:r>
      <w:r>
        <w:rPr>
          <w:rFonts w:ascii="Arial"/>
          <w:i/>
          <w:spacing w:val="14"/>
          <w:sz w:val="20"/>
        </w:rPr>
        <w:t> </w:t>
      </w:r>
      <w:r>
        <w:rPr>
          <w:rFonts w:ascii="Arial"/>
          <w:i/>
          <w:sz w:val="20"/>
        </w:rPr>
        <w:t>(1870)</w:t>
      </w:r>
      <w:r>
        <w:rPr>
          <w:rFonts w:ascii="Arial"/>
          <w:i/>
          <w:spacing w:val="14"/>
          <w:sz w:val="20"/>
        </w:rPr>
        <w:t> </w:t>
      </w:r>
      <w:r>
        <w:rPr>
          <w:rFonts w:ascii="Arial"/>
          <w:i/>
          <w:sz w:val="20"/>
        </w:rPr>
        <w:t>L.R.</w:t>
      </w:r>
      <w:r>
        <w:rPr>
          <w:rFonts w:ascii="Arial"/>
          <w:i/>
          <w:spacing w:val="14"/>
          <w:sz w:val="20"/>
        </w:rPr>
        <w:t> </w:t>
      </w:r>
      <w:r>
        <w:rPr>
          <w:rFonts w:ascii="Arial"/>
          <w:i/>
          <w:sz w:val="20"/>
        </w:rPr>
        <w:t>5</w:t>
      </w:r>
      <w:r>
        <w:rPr>
          <w:rFonts w:ascii="Arial"/>
          <w:i/>
          <w:spacing w:val="14"/>
          <w:sz w:val="20"/>
        </w:rPr>
        <w:t> </w:t>
      </w:r>
      <w:r>
        <w:rPr>
          <w:rFonts w:ascii="Arial"/>
          <w:i/>
          <w:sz w:val="20"/>
        </w:rPr>
        <w:t>Q.B.</w:t>
      </w:r>
      <w:r>
        <w:rPr>
          <w:rFonts w:ascii="Arial"/>
          <w:i/>
          <w:spacing w:val="14"/>
          <w:sz w:val="20"/>
        </w:rPr>
        <w:t> </w:t>
      </w:r>
      <w:r>
        <w:rPr>
          <w:rFonts w:ascii="Arial"/>
          <w:i/>
          <w:sz w:val="20"/>
        </w:rPr>
        <w:t>449</w:t>
      </w:r>
      <w:r>
        <w:rPr>
          <w:sz w:val="20"/>
        </w:rPr>
        <w:t>.</w:t>
      </w:r>
      <w:r>
        <w:rPr>
          <w:spacing w:val="14"/>
          <w:sz w:val="20"/>
        </w:rPr>
        <w:t> </w:t>
      </w:r>
      <w:r>
        <w:rPr>
          <w:sz w:val="20"/>
        </w:rPr>
        <w:t>See</w:t>
      </w:r>
      <w:r>
        <w:rPr>
          <w:spacing w:val="14"/>
          <w:sz w:val="20"/>
        </w:rPr>
        <w:t> </w:t>
      </w:r>
      <w:r>
        <w:rPr>
          <w:sz w:val="20"/>
        </w:rPr>
        <w:t>also</w:t>
      </w:r>
      <w:r>
        <w:rPr>
          <w:spacing w:val="14"/>
          <w:sz w:val="20"/>
        </w:rPr>
        <w:t> </w:t>
      </w:r>
      <w:r>
        <w:rPr>
          <w:rFonts w:ascii="Arial"/>
          <w:i/>
          <w:sz w:val="20"/>
        </w:rPr>
        <w:t>Longridge</w:t>
      </w:r>
      <w:r>
        <w:rPr>
          <w:rFonts w:ascii="Arial"/>
          <w:i/>
          <w:spacing w:val="14"/>
          <w:sz w:val="20"/>
        </w:rPr>
        <w:t> </w:t>
      </w:r>
      <w:r>
        <w:rPr>
          <w:rFonts w:ascii="Arial"/>
          <w:i/>
          <w:sz w:val="20"/>
        </w:rPr>
        <w:t>v</w:t>
      </w:r>
      <w:r>
        <w:rPr>
          <w:rFonts w:ascii="Arial"/>
          <w:i/>
          <w:spacing w:val="14"/>
          <w:sz w:val="20"/>
        </w:rPr>
        <w:t> </w:t>
      </w:r>
      <w:r>
        <w:rPr>
          <w:rFonts w:ascii="Arial"/>
          <w:i/>
          <w:sz w:val="20"/>
        </w:rPr>
        <w:t>Dorville</w:t>
      </w:r>
      <w:r>
        <w:rPr>
          <w:rFonts w:ascii="Arial"/>
          <w:i/>
          <w:spacing w:val="14"/>
          <w:sz w:val="20"/>
        </w:rPr>
        <w:t> </w:t>
      </w:r>
      <w:r>
        <w:rPr>
          <w:rFonts w:ascii="Arial"/>
          <w:i/>
          <w:sz w:val="20"/>
        </w:rPr>
        <w:t>(1821)</w:t>
      </w:r>
      <w:r>
        <w:rPr>
          <w:rFonts w:ascii="Arial"/>
          <w:i/>
          <w:spacing w:val="14"/>
          <w:sz w:val="20"/>
        </w:rPr>
        <w:t> </w:t>
      </w:r>
      <w:r>
        <w:rPr>
          <w:rFonts w:ascii="Arial"/>
          <w:i/>
          <w:sz w:val="20"/>
        </w:rPr>
        <w:t>5</w:t>
      </w:r>
      <w:r>
        <w:rPr>
          <w:rFonts w:ascii="Arial"/>
          <w:i/>
          <w:spacing w:val="14"/>
          <w:sz w:val="20"/>
        </w:rPr>
        <w:t> </w:t>
      </w:r>
      <w:r>
        <w:rPr>
          <w:rFonts w:ascii="Arial"/>
          <w:i/>
          <w:sz w:val="20"/>
        </w:rPr>
        <w:t>B.</w:t>
      </w:r>
      <w:r>
        <w:rPr>
          <w:rFonts w:ascii="Arial"/>
          <w:i/>
          <w:spacing w:val="14"/>
          <w:sz w:val="20"/>
        </w:rPr>
        <w:t> </w:t>
      </w:r>
      <w:r>
        <w:rPr>
          <w:rFonts w:ascii="Arial"/>
          <w:i/>
          <w:spacing w:val="-10"/>
          <w:sz w:val="20"/>
        </w:rPr>
        <w:t>&amp;</w:t>
      </w:r>
    </w:p>
    <w:p>
      <w:pPr>
        <w:spacing w:line="225" w:lineRule="exact" w:before="0"/>
        <w:ind w:left="705" w:right="0" w:firstLine="0"/>
        <w:jc w:val="left"/>
        <w:rPr>
          <w:rFonts w:ascii="Arial"/>
          <w:i/>
          <w:sz w:val="20"/>
        </w:rPr>
      </w:pPr>
      <w:r>
        <w:rPr>
          <w:rFonts w:ascii="Arial"/>
          <w:i/>
          <w:sz w:val="20"/>
        </w:rPr>
        <w:t>Ad.</w:t>
      </w:r>
      <w:r>
        <w:rPr>
          <w:rFonts w:ascii="Arial"/>
          <w:i/>
          <w:spacing w:val="13"/>
          <w:sz w:val="20"/>
        </w:rPr>
        <w:t> </w:t>
      </w:r>
      <w:r>
        <w:rPr>
          <w:rFonts w:ascii="Arial"/>
          <w:i/>
          <w:sz w:val="20"/>
        </w:rPr>
        <w:t>117</w:t>
      </w:r>
      <w:r>
        <w:rPr>
          <w:sz w:val="20"/>
        </w:rPr>
        <w:t>;</w:t>
      </w:r>
      <w:r>
        <w:rPr>
          <w:spacing w:val="14"/>
          <w:sz w:val="20"/>
        </w:rPr>
        <w:t> </w:t>
      </w:r>
      <w:r>
        <w:rPr>
          <w:rFonts w:ascii="Arial"/>
          <w:i/>
          <w:sz w:val="20"/>
        </w:rPr>
        <w:t>Cooper</w:t>
      </w:r>
      <w:r>
        <w:rPr>
          <w:rFonts w:ascii="Arial"/>
          <w:i/>
          <w:spacing w:val="14"/>
          <w:sz w:val="20"/>
        </w:rPr>
        <w:t> </w:t>
      </w:r>
      <w:r>
        <w:rPr>
          <w:rFonts w:ascii="Arial"/>
          <w:i/>
          <w:sz w:val="20"/>
        </w:rPr>
        <w:t>v</w:t>
      </w:r>
      <w:r>
        <w:rPr>
          <w:rFonts w:ascii="Arial"/>
          <w:i/>
          <w:spacing w:val="14"/>
          <w:sz w:val="20"/>
        </w:rPr>
        <w:t> </w:t>
      </w:r>
      <w:r>
        <w:rPr>
          <w:rFonts w:ascii="Arial"/>
          <w:i/>
          <w:sz w:val="20"/>
        </w:rPr>
        <w:t>Parker</w:t>
      </w:r>
      <w:r>
        <w:rPr>
          <w:rFonts w:ascii="Arial"/>
          <w:i/>
          <w:spacing w:val="14"/>
          <w:sz w:val="20"/>
        </w:rPr>
        <w:t> </w:t>
      </w:r>
      <w:r>
        <w:rPr>
          <w:rFonts w:ascii="Arial"/>
          <w:i/>
          <w:sz w:val="20"/>
        </w:rPr>
        <w:t>(1855)</w:t>
      </w:r>
      <w:r>
        <w:rPr>
          <w:rFonts w:ascii="Arial"/>
          <w:i/>
          <w:spacing w:val="14"/>
          <w:sz w:val="20"/>
        </w:rPr>
        <w:t> </w:t>
      </w:r>
      <w:r>
        <w:rPr>
          <w:rFonts w:ascii="Arial"/>
          <w:i/>
          <w:sz w:val="20"/>
        </w:rPr>
        <w:t>15</w:t>
      </w:r>
      <w:r>
        <w:rPr>
          <w:rFonts w:ascii="Arial"/>
          <w:i/>
          <w:spacing w:val="13"/>
          <w:sz w:val="20"/>
        </w:rPr>
        <w:t> </w:t>
      </w:r>
      <w:r>
        <w:rPr>
          <w:rFonts w:ascii="Arial"/>
          <w:i/>
          <w:sz w:val="20"/>
        </w:rPr>
        <w:t>C.B.</w:t>
      </w:r>
      <w:r>
        <w:rPr>
          <w:rFonts w:ascii="Arial"/>
          <w:i/>
          <w:spacing w:val="14"/>
          <w:sz w:val="20"/>
        </w:rPr>
        <w:t> </w:t>
      </w:r>
      <w:r>
        <w:rPr>
          <w:rFonts w:ascii="Arial"/>
          <w:i/>
          <w:sz w:val="20"/>
        </w:rPr>
        <w:t>822</w:t>
      </w:r>
      <w:r>
        <w:rPr>
          <w:sz w:val="20"/>
        </w:rPr>
        <w:t>;</w:t>
      </w:r>
      <w:r>
        <w:rPr>
          <w:spacing w:val="14"/>
          <w:sz w:val="20"/>
        </w:rPr>
        <w:t> </w:t>
      </w:r>
      <w:r>
        <w:rPr>
          <w:rFonts w:ascii="Arial"/>
          <w:i/>
          <w:sz w:val="20"/>
        </w:rPr>
        <w:t>Cook</w:t>
      </w:r>
      <w:r>
        <w:rPr>
          <w:rFonts w:ascii="Arial"/>
          <w:i/>
          <w:spacing w:val="14"/>
          <w:sz w:val="20"/>
        </w:rPr>
        <w:t> </w:t>
      </w:r>
      <w:r>
        <w:rPr>
          <w:rFonts w:ascii="Arial"/>
          <w:i/>
          <w:sz w:val="20"/>
        </w:rPr>
        <w:t>v</w:t>
      </w:r>
      <w:r>
        <w:rPr>
          <w:rFonts w:ascii="Arial"/>
          <w:i/>
          <w:spacing w:val="14"/>
          <w:sz w:val="20"/>
        </w:rPr>
        <w:t> </w:t>
      </w:r>
      <w:r>
        <w:rPr>
          <w:rFonts w:ascii="Arial"/>
          <w:i/>
          <w:sz w:val="20"/>
        </w:rPr>
        <w:t>Wright</w:t>
      </w:r>
      <w:r>
        <w:rPr>
          <w:rFonts w:ascii="Arial"/>
          <w:i/>
          <w:spacing w:val="14"/>
          <w:sz w:val="20"/>
        </w:rPr>
        <w:t> </w:t>
      </w:r>
      <w:r>
        <w:rPr>
          <w:rFonts w:ascii="Arial"/>
          <w:i/>
          <w:sz w:val="20"/>
        </w:rPr>
        <w:t>(1861)</w:t>
      </w:r>
      <w:r>
        <w:rPr>
          <w:rFonts w:ascii="Arial"/>
          <w:i/>
          <w:spacing w:val="13"/>
          <w:sz w:val="20"/>
        </w:rPr>
        <w:t> </w:t>
      </w:r>
      <w:r>
        <w:rPr>
          <w:rFonts w:ascii="Arial"/>
          <w:i/>
          <w:sz w:val="20"/>
        </w:rPr>
        <w:t>1</w:t>
      </w:r>
      <w:r>
        <w:rPr>
          <w:rFonts w:ascii="Arial"/>
          <w:i/>
          <w:spacing w:val="14"/>
          <w:sz w:val="20"/>
        </w:rPr>
        <w:t> </w:t>
      </w:r>
      <w:r>
        <w:rPr>
          <w:rFonts w:ascii="Arial"/>
          <w:i/>
          <w:sz w:val="20"/>
        </w:rPr>
        <w:t>B.</w:t>
      </w:r>
      <w:r>
        <w:rPr>
          <w:rFonts w:ascii="Arial"/>
          <w:i/>
          <w:spacing w:val="14"/>
          <w:sz w:val="20"/>
        </w:rPr>
        <w:t> </w:t>
      </w:r>
      <w:r>
        <w:rPr>
          <w:rFonts w:ascii="Arial"/>
          <w:i/>
          <w:sz w:val="20"/>
        </w:rPr>
        <w:t>&amp;</w:t>
      </w:r>
      <w:r>
        <w:rPr>
          <w:rFonts w:ascii="Arial"/>
          <w:i/>
          <w:spacing w:val="14"/>
          <w:sz w:val="20"/>
        </w:rPr>
        <w:t> </w:t>
      </w:r>
      <w:r>
        <w:rPr>
          <w:rFonts w:ascii="Arial"/>
          <w:i/>
          <w:sz w:val="20"/>
        </w:rPr>
        <w:t>S.</w:t>
      </w:r>
      <w:r>
        <w:rPr>
          <w:rFonts w:ascii="Arial"/>
          <w:i/>
          <w:spacing w:val="14"/>
          <w:sz w:val="20"/>
        </w:rPr>
        <w:t> </w:t>
      </w:r>
      <w:r>
        <w:rPr>
          <w:rFonts w:ascii="Arial"/>
          <w:i/>
          <w:sz w:val="20"/>
        </w:rPr>
        <w:t>559</w:t>
      </w:r>
      <w:r>
        <w:rPr>
          <w:sz w:val="20"/>
        </w:rPr>
        <w:t>;</w:t>
      </w:r>
      <w:r>
        <w:rPr>
          <w:spacing w:val="14"/>
          <w:sz w:val="20"/>
        </w:rPr>
        <w:t> </w:t>
      </w:r>
      <w:r>
        <w:rPr>
          <w:rFonts w:ascii="Arial"/>
          <w:i/>
          <w:sz w:val="20"/>
        </w:rPr>
        <w:t>Ockford</w:t>
      </w:r>
      <w:r>
        <w:rPr>
          <w:rFonts w:ascii="Arial"/>
          <w:i/>
          <w:spacing w:val="14"/>
          <w:sz w:val="20"/>
        </w:rPr>
        <w:t> </w:t>
      </w:r>
      <w:r>
        <w:rPr>
          <w:rFonts w:ascii="Arial"/>
          <w:i/>
          <w:spacing w:val="-10"/>
          <w:sz w:val="20"/>
        </w:rPr>
        <w:t>v</w:t>
      </w:r>
    </w:p>
    <w:p>
      <w:pPr>
        <w:spacing w:line="225" w:lineRule="exact" w:before="0"/>
        <w:ind w:left="705" w:right="0" w:firstLine="0"/>
        <w:jc w:val="left"/>
        <w:rPr>
          <w:rFonts w:ascii="Arial"/>
          <w:i/>
          <w:sz w:val="20"/>
        </w:rPr>
      </w:pPr>
      <w:r>
        <w:rPr>
          <w:rFonts w:ascii="Arial"/>
          <w:i/>
          <w:sz w:val="20"/>
        </w:rPr>
        <w:t>Barelli</w:t>
      </w:r>
      <w:r>
        <w:rPr>
          <w:rFonts w:ascii="Arial"/>
          <w:i/>
          <w:spacing w:val="37"/>
          <w:sz w:val="20"/>
        </w:rPr>
        <w:t> </w:t>
      </w:r>
      <w:r>
        <w:rPr>
          <w:rFonts w:ascii="Arial"/>
          <w:i/>
          <w:sz w:val="20"/>
        </w:rPr>
        <w:t>(1871)</w:t>
      </w:r>
      <w:r>
        <w:rPr>
          <w:rFonts w:ascii="Arial"/>
          <w:i/>
          <w:spacing w:val="38"/>
          <w:sz w:val="20"/>
        </w:rPr>
        <w:t> </w:t>
      </w:r>
      <w:r>
        <w:rPr>
          <w:rFonts w:ascii="Arial"/>
          <w:i/>
          <w:sz w:val="20"/>
        </w:rPr>
        <w:t>20</w:t>
      </w:r>
      <w:r>
        <w:rPr>
          <w:rFonts w:ascii="Arial"/>
          <w:i/>
          <w:spacing w:val="38"/>
          <w:sz w:val="20"/>
        </w:rPr>
        <w:t> </w:t>
      </w:r>
      <w:r>
        <w:rPr>
          <w:rFonts w:ascii="Arial"/>
          <w:i/>
          <w:sz w:val="20"/>
        </w:rPr>
        <w:t>W.R.</w:t>
      </w:r>
      <w:r>
        <w:rPr>
          <w:rFonts w:ascii="Arial"/>
          <w:i/>
          <w:spacing w:val="38"/>
          <w:sz w:val="20"/>
        </w:rPr>
        <w:t> </w:t>
      </w:r>
      <w:r>
        <w:rPr>
          <w:rFonts w:ascii="Arial"/>
          <w:i/>
          <w:sz w:val="20"/>
        </w:rPr>
        <w:t>116</w:t>
      </w:r>
      <w:r>
        <w:rPr>
          <w:sz w:val="20"/>
        </w:rPr>
        <w:t>;</w:t>
      </w:r>
      <w:r>
        <w:rPr>
          <w:spacing w:val="38"/>
          <w:sz w:val="20"/>
        </w:rPr>
        <w:t> </w:t>
      </w:r>
      <w:r>
        <w:rPr>
          <w:rFonts w:ascii="Arial"/>
          <w:i/>
          <w:sz w:val="20"/>
        </w:rPr>
        <w:t>Holsworthy</w:t>
      </w:r>
      <w:r>
        <w:rPr>
          <w:rFonts w:ascii="Arial"/>
          <w:i/>
          <w:spacing w:val="38"/>
          <w:sz w:val="20"/>
        </w:rPr>
        <w:t> </w:t>
      </w:r>
      <w:r>
        <w:rPr>
          <w:rFonts w:ascii="Arial"/>
          <w:i/>
          <w:sz w:val="20"/>
        </w:rPr>
        <w:t>UDC</w:t>
      </w:r>
      <w:r>
        <w:rPr>
          <w:rFonts w:ascii="Arial"/>
          <w:i/>
          <w:spacing w:val="38"/>
          <w:sz w:val="20"/>
        </w:rPr>
        <w:t> </w:t>
      </w:r>
      <w:r>
        <w:rPr>
          <w:rFonts w:ascii="Arial"/>
          <w:i/>
          <w:sz w:val="20"/>
        </w:rPr>
        <w:t>v</w:t>
      </w:r>
      <w:r>
        <w:rPr>
          <w:rFonts w:ascii="Arial"/>
          <w:i/>
          <w:spacing w:val="37"/>
          <w:sz w:val="20"/>
        </w:rPr>
        <w:t> </w:t>
      </w:r>
      <w:r>
        <w:rPr>
          <w:rFonts w:ascii="Arial"/>
          <w:i/>
          <w:sz w:val="20"/>
        </w:rPr>
        <w:t>Holsworthy</w:t>
      </w:r>
      <w:r>
        <w:rPr>
          <w:rFonts w:ascii="Arial"/>
          <w:i/>
          <w:spacing w:val="38"/>
          <w:sz w:val="20"/>
        </w:rPr>
        <w:t> </w:t>
      </w:r>
      <w:r>
        <w:rPr>
          <w:rFonts w:ascii="Arial"/>
          <w:i/>
          <w:sz w:val="20"/>
        </w:rPr>
        <w:t>RDC</w:t>
      </w:r>
      <w:r>
        <w:rPr>
          <w:rFonts w:ascii="Arial"/>
          <w:i/>
          <w:spacing w:val="38"/>
          <w:sz w:val="20"/>
        </w:rPr>
        <w:t> </w:t>
      </w:r>
      <w:r>
        <w:rPr>
          <w:rFonts w:ascii="Arial"/>
          <w:i/>
          <w:sz w:val="20"/>
        </w:rPr>
        <w:t>[1907]</w:t>
      </w:r>
      <w:r>
        <w:rPr>
          <w:rFonts w:ascii="Arial"/>
          <w:i/>
          <w:spacing w:val="38"/>
          <w:sz w:val="20"/>
        </w:rPr>
        <w:t> </w:t>
      </w:r>
      <w:r>
        <w:rPr>
          <w:rFonts w:ascii="Arial"/>
          <w:i/>
          <w:sz w:val="20"/>
        </w:rPr>
        <w:t>2</w:t>
      </w:r>
      <w:r>
        <w:rPr>
          <w:rFonts w:ascii="Arial"/>
          <w:i/>
          <w:spacing w:val="38"/>
          <w:sz w:val="20"/>
        </w:rPr>
        <w:t> </w:t>
      </w:r>
      <w:r>
        <w:rPr>
          <w:rFonts w:ascii="Arial"/>
          <w:i/>
          <w:sz w:val="20"/>
        </w:rPr>
        <w:t>Ch.</w:t>
      </w:r>
      <w:r>
        <w:rPr>
          <w:rFonts w:ascii="Arial"/>
          <w:i/>
          <w:spacing w:val="38"/>
          <w:sz w:val="20"/>
        </w:rPr>
        <w:t> </w:t>
      </w:r>
      <w:r>
        <w:rPr>
          <w:rFonts w:ascii="Arial"/>
          <w:i/>
          <w:sz w:val="20"/>
        </w:rPr>
        <w:t>62</w:t>
      </w:r>
      <w:r>
        <w:rPr>
          <w:sz w:val="20"/>
        </w:rPr>
        <w:t>;</w:t>
      </w:r>
      <w:r>
        <w:rPr>
          <w:spacing w:val="38"/>
          <w:sz w:val="20"/>
        </w:rPr>
        <w:t> </w:t>
      </w:r>
      <w:r>
        <w:rPr>
          <w:rFonts w:ascii="Arial"/>
          <w:i/>
          <w:sz w:val="20"/>
        </w:rPr>
        <w:t>Re</w:t>
      </w:r>
      <w:r>
        <w:rPr>
          <w:rFonts w:ascii="Arial"/>
          <w:i/>
          <w:spacing w:val="38"/>
          <w:sz w:val="20"/>
        </w:rPr>
        <w:t> </w:t>
      </w:r>
      <w:r>
        <w:rPr>
          <w:rFonts w:ascii="Arial"/>
          <w:i/>
          <w:spacing w:val="-4"/>
          <w:sz w:val="20"/>
        </w:rPr>
        <w:t>Cole</w:t>
      </w:r>
    </w:p>
    <w:p>
      <w:pPr>
        <w:spacing w:line="225" w:lineRule="exact" w:before="0"/>
        <w:ind w:left="705" w:right="0" w:firstLine="0"/>
        <w:jc w:val="left"/>
        <w:rPr>
          <w:rFonts w:ascii="Arial"/>
          <w:i/>
          <w:sz w:val="20"/>
        </w:rPr>
      </w:pPr>
      <w:r>
        <w:rPr>
          <w:rFonts w:ascii="Arial"/>
          <w:i/>
          <w:sz w:val="20"/>
        </w:rPr>
        <w:t>[1931]</w:t>
      </w:r>
      <w:r>
        <w:rPr>
          <w:rFonts w:ascii="Arial"/>
          <w:i/>
          <w:spacing w:val="20"/>
          <w:sz w:val="20"/>
        </w:rPr>
        <w:t> </w:t>
      </w:r>
      <w:r>
        <w:rPr>
          <w:rFonts w:ascii="Arial"/>
          <w:i/>
          <w:sz w:val="20"/>
        </w:rPr>
        <w:t>2</w:t>
      </w:r>
      <w:r>
        <w:rPr>
          <w:rFonts w:ascii="Arial"/>
          <w:i/>
          <w:spacing w:val="21"/>
          <w:sz w:val="20"/>
        </w:rPr>
        <w:t> </w:t>
      </w:r>
      <w:r>
        <w:rPr>
          <w:rFonts w:ascii="Arial"/>
          <w:i/>
          <w:sz w:val="20"/>
        </w:rPr>
        <w:t>Ch.</w:t>
      </w:r>
      <w:r>
        <w:rPr>
          <w:rFonts w:ascii="Arial"/>
          <w:i/>
          <w:spacing w:val="21"/>
          <w:sz w:val="20"/>
        </w:rPr>
        <w:t> </w:t>
      </w:r>
      <w:r>
        <w:rPr>
          <w:rFonts w:ascii="Arial"/>
          <w:i/>
          <w:sz w:val="20"/>
        </w:rPr>
        <w:t>174</w:t>
      </w:r>
      <w:r>
        <w:rPr>
          <w:sz w:val="20"/>
        </w:rPr>
        <w:t>;</w:t>
      </w:r>
      <w:r>
        <w:rPr>
          <w:spacing w:val="21"/>
          <w:sz w:val="20"/>
        </w:rPr>
        <w:t> </w:t>
      </w:r>
      <w:r>
        <w:rPr>
          <w:rFonts w:ascii="Arial"/>
          <w:i/>
          <w:sz w:val="20"/>
        </w:rPr>
        <w:t>Freedman</w:t>
      </w:r>
      <w:r>
        <w:rPr>
          <w:rFonts w:ascii="Arial"/>
          <w:i/>
          <w:spacing w:val="21"/>
          <w:sz w:val="20"/>
        </w:rPr>
        <w:t> </w:t>
      </w:r>
      <w:r>
        <w:rPr>
          <w:rFonts w:ascii="Arial"/>
          <w:i/>
          <w:sz w:val="20"/>
        </w:rPr>
        <w:t>v</w:t>
      </w:r>
      <w:r>
        <w:rPr>
          <w:rFonts w:ascii="Arial"/>
          <w:i/>
          <w:spacing w:val="21"/>
          <w:sz w:val="20"/>
        </w:rPr>
        <w:t> </w:t>
      </w:r>
      <w:r>
        <w:rPr>
          <w:rFonts w:ascii="Arial"/>
          <w:i/>
          <w:sz w:val="20"/>
        </w:rPr>
        <w:t>Union</w:t>
      </w:r>
      <w:r>
        <w:rPr>
          <w:rFonts w:ascii="Arial"/>
          <w:i/>
          <w:spacing w:val="21"/>
          <w:sz w:val="20"/>
        </w:rPr>
        <w:t> </w:t>
      </w:r>
      <w:r>
        <w:rPr>
          <w:rFonts w:ascii="Arial"/>
          <w:i/>
          <w:sz w:val="20"/>
        </w:rPr>
        <w:t>Group</w:t>
      </w:r>
      <w:r>
        <w:rPr>
          <w:rFonts w:ascii="Arial"/>
          <w:i/>
          <w:spacing w:val="20"/>
          <w:sz w:val="20"/>
        </w:rPr>
        <w:t> </w:t>
      </w:r>
      <w:r>
        <w:rPr>
          <w:rFonts w:ascii="Arial"/>
          <w:i/>
          <w:sz w:val="20"/>
        </w:rPr>
        <w:t>plc</w:t>
      </w:r>
      <w:r>
        <w:rPr>
          <w:rFonts w:ascii="Arial"/>
          <w:i/>
          <w:spacing w:val="21"/>
          <w:sz w:val="20"/>
        </w:rPr>
        <w:t> </w:t>
      </w:r>
      <w:r>
        <w:rPr>
          <w:rFonts w:ascii="Arial"/>
          <w:i/>
          <w:sz w:val="20"/>
        </w:rPr>
        <w:t>[1997]</w:t>
      </w:r>
      <w:r>
        <w:rPr>
          <w:rFonts w:ascii="Arial"/>
          <w:i/>
          <w:spacing w:val="21"/>
          <w:sz w:val="20"/>
        </w:rPr>
        <w:t> </w:t>
      </w:r>
      <w:r>
        <w:rPr>
          <w:rFonts w:ascii="Arial"/>
          <w:i/>
          <w:sz w:val="20"/>
        </w:rPr>
        <w:t>E.G.C.S.</w:t>
      </w:r>
      <w:r>
        <w:rPr>
          <w:rFonts w:ascii="Arial"/>
          <w:i/>
          <w:spacing w:val="21"/>
          <w:sz w:val="20"/>
        </w:rPr>
        <w:t> </w:t>
      </w:r>
      <w:r>
        <w:rPr>
          <w:rFonts w:ascii="Arial"/>
          <w:i/>
          <w:sz w:val="20"/>
        </w:rPr>
        <w:t>28</w:t>
      </w:r>
      <w:r>
        <w:rPr>
          <w:sz w:val="20"/>
        </w:rPr>
        <w:t>;</w:t>
      </w:r>
      <w:r>
        <w:rPr>
          <w:spacing w:val="21"/>
          <w:sz w:val="20"/>
        </w:rPr>
        <w:t> </w:t>
      </w:r>
      <w:r>
        <w:rPr>
          <w:rFonts w:ascii="Arial"/>
          <w:i/>
          <w:sz w:val="20"/>
        </w:rPr>
        <w:t>Moussaka</w:t>
      </w:r>
      <w:r>
        <w:rPr>
          <w:rFonts w:ascii="Arial"/>
          <w:i/>
          <w:spacing w:val="21"/>
          <w:sz w:val="20"/>
        </w:rPr>
        <w:t> </w:t>
      </w:r>
      <w:r>
        <w:rPr>
          <w:rFonts w:ascii="Arial"/>
          <w:i/>
          <w:sz w:val="20"/>
        </w:rPr>
        <w:t>Inc.</w:t>
      </w:r>
      <w:r>
        <w:rPr>
          <w:rFonts w:ascii="Arial"/>
          <w:i/>
          <w:spacing w:val="21"/>
          <w:sz w:val="20"/>
        </w:rPr>
        <w:t> </w:t>
      </w:r>
      <w:r>
        <w:rPr>
          <w:rFonts w:ascii="Arial"/>
          <w:i/>
          <w:sz w:val="20"/>
        </w:rPr>
        <w:t>v</w:t>
      </w:r>
      <w:r>
        <w:rPr>
          <w:rFonts w:ascii="Arial"/>
          <w:i/>
          <w:spacing w:val="21"/>
          <w:sz w:val="20"/>
        </w:rPr>
        <w:t> </w:t>
      </w:r>
      <w:r>
        <w:rPr>
          <w:rFonts w:ascii="Arial"/>
          <w:i/>
          <w:spacing w:val="-2"/>
          <w:sz w:val="20"/>
        </w:rPr>
        <w:t>Golden</w:t>
      </w:r>
    </w:p>
    <w:p>
      <w:pPr>
        <w:spacing w:line="235" w:lineRule="auto" w:before="2"/>
        <w:ind w:left="705" w:right="167" w:firstLine="0"/>
        <w:jc w:val="both"/>
        <w:rPr>
          <w:sz w:val="20"/>
        </w:rPr>
      </w:pPr>
      <w:r>
        <w:rPr>
          <w:rFonts w:ascii="Arial" w:hAnsi="Arial"/>
          <w:i/>
          <w:sz w:val="20"/>
        </w:rPr>
        <w:t>Seagull Maritime Inc. [2002] 1 Lloyd’s Rep. 797 </w:t>
      </w:r>
      <w:r>
        <w:rPr>
          <w:sz w:val="20"/>
        </w:rPr>
        <w:t>at [14]; </w:t>
      </w:r>
      <w:r>
        <w:rPr>
          <w:rFonts w:ascii="Arial" w:hAnsi="Arial"/>
          <w:i/>
          <w:sz w:val="20"/>
        </w:rPr>
        <w:t>Haines v Hill [2007] EWCA Civ 1284, [2008] Ch. 412 </w:t>
      </w:r>
      <w:r>
        <w:rPr>
          <w:sz w:val="20"/>
        </w:rPr>
        <w:t>at [79]. For a discussion of the English decisions on a Scottish appeal, </w:t>
      </w:r>
      <w:r>
        <w:rPr>
          <w:sz w:val="20"/>
        </w:rPr>
        <w:t>see </w:t>
      </w:r>
      <w:r>
        <w:rPr>
          <w:rFonts w:ascii="Arial" w:hAnsi="Arial"/>
          <w:i/>
          <w:sz w:val="20"/>
        </w:rPr>
        <w:t>Hunter v Bradford Property Trust, 1970 S.L.T. 173</w:t>
      </w:r>
      <w:r>
        <w:rPr>
          <w:sz w:val="20"/>
        </w:rPr>
        <w:t>. Scots law does not require promises to be supported by consideration but distinguishes for certain purposes between gratuitous and onerous promises.</w:t>
      </w:r>
    </w:p>
    <w:p>
      <w:pPr>
        <w:pStyle w:val="BodyText"/>
        <w:spacing w:before="4"/>
      </w:pPr>
    </w:p>
    <w:p>
      <w:pPr>
        <w:tabs>
          <w:tab w:pos="705" w:val="left" w:leader="none"/>
        </w:tabs>
        <w:spacing w:before="0"/>
        <w:ind w:left="165" w:right="0" w:firstLine="0"/>
        <w:jc w:val="left"/>
        <w:rPr>
          <w:sz w:val="20"/>
        </w:rPr>
      </w:pPr>
      <w:bookmarkStart w:name="_bookmark575" w:id="577"/>
      <w:bookmarkEnd w:id="577"/>
      <w:r>
        <w:rPr/>
      </w:r>
      <w:hyperlink w:history="true" w:anchor="_bookmark558">
        <w:r>
          <w:rPr>
            <w:color w:val="005DA1"/>
            <w:spacing w:val="-4"/>
            <w:position w:val="5"/>
            <w:sz w:val="14"/>
            <w:u w:val="single" w:color="005DA1"/>
          </w:rPr>
          <w:t>302</w:t>
        </w:r>
      </w:hyperlink>
      <w:r>
        <w:rPr>
          <w:spacing w:val="-4"/>
          <w:position w:val="5"/>
          <w:sz w:val="14"/>
        </w:rPr>
        <w:t>.</w:t>
      </w:r>
      <w:r>
        <w:rPr>
          <w:position w:val="5"/>
          <w:sz w:val="14"/>
        </w:rPr>
        <w:tab/>
      </w:r>
      <w:r>
        <w:rPr>
          <w:rFonts w:ascii="Arial"/>
          <w:i/>
          <w:sz w:val="20"/>
        </w:rPr>
        <w:t>Cook v Wright (1861) 1 B.&amp; S. 559, </w:t>
      </w:r>
      <w:r>
        <w:rPr>
          <w:rFonts w:ascii="Arial"/>
          <w:i/>
          <w:spacing w:val="-4"/>
          <w:sz w:val="20"/>
        </w:rPr>
        <w:t>569</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576" w:id="578"/>
      <w:bookmarkEnd w:id="578"/>
      <w:r>
        <w:rPr/>
      </w:r>
      <w:hyperlink w:history="true" w:anchor="_bookmark559">
        <w:r>
          <w:rPr>
            <w:color w:val="005DA1"/>
            <w:spacing w:val="-4"/>
            <w:position w:val="5"/>
            <w:sz w:val="14"/>
            <w:u w:val="single" w:color="005DA1"/>
          </w:rPr>
          <w:t>303</w:t>
        </w:r>
      </w:hyperlink>
      <w:r>
        <w:rPr>
          <w:spacing w:val="-4"/>
          <w:position w:val="5"/>
          <w:sz w:val="14"/>
        </w:rPr>
        <w:t>.</w:t>
      </w:r>
      <w:r>
        <w:rPr>
          <w:position w:val="5"/>
          <w:sz w:val="14"/>
        </w:rPr>
        <w:tab/>
      </w:r>
      <w:r>
        <w:rPr>
          <w:rFonts w:ascii="Arial"/>
          <w:i/>
          <w:sz w:val="20"/>
        </w:rPr>
        <w:t>Callisher</w:t>
      </w:r>
      <w:r>
        <w:rPr>
          <w:rFonts w:ascii="Arial"/>
          <w:i/>
          <w:spacing w:val="-1"/>
          <w:sz w:val="20"/>
        </w:rPr>
        <w:t> </w:t>
      </w:r>
      <w:r>
        <w:rPr>
          <w:rFonts w:ascii="Arial"/>
          <w:i/>
          <w:sz w:val="20"/>
        </w:rPr>
        <w:t>v Bischoffsheim</w:t>
      </w:r>
      <w:r>
        <w:rPr>
          <w:sz w:val="20"/>
        </w:rPr>
        <w:t>, above n.297, at 452; cf. </w:t>
      </w:r>
      <w:r>
        <w:rPr>
          <w:rFonts w:ascii="Arial"/>
          <w:i/>
          <w:sz w:val="20"/>
        </w:rPr>
        <w:t>Pitt v P.H.H. Asset Management Ltd [1994] </w:t>
      </w:r>
      <w:r>
        <w:rPr>
          <w:rFonts w:ascii="Arial"/>
          <w:i/>
          <w:spacing w:val="-10"/>
          <w:sz w:val="20"/>
        </w:rPr>
        <w:t>1</w:t>
      </w:r>
    </w:p>
    <w:p>
      <w:pPr>
        <w:spacing w:line="235" w:lineRule="auto" w:before="1"/>
        <w:ind w:left="705" w:right="163" w:firstLine="0"/>
        <w:jc w:val="left"/>
        <w:rPr>
          <w:sz w:val="20"/>
        </w:rPr>
      </w:pPr>
      <w:r>
        <w:rPr>
          <w:rFonts w:ascii="Arial" w:hAnsi="Arial"/>
          <w:i/>
          <w:sz w:val="20"/>
        </w:rPr>
        <w:t>W.L.R. 327 </w:t>
      </w:r>
      <w:r>
        <w:rPr>
          <w:sz w:val="20"/>
        </w:rPr>
        <w:t>at 322, but in that case it is not clear that the party forbearing in fact believed in </w:t>
      </w:r>
      <w:r>
        <w:rPr>
          <w:sz w:val="20"/>
        </w:rPr>
        <w:t>the validity</w:t>
      </w:r>
      <w:r>
        <w:rPr>
          <w:spacing w:val="12"/>
          <w:sz w:val="20"/>
        </w:rPr>
        <w:t> </w:t>
      </w:r>
      <w:r>
        <w:rPr>
          <w:sz w:val="20"/>
        </w:rPr>
        <w:t>of</w:t>
      </w:r>
      <w:r>
        <w:rPr>
          <w:spacing w:val="12"/>
          <w:sz w:val="20"/>
        </w:rPr>
        <w:t> </w:t>
      </w:r>
      <w:r>
        <w:rPr>
          <w:sz w:val="20"/>
        </w:rPr>
        <w:t>his</w:t>
      </w:r>
      <w:r>
        <w:rPr>
          <w:spacing w:val="12"/>
          <w:sz w:val="20"/>
        </w:rPr>
        <w:t> </w:t>
      </w:r>
      <w:r>
        <w:rPr>
          <w:sz w:val="20"/>
        </w:rPr>
        <w:t>claim;</w:t>
      </w:r>
      <w:r>
        <w:rPr>
          <w:spacing w:val="11"/>
          <w:sz w:val="20"/>
        </w:rPr>
        <w:t> </w:t>
      </w:r>
      <w:r>
        <w:rPr>
          <w:rFonts w:ascii="Arial" w:hAnsi="Arial"/>
          <w:i/>
          <w:sz w:val="20"/>
        </w:rPr>
        <w:t>Moussaka</w:t>
      </w:r>
      <w:r>
        <w:rPr>
          <w:rFonts w:ascii="Arial" w:hAnsi="Arial"/>
          <w:i/>
          <w:spacing w:val="12"/>
          <w:sz w:val="20"/>
        </w:rPr>
        <w:t> </w:t>
      </w:r>
      <w:r>
        <w:rPr>
          <w:rFonts w:ascii="Arial" w:hAnsi="Arial"/>
          <w:i/>
          <w:sz w:val="20"/>
        </w:rPr>
        <w:t>Inc</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Golden</w:t>
      </w:r>
      <w:r>
        <w:rPr>
          <w:rFonts w:ascii="Arial" w:hAnsi="Arial"/>
          <w:i/>
          <w:spacing w:val="12"/>
          <w:sz w:val="20"/>
        </w:rPr>
        <w:t> </w:t>
      </w:r>
      <w:r>
        <w:rPr>
          <w:rFonts w:ascii="Arial" w:hAnsi="Arial"/>
          <w:i/>
          <w:sz w:val="20"/>
        </w:rPr>
        <w:t>Seagull</w:t>
      </w:r>
      <w:r>
        <w:rPr>
          <w:rFonts w:ascii="Arial" w:hAnsi="Arial"/>
          <w:i/>
          <w:spacing w:val="12"/>
          <w:sz w:val="20"/>
        </w:rPr>
        <w:t> </w:t>
      </w:r>
      <w:r>
        <w:rPr>
          <w:rFonts w:ascii="Arial" w:hAnsi="Arial"/>
          <w:i/>
          <w:sz w:val="20"/>
        </w:rPr>
        <w:t>Maritime</w:t>
      </w:r>
      <w:r>
        <w:rPr>
          <w:rFonts w:ascii="Arial" w:hAnsi="Arial"/>
          <w:i/>
          <w:spacing w:val="12"/>
          <w:sz w:val="20"/>
        </w:rPr>
        <w:t> </w:t>
      </w:r>
      <w:r>
        <w:rPr>
          <w:rFonts w:ascii="Arial" w:hAnsi="Arial"/>
          <w:i/>
          <w:sz w:val="20"/>
        </w:rPr>
        <w:t>Inc</w:t>
      </w:r>
      <w:r>
        <w:rPr>
          <w:rFonts w:ascii="Arial" w:hAnsi="Arial"/>
          <w:i/>
          <w:spacing w:val="12"/>
          <w:sz w:val="20"/>
        </w:rPr>
        <w:t> </w:t>
      </w:r>
      <w:r>
        <w:rPr>
          <w:rFonts w:ascii="Arial" w:hAnsi="Arial"/>
          <w:i/>
          <w:sz w:val="20"/>
        </w:rPr>
        <w:t>[2002]</w:t>
      </w:r>
      <w:r>
        <w:rPr>
          <w:rFonts w:ascii="Arial" w:hAnsi="Arial"/>
          <w:i/>
          <w:spacing w:val="12"/>
          <w:sz w:val="20"/>
        </w:rPr>
        <w:t> </w:t>
      </w:r>
      <w:r>
        <w:rPr>
          <w:rFonts w:ascii="Arial" w:hAnsi="Arial"/>
          <w:i/>
          <w:sz w:val="20"/>
        </w:rPr>
        <w:t>1</w:t>
      </w:r>
      <w:r>
        <w:rPr>
          <w:rFonts w:ascii="Arial" w:hAnsi="Arial"/>
          <w:i/>
          <w:spacing w:val="12"/>
          <w:sz w:val="20"/>
        </w:rPr>
        <w:t> </w:t>
      </w:r>
      <w:r>
        <w:rPr>
          <w:rFonts w:ascii="Arial" w:hAnsi="Arial"/>
          <w:i/>
          <w:sz w:val="20"/>
        </w:rPr>
        <w:t>Lloyd’s</w:t>
      </w:r>
      <w:r>
        <w:rPr>
          <w:rFonts w:ascii="Arial" w:hAnsi="Arial"/>
          <w:i/>
          <w:spacing w:val="12"/>
          <w:sz w:val="20"/>
        </w:rPr>
        <w:t> </w:t>
      </w:r>
      <w:r>
        <w:rPr>
          <w:rFonts w:ascii="Arial" w:hAnsi="Arial"/>
          <w:i/>
          <w:sz w:val="20"/>
        </w:rPr>
        <w:t>Rep.</w:t>
      </w:r>
      <w:r>
        <w:rPr>
          <w:rFonts w:ascii="Arial" w:hAnsi="Arial"/>
          <w:i/>
          <w:spacing w:val="12"/>
          <w:sz w:val="20"/>
        </w:rPr>
        <w:t> </w:t>
      </w:r>
      <w:r>
        <w:rPr>
          <w:rFonts w:ascii="Arial" w:hAnsi="Arial"/>
          <w:i/>
          <w:sz w:val="20"/>
        </w:rPr>
        <w:t>797</w:t>
      </w:r>
      <w:r>
        <w:rPr>
          <w:rFonts w:ascii="Arial" w:hAnsi="Arial"/>
          <w:i/>
          <w:spacing w:val="11"/>
          <w:sz w:val="20"/>
        </w:rPr>
        <w:t> </w:t>
      </w:r>
      <w:r>
        <w:rPr>
          <w:spacing w:val="-5"/>
          <w:sz w:val="20"/>
        </w:rPr>
        <w:t>a</w:t>
      </w:r>
      <w:r>
        <w:rPr>
          <w:spacing w:val="-5"/>
          <w:sz w:val="20"/>
        </w:rPr>
        <w:t>t</w:t>
      </w:r>
    </w:p>
    <w:p>
      <w:pPr>
        <w:pStyle w:val="BodyText"/>
        <w:spacing w:line="225" w:lineRule="exact"/>
        <w:ind w:left="705"/>
      </w:pPr>
      <w:r>
        <w:rPr/>
        <w:t>[14] (“commercial </w:t>
      </w:r>
      <w:r>
        <w:rPr>
          <w:spacing w:val="-2"/>
        </w:rPr>
        <w:t>benefit”).</w:t>
      </w:r>
    </w:p>
    <w:p>
      <w:pPr>
        <w:pStyle w:val="BodyText"/>
        <w:spacing w:before="9"/>
      </w:pPr>
    </w:p>
    <w:p>
      <w:pPr>
        <w:spacing w:line="235" w:lineRule="auto" w:before="0"/>
        <w:ind w:left="705" w:right="167" w:hanging="541"/>
        <w:jc w:val="both"/>
        <w:rPr>
          <w:sz w:val="20"/>
        </w:rPr>
      </w:pPr>
      <w:bookmarkStart w:name="_bookmark577" w:id="579"/>
      <w:bookmarkEnd w:id="579"/>
      <w:r>
        <w:rPr/>
      </w:r>
      <w:hyperlink w:history="true" w:anchor="_bookmark560">
        <w:r>
          <w:rPr>
            <w:color w:val="005DA1"/>
            <w:position w:val="5"/>
            <w:sz w:val="14"/>
            <w:u w:val="single" w:color="005DA1"/>
          </w:rPr>
          <w:t>304</w:t>
        </w:r>
      </w:hyperlink>
      <w:r>
        <w:rPr>
          <w:position w:val="5"/>
          <w:sz w:val="14"/>
        </w:rPr>
        <w:t>.</w:t>
      </w:r>
      <w:r>
        <w:rPr>
          <w:spacing w:val="80"/>
          <w:position w:val="5"/>
          <w:sz w:val="14"/>
        </w:rPr>
        <w:t>  </w:t>
      </w:r>
      <w:r>
        <w:rPr>
          <w:rFonts w:ascii="Arial" w:hAnsi="Arial"/>
          <w:i/>
          <w:sz w:val="20"/>
        </w:rPr>
        <w:t>Miles v New Zealand Alford Estate Co</w:t>
      </w:r>
      <w:r>
        <w:rPr>
          <w:sz w:val="20"/>
        </w:rPr>
        <w:t>, above n.294, at 284; </w:t>
      </w:r>
      <w:r>
        <w:rPr>
          <w:rFonts w:ascii="Arial" w:hAnsi="Arial"/>
          <w:i/>
          <w:sz w:val="20"/>
        </w:rPr>
        <w:t>Colchester BC v Smith [1992] Ch. 421, 435</w:t>
      </w:r>
      <w:r>
        <w:rPr>
          <w:sz w:val="20"/>
        </w:rPr>
        <w:t>. The discussion in para.4-050, above, is concerned with the different problem of nondisclosure by the party </w:t>
      </w:r>
      <w:r>
        <w:rPr>
          <w:rFonts w:ascii="Arial" w:hAnsi="Arial"/>
          <w:i/>
          <w:sz w:val="20"/>
        </w:rPr>
        <w:t>against </w:t>
      </w:r>
      <w:r>
        <w:rPr>
          <w:sz w:val="20"/>
        </w:rPr>
        <w:t>whom a valid claim is made of facts affecting the extent of that party’s liability.</w:t>
      </w:r>
    </w:p>
    <w:p>
      <w:pPr>
        <w:pStyle w:val="BodyText"/>
        <w:spacing w:before="8"/>
      </w:pPr>
    </w:p>
    <w:p>
      <w:pPr>
        <w:tabs>
          <w:tab w:pos="705" w:val="left" w:leader="none"/>
        </w:tabs>
        <w:spacing w:line="235" w:lineRule="auto" w:before="1"/>
        <w:ind w:left="705" w:right="168" w:hanging="541"/>
        <w:jc w:val="left"/>
        <w:rPr>
          <w:sz w:val="20"/>
        </w:rPr>
      </w:pPr>
      <w:bookmarkStart w:name="_bookmark578" w:id="580"/>
      <w:bookmarkEnd w:id="580"/>
      <w:r>
        <w:rPr/>
      </w:r>
      <w:hyperlink w:history="true" w:anchor="_bookmark561">
        <w:r>
          <w:rPr>
            <w:color w:val="005DA1"/>
            <w:spacing w:val="-4"/>
            <w:position w:val="5"/>
            <w:sz w:val="14"/>
            <w:u w:val="single" w:color="005DA1"/>
          </w:rPr>
          <w:t>305</w:t>
        </w:r>
      </w:hyperlink>
      <w:r>
        <w:rPr>
          <w:spacing w:val="-4"/>
          <w:position w:val="5"/>
          <w:sz w:val="14"/>
        </w:rPr>
        <w:t>.</w:t>
      </w:r>
      <w:r>
        <w:rPr>
          <w:position w:val="5"/>
          <w:sz w:val="14"/>
        </w:rPr>
        <w:tab/>
      </w:r>
      <w:r>
        <w:rPr>
          <w:rFonts w:ascii="Arial" w:hAnsi="Arial"/>
          <w:i/>
          <w:sz w:val="20"/>
        </w:rPr>
        <w:t>Cook</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Wright</w:t>
      </w:r>
      <w:r>
        <w:rPr>
          <w:rFonts w:ascii="Arial" w:hAnsi="Arial"/>
          <w:i/>
          <w:spacing w:val="22"/>
          <w:sz w:val="20"/>
        </w:rPr>
        <w:t> </w:t>
      </w:r>
      <w:r>
        <w:rPr>
          <w:rFonts w:ascii="Arial" w:hAnsi="Arial"/>
          <w:i/>
          <w:sz w:val="20"/>
        </w:rPr>
        <w:t>(1861)</w:t>
      </w:r>
      <w:r>
        <w:rPr>
          <w:rFonts w:ascii="Arial" w:hAnsi="Arial"/>
          <w:i/>
          <w:spacing w:val="22"/>
          <w:sz w:val="20"/>
        </w:rPr>
        <w:t> </w:t>
      </w:r>
      <w:r>
        <w:rPr>
          <w:rFonts w:ascii="Arial" w:hAnsi="Arial"/>
          <w:i/>
          <w:sz w:val="20"/>
        </w:rPr>
        <w:t>1</w:t>
      </w:r>
      <w:r>
        <w:rPr>
          <w:rFonts w:ascii="Arial" w:hAnsi="Arial"/>
          <w:i/>
          <w:spacing w:val="22"/>
          <w:sz w:val="20"/>
        </w:rPr>
        <w:t> </w:t>
      </w:r>
      <w:r>
        <w:rPr>
          <w:rFonts w:ascii="Arial" w:hAnsi="Arial"/>
          <w:i/>
          <w:sz w:val="20"/>
        </w:rPr>
        <w:t>B.</w:t>
      </w:r>
      <w:r>
        <w:rPr>
          <w:rFonts w:ascii="Arial" w:hAnsi="Arial"/>
          <w:i/>
          <w:spacing w:val="22"/>
          <w:sz w:val="20"/>
        </w:rPr>
        <w:t> </w:t>
      </w:r>
      <w:r>
        <w:rPr>
          <w:rFonts w:ascii="Arial" w:hAnsi="Arial"/>
          <w:i/>
          <w:sz w:val="20"/>
        </w:rPr>
        <w:t>&amp;</w:t>
      </w:r>
      <w:r>
        <w:rPr>
          <w:rFonts w:ascii="Arial" w:hAnsi="Arial"/>
          <w:i/>
          <w:spacing w:val="22"/>
          <w:sz w:val="20"/>
        </w:rPr>
        <w:t> </w:t>
      </w:r>
      <w:r>
        <w:rPr>
          <w:rFonts w:ascii="Arial" w:hAnsi="Arial"/>
          <w:i/>
          <w:sz w:val="20"/>
        </w:rPr>
        <w:t>S.</w:t>
      </w:r>
      <w:r>
        <w:rPr>
          <w:rFonts w:ascii="Arial" w:hAnsi="Arial"/>
          <w:i/>
          <w:spacing w:val="22"/>
          <w:sz w:val="20"/>
        </w:rPr>
        <w:t> </w:t>
      </w:r>
      <w:r>
        <w:rPr>
          <w:rFonts w:ascii="Arial" w:hAnsi="Arial"/>
          <w:i/>
          <w:sz w:val="20"/>
        </w:rPr>
        <w:t>559,</w:t>
      </w:r>
      <w:r>
        <w:rPr>
          <w:rFonts w:ascii="Arial" w:hAnsi="Arial"/>
          <w:i/>
          <w:spacing w:val="22"/>
          <w:sz w:val="20"/>
        </w:rPr>
        <w:t> </w:t>
      </w:r>
      <w:r>
        <w:rPr>
          <w:rFonts w:ascii="Arial" w:hAnsi="Arial"/>
          <w:i/>
          <w:sz w:val="20"/>
        </w:rPr>
        <w:t>569</w:t>
      </w:r>
      <w:r>
        <w:rPr>
          <w:sz w:val="20"/>
        </w:rPr>
        <w:t>;</w:t>
      </w:r>
      <w:r>
        <w:rPr>
          <w:spacing w:val="22"/>
          <w:sz w:val="20"/>
        </w:rPr>
        <w:t> </w:t>
      </w:r>
      <w:r>
        <w:rPr>
          <w:rFonts w:ascii="Arial" w:hAnsi="Arial"/>
          <w:i/>
          <w:sz w:val="20"/>
        </w:rPr>
        <w:t>Syros</w:t>
      </w:r>
      <w:r>
        <w:rPr>
          <w:rFonts w:ascii="Arial" w:hAnsi="Arial"/>
          <w:i/>
          <w:spacing w:val="22"/>
          <w:sz w:val="20"/>
        </w:rPr>
        <w:t> </w:t>
      </w:r>
      <w:r>
        <w:rPr>
          <w:rFonts w:ascii="Arial" w:hAnsi="Arial"/>
          <w:i/>
          <w:sz w:val="20"/>
        </w:rPr>
        <w:t>Shipping</w:t>
      </w:r>
      <w:r>
        <w:rPr>
          <w:rFonts w:ascii="Arial" w:hAnsi="Arial"/>
          <w:i/>
          <w:spacing w:val="22"/>
          <w:sz w:val="20"/>
        </w:rPr>
        <w:t> </w:t>
      </w:r>
      <w:r>
        <w:rPr>
          <w:rFonts w:ascii="Arial" w:hAnsi="Arial"/>
          <w:i/>
          <w:sz w:val="20"/>
        </w:rPr>
        <w:t>Co</w:t>
      </w:r>
      <w:r>
        <w:rPr>
          <w:rFonts w:ascii="Arial" w:hAnsi="Arial"/>
          <w:i/>
          <w:spacing w:val="22"/>
          <w:sz w:val="20"/>
        </w:rPr>
        <w:t> </w:t>
      </w:r>
      <w:r>
        <w:rPr>
          <w:rFonts w:ascii="Arial" w:hAnsi="Arial"/>
          <w:i/>
          <w:sz w:val="20"/>
        </w:rPr>
        <w:t>SA</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Elaghill</w:t>
      </w:r>
      <w:r>
        <w:rPr>
          <w:rFonts w:ascii="Arial" w:hAnsi="Arial"/>
          <w:i/>
          <w:spacing w:val="22"/>
          <w:sz w:val="20"/>
        </w:rPr>
        <w:t> </w:t>
      </w:r>
      <w:r>
        <w:rPr>
          <w:rFonts w:ascii="Arial" w:hAnsi="Arial"/>
          <w:i/>
          <w:sz w:val="20"/>
        </w:rPr>
        <w:t>Trading</w:t>
      </w:r>
      <w:r>
        <w:rPr>
          <w:rFonts w:ascii="Arial" w:hAnsi="Arial"/>
          <w:i/>
          <w:spacing w:val="22"/>
          <w:sz w:val="20"/>
        </w:rPr>
        <w:t> </w:t>
      </w:r>
      <w:r>
        <w:rPr>
          <w:rFonts w:ascii="Arial" w:hAnsi="Arial"/>
          <w:i/>
          <w:sz w:val="20"/>
        </w:rPr>
        <w:t>Co</w:t>
      </w:r>
      <w:r>
        <w:rPr>
          <w:rFonts w:ascii="Arial" w:hAnsi="Arial"/>
          <w:i/>
          <w:spacing w:val="22"/>
          <w:sz w:val="20"/>
        </w:rPr>
        <w:t> </w:t>
      </w:r>
      <w:r>
        <w:rPr>
          <w:rFonts w:ascii="Arial" w:hAnsi="Arial"/>
          <w:i/>
          <w:sz w:val="20"/>
        </w:rPr>
        <w:t>(The Proodos C) [1980] 2 Lloyd’s Rep. 390, 392</w:t>
      </w:r>
      <w:r>
        <w:rPr>
          <w:sz w:val="20"/>
        </w:rPr>
        <w:t>.</w:t>
      </w:r>
    </w:p>
    <w:p>
      <w:pPr>
        <w:pStyle w:val="BodyText"/>
        <w:spacing w:before="9"/>
      </w:pPr>
    </w:p>
    <w:p>
      <w:pPr>
        <w:spacing w:line="235" w:lineRule="auto" w:before="0"/>
        <w:ind w:left="705" w:right="167" w:hanging="541"/>
        <w:jc w:val="both"/>
        <w:rPr>
          <w:sz w:val="20"/>
        </w:rPr>
      </w:pPr>
      <w:bookmarkStart w:name="_bookmark579" w:id="581"/>
      <w:bookmarkEnd w:id="581"/>
      <w:r>
        <w:rPr/>
      </w:r>
      <w:hyperlink w:history="true" w:anchor="_bookmark562">
        <w:r>
          <w:rPr>
            <w:color w:val="005DA1"/>
            <w:position w:val="5"/>
            <w:sz w:val="14"/>
            <w:u w:val="single" w:color="005DA1"/>
          </w:rPr>
          <w:t>306</w:t>
        </w:r>
      </w:hyperlink>
      <w:r>
        <w:rPr>
          <w:position w:val="5"/>
          <w:sz w:val="14"/>
        </w:rPr>
        <w:t>.</w:t>
      </w:r>
      <w:r>
        <w:rPr>
          <w:spacing w:val="80"/>
          <w:position w:val="5"/>
          <w:sz w:val="14"/>
        </w:rPr>
        <w:t> </w:t>
      </w:r>
      <w:r>
        <w:rPr>
          <w:sz w:val="20"/>
        </w:rPr>
        <w:t>e.g. </w:t>
      </w:r>
      <w:r>
        <w:rPr>
          <w:rFonts w:ascii="Arial" w:hAnsi="Arial"/>
          <w:i/>
          <w:sz w:val="20"/>
        </w:rPr>
        <w:t>Gloyne v Richardson [2001] EWCA Civ 716; [2002] 2 B.C.L.C. 669 </w:t>
      </w:r>
      <w:r>
        <w:rPr>
          <w:sz w:val="20"/>
        </w:rPr>
        <w:t>at [39]; cf. </w:t>
      </w:r>
      <w:r>
        <w:rPr>
          <w:rFonts w:ascii="Arial" w:hAnsi="Arial"/>
          <w:i/>
          <w:sz w:val="20"/>
        </w:rPr>
        <w:t>Grains &amp; Fourrages SA v Huyton [1997] 1 Lloyd’s Rep. 628</w:t>
      </w:r>
      <w:r>
        <w:rPr>
          <w:sz w:val="20"/>
        </w:rPr>
        <w:t>, where there was no compromise since both parties wished from the start to achieve the same result but were mistaken only as to the </w:t>
      </w:r>
      <w:r>
        <w:rPr>
          <w:sz w:val="20"/>
        </w:rPr>
        <w:t>effect of the steps they had taken to achieve it.</w:t>
      </w:r>
    </w:p>
    <w:p>
      <w:pPr>
        <w:pStyle w:val="BodyText"/>
        <w:spacing w:before="8"/>
      </w:pPr>
    </w:p>
    <w:p>
      <w:pPr>
        <w:pStyle w:val="BodyText"/>
        <w:tabs>
          <w:tab w:pos="705" w:val="left" w:leader="none"/>
        </w:tabs>
        <w:spacing w:line="235" w:lineRule="auto"/>
        <w:ind w:left="705" w:right="167" w:hanging="541"/>
      </w:pPr>
      <w:bookmarkStart w:name="_bookmark580" w:id="582"/>
      <w:bookmarkEnd w:id="582"/>
      <w:r>
        <w:rPr/>
      </w:r>
      <w:hyperlink w:history="true" w:anchor="_bookmark563">
        <w:r>
          <w:rPr>
            <w:color w:val="005DA1"/>
            <w:spacing w:val="-4"/>
            <w:position w:val="5"/>
            <w:sz w:val="14"/>
            <w:u w:val="single" w:color="005DA1"/>
          </w:rPr>
          <w:t>307</w:t>
        </w:r>
      </w:hyperlink>
      <w:r>
        <w:rPr>
          <w:spacing w:val="-4"/>
          <w:position w:val="5"/>
          <w:sz w:val="14"/>
        </w:rPr>
        <w:t>.</w:t>
      </w:r>
      <w:r>
        <w:rPr>
          <w:position w:val="5"/>
          <w:sz w:val="14"/>
        </w:rPr>
        <w:tab/>
      </w:r>
      <w:r>
        <w:rPr/>
        <w:t>Matrimonial</w:t>
      </w:r>
      <w:r>
        <w:rPr>
          <w:spacing w:val="-3"/>
        </w:rPr>
        <w:t> </w:t>
      </w:r>
      <w:r>
        <w:rPr/>
        <w:t>Causes</w:t>
      </w:r>
      <w:r>
        <w:rPr>
          <w:spacing w:val="-3"/>
        </w:rPr>
        <w:t> </w:t>
      </w:r>
      <w:r>
        <w:rPr/>
        <w:t>Act</w:t>
      </w:r>
      <w:r>
        <w:rPr>
          <w:spacing w:val="-3"/>
        </w:rPr>
        <w:t> </w:t>
      </w:r>
      <w:r>
        <w:rPr/>
        <w:t>1973,</w:t>
      </w:r>
      <w:r>
        <w:rPr>
          <w:spacing w:val="-3"/>
        </w:rPr>
        <w:t> </w:t>
      </w:r>
      <w:r>
        <w:rPr/>
        <w:t>s.34,</w:t>
      </w:r>
      <w:r>
        <w:rPr>
          <w:spacing w:val="-3"/>
        </w:rPr>
        <w:t> </w:t>
      </w:r>
      <w:r>
        <w:rPr/>
        <w:t>re-enacting</w:t>
      </w:r>
      <w:r>
        <w:rPr>
          <w:spacing w:val="-3"/>
        </w:rPr>
        <w:t> </w:t>
      </w:r>
      <w:r>
        <w:rPr/>
        <w:t>Maintenance</w:t>
      </w:r>
      <w:r>
        <w:rPr>
          <w:spacing w:val="-3"/>
        </w:rPr>
        <w:t> </w:t>
      </w:r>
      <w:r>
        <w:rPr/>
        <w:t>Agreements</w:t>
      </w:r>
      <w:r>
        <w:rPr>
          <w:spacing w:val="-3"/>
        </w:rPr>
        <w:t> </w:t>
      </w:r>
      <w:r>
        <w:rPr/>
        <w:t>Act</w:t>
      </w:r>
      <w:r>
        <w:rPr>
          <w:spacing w:val="-3"/>
        </w:rPr>
        <w:t> </w:t>
      </w:r>
      <w:r>
        <w:rPr/>
        <w:t>1957,</w:t>
      </w:r>
      <w:r>
        <w:rPr>
          <w:spacing w:val="-3"/>
        </w:rPr>
        <w:t> </w:t>
      </w:r>
      <w:r>
        <w:rPr/>
        <w:t>s.1,</w:t>
      </w:r>
      <w:r>
        <w:rPr>
          <w:spacing w:val="-3"/>
        </w:rPr>
        <w:t> </w:t>
      </w:r>
      <w:r>
        <w:rPr/>
        <w:t>below, </w:t>
      </w:r>
      <w:r>
        <w:rPr>
          <w:spacing w:val="-2"/>
        </w:rPr>
        <w:t>para.16-053.</w:t>
      </w:r>
    </w:p>
    <w:p>
      <w:pPr>
        <w:pStyle w:val="BodyText"/>
        <w:spacing w:before="6"/>
      </w:pPr>
    </w:p>
    <w:p>
      <w:pPr>
        <w:tabs>
          <w:tab w:pos="705" w:val="left" w:leader="none"/>
        </w:tabs>
        <w:spacing w:before="0"/>
        <w:ind w:left="165" w:right="0" w:firstLine="0"/>
        <w:jc w:val="left"/>
        <w:rPr>
          <w:sz w:val="20"/>
        </w:rPr>
      </w:pPr>
      <w:bookmarkStart w:name="_bookmark581" w:id="583"/>
      <w:bookmarkEnd w:id="583"/>
      <w:r>
        <w:rPr/>
      </w:r>
      <w:hyperlink w:history="true" w:anchor="_bookmark564">
        <w:r>
          <w:rPr>
            <w:color w:val="005DA1"/>
            <w:spacing w:val="-4"/>
            <w:position w:val="5"/>
            <w:sz w:val="14"/>
            <w:u w:val="single" w:color="005DA1"/>
          </w:rPr>
          <w:t>308</w:t>
        </w:r>
      </w:hyperlink>
      <w:r>
        <w:rPr>
          <w:spacing w:val="-4"/>
          <w:position w:val="5"/>
          <w:sz w:val="14"/>
        </w:rPr>
        <w:t>.</w:t>
      </w:r>
      <w:r>
        <w:rPr>
          <w:position w:val="5"/>
          <w:sz w:val="14"/>
        </w:rPr>
        <w:tab/>
      </w:r>
      <w:r>
        <w:rPr>
          <w:sz w:val="20"/>
        </w:rPr>
        <w:t>Below, para.4-</w:t>
      </w:r>
      <w:r>
        <w:rPr>
          <w:spacing w:val="-4"/>
          <w:sz w:val="20"/>
        </w:rPr>
        <w:t>189.</w:t>
      </w:r>
    </w:p>
    <w:p>
      <w:pPr>
        <w:pStyle w:val="BodyText"/>
        <w:spacing w:before="5"/>
      </w:pPr>
    </w:p>
    <w:p>
      <w:pPr>
        <w:tabs>
          <w:tab w:pos="705" w:val="left" w:leader="none"/>
        </w:tabs>
        <w:spacing w:before="0"/>
        <w:ind w:left="165" w:right="0" w:firstLine="0"/>
        <w:jc w:val="left"/>
        <w:rPr>
          <w:sz w:val="20"/>
        </w:rPr>
      </w:pPr>
      <w:bookmarkStart w:name="_bookmark582" w:id="584"/>
      <w:bookmarkEnd w:id="584"/>
      <w:r>
        <w:rPr/>
      </w:r>
      <w:hyperlink w:history="true" w:anchor="_bookmark565">
        <w:r>
          <w:rPr>
            <w:color w:val="005DA1"/>
            <w:spacing w:val="-4"/>
            <w:position w:val="5"/>
            <w:sz w:val="14"/>
            <w:u w:val="single" w:color="005DA1"/>
          </w:rPr>
          <w:t>309</w:t>
        </w:r>
      </w:hyperlink>
      <w:r>
        <w:rPr>
          <w:spacing w:val="-4"/>
          <w:position w:val="5"/>
          <w:sz w:val="14"/>
        </w:rPr>
        <w:t>.</w:t>
      </w:r>
      <w:r>
        <w:rPr>
          <w:position w:val="5"/>
          <w:sz w:val="14"/>
        </w:rPr>
        <w:tab/>
      </w:r>
      <w:r>
        <w:rPr>
          <w:sz w:val="20"/>
        </w:rPr>
        <w:t>Below, para.4-</w:t>
      </w:r>
      <w:r>
        <w:rPr>
          <w:spacing w:val="-4"/>
          <w:sz w:val="20"/>
        </w:rPr>
        <w:t>188.</w:t>
      </w:r>
    </w:p>
    <w:p>
      <w:pPr>
        <w:pStyle w:val="BodyText"/>
        <w:spacing w:before="5"/>
      </w:pPr>
    </w:p>
    <w:p>
      <w:pPr>
        <w:tabs>
          <w:tab w:pos="705" w:val="left" w:leader="none"/>
        </w:tabs>
        <w:spacing w:before="0"/>
        <w:ind w:left="165" w:right="0" w:firstLine="0"/>
        <w:jc w:val="left"/>
        <w:rPr>
          <w:sz w:val="20"/>
        </w:rPr>
      </w:pPr>
      <w:bookmarkStart w:name="_bookmark583" w:id="585"/>
      <w:bookmarkEnd w:id="585"/>
      <w:r>
        <w:rPr/>
      </w:r>
      <w:hyperlink w:history="true" w:anchor="_bookmark566">
        <w:r>
          <w:rPr>
            <w:color w:val="005DA1"/>
            <w:spacing w:val="-4"/>
            <w:position w:val="5"/>
            <w:sz w:val="14"/>
            <w:u w:val="single" w:color="005DA1"/>
          </w:rPr>
          <w:t>310</w:t>
        </w:r>
      </w:hyperlink>
      <w:r>
        <w:rPr>
          <w:spacing w:val="-4"/>
          <w:position w:val="5"/>
          <w:sz w:val="14"/>
        </w:rPr>
        <w:t>.</w:t>
      </w:r>
      <w:r>
        <w:rPr>
          <w:position w:val="5"/>
          <w:sz w:val="14"/>
        </w:rPr>
        <w:tab/>
      </w:r>
      <w:r>
        <w:rPr>
          <w:rFonts w:ascii="Arial"/>
          <w:i/>
          <w:sz w:val="20"/>
        </w:rPr>
        <w:t>Woolwich Equitable B.S. v IRC [1993] A.C. 70, </w:t>
      </w:r>
      <w:r>
        <w:rPr>
          <w:rFonts w:ascii="Arial"/>
          <w:i/>
          <w:spacing w:val="-4"/>
          <w:sz w:val="20"/>
        </w:rPr>
        <w:t>165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84" w:id="586"/>
      <w:bookmarkEnd w:id="586"/>
      <w:r>
        <w:rPr/>
      </w:r>
      <w:hyperlink w:history="true" w:anchor="_bookmark567">
        <w:r>
          <w:rPr>
            <w:color w:val="005DA1"/>
            <w:spacing w:val="-4"/>
            <w:position w:val="5"/>
            <w:sz w:val="14"/>
            <w:u w:val="single" w:color="005DA1"/>
          </w:rPr>
          <w:t>311</w:t>
        </w:r>
      </w:hyperlink>
      <w:r>
        <w:rPr>
          <w:spacing w:val="-4"/>
          <w:position w:val="5"/>
          <w:sz w:val="14"/>
        </w:rPr>
        <w:t>.</w:t>
      </w:r>
      <w:r>
        <w:rPr>
          <w:position w:val="5"/>
          <w:sz w:val="14"/>
        </w:rPr>
        <w:tab/>
      </w:r>
      <w:r>
        <w:rPr>
          <w:sz w:val="20"/>
        </w:rPr>
        <w:t>ibid. citing</w:t>
      </w:r>
      <w:r>
        <w:rPr>
          <w:spacing w:val="-1"/>
          <w:sz w:val="20"/>
        </w:rPr>
        <w:t> </w:t>
      </w:r>
      <w:r>
        <w:rPr>
          <w:rFonts w:ascii="Arial"/>
          <w:i/>
          <w:sz w:val="20"/>
        </w:rPr>
        <w:t>Maskell v Horner [1915] 3 K.B. 106, </w:t>
      </w:r>
      <w:r>
        <w:rPr>
          <w:rFonts w:ascii="Arial"/>
          <w:i/>
          <w:spacing w:val="-4"/>
          <w:sz w:val="20"/>
        </w:rPr>
        <w:t>120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85" w:id="587"/>
      <w:bookmarkEnd w:id="587"/>
      <w:r>
        <w:rPr/>
      </w:r>
      <w:hyperlink w:history="true" w:anchor="_bookmark568">
        <w:r>
          <w:rPr>
            <w:color w:val="005DA1"/>
            <w:spacing w:val="-4"/>
            <w:position w:val="5"/>
            <w:sz w:val="14"/>
            <w:u w:val="single" w:color="005DA1"/>
          </w:rPr>
          <w:t>312</w:t>
        </w:r>
      </w:hyperlink>
      <w:r>
        <w:rPr>
          <w:spacing w:val="-4"/>
          <w:position w:val="5"/>
          <w:sz w:val="14"/>
        </w:rPr>
        <w:t>.</w:t>
      </w:r>
      <w:r>
        <w:rPr>
          <w:position w:val="5"/>
          <w:sz w:val="14"/>
        </w:rPr>
        <w:tab/>
      </w:r>
      <w:r>
        <w:rPr>
          <w:sz w:val="20"/>
        </w:rPr>
        <w:t>Below, </w:t>
      </w:r>
      <w:r>
        <w:rPr>
          <w:spacing w:val="-2"/>
          <w:sz w:val="20"/>
        </w:rPr>
        <w:t>Ch.8.</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727" w:right="2730"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78560">
                <wp:simplePos x="0" y="0"/>
                <wp:positionH relativeFrom="page">
                  <wp:posOffset>4707940</wp:posOffset>
                </wp:positionH>
                <wp:positionV relativeFrom="paragraph">
                  <wp:posOffset>377436</wp:posOffset>
                </wp:positionV>
                <wp:extent cx="4254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7920" from="370.70401pt,29.719406pt" to="374.04001pt,29.719406pt" stroked="true" strokeweight=".428pt" strokecolor="#005da1">
                <v:stroke dashstyle="solid"/>
                <w10:wrap type="none"/>
              </v:line>
            </w:pict>
          </mc:Fallback>
        </mc:AlternateContent>
      </w: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4 - Consideration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7. - Compromise and Forbearance to </w:t>
      </w:r>
      <w:r>
        <w:rPr>
          <w:rFonts w:ascii="Arial"/>
          <w:b/>
          <w:spacing w:val="-5"/>
          <w:sz w:val="24"/>
        </w:rPr>
        <w:t>Sue</w:t>
      </w:r>
    </w:p>
    <w:p>
      <w:pPr>
        <w:pStyle w:val="ListParagraph"/>
        <w:numPr>
          <w:ilvl w:val="0"/>
          <w:numId w:val="2"/>
        </w:numPr>
        <w:tabs>
          <w:tab w:pos="3658" w:val="left" w:leader="none"/>
        </w:tabs>
        <w:spacing w:line="240" w:lineRule="auto" w:before="194" w:after="0"/>
        <w:ind w:left="3658" w:right="0" w:hanging="360"/>
        <w:jc w:val="left"/>
        <w:rPr>
          <w:rFonts w:ascii="Arial"/>
          <w:b/>
          <w:sz w:val="24"/>
        </w:rPr>
      </w:pPr>
      <w:r>
        <w:rPr>
          <w:rFonts w:ascii="Arial"/>
          <w:b/>
          <w:sz w:val="24"/>
        </w:rPr>
        <w:t>- Actual </w:t>
      </w:r>
      <w:r>
        <w:rPr>
          <w:rFonts w:ascii="Arial"/>
          <w:b/>
          <w:spacing w:val="-2"/>
          <w:sz w:val="24"/>
        </w:rPr>
        <w:t>Forbearance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Actual forbearance may be </w:t>
      </w:r>
      <w:r>
        <w:rPr>
          <w:rFonts w:ascii="Arial"/>
          <w:b/>
          <w:spacing w:val="-2"/>
          <w:sz w:val="18"/>
        </w:rPr>
        <w:t>consideration</w:t>
      </w:r>
    </w:p>
    <w:p>
      <w:pPr>
        <w:pStyle w:val="BodyText"/>
        <w:spacing w:before="41"/>
        <w:rPr>
          <w:rFonts w:ascii="Arial"/>
          <w:b/>
          <w:sz w:val="18"/>
        </w:rPr>
      </w:pPr>
    </w:p>
    <w:p>
      <w:pPr>
        <w:pStyle w:val="Heading2"/>
      </w:pPr>
      <w:r>
        <w:rPr/>
        <w:t>4-</w:t>
      </w:r>
      <w:r>
        <w:rPr>
          <w:spacing w:val="-5"/>
        </w:rPr>
        <w:t>058</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586" w:id="588"/>
      <w:bookmarkEnd w:id="588"/>
      <w:r>
        <w:rPr>
          <w:rFonts w:ascii="Times New Roman" w:hAnsi="Times New Roman"/>
          <w:spacing w:val="6"/>
        </w:rPr>
      </w:r>
      <w:r>
        <w:rPr/>
        <w:t>A</w:t>
      </w:r>
      <w:r>
        <w:rPr>
          <w:spacing w:val="-2"/>
        </w:rPr>
        <w:t> </w:t>
      </w:r>
      <w:r>
        <w:rPr/>
        <w:t>creditor</w:t>
      </w:r>
      <w:r>
        <w:rPr>
          <w:spacing w:val="-2"/>
        </w:rPr>
        <w:t> </w:t>
      </w:r>
      <w:r>
        <w:rPr/>
        <w:t>who,</w:t>
      </w:r>
      <w:r>
        <w:rPr>
          <w:spacing w:val="-2"/>
        </w:rPr>
        <w:t> </w:t>
      </w:r>
      <w:r>
        <w:rPr/>
        <w:t>without</w:t>
      </w:r>
      <w:r>
        <w:rPr>
          <w:spacing w:val="-2"/>
        </w:rPr>
        <w:t> </w:t>
      </w:r>
      <w:r>
        <w:rPr/>
        <w:t>making</w:t>
      </w:r>
      <w:r>
        <w:rPr>
          <w:spacing w:val="-2"/>
        </w:rPr>
        <w:t> </w:t>
      </w:r>
      <w:r>
        <w:rPr/>
        <w:t>any</w:t>
      </w:r>
      <w:r>
        <w:rPr>
          <w:spacing w:val="-2"/>
        </w:rPr>
        <w:t> </w:t>
      </w:r>
      <w:r>
        <w:rPr/>
        <w:t>express</w:t>
      </w:r>
      <w:r>
        <w:rPr>
          <w:spacing w:val="-2"/>
        </w:rPr>
        <w:t> </w:t>
      </w:r>
      <w:r>
        <w:rPr/>
        <w:t>promise,</w:t>
      </w:r>
      <w:r>
        <w:rPr>
          <w:spacing w:val="-2"/>
        </w:rPr>
        <w:t> </w:t>
      </w:r>
      <w:r>
        <w:rPr/>
        <w:t>simply</w:t>
      </w:r>
      <w:r>
        <w:rPr>
          <w:spacing w:val="-2"/>
        </w:rPr>
        <w:t> </w:t>
      </w:r>
      <w:r>
        <w:rPr/>
        <w:t>forbears</w:t>
      </w:r>
      <w:r>
        <w:rPr>
          <w:spacing w:val="-2"/>
        </w:rPr>
        <w:t> </w:t>
      </w:r>
      <w:r>
        <w:rPr/>
        <w:t>from</w:t>
      </w:r>
      <w:r>
        <w:rPr>
          <w:spacing w:val="-2"/>
        </w:rPr>
        <w:t> </w:t>
      </w:r>
      <w:r>
        <w:rPr/>
        <w:t>enforcing</w:t>
      </w:r>
      <w:r>
        <w:rPr>
          <w:spacing w:val="-2"/>
        </w:rPr>
        <w:t> </w:t>
      </w:r>
      <w:r>
        <w:rPr/>
        <w:t>a</w:t>
      </w:r>
      <w:r>
        <w:rPr>
          <w:spacing w:val="-2"/>
        </w:rPr>
        <w:t> </w:t>
      </w:r>
      <w:r>
        <w:rPr/>
        <w:t>debt</w:t>
      </w:r>
      <w:r>
        <w:rPr>
          <w:spacing w:val="-2"/>
        </w:rPr>
        <w:t> </w:t>
      </w:r>
      <w:r>
        <w:rPr/>
        <w:t>or</w:t>
      </w:r>
      <w:r>
        <w:rPr>
          <w:spacing w:val="-2"/>
        </w:rPr>
        <w:t> </w:t>
      </w:r>
      <w:r>
        <w:rPr/>
        <w:t>other claim</w:t>
      </w:r>
      <w:r>
        <w:rPr>
          <w:spacing w:val="-2"/>
        </w:rPr>
        <w:t> </w:t>
      </w:r>
      <w:r>
        <w:rPr/>
        <w:t>may</w:t>
      </w:r>
      <w:r>
        <w:rPr>
          <w:spacing w:val="-2"/>
        </w:rPr>
        <w:t> </w:t>
      </w:r>
      <w:r>
        <w:rPr/>
        <w:t>be</w:t>
      </w:r>
      <w:r>
        <w:rPr>
          <w:spacing w:val="-2"/>
        </w:rPr>
        <w:t> </w:t>
      </w:r>
      <w:r>
        <w:rPr/>
        <w:t>held</w:t>
      </w:r>
      <w:r>
        <w:rPr>
          <w:spacing w:val="-2"/>
        </w:rPr>
        <w:t> </w:t>
      </w:r>
      <w:r>
        <w:rPr/>
        <w:t>to</w:t>
      </w:r>
      <w:r>
        <w:rPr>
          <w:spacing w:val="-2"/>
        </w:rPr>
        <w:t> </w:t>
      </w:r>
      <w:r>
        <w:rPr/>
        <w:t>have</w:t>
      </w:r>
      <w:r>
        <w:rPr>
          <w:spacing w:val="-2"/>
        </w:rPr>
        <w:t> </w:t>
      </w:r>
      <w:r>
        <w:rPr/>
        <w:t>impliedly</w:t>
      </w:r>
      <w:r>
        <w:rPr>
          <w:spacing w:val="-2"/>
        </w:rPr>
        <w:t> </w:t>
      </w:r>
      <w:r>
        <w:rPr/>
        <w:t>promised</w:t>
      </w:r>
      <w:r>
        <w:rPr>
          <w:spacing w:val="-2"/>
        </w:rPr>
        <w:t> </w:t>
      </w:r>
      <w:r>
        <w:rPr/>
        <w:t>to</w:t>
      </w:r>
      <w:r>
        <w:rPr>
          <w:spacing w:val="-2"/>
        </w:rPr>
        <w:t> </w:t>
      </w:r>
      <w:r>
        <w:rPr/>
        <w:t>forbear.</w:t>
      </w:r>
      <w:r>
        <w:rPr>
          <w:spacing w:val="-3"/>
        </w:rPr>
        <w:t> </w:t>
      </w:r>
      <w:r>
        <w:rPr>
          <w:color w:val="005DA1"/>
          <w:u w:val="single" w:color="005DA1"/>
          <w:vertAlign w:val="superscript"/>
        </w:rPr>
        <w:t>313</w:t>
      </w:r>
      <w:r>
        <w:rPr>
          <w:color w:val="005DA1"/>
          <w:spacing w:val="-2"/>
          <w:vertAlign w:val="baseline"/>
        </w:rPr>
        <w:t> </w:t>
      </w:r>
      <w:r>
        <w:rPr>
          <w:vertAlign w:val="baseline"/>
        </w:rPr>
        <w:t>For</w:t>
      </w:r>
      <w:r>
        <w:rPr>
          <w:spacing w:val="-2"/>
          <w:vertAlign w:val="baseline"/>
        </w:rPr>
        <w:t> </w:t>
      </w:r>
      <w:r>
        <w:rPr>
          <w:vertAlign w:val="baseline"/>
        </w:rPr>
        <w:t>example,</w:t>
      </w:r>
      <w:r>
        <w:rPr>
          <w:spacing w:val="-2"/>
          <w:vertAlign w:val="baseline"/>
        </w:rPr>
        <w:t> </w:t>
      </w:r>
      <w:r>
        <w:rPr>
          <w:vertAlign w:val="baseline"/>
        </w:rPr>
        <w:t>the</w:t>
      </w:r>
      <w:r>
        <w:rPr>
          <w:spacing w:val="-2"/>
          <w:vertAlign w:val="baseline"/>
        </w:rPr>
        <w:t> </w:t>
      </w:r>
      <w:r>
        <w:rPr>
          <w:vertAlign w:val="baseline"/>
        </w:rPr>
        <w:t>acceptance</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cheque </w:t>
      </w:r>
      <w:bookmarkStart w:name="_bookmark587" w:id="589"/>
      <w:bookmarkEnd w:id="589"/>
      <w:r>
        <w:rPr>
          <w:vertAlign w:val="baseline"/>
        </w:rPr>
        <w:t>in</w:t>
      </w:r>
      <w:r>
        <w:rPr>
          <w:vertAlign w:val="baseline"/>
        </w:rPr>
        <w:t> payment of a debt may be evidence of a promise not to sue the debtor so long as the cheque is not </w:t>
      </w:r>
      <w:bookmarkStart w:name="_bookmark588" w:id="590"/>
      <w:bookmarkEnd w:id="590"/>
      <w:r>
        <w:rPr>
          <w:vertAlign w:val="baseline"/>
        </w:rPr>
        <w:t>dishonoured,</w:t>
      </w:r>
      <w:r>
        <w:rPr>
          <w:vertAlign w:val="baseline"/>
        </w:rPr>
        <w:t> or at least for a reasonable time. </w:t>
      </w:r>
      <w:r>
        <w:rPr>
          <w:color w:val="005DA1"/>
          <w:u w:val="single" w:color="005DA1"/>
          <w:vertAlign w:val="superscript"/>
        </w:rPr>
        <w:t>314</w:t>
      </w:r>
      <w:r>
        <w:rPr>
          <w:color w:val="005DA1"/>
          <w:vertAlign w:val="baseline"/>
        </w:rPr>
        <w:t> </w:t>
      </w:r>
      <w:r>
        <w:rPr>
          <w:vertAlign w:val="baseline"/>
        </w:rPr>
        <w:t>Where the claim is of such a kind that a promise to forbear (or the performance of it) would constitute consideration for a counter-promise, </w:t>
      </w:r>
      <w:r>
        <w:rPr>
          <w:color w:val="005DA1"/>
          <w:u w:val="single" w:color="005DA1"/>
          <w:vertAlign w:val="superscript"/>
        </w:rPr>
        <w:t>315</w:t>
      </w:r>
      <w:r>
        <w:rPr>
          <w:color w:val="005DA1"/>
          <w:vertAlign w:val="baseline"/>
        </w:rPr>
        <w:t> </w:t>
      </w:r>
      <w:r>
        <w:rPr>
          <w:vertAlign w:val="baseline"/>
        </w:rPr>
        <w:t>an actual </w:t>
      </w:r>
      <w:bookmarkStart w:name="_bookmark589" w:id="591"/>
      <w:bookmarkEnd w:id="591"/>
      <w:r>
        <w:rPr>
          <w:vertAlign w:val="baseline"/>
        </w:rPr>
        <w:t>forbearance</w:t>
      </w:r>
      <w:r>
        <w:rPr>
          <w:vertAlign w:val="baseline"/>
        </w:rPr>
        <w:t> may also constitute consideration even though the creditor has not made any express or implied</w:t>
      </w:r>
      <w:r>
        <w:rPr>
          <w:spacing w:val="-3"/>
          <w:vertAlign w:val="baseline"/>
        </w:rPr>
        <w:t> </w:t>
      </w:r>
      <w:r>
        <w:rPr>
          <w:vertAlign w:val="baseline"/>
        </w:rPr>
        <w:t>promise</w:t>
      </w:r>
      <w:r>
        <w:rPr>
          <w:spacing w:val="-3"/>
          <w:vertAlign w:val="baseline"/>
        </w:rPr>
        <w:t> </w:t>
      </w:r>
      <w:r>
        <w:rPr>
          <w:vertAlign w:val="baseline"/>
        </w:rPr>
        <w:t>to</w:t>
      </w:r>
      <w:r>
        <w:rPr>
          <w:spacing w:val="-3"/>
          <w:vertAlign w:val="baseline"/>
        </w:rPr>
        <w:t> </w:t>
      </w:r>
      <w:r>
        <w:rPr>
          <w:vertAlign w:val="baseline"/>
        </w:rPr>
        <w:t>forbear.</w:t>
      </w:r>
      <w:r>
        <w:rPr>
          <w:spacing w:val="-3"/>
          <w:vertAlign w:val="baseline"/>
        </w:rPr>
        <w:t> </w:t>
      </w:r>
      <w:r>
        <w:rPr>
          <w:vertAlign w:val="baseline"/>
        </w:rPr>
        <w:t>In</w:t>
      </w:r>
      <w:r>
        <w:rPr>
          <w:spacing w:val="-3"/>
          <w:vertAlign w:val="baseline"/>
        </w:rPr>
        <w:t> </w:t>
      </w:r>
      <w:r>
        <w:rPr>
          <w:rFonts w:ascii="Arial" w:hAnsi="Arial"/>
          <w:i/>
          <w:vertAlign w:val="baseline"/>
        </w:rPr>
        <w:t>Alliance</w:t>
      </w:r>
      <w:r>
        <w:rPr>
          <w:rFonts w:ascii="Arial" w:hAnsi="Arial"/>
          <w:i/>
          <w:spacing w:val="-3"/>
          <w:vertAlign w:val="baseline"/>
        </w:rPr>
        <w:t> </w:t>
      </w:r>
      <w:r>
        <w:rPr>
          <w:rFonts w:ascii="Arial" w:hAnsi="Arial"/>
          <w:i/>
          <w:vertAlign w:val="baseline"/>
        </w:rPr>
        <w:t>Bank</w:t>
      </w:r>
      <w:r>
        <w:rPr>
          <w:rFonts w:ascii="Arial" w:hAnsi="Arial"/>
          <w:i/>
          <w:spacing w:val="-3"/>
          <w:vertAlign w:val="baseline"/>
        </w:rPr>
        <w:t> </w:t>
      </w:r>
      <w:r>
        <w:rPr>
          <w:rFonts w:ascii="Arial" w:hAnsi="Arial"/>
          <w:i/>
          <w:vertAlign w:val="baseline"/>
        </w:rPr>
        <w:t>v</w:t>
      </w:r>
      <w:r>
        <w:rPr>
          <w:rFonts w:ascii="Arial" w:hAnsi="Arial"/>
          <w:i/>
          <w:spacing w:val="-3"/>
          <w:vertAlign w:val="baseline"/>
        </w:rPr>
        <w:t> </w:t>
      </w:r>
      <w:r>
        <w:rPr>
          <w:rFonts w:ascii="Arial" w:hAnsi="Arial"/>
          <w:i/>
          <w:vertAlign w:val="baseline"/>
        </w:rPr>
        <w:t>Broom</w:t>
      </w:r>
      <w:r>
        <w:rPr>
          <w:rFonts w:ascii="Arial" w:hAnsi="Arial"/>
          <w:i/>
          <w:spacing w:val="-3"/>
          <w:vertAlign w:val="baseline"/>
        </w:rPr>
        <w:t> </w:t>
      </w:r>
      <w:r>
        <w:rPr>
          <w:color w:val="005DA1"/>
          <w:u w:val="single" w:color="005DA1"/>
          <w:vertAlign w:val="superscript"/>
        </w:rPr>
        <w:t>316</w:t>
      </w:r>
      <w:r>
        <w:rPr>
          <w:color w:val="005DA1"/>
          <w:spacing w:val="-3"/>
          <w:vertAlign w:val="baseline"/>
        </w:rPr>
        <w:t> </w:t>
      </w:r>
      <w:r>
        <w:rPr>
          <w:vertAlign w:val="baseline"/>
        </w:rPr>
        <w:t>the</w:t>
      </w:r>
      <w:r>
        <w:rPr>
          <w:spacing w:val="-3"/>
          <w:vertAlign w:val="baseline"/>
        </w:rPr>
        <w:t> </w:t>
      </w:r>
      <w:r>
        <w:rPr>
          <w:vertAlign w:val="baseline"/>
        </w:rPr>
        <w:t>defendant</w:t>
      </w:r>
      <w:r>
        <w:rPr>
          <w:spacing w:val="-3"/>
          <w:vertAlign w:val="baseline"/>
        </w:rPr>
        <w:t> </w:t>
      </w:r>
      <w:r>
        <w:rPr>
          <w:vertAlign w:val="baseline"/>
        </w:rPr>
        <w:t>owed</w:t>
      </w:r>
      <w:r>
        <w:rPr>
          <w:spacing w:val="-3"/>
          <w:vertAlign w:val="baseline"/>
        </w:rPr>
        <w:t> </w:t>
      </w:r>
      <w:r>
        <w:rPr>
          <w:vertAlign w:val="baseline"/>
        </w:rPr>
        <w:t>£22,000</w:t>
      </w:r>
      <w:r>
        <w:rPr>
          <w:spacing w:val="-3"/>
          <w:vertAlign w:val="baseline"/>
        </w:rPr>
        <w:t> </w:t>
      </w:r>
      <w:r>
        <w:rPr>
          <w:vertAlign w:val="baseline"/>
        </w:rPr>
        <w:t>to</w:t>
      </w:r>
      <w:r>
        <w:rPr>
          <w:spacing w:val="-3"/>
          <w:vertAlign w:val="baseline"/>
        </w:rPr>
        <w:t> </w:t>
      </w:r>
      <w:r>
        <w:rPr>
          <w:vertAlign w:val="baseline"/>
        </w:rPr>
        <w:t>his</w:t>
      </w:r>
      <w:r>
        <w:rPr>
          <w:spacing w:val="-3"/>
          <w:vertAlign w:val="baseline"/>
        </w:rPr>
        <w:t> </w:t>
      </w:r>
      <w:r>
        <w:rPr>
          <w:vertAlign w:val="baseline"/>
        </w:rPr>
        <w:t>bank,</w:t>
      </w:r>
      <w:r>
        <w:rPr>
          <w:spacing w:val="-3"/>
          <w:vertAlign w:val="baseline"/>
        </w:rPr>
        <w:t> </w:t>
      </w:r>
      <w:r>
        <w:rPr>
          <w:vertAlign w:val="baseline"/>
        </w:rPr>
        <w:t>who pressed him to give security. He promised to do so but the bank made no counter-promise not to sue </w:t>
      </w:r>
      <w:bookmarkStart w:name="_bookmark590" w:id="592"/>
      <w:bookmarkEnd w:id="592"/>
      <w:r>
        <w:rPr>
          <w:vertAlign w:val="baseline"/>
        </w:rPr>
        <w:t>him.</w:t>
      </w:r>
      <w:r>
        <w:rPr>
          <w:spacing w:val="7"/>
          <w:vertAlign w:val="baseline"/>
        </w:rPr>
        <w:t> </w:t>
      </w:r>
      <w:r>
        <w:rPr>
          <w:vertAlign w:val="baseline"/>
        </w:rPr>
        <w:t>It</w:t>
      </w:r>
      <w:r>
        <w:rPr>
          <w:spacing w:val="7"/>
          <w:vertAlign w:val="baseline"/>
        </w:rPr>
        <w:t> </w:t>
      </w:r>
      <w:r>
        <w:rPr>
          <w:vertAlign w:val="baseline"/>
        </w:rPr>
        <w:t>was</w:t>
      </w:r>
      <w:r>
        <w:rPr>
          <w:spacing w:val="7"/>
          <w:vertAlign w:val="baseline"/>
        </w:rPr>
        <w:t> </w:t>
      </w:r>
      <w:r>
        <w:rPr>
          <w:vertAlign w:val="baseline"/>
        </w:rPr>
        <w:t>held</w:t>
      </w:r>
      <w:r>
        <w:rPr>
          <w:spacing w:val="7"/>
          <w:vertAlign w:val="baseline"/>
        </w:rPr>
        <w:t> </w:t>
      </w:r>
      <w:r>
        <w:rPr>
          <w:vertAlign w:val="baseline"/>
        </w:rPr>
        <w:t>that</w:t>
      </w:r>
      <w:r>
        <w:rPr>
          <w:spacing w:val="7"/>
          <w:vertAlign w:val="baseline"/>
        </w:rPr>
        <w:t> </w:t>
      </w:r>
      <w:r>
        <w:rPr>
          <w:vertAlign w:val="baseline"/>
        </w:rPr>
        <w:t>there</w:t>
      </w:r>
      <w:r>
        <w:rPr>
          <w:spacing w:val="7"/>
          <w:vertAlign w:val="baseline"/>
        </w:rPr>
        <w:t> </w:t>
      </w:r>
      <w:r>
        <w:rPr>
          <w:vertAlign w:val="baseline"/>
        </w:rPr>
        <w:t>was</w:t>
      </w:r>
      <w:r>
        <w:rPr>
          <w:spacing w:val="7"/>
          <w:vertAlign w:val="baseline"/>
        </w:rPr>
        <w:t> </w:t>
      </w:r>
      <w:r>
        <w:rPr>
          <w:vertAlign w:val="baseline"/>
        </w:rPr>
        <w:t>consideration</w:t>
      </w:r>
      <w:r>
        <w:rPr>
          <w:spacing w:val="7"/>
          <w:vertAlign w:val="baseline"/>
        </w:rPr>
        <w:t> </w:t>
      </w:r>
      <w:r>
        <w:rPr>
          <w:vertAlign w:val="baseline"/>
        </w:rPr>
        <w:t>for</w:t>
      </w:r>
      <w:r>
        <w:rPr>
          <w:spacing w:val="7"/>
          <w:vertAlign w:val="baseline"/>
        </w:rPr>
        <w:t> </w:t>
      </w:r>
      <w:r>
        <w:rPr>
          <w:vertAlign w:val="baseline"/>
        </w:rPr>
        <w:t>the</w:t>
      </w:r>
      <w:r>
        <w:rPr>
          <w:spacing w:val="7"/>
          <w:vertAlign w:val="baseline"/>
        </w:rPr>
        <w:t> </w:t>
      </w:r>
      <w:r>
        <w:rPr>
          <w:vertAlign w:val="baseline"/>
        </w:rPr>
        <w:t>defendant’s</w:t>
      </w:r>
      <w:r>
        <w:rPr>
          <w:spacing w:val="7"/>
          <w:vertAlign w:val="baseline"/>
        </w:rPr>
        <w:t> </w:t>
      </w:r>
      <w:r>
        <w:rPr>
          <w:vertAlign w:val="baseline"/>
        </w:rPr>
        <w:t>promise</w:t>
      </w:r>
      <w:r>
        <w:rPr>
          <w:spacing w:val="7"/>
          <w:vertAlign w:val="baseline"/>
        </w:rPr>
        <w:t> </w:t>
      </w:r>
      <w:r>
        <w:rPr>
          <w:vertAlign w:val="baseline"/>
        </w:rPr>
        <w:t>as</w:t>
      </w:r>
      <w:r>
        <w:rPr>
          <w:spacing w:val="7"/>
          <w:vertAlign w:val="baseline"/>
        </w:rPr>
        <w:t> </w:t>
      </w:r>
      <w:r>
        <w:rPr>
          <w:vertAlign w:val="baseline"/>
        </w:rPr>
        <w:t>the</w:t>
      </w:r>
      <w:r>
        <w:rPr>
          <w:spacing w:val="7"/>
          <w:vertAlign w:val="baseline"/>
        </w:rPr>
        <w:t> </w:t>
      </w:r>
      <w:r>
        <w:rPr>
          <w:vertAlign w:val="baseline"/>
        </w:rPr>
        <w:t>bank</w:t>
      </w:r>
      <w:r>
        <w:rPr>
          <w:spacing w:val="7"/>
          <w:vertAlign w:val="baseline"/>
        </w:rPr>
        <w:t> </w:t>
      </w:r>
      <w:r>
        <w:rPr>
          <w:vertAlign w:val="baseline"/>
        </w:rPr>
        <w:t>had</w:t>
      </w:r>
      <w:r>
        <w:rPr>
          <w:spacing w:val="7"/>
          <w:vertAlign w:val="baseline"/>
        </w:rPr>
        <w:t> </w:t>
      </w:r>
      <w:r>
        <w:rPr>
          <w:vertAlign w:val="baseline"/>
        </w:rPr>
        <w:t>given,</w:t>
      </w:r>
      <w:r>
        <w:rPr>
          <w:spacing w:val="7"/>
          <w:vertAlign w:val="baseline"/>
        </w:rPr>
        <w:t> </w:t>
      </w:r>
      <w:r>
        <w:rPr>
          <w:spacing w:val="-5"/>
          <w:vertAlign w:val="baseline"/>
        </w:rPr>
        <w:t>and</w:t>
      </w:r>
    </w:p>
    <w:p>
      <w:pPr>
        <w:pStyle w:val="BodyText"/>
        <w:spacing w:line="235" w:lineRule="auto" w:before="116"/>
        <w:ind w:left="164" w:right="167"/>
        <w:jc w:val="both"/>
      </w:pPr>
      <w:bookmarkStart w:name="_bookmark591" w:id="593"/>
      <w:bookmarkEnd w:id="593"/>
      <w:r>
        <w:rPr/>
      </w:r>
      <w:r>
        <w:rPr/>
        <w:t>the defendant received, “some degree of forbearance.” </w:t>
      </w:r>
      <w:r>
        <w:rPr>
          <w:color w:val="005DA1"/>
          <w:u w:val="single" w:color="005DA1"/>
          <w:vertAlign w:val="superscript"/>
        </w:rPr>
        <w:t>317</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40"/>
          <w:vertAlign w:val="baseline"/>
        </w:rPr>
        <w:t> </w:t>
      </w:r>
      <w:r>
        <w:rPr>
          <w:vertAlign w:val="baseline"/>
        </w:rPr>
        <w:t>On the other hand, in </w:t>
      </w:r>
      <w:r>
        <w:rPr>
          <w:rFonts w:ascii="Arial" w:hAnsi="Arial"/>
          <w:i/>
          <w:vertAlign w:val="baseline"/>
        </w:rPr>
        <w:t>Miles v </w:t>
      </w:r>
      <w:r>
        <w:rPr>
          <w:rFonts w:ascii="Arial" w:hAnsi="Arial"/>
          <w:i/>
          <w:vertAlign w:val="baseline"/>
        </w:rPr>
        <w:t>New Zealand Alford Estate Co </w:t>
      </w:r>
      <w:r>
        <w:rPr>
          <w:color w:val="005DA1"/>
          <w:u w:val="single" w:color="005DA1"/>
          <w:vertAlign w:val="superscript"/>
        </w:rPr>
        <w:t>318</w:t>
      </w:r>
      <w:r>
        <w:rPr>
          <w:color w:val="005DA1"/>
          <w:vertAlign w:val="baseline"/>
        </w:rPr>
        <w:t> </w:t>
      </w:r>
      <w:r>
        <w:rPr>
          <w:vertAlign w:val="baseline"/>
        </w:rPr>
        <w:t>a company had bought land and then became dissatisfied with the purchase. The vendor later promised to make certain payments to the company, and it was alleged that the consideration for this promise was the company’s forbearance to take proceedings to rescind the contract. A majority of the Court of Appeal held that there was no consideration for the vendor’s </w:t>
      </w:r>
      <w:bookmarkStart w:name="_bookmark592" w:id="594"/>
      <w:bookmarkEnd w:id="594"/>
      <w:r>
        <w:rPr>
          <w:vertAlign w:val="baseline"/>
        </w:rPr>
        <w:t>promise</w:t>
      </w:r>
      <w:r>
        <w:rPr>
          <w:vertAlign w:val="baseline"/>
        </w:rPr>
        <w:t> as no proceedings to rescind were ever intended; and Cotton L.J. added that “it must be </w:t>
      </w:r>
      <w:bookmarkStart w:name="_bookmark593" w:id="595"/>
      <w:bookmarkEnd w:id="595"/>
      <w:r>
        <w:rPr>
          <w:vertAlign w:val="baseline"/>
        </w:rPr>
        <w:t>shown</w:t>
      </w:r>
      <w:r>
        <w:rPr>
          <w:vertAlign w:val="baseline"/>
        </w:rPr>
        <w:t> that there was something which would bind the company not to institute proceedings.” </w:t>
      </w:r>
      <w:r>
        <w:rPr>
          <w:color w:val="005DA1"/>
          <w:u w:val="single" w:color="005DA1"/>
          <w:vertAlign w:val="superscript"/>
        </w:rPr>
        <w:t>319</w:t>
      </w:r>
      <w:r>
        <w:rPr>
          <w:color w:val="005DA1"/>
          <w:vertAlign w:val="baseline"/>
        </w:rPr>
        <w:t> </w:t>
      </w:r>
      <w:r>
        <w:rPr>
          <w:vertAlign w:val="baseline"/>
        </w:rPr>
        <w:t>Bowen L.J. dissented from this proposition, </w:t>
      </w:r>
      <w:r>
        <w:rPr>
          <w:color w:val="005DA1"/>
          <w:u w:val="single" w:color="005DA1"/>
          <w:vertAlign w:val="superscript"/>
        </w:rPr>
        <w:t>320</w:t>
      </w:r>
      <w:r>
        <w:rPr>
          <w:color w:val="005DA1"/>
          <w:vertAlign w:val="baseline"/>
        </w:rPr>
        <w:t> </w:t>
      </w:r>
      <w:r>
        <w:rPr>
          <w:vertAlign w:val="baseline"/>
        </w:rPr>
        <w:t>relying on </w:t>
      </w:r>
      <w:r>
        <w:rPr>
          <w:rFonts w:ascii="Arial" w:hAnsi="Arial"/>
          <w:i/>
          <w:vertAlign w:val="baseline"/>
        </w:rPr>
        <w:t>Alliance Bank v Broom</w:t>
      </w:r>
      <w:r>
        <w:rPr>
          <w:vertAlign w:val="baseline"/>
        </w:rPr>
        <w:t>; but it may be possible</w:t>
      </w:r>
      <w:r>
        <w:rPr>
          <w:spacing w:val="34"/>
          <w:vertAlign w:val="baseline"/>
        </w:rPr>
        <w:t> </w:t>
      </w:r>
      <w:r>
        <w:rPr>
          <w:vertAlign w:val="baseline"/>
        </w:rPr>
        <w:t>to</w:t>
      </w:r>
      <w:r>
        <w:rPr>
          <w:spacing w:val="34"/>
          <w:vertAlign w:val="baseline"/>
        </w:rPr>
        <w:t> </w:t>
      </w:r>
      <w:r>
        <w:rPr>
          <w:vertAlign w:val="baseline"/>
        </w:rPr>
        <w:t>reconcile</w:t>
      </w:r>
      <w:r>
        <w:rPr>
          <w:spacing w:val="34"/>
          <w:vertAlign w:val="baseline"/>
        </w:rPr>
        <w:t> </w:t>
      </w:r>
      <w:r>
        <w:rPr>
          <w:vertAlign w:val="baseline"/>
        </w:rPr>
        <w:t>the</w:t>
      </w:r>
      <w:r>
        <w:rPr>
          <w:spacing w:val="34"/>
          <w:vertAlign w:val="baseline"/>
        </w:rPr>
        <w:t> </w:t>
      </w:r>
      <w:r>
        <w:rPr>
          <w:vertAlign w:val="baseline"/>
        </w:rPr>
        <w:t>two</w:t>
      </w:r>
      <w:r>
        <w:rPr>
          <w:spacing w:val="34"/>
          <w:vertAlign w:val="baseline"/>
        </w:rPr>
        <w:t> </w:t>
      </w:r>
      <w:r>
        <w:rPr>
          <w:vertAlign w:val="baseline"/>
        </w:rPr>
        <w:t>cases</w:t>
      </w:r>
      <w:r>
        <w:rPr>
          <w:spacing w:val="34"/>
          <w:vertAlign w:val="baseline"/>
        </w:rPr>
        <w:t> </w:t>
      </w:r>
      <w:r>
        <w:rPr>
          <w:vertAlign w:val="baseline"/>
        </w:rPr>
        <w:t>by</w:t>
      </w:r>
      <w:r>
        <w:rPr>
          <w:spacing w:val="34"/>
          <w:vertAlign w:val="baseline"/>
        </w:rPr>
        <w:t> </w:t>
      </w:r>
      <w:r>
        <w:rPr>
          <w:vertAlign w:val="baseline"/>
        </w:rPr>
        <w:t>reference</w:t>
      </w:r>
      <w:r>
        <w:rPr>
          <w:spacing w:val="34"/>
          <w:vertAlign w:val="baseline"/>
        </w:rPr>
        <w:t> </w:t>
      </w:r>
      <w:r>
        <w:rPr>
          <w:vertAlign w:val="baseline"/>
        </w:rPr>
        <w:t>to</w:t>
      </w:r>
      <w:r>
        <w:rPr>
          <w:spacing w:val="34"/>
          <w:vertAlign w:val="baseline"/>
        </w:rPr>
        <w:t> </w:t>
      </w:r>
      <w:r>
        <w:rPr>
          <w:vertAlign w:val="baseline"/>
        </w:rPr>
        <w:t>the</w:t>
      </w:r>
      <w:r>
        <w:rPr>
          <w:spacing w:val="34"/>
          <w:vertAlign w:val="baseline"/>
        </w:rPr>
        <w:t> </w:t>
      </w:r>
      <w:r>
        <w:rPr>
          <w:vertAlign w:val="baseline"/>
        </w:rPr>
        <w:t>types</w:t>
      </w:r>
      <w:r>
        <w:rPr>
          <w:spacing w:val="34"/>
          <w:vertAlign w:val="baseline"/>
        </w:rPr>
        <w:t> </w:t>
      </w:r>
      <w:r>
        <w:rPr>
          <w:vertAlign w:val="baseline"/>
        </w:rPr>
        <w:t>of</w:t>
      </w:r>
      <w:r>
        <w:rPr>
          <w:spacing w:val="34"/>
          <w:vertAlign w:val="baseline"/>
        </w:rPr>
        <w:t> </w:t>
      </w:r>
      <w:r>
        <w:rPr>
          <w:vertAlign w:val="baseline"/>
        </w:rPr>
        <w:t>claim</w:t>
      </w:r>
      <w:r>
        <w:rPr>
          <w:spacing w:val="34"/>
          <w:vertAlign w:val="baseline"/>
        </w:rPr>
        <w:t> </w:t>
      </w:r>
      <w:r>
        <w:rPr>
          <w:vertAlign w:val="baseline"/>
        </w:rPr>
        <w:t>forborne.</w:t>
      </w:r>
      <w:r>
        <w:rPr>
          <w:spacing w:val="34"/>
          <w:vertAlign w:val="baseline"/>
        </w:rPr>
        <w:t> </w:t>
      </w:r>
      <w:r>
        <w:rPr>
          <w:vertAlign w:val="baseline"/>
        </w:rPr>
        <w:t>A</w:t>
      </w:r>
      <w:r>
        <w:rPr>
          <w:spacing w:val="34"/>
          <w:vertAlign w:val="baseline"/>
        </w:rPr>
        <w:t> </w:t>
      </w:r>
      <w:r>
        <w:rPr>
          <w:vertAlign w:val="baseline"/>
        </w:rPr>
        <w:t>bank</w:t>
      </w:r>
      <w:r>
        <w:rPr>
          <w:spacing w:val="34"/>
          <w:vertAlign w:val="baseline"/>
        </w:rPr>
        <w:t> </w:t>
      </w:r>
      <w:r>
        <w:rPr>
          <w:vertAlign w:val="baseline"/>
        </w:rPr>
        <w:t>to</w:t>
      </w:r>
      <w:r>
        <w:rPr>
          <w:spacing w:val="34"/>
          <w:vertAlign w:val="baseline"/>
        </w:rPr>
        <w:t> </w:t>
      </w:r>
      <w:r>
        <w:rPr>
          <w:spacing w:val="-4"/>
          <w:vertAlign w:val="baseline"/>
        </w:rPr>
        <w:t>which</w:t>
      </w:r>
    </w:p>
    <w:p>
      <w:pPr>
        <w:pStyle w:val="BodyText"/>
        <w:spacing w:line="235" w:lineRule="auto"/>
        <w:ind w:left="165" w:right="167"/>
        <w:jc w:val="both"/>
      </w:pPr>
      <w:r>
        <w:rPr/>
        <w:t>£22,000 is owed is virtually certain to take steps to enforce its claim, but a dissatisfied purchaser </w:t>
      </w:r>
      <w:r>
        <w:rPr/>
        <w:t>of land is much less certain to take proceedings for rescission. It may, therefore, be reasonable to say that mere forbearance will amount to consideration in relation to the former type of claim, but that a promise to forbear is necessary where it is problematical whether the claim will ever be enforced. A promise to forbear is also, of course, necessary where that is what the debtor bargains for.</w:t>
      </w:r>
    </w:p>
    <w:p>
      <w:pPr>
        <w:pStyle w:val="BodyText"/>
      </w:pPr>
    </w:p>
    <w:p>
      <w:pPr>
        <w:pStyle w:val="BodyText"/>
        <w:spacing w:before="33"/>
      </w:pPr>
    </w:p>
    <w:p>
      <w:pPr>
        <w:spacing w:before="1"/>
        <w:ind w:left="165" w:right="0" w:firstLine="0"/>
        <w:jc w:val="both"/>
        <w:rPr>
          <w:rFonts w:ascii="Arial"/>
          <w:b/>
          <w:sz w:val="18"/>
        </w:rPr>
      </w:pPr>
      <w:r>
        <w:rPr>
          <w:rFonts w:ascii="Arial"/>
          <w:b/>
          <w:sz w:val="18"/>
        </w:rPr>
        <w:t>Time for which creditor must </w:t>
      </w:r>
      <w:r>
        <w:rPr>
          <w:rFonts w:ascii="Arial"/>
          <w:b/>
          <w:spacing w:val="-2"/>
          <w:sz w:val="18"/>
        </w:rPr>
        <w:t>forbear</w:t>
      </w:r>
    </w:p>
    <w:p>
      <w:pPr>
        <w:pStyle w:val="BodyText"/>
        <w:spacing w:before="41"/>
        <w:rPr>
          <w:rFonts w:ascii="Arial"/>
          <w:b/>
          <w:sz w:val="18"/>
        </w:rPr>
      </w:pPr>
    </w:p>
    <w:p>
      <w:pPr>
        <w:pStyle w:val="Heading2"/>
      </w:pPr>
      <w:r>
        <w:rPr/>
        <w:t>4-</w:t>
      </w:r>
      <w:r>
        <w:rPr>
          <w:spacing w:val="-5"/>
        </w:rPr>
        <w:t>059</w:t>
      </w:r>
    </w:p>
    <w:p>
      <w:pPr>
        <w:pStyle w:val="BodyText"/>
        <w:spacing w:line="235" w:lineRule="auto" w:before="203"/>
        <w:ind w:left="165" w:right="167"/>
        <w:jc w:val="both"/>
      </w:pPr>
      <w:bookmarkStart w:name="_bookmark594" w:id="596"/>
      <w:bookmarkEnd w:id="596"/>
      <w:r>
        <w:rPr/>
      </w:r>
      <w:r>
        <w:rPr/>
        <w:t>Where the consideration consists of a promise to forbear which specifies no time the creditor </w:t>
      </w:r>
      <w:r>
        <w:rPr/>
        <w:t>must </w:t>
      </w:r>
      <w:bookmarkStart w:name="_bookmark595" w:id="597"/>
      <w:bookmarkEnd w:id="597"/>
      <w:r>
        <w:rPr/>
        <w:t>forbear</w:t>
      </w:r>
      <w:r>
        <w:rPr/>
        <w:t> for a reasonable time. </w:t>
      </w:r>
      <w:r>
        <w:rPr>
          <w:color w:val="005DA1"/>
          <w:u w:val="single" w:color="005DA1"/>
          <w:vertAlign w:val="superscript"/>
        </w:rPr>
        <w:t>321</w:t>
      </w:r>
      <w:r>
        <w:rPr>
          <w:color w:val="005DA1"/>
          <w:vertAlign w:val="baseline"/>
        </w:rPr>
        <w:t> </w:t>
      </w:r>
      <w:r>
        <w:rPr>
          <w:vertAlign w:val="baseline"/>
        </w:rPr>
        <w:t>There is no such requirement where the consideration consists of actual forbearance: here it is enough that the debtor had “a certain amount of forbearance.” </w:t>
      </w:r>
      <w:r>
        <w:rPr>
          <w:color w:val="005DA1"/>
          <w:u w:val="single" w:color="005DA1"/>
          <w:vertAlign w:val="superscript"/>
        </w:rPr>
        <w:t>322</w:t>
      </w:r>
    </w:p>
    <w:p>
      <w:pPr>
        <w:pStyle w:val="BodyText"/>
      </w:pPr>
    </w:p>
    <w:p>
      <w:pPr>
        <w:pStyle w:val="BodyText"/>
        <w:spacing w:before="37"/>
      </w:pPr>
    </w:p>
    <w:p>
      <w:pPr>
        <w:spacing w:before="0"/>
        <w:ind w:left="165" w:right="0" w:firstLine="0"/>
        <w:jc w:val="left"/>
        <w:rPr>
          <w:rFonts w:ascii="Arial"/>
          <w:b/>
          <w:sz w:val="18"/>
        </w:rPr>
      </w:pPr>
      <w:r>
        <w:rPr>
          <w:rFonts w:ascii="Arial"/>
          <w:b/>
          <w:sz w:val="18"/>
        </w:rPr>
        <w:t>Relation between actual forbearance and the promise made in return for </w:t>
      </w:r>
      <w:r>
        <w:rPr>
          <w:rFonts w:ascii="Arial"/>
          <w:b/>
          <w:spacing w:val="-5"/>
          <w:sz w:val="18"/>
        </w:rPr>
        <w:t>it</w:t>
      </w:r>
    </w:p>
    <w:p>
      <w:pPr>
        <w:pStyle w:val="BodyText"/>
        <w:spacing w:before="41"/>
        <w:rPr>
          <w:rFonts w:ascii="Arial"/>
          <w:b/>
          <w:sz w:val="18"/>
        </w:rPr>
      </w:pPr>
    </w:p>
    <w:p>
      <w:pPr>
        <w:pStyle w:val="Heading2"/>
      </w:pPr>
      <w:r>
        <w:rPr/>
        <w:t>4-</w:t>
      </w:r>
      <w:r>
        <w:rPr>
          <w:spacing w:val="-5"/>
        </w:rPr>
        <w:t>060</w:t>
      </w:r>
    </w:p>
    <w:p>
      <w:pPr>
        <w:pStyle w:val="Heading2"/>
        <w:spacing w:after="0"/>
        <w:sectPr>
          <w:headerReference w:type="default" r:id="rId24"/>
          <w:headerReference w:type="even" r:id="rId25"/>
          <w:pgSz w:w="11900" w:h="16840"/>
          <w:pgMar w:header="971" w:footer="0" w:top="1160" w:bottom="280" w:left="1275" w:right="1275"/>
          <w:pgNumType w:start="1"/>
        </w:sectPr>
      </w:pPr>
    </w:p>
    <w:p>
      <w:pPr>
        <w:pStyle w:val="BodyText"/>
        <w:spacing w:before="124"/>
        <w:rPr>
          <w:rFonts w:ascii="Arial"/>
          <w:b/>
        </w:rPr>
      </w:pPr>
    </w:p>
    <w:p>
      <w:pPr>
        <w:pStyle w:val="BodyText"/>
        <w:spacing w:line="235" w:lineRule="auto" w:before="1"/>
        <w:ind w:left="164" w:right="167"/>
        <w:jc w:val="both"/>
      </w:pPr>
      <w:bookmarkStart w:name="_bookmark596" w:id="598"/>
      <w:bookmarkEnd w:id="598"/>
      <w:r>
        <w:rPr/>
      </w:r>
      <w:r>
        <w:rPr/>
        <w:t>Where the consideration is alleged to consist of an actual forbearance, that forbearance must </w:t>
      </w:r>
      <w:r>
        <w:rPr/>
        <w:t>be </w:t>
      </w:r>
      <w:bookmarkStart w:name="_bookmark597" w:id="599"/>
      <w:bookmarkEnd w:id="599"/>
      <w:r>
        <w:rPr/>
        <w:t>causally</w:t>
      </w:r>
      <w:r>
        <w:rPr/>
        <w:t> connected with the debtor’s promise. A creditor does not give consideration </w:t>
      </w:r>
      <w:r>
        <w:rPr>
          <w:color w:val="005DA1"/>
          <w:u w:val="single" w:color="005DA1"/>
          <w:vertAlign w:val="superscript"/>
        </w:rPr>
        <w:t>323</w:t>
      </w:r>
      <w:r>
        <w:rPr>
          <w:color w:val="005DA1"/>
          <w:vertAlign w:val="baseline"/>
        </w:rPr>
        <w:t> </w:t>
      </w:r>
      <w:r>
        <w:rPr>
          <w:vertAlign w:val="baseline"/>
        </w:rPr>
        <w:t>merely by </w:t>
      </w:r>
      <w:bookmarkStart w:name="_bookmark598" w:id="600"/>
      <w:bookmarkEnd w:id="600"/>
      <w:r>
        <w:rPr>
          <w:vertAlign w:val="baseline"/>
        </w:rPr>
        <w:t>forbearing</w:t>
      </w:r>
      <w:r>
        <w:rPr>
          <w:vertAlign w:val="baseline"/>
        </w:rPr>
        <w:t> to enforce an antecedent debt. </w:t>
      </w:r>
      <w:r>
        <w:rPr>
          <w:color w:val="005DA1"/>
          <w:u w:val="single" w:color="005DA1"/>
          <w:vertAlign w:val="superscript"/>
        </w:rPr>
        <w:t>324</w:t>
      </w:r>
      <w:r>
        <w:rPr>
          <w:color w:val="005DA1"/>
          <w:vertAlign w:val="baseline"/>
        </w:rPr>
        <w:t> </w:t>
      </w:r>
      <w:r>
        <w:rPr>
          <w:vertAlign w:val="baseline"/>
        </w:rPr>
        <w:t>In </w:t>
      </w:r>
      <w:r>
        <w:rPr>
          <w:rFonts w:ascii="Arial" w:hAnsi="Arial"/>
          <w:i/>
          <w:vertAlign w:val="baseline"/>
        </w:rPr>
        <w:t>Wigan v English &amp; Scottish Law Life Assurance Society </w:t>
      </w:r>
      <w:r>
        <w:rPr>
          <w:color w:val="005DA1"/>
          <w:u w:val="single" w:color="005DA1"/>
          <w:vertAlign w:val="superscript"/>
        </w:rPr>
        <w:t>325</w:t>
      </w:r>
      <w:r>
        <w:rPr>
          <w:color w:val="005DA1"/>
          <w:vertAlign w:val="baseline"/>
        </w:rPr>
        <w:t> </w:t>
      </w:r>
      <w:r>
        <w:rPr>
          <w:vertAlign w:val="baseline"/>
        </w:rPr>
        <w:t>a debtor executed an assignment of an insurance policy by way of mortgage in favour of </w:t>
      </w:r>
      <w:bookmarkStart w:name="_bookmark599" w:id="601"/>
      <w:bookmarkEnd w:id="601"/>
      <w:r>
        <w:rPr>
          <w:vertAlign w:val="baseline"/>
        </w:rPr>
        <w:t>his</w:t>
      </w:r>
      <w:r>
        <w:rPr>
          <w:vertAlign w:val="baseline"/>
        </w:rPr>
        <w:t> creditor. Parker J. held that the creditor, who knew nothing of the mortgage, had given no </w:t>
      </w:r>
      <w:bookmarkStart w:name="_bookmark600" w:id="602"/>
      <w:bookmarkEnd w:id="602"/>
      <w:r>
        <w:rPr>
          <w:vertAlign w:val="baseline"/>
        </w:rPr>
        <w:t>consideration</w:t>
      </w:r>
      <w:r>
        <w:rPr>
          <w:vertAlign w:val="baseline"/>
        </w:rPr>
        <w:t> for it </w:t>
      </w:r>
      <w:r>
        <w:rPr>
          <w:color w:val="005DA1"/>
          <w:u w:val="single" w:color="005DA1"/>
          <w:vertAlign w:val="superscript"/>
        </w:rPr>
        <w:t>326</w:t>
      </w:r>
      <w:r>
        <w:rPr>
          <w:vertAlign w:val="baseline"/>
        </w:rPr>
        <w:t>; but he added that the creditor would have provided consideration if he had been told of the mortgage and if, “on the strength of” </w:t>
      </w:r>
      <w:r>
        <w:rPr>
          <w:color w:val="005DA1"/>
          <w:u w:val="single" w:color="005DA1"/>
          <w:vertAlign w:val="superscript"/>
        </w:rPr>
        <w:t>327</w:t>
      </w:r>
      <w:r>
        <w:rPr>
          <w:color w:val="005DA1"/>
          <w:vertAlign w:val="baseline"/>
        </w:rPr>
        <w:t> </w:t>
      </w:r>
      <w:r>
        <w:rPr>
          <w:vertAlign w:val="baseline"/>
        </w:rPr>
        <w:t>it, he had actually forborne to sue for the</w:t>
      </w:r>
      <w:r>
        <w:rPr>
          <w:spacing w:val="40"/>
          <w:vertAlign w:val="baseline"/>
        </w:rPr>
        <w:t> </w:t>
      </w:r>
      <w:r>
        <w:rPr>
          <w:spacing w:val="-2"/>
          <w:vertAlign w:val="baseline"/>
        </w:rPr>
        <w:t>debt.</w:t>
      </w:r>
    </w:p>
    <w:p>
      <w:pPr>
        <w:pStyle w:val="BodyText"/>
      </w:pPr>
    </w:p>
    <w:p>
      <w:pPr>
        <w:pStyle w:val="BodyText"/>
        <w:spacing w:before="35"/>
      </w:pPr>
    </w:p>
    <w:p>
      <w:pPr>
        <w:spacing w:before="0"/>
        <w:ind w:left="165" w:right="0" w:firstLine="0"/>
        <w:jc w:val="both"/>
        <w:rPr>
          <w:rFonts w:ascii="Arial"/>
          <w:b/>
          <w:sz w:val="18"/>
        </w:rPr>
      </w:pPr>
      <w:r>
        <w:rPr>
          <w:rFonts w:ascii="Arial"/>
          <w:b/>
          <w:sz w:val="18"/>
        </w:rPr>
        <w:t>Express or implied request of debtor </w:t>
      </w:r>
      <w:r>
        <w:rPr>
          <w:rFonts w:ascii="Arial"/>
          <w:b/>
          <w:spacing w:val="-2"/>
          <w:sz w:val="18"/>
        </w:rPr>
        <w:t>necessary</w:t>
      </w:r>
    </w:p>
    <w:p>
      <w:pPr>
        <w:pStyle w:val="BodyText"/>
        <w:spacing w:before="41"/>
        <w:rPr>
          <w:rFonts w:ascii="Arial"/>
          <w:b/>
          <w:sz w:val="18"/>
        </w:rPr>
      </w:pPr>
    </w:p>
    <w:p>
      <w:pPr>
        <w:pStyle w:val="Heading2"/>
        <w:spacing w:before="1"/>
      </w:pPr>
      <w:r>
        <w:rPr/>
        <w:t>4-</w:t>
      </w:r>
      <w:r>
        <w:rPr>
          <w:spacing w:val="-5"/>
        </w:rPr>
        <w:t>061</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40"/>
        </w:rPr>
        <w:t> </w:t>
      </w:r>
      <w:r>
        <w:rPr/>
        <w:t>The crucial question, therefore, is whether the creditor has forborne “on the strength of” the </w:t>
      </w:r>
      <w:bookmarkStart w:name="_bookmark601" w:id="603"/>
      <w:bookmarkEnd w:id="603"/>
      <w:r>
        <w:rPr/>
        <w:t>debtor’s</w:t>
      </w:r>
      <w:r>
        <w:rPr/>
        <w:t> promise. He will clearly have done so where the debtor has </w:t>
      </w:r>
      <w:r>
        <w:rPr>
          <w:rFonts w:ascii="Arial" w:hAnsi="Arial"/>
          <w:i/>
        </w:rPr>
        <w:t>expressly </w:t>
      </w:r>
      <w:r>
        <w:rPr/>
        <w:t>requested the forbearance. </w:t>
      </w:r>
      <w:r>
        <w:rPr>
          <w:color w:val="005DA1"/>
          <w:u w:val="single" w:color="005DA1"/>
          <w:vertAlign w:val="superscript"/>
        </w:rPr>
        <w:t>328</w:t>
      </w:r>
      <w:r>
        <w:rPr>
          <w:color w:val="005DA1"/>
          <w:vertAlign w:val="baseline"/>
        </w:rPr>
        <w:t> </w:t>
      </w:r>
      <w:r>
        <w:rPr>
          <w:vertAlign w:val="baseline"/>
        </w:rPr>
        <w:t>But such an express request is not necessary. In </w:t>
      </w:r>
      <w:r>
        <w:rPr>
          <w:rFonts w:ascii="Arial" w:hAnsi="Arial"/>
          <w:i/>
          <w:vertAlign w:val="baseline"/>
        </w:rPr>
        <w:t>Alliance Bank v Broom </w:t>
      </w:r>
      <w:r>
        <w:rPr>
          <w:color w:val="005DA1"/>
          <w:u w:val="single" w:color="005DA1"/>
          <w:vertAlign w:val="superscript"/>
        </w:rPr>
        <w:t>329</w:t>
      </w:r>
      <w:r>
        <w:rPr>
          <w:color w:val="005DA1"/>
          <w:vertAlign w:val="baseline"/>
        </w:rPr>
        <w:t> </w:t>
      </w:r>
      <w:r>
        <w:rPr>
          <w:vertAlign w:val="baseline"/>
        </w:rPr>
        <w:t>the bank’s</w:t>
      </w:r>
      <w:r>
        <w:rPr>
          <w:spacing w:val="-1"/>
          <w:vertAlign w:val="baseline"/>
        </w:rPr>
        <w:t> </w:t>
      </w:r>
      <w:r>
        <w:rPr>
          <w:vertAlign w:val="baseline"/>
        </w:rPr>
        <w:t>forbearance</w:t>
      </w:r>
      <w:r>
        <w:rPr>
          <w:spacing w:val="-1"/>
          <w:vertAlign w:val="baseline"/>
        </w:rPr>
        <w:t> </w:t>
      </w:r>
      <w:r>
        <w:rPr>
          <w:vertAlign w:val="baseline"/>
        </w:rPr>
        <w:t>was</w:t>
      </w:r>
      <w:r>
        <w:rPr>
          <w:spacing w:val="-1"/>
          <w:vertAlign w:val="baseline"/>
        </w:rPr>
        <w:t> </w:t>
      </w:r>
      <w:r>
        <w:rPr>
          <w:vertAlign w:val="baseline"/>
        </w:rPr>
        <w:t>held</w:t>
      </w:r>
      <w:r>
        <w:rPr>
          <w:spacing w:val="-1"/>
          <w:vertAlign w:val="baseline"/>
        </w:rPr>
        <w:t> </w:t>
      </w:r>
      <w:r>
        <w:rPr>
          <w:vertAlign w:val="baseline"/>
        </w:rPr>
        <w:t>to</w:t>
      </w:r>
      <w:r>
        <w:rPr>
          <w:spacing w:val="-1"/>
          <w:vertAlign w:val="baseline"/>
        </w:rPr>
        <w:t> </w:t>
      </w:r>
      <w:r>
        <w:rPr>
          <w:vertAlign w:val="baseline"/>
        </w:rPr>
        <w:t>constitute</w:t>
      </w:r>
      <w:r>
        <w:rPr>
          <w:spacing w:val="-1"/>
          <w:vertAlign w:val="baseline"/>
        </w:rPr>
        <w:t> </w:t>
      </w:r>
      <w:r>
        <w:rPr>
          <w:vertAlign w:val="baseline"/>
        </w:rPr>
        <w:t>consideration</w:t>
      </w:r>
      <w:r>
        <w:rPr>
          <w:spacing w:val="-1"/>
          <w:vertAlign w:val="baseline"/>
        </w:rPr>
        <w:t> </w:t>
      </w:r>
      <w:r>
        <w:rPr>
          <w:vertAlign w:val="baseline"/>
        </w:rPr>
        <w:t>even</w:t>
      </w:r>
      <w:r>
        <w:rPr>
          <w:spacing w:val="-1"/>
          <w:vertAlign w:val="baseline"/>
        </w:rPr>
        <w:t> </w:t>
      </w:r>
      <w:r>
        <w:rPr>
          <w:vertAlign w:val="baseline"/>
        </w:rPr>
        <w:t>though</w:t>
      </w:r>
      <w:r>
        <w:rPr>
          <w:spacing w:val="-1"/>
          <w:vertAlign w:val="baseline"/>
        </w:rPr>
        <w:t> </w:t>
      </w:r>
      <w:r>
        <w:rPr>
          <w:vertAlign w:val="baseline"/>
        </w:rPr>
        <w:t>the</w:t>
      </w:r>
      <w:r>
        <w:rPr>
          <w:spacing w:val="-1"/>
          <w:vertAlign w:val="baseline"/>
        </w:rPr>
        <w:t> </w:t>
      </w:r>
      <w:r>
        <w:rPr>
          <w:vertAlign w:val="baseline"/>
        </w:rPr>
        <w:t>defendant</w:t>
      </w:r>
      <w:r>
        <w:rPr>
          <w:spacing w:val="-1"/>
          <w:vertAlign w:val="baseline"/>
        </w:rPr>
        <w:t> </w:t>
      </w:r>
      <w:r>
        <w:rPr>
          <w:vertAlign w:val="baseline"/>
        </w:rPr>
        <w:t>had</w:t>
      </w:r>
      <w:r>
        <w:rPr>
          <w:spacing w:val="-1"/>
          <w:vertAlign w:val="baseline"/>
        </w:rPr>
        <w:t> </w:t>
      </w:r>
      <w:r>
        <w:rPr>
          <w:vertAlign w:val="baseline"/>
        </w:rPr>
        <w:t>not</w:t>
      </w:r>
      <w:r>
        <w:rPr>
          <w:spacing w:val="-1"/>
          <w:vertAlign w:val="baseline"/>
        </w:rPr>
        <w:t> </w:t>
      </w:r>
      <w:r>
        <w:rPr>
          <w:vertAlign w:val="baseline"/>
        </w:rPr>
        <w:t>expressly </w:t>
      </w:r>
      <w:bookmarkStart w:name="_bookmark602" w:id="604"/>
      <w:bookmarkEnd w:id="604"/>
      <w:r>
        <w:rPr>
          <w:vertAlign w:val="baseline"/>
        </w:rPr>
        <w:t>requested</w:t>
      </w:r>
      <w:r>
        <w:rPr>
          <w:spacing w:val="16"/>
          <w:vertAlign w:val="baseline"/>
        </w:rPr>
        <w:t> </w:t>
      </w:r>
      <w:r>
        <w:rPr>
          <w:vertAlign w:val="baseline"/>
        </w:rPr>
        <w:t>it.</w:t>
      </w:r>
      <w:r>
        <w:rPr>
          <w:spacing w:val="18"/>
          <w:vertAlign w:val="baseline"/>
        </w:rPr>
        <w:t> </w:t>
      </w:r>
      <w:r>
        <w:rPr>
          <w:vertAlign w:val="baseline"/>
        </w:rPr>
        <w:t>Lord</w:t>
      </w:r>
      <w:r>
        <w:rPr>
          <w:spacing w:val="18"/>
          <w:vertAlign w:val="baseline"/>
        </w:rPr>
        <w:t> </w:t>
      </w:r>
      <w:r>
        <w:rPr>
          <w:vertAlign w:val="baseline"/>
        </w:rPr>
        <w:t>Macnaghten</w:t>
      </w:r>
      <w:r>
        <w:rPr>
          <w:spacing w:val="18"/>
          <w:vertAlign w:val="baseline"/>
        </w:rPr>
        <w:t> </w:t>
      </w:r>
      <w:r>
        <w:rPr>
          <w:vertAlign w:val="baseline"/>
        </w:rPr>
        <w:t>later</w:t>
      </w:r>
      <w:r>
        <w:rPr>
          <w:spacing w:val="18"/>
          <w:vertAlign w:val="baseline"/>
        </w:rPr>
        <w:t> </w:t>
      </w:r>
      <w:r>
        <w:rPr>
          <w:vertAlign w:val="baseline"/>
        </w:rPr>
        <w:t>explained</w:t>
      </w:r>
      <w:r>
        <w:rPr>
          <w:spacing w:val="18"/>
          <w:vertAlign w:val="baseline"/>
        </w:rPr>
        <w:t> </w:t>
      </w:r>
      <w:r>
        <w:rPr>
          <w:vertAlign w:val="baseline"/>
        </w:rPr>
        <w:t>the</w:t>
      </w:r>
      <w:r>
        <w:rPr>
          <w:spacing w:val="18"/>
          <w:vertAlign w:val="baseline"/>
        </w:rPr>
        <w:t> </w:t>
      </w:r>
      <w:r>
        <w:rPr>
          <w:vertAlign w:val="baseline"/>
        </w:rPr>
        <w:t>case</w:t>
      </w:r>
      <w:r>
        <w:rPr>
          <w:spacing w:val="18"/>
          <w:vertAlign w:val="baseline"/>
        </w:rPr>
        <w:t> </w:t>
      </w:r>
      <w:r>
        <w:rPr>
          <w:vertAlign w:val="baseline"/>
        </w:rPr>
        <w:t>on</w:t>
      </w:r>
      <w:r>
        <w:rPr>
          <w:spacing w:val="18"/>
          <w:vertAlign w:val="baseline"/>
        </w:rPr>
        <w:t> </w:t>
      </w:r>
      <w:r>
        <w:rPr>
          <w:vertAlign w:val="baseline"/>
        </w:rPr>
        <w:t>the</w:t>
      </w:r>
      <w:r>
        <w:rPr>
          <w:spacing w:val="18"/>
          <w:vertAlign w:val="baseline"/>
        </w:rPr>
        <w:t> </w:t>
      </w:r>
      <w:r>
        <w:rPr>
          <w:vertAlign w:val="baseline"/>
        </w:rPr>
        <w:t>ground</w:t>
      </w:r>
      <w:r>
        <w:rPr>
          <w:spacing w:val="18"/>
          <w:vertAlign w:val="baseline"/>
        </w:rPr>
        <w:t> </w:t>
      </w:r>
      <w:r>
        <w:rPr>
          <w:vertAlign w:val="baseline"/>
        </w:rPr>
        <w:t>that</w:t>
      </w:r>
      <w:r>
        <w:rPr>
          <w:spacing w:val="18"/>
          <w:vertAlign w:val="baseline"/>
        </w:rPr>
        <w:t> </w:t>
      </w:r>
      <w:r>
        <w:rPr>
          <w:vertAlign w:val="baseline"/>
        </w:rPr>
        <w:t>the</w:t>
      </w:r>
      <w:r>
        <w:rPr>
          <w:spacing w:val="18"/>
          <w:vertAlign w:val="baseline"/>
        </w:rPr>
        <w:t> </w:t>
      </w:r>
      <w:r>
        <w:rPr>
          <w:vertAlign w:val="baseline"/>
        </w:rPr>
        <w:t>debtor</w:t>
      </w:r>
      <w:r>
        <w:rPr>
          <w:spacing w:val="18"/>
          <w:vertAlign w:val="baseline"/>
        </w:rPr>
        <w:t> </w:t>
      </w:r>
      <w:r>
        <w:rPr>
          <w:vertAlign w:val="baseline"/>
        </w:rPr>
        <w:t>had</w:t>
      </w:r>
      <w:r>
        <w:rPr>
          <w:spacing w:val="18"/>
          <w:vertAlign w:val="baseline"/>
        </w:rPr>
        <w:t> </w:t>
      </w:r>
      <w:r>
        <w:rPr>
          <w:spacing w:val="-2"/>
          <w:vertAlign w:val="baseline"/>
        </w:rPr>
        <w:t>impliedly</w:t>
      </w:r>
    </w:p>
    <w:p>
      <w:pPr>
        <w:pStyle w:val="BodyText"/>
        <w:spacing w:line="235" w:lineRule="auto" w:before="118"/>
        <w:ind w:left="165" w:right="168"/>
        <w:jc w:val="both"/>
      </w:pPr>
      <w:bookmarkStart w:name="_bookmark603" w:id="605"/>
      <w:bookmarkEnd w:id="605"/>
      <w:r>
        <w:rPr/>
      </w:r>
      <w:r>
        <w:rPr/>
        <w:t>requested forbearance. </w:t>
      </w:r>
      <w:r>
        <w:rPr>
          <w:color w:val="005DA1"/>
          <w:u w:val="single" w:color="005DA1"/>
          <w:vertAlign w:val="superscript"/>
        </w:rPr>
        <w:t>330</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13"/>
          <w:vertAlign w:val="baseline"/>
        </w:rPr>
        <w:t> </w:t>
      </w:r>
      <w:r>
        <w:rPr>
          <w:vertAlign w:val="baseline"/>
        </w:rPr>
        <w:t>It seems that an actual forbearance which is not induced by either the express or the implied request of the debtor is no consideration. In </w:t>
      </w:r>
      <w:r>
        <w:rPr>
          <w:rFonts w:ascii="Arial" w:hAnsi="Arial"/>
          <w:i/>
          <w:vertAlign w:val="baseline"/>
        </w:rPr>
        <w:t>Combe v Combe </w:t>
      </w:r>
      <w:r>
        <w:rPr>
          <w:color w:val="005DA1"/>
          <w:u w:val="single" w:color="005DA1"/>
          <w:vertAlign w:val="superscript"/>
        </w:rPr>
        <w:t>331</w:t>
      </w:r>
      <w:r>
        <w:rPr>
          <w:color w:val="005DA1"/>
          <w:vertAlign w:val="baseline"/>
        </w:rPr>
        <w:t> </w:t>
      </w:r>
      <w:r>
        <w:rPr>
          <w:vertAlign w:val="baseline"/>
        </w:rPr>
        <w:t>a husband during divorce proceedings promised to pay his wife an annual allowance. In an action to enforce this promise, the wife argued, inter alia, that she had given consideration for it by forbearing to apply to</w:t>
      </w:r>
      <w:r>
        <w:rPr>
          <w:spacing w:val="40"/>
          <w:vertAlign w:val="baseline"/>
        </w:rPr>
        <w:t> </w:t>
      </w:r>
      <w:bookmarkStart w:name="_bookmark604" w:id="606"/>
      <w:bookmarkEnd w:id="606"/>
      <w:r>
        <w:rPr>
          <w:vertAlign w:val="baseline"/>
        </w:rPr>
        <w:t>the</w:t>
      </w:r>
      <w:r>
        <w:rPr>
          <w:vertAlign w:val="baseline"/>
        </w:rPr>
        <w:t> court for a maintenance order. But it was held that there was no consideration as the wife had </w:t>
      </w:r>
      <w:r>
        <w:rPr>
          <w:vertAlign w:val="baseline"/>
        </w:rPr>
        <w:t>not forborne at the husband’s request. </w:t>
      </w:r>
      <w:r>
        <w:rPr>
          <w:color w:val="005DA1"/>
          <w:u w:val="single" w:color="005DA1"/>
          <w:vertAlign w:val="superscript"/>
        </w:rPr>
        <w:t>332</w:t>
      </w:r>
    </w:p>
    <w:p>
      <w:pPr>
        <w:pStyle w:val="BodyText"/>
      </w:pPr>
    </w:p>
    <w:p>
      <w:pPr>
        <w:pStyle w:val="BodyText"/>
        <w:spacing w:before="38"/>
      </w:pPr>
      <w:r>
        <w:rPr/>
        <mc:AlternateContent>
          <mc:Choice Requires="wps">
            <w:drawing>
              <wp:anchor distT="0" distB="0" distL="0" distR="0" allowOverlap="1" layoutInCell="1" locked="0" behindDoc="1" simplePos="0" relativeHeight="487612416">
                <wp:simplePos x="0" y="0"/>
                <wp:positionH relativeFrom="page">
                  <wp:posOffset>914400</wp:posOffset>
                </wp:positionH>
                <wp:positionV relativeFrom="paragraph">
                  <wp:posOffset>185568</wp:posOffset>
                </wp:positionV>
                <wp:extent cx="5724525" cy="127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11684pt;width:450.75pt;height:.1pt;mso-position-horizontal-relative:page;mso-position-vertical-relative:paragraph;z-index:-15704064;mso-wrap-distance-left:0;mso-wrap-distance-right:0" id="docshape31"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179584">
                <wp:simplePos x="0" y="0"/>
                <wp:positionH relativeFrom="page">
                  <wp:posOffset>914400</wp:posOffset>
                </wp:positionH>
                <wp:positionV relativeFrom="paragraph">
                  <wp:posOffset>97116</wp:posOffset>
                </wp:positionV>
                <wp:extent cx="4953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6896"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before="9"/>
      </w:pPr>
    </w:p>
    <w:p>
      <w:pPr>
        <w:tabs>
          <w:tab w:pos="705" w:val="left" w:leader="none"/>
        </w:tabs>
        <w:spacing w:line="235" w:lineRule="auto" w:before="0"/>
        <w:ind w:left="705" w:right="168" w:hanging="541"/>
        <w:jc w:val="left"/>
        <w:rPr>
          <w:sz w:val="20"/>
        </w:rPr>
      </w:pPr>
      <w:bookmarkStart w:name="_bookmark605" w:id="607"/>
      <w:bookmarkEnd w:id="607"/>
      <w:r>
        <w:rPr/>
      </w:r>
      <w:hyperlink w:history="true" w:anchor="_bookmark586">
        <w:r>
          <w:rPr>
            <w:color w:val="005DA1"/>
            <w:spacing w:val="-4"/>
            <w:position w:val="5"/>
            <w:sz w:val="14"/>
            <w:u w:val="single" w:color="005DA1"/>
          </w:rPr>
          <w:t>313</w:t>
        </w:r>
      </w:hyperlink>
      <w:r>
        <w:rPr>
          <w:spacing w:val="-4"/>
          <w:position w:val="5"/>
          <w:sz w:val="14"/>
        </w:rPr>
        <w:t>.</w:t>
      </w:r>
      <w:r>
        <w:rPr>
          <w:position w:val="5"/>
          <w:sz w:val="14"/>
        </w:rPr>
        <w:tab/>
      </w:r>
      <w:r>
        <w:rPr>
          <w:rFonts w:ascii="Arial"/>
          <w:i/>
          <w:sz w:val="20"/>
        </w:rPr>
        <w:t>Re Wyvern Developments Ltd [1974] 1 W.L.R. 1097</w:t>
      </w:r>
      <w:r>
        <w:rPr>
          <w:sz w:val="20"/>
        </w:rPr>
        <w:t>; </w:t>
      </w:r>
      <w:r>
        <w:rPr>
          <w:rFonts w:ascii="Arial"/>
          <w:i/>
          <w:sz w:val="20"/>
        </w:rPr>
        <w:t>Thornton Springer v NEM Insurance </w:t>
      </w:r>
      <w:r>
        <w:rPr>
          <w:rFonts w:ascii="Arial"/>
          <w:i/>
          <w:sz w:val="20"/>
        </w:rPr>
        <w:t>Co</w:t>
      </w:r>
      <w:r>
        <w:rPr>
          <w:rFonts w:ascii="Arial"/>
          <w:i/>
          <w:spacing w:val="40"/>
          <w:sz w:val="20"/>
        </w:rPr>
        <w:t> </w:t>
      </w:r>
      <w:r>
        <w:rPr>
          <w:rFonts w:ascii="Arial"/>
          <w:i/>
          <w:sz w:val="20"/>
        </w:rPr>
        <w:t>Ltd [2000] 2 All E.R. 489 </w:t>
      </w:r>
      <w:r>
        <w:rPr>
          <w:sz w:val="20"/>
        </w:rPr>
        <w:t>at 516.</w:t>
      </w:r>
    </w:p>
    <w:p>
      <w:pPr>
        <w:pStyle w:val="BodyText"/>
        <w:spacing w:before="9"/>
      </w:pPr>
    </w:p>
    <w:p>
      <w:pPr>
        <w:spacing w:line="235" w:lineRule="auto" w:before="0"/>
        <w:ind w:left="705" w:right="168" w:hanging="541"/>
        <w:jc w:val="both"/>
        <w:rPr>
          <w:sz w:val="20"/>
        </w:rPr>
      </w:pPr>
      <w:bookmarkStart w:name="_bookmark606" w:id="608"/>
      <w:bookmarkEnd w:id="608"/>
      <w:r>
        <w:rPr/>
      </w:r>
      <w:hyperlink w:history="true" w:anchor="_bookmark587">
        <w:r>
          <w:rPr>
            <w:color w:val="005DA1"/>
            <w:position w:val="5"/>
            <w:sz w:val="14"/>
            <w:u w:val="single" w:color="005DA1"/>
          </w:rPr>
          <w:t>314</w:t>
        </w:r>
      </w:hyperlink>
      <w:r>
        <w:rPr>
          <w:position w:val="5"/>
          <w:sz w:val="14"/>
        </w:rPr>
        <w:t>.</w:t>
      </w:r>
      <w:r>
        <w:rPr>
          <w:spacing w:val="40"/>
          <w:position w:val="5"/>
          <w:sz w:val="14"/>
        </w:rPr>
        <w:t>  </w:t>
      </w:r>
      <w:r>
        <w:rPr>
          <w:rFonts w:ascii="Arial" w:hAnsi="Arial"/>
          <w:i/>
          <w:sz w:val="20"/>
        </w:rPr>
        <w:t>Baker v Walker (1845) 14 M. &amp; W. 465</w:t>
      </w:r>
      <w:r>
        <w:rPr>
          <w:sz w:val="20"/>
        </w:rPr>
        <w:t>; </w:t>
      </w:r>
      <w:r>
        <w:rPr>
          <w:rFonts w:ascii="Arial" w:hAnsi="Arial"/>
          <w:i/>
          <w:sz w:val="20"/>
        </w:rPr>
        <w:t>Elkington v Cooke-Hill (1914) 30 T.L.R. 670</w:t>
      </w:r>
      <w:r>
        <w:rPr>
          <w:sz w:val="20"/>
        </w:rPr>
        <w:t>; </w:t>
      </w:r>
      <w:r>
        <w:rPr>
          <w:sz w:val="20"/>
        </w:rPr>
        <w:t>contrast </w:t>
      </w:r>
      <w:r>
        <w:rPr>
          <w:rFonts w:ascii="Arial" w:hAnsi="Arial"/>
          <w:i/>
          <w:sz w:val="20"/>
        </w:rPr>
        <w:t>Hasan v Wilson [1977] 1 Lloyd’s Rep. 431</w:t>
      </w:r>
      <w:r>
        <w:rPr>
          <w:sz w:val="20"/>
        </w:rPr>
        <w:t>, where the debt in respect of which the cheque was given was that of a third party.</w:t>
      </w:r>
    </w:p>
    <w:p>
      <w:pPr>
        <w:pStyle w:val="BodyText"/>
        <w:spacing w:before="5"/>
      </w:pPr>
    </w:p>
    <w:p>
      <w:pPr>
        <w:pStyle w:val="BodyText"/>
        <w:tabs>
          <w:tab w:pos="705" w:val="left" w:leader="none"/>
        </w:tabs>
        <w:ind w:left="165"/>
      </w:pPr>
      <w:bookmarkStart w:name="_bookmark607" w:id="609"/>
      <w:bookmarkEnd w:id="609"/>
      <w:r>
        <w:rPr/>
      </w:r>
      <w:hyperlink w:history="true" w:anchor="_bookmark588">
        <w:r>
          <w:rPr>
            <w:color w:val="005DA1"/>
            <w:spacing w:val="-4"/>
            <w:position w:val="5"/>
            <w:sz w:val="14"/>
            <w:u w:val="single" w:color="005DA1"/>
          </w:rPr>
          <w:t>315</w:t>
        </w:r>
      </w:hyperlink>
      <w:r>
        <w:rPr>
          <w:spacing w:val="-4"/>
          <w:position w:val="5"/>
          <w:sz w:val="14"/>
        </w:rPr>
        <w:t>.</w:t>
      </w:r>
      <w:r>
        <w:rPr>
          <w:position w:val="5"/>
          <w:sz w:val="14"/>
        </w:rPr>
        <w:tab/>
      </w:r>
      <w:r>
        <w:rPr/>
        <w:t>e.g. not if the claim is known to be invalid: above, para.4-</w:t>
      </w:r>
      <w:r>
        <w:rPr>
          <w:spacing w:val="-4"/>
        </w:rPr>
        <w:t>051.</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08" w:id="610"/>
      <w:bookmarkEnd w:id="610"/>
      <w:r>
        <w:rPr/>
      </w:r>
      <w:hyperlink w:history="true" w:anchor="_bookmark589">
        <w:r>
          <w:rPr>
            <w:color w:val="005DA1"/>
            <w:spacing w:val="-4"/>
            <w:position w:val="5"/>
            <w:sz w:val="14"/>
            <w:u w:val="single" w:color="005DA1"/>
          </w:rPr>
          <w:t>316</w:t>
        </w:r>
      </w:hyperlink>
      <w:r>
        <w:rPr>
          <w:spacing w:val="-4"/>
          <w:position w:val="5"/>
          <w:sz w:val="14"/>
        </w:rPr>
        <w:t>.</w:t>
      </w:r>
      <w:r>
        <w:rPr>
          <w:position w:val="5"/>
          <w:sz w:val="14"/>
        </w:rPr>
        <w:tab/>
      </w:r>
      <w:r>
        <w:rPr>
          <w:rFonts w:ascii="Arial"/>
          <w:i/>
          <w:sz w:val="20"/>
        </w:rPr>
        <w:t>(1864)</w:t>
      </w:r>
      <w:r>
        <w:rPr>
          <w:rFonts w:ascii="Arial"/>
          <w:i/>
          <w:spacing w:val="9"/>
          <w:sz w:val="20"/>
        </w:rPr>
        <w:t> </w:t>
      </w:r>
      <w:r>
        <w:rPr>
          <w:rFonts w:ascii="Arial"/>
          <w:i/>
          <w:sz w:val="20"/>
        </w:rPr>
        <w:t>2</w:t>
      </w:r>
      <w:r>
        <w:rPr>
          <w:rFonts w:ascii="Arial"/>
          <w:i/>
          <w:spacing w:val="10"/>
          <w:sz w:val="20"/>
        </w:rPr>
        <w:t> </w:t>
      </w:r>
      <w:r>
        <w:rPr>
          <w:rFonts w:ascii="Arial"/>
          <w:i/>
          <w:sz w:val="20"/>
        </w:rPr>
        <w:t>Dr.</w:t>
      </w:r>
      <w:r>
        <w:rPr>
          <w:rFonts w:ascii="Arial"/>
          <w:i/>
          <w:spacing w:val="10"/>
          <w:sz w:val="20"/>
        </w:rPr>
        <w:t> </w:t>
      </w:r>
      <w:r>
        <w:rPr>
          <w:rFonts w:ascii="Arial"/>
          <w:i/>
          <w:sz w:val="20"/>
        </w:rPr>
        <w:t>&amp;</w:t>
      </w:r>
      <w:r>
        <w:rPr>
          <w:rFonts w:ascii="Arial"/>
          <w:i/>
          <w:spacing w:val="10"/>
          <w:sz w:val="20"/>
        </w:rPr>
        <w:t> </w:t>
      </w:r>
      <w:r>
        <w:rPr>
          <w:rFonts w:ascii="Arial"/>
          <w:i/>
          <w:sz w:val="20"/>
        </w:rPr>
        <w:t>Sm.</w:t>
      </w:r>
      <w:r>
        <w:rPr>
          <w:rFonts w:ascii="Arial"/>
          <w:i/>
          <w:spacing w:val="10"/>
          <w:sz w:val="20"/>
        </w:rPr>
        <w:t> </w:t>
      </w:r>
      <w:r>
        <w:rPr>
          <w:rFonts w:ascii="Arial"/>
          <w:i/>
          <w:sz w:val="20"/>
        </w:rPr>
        <w:t>289</w:t>
      </w:r>
      <w:r>
        <w:rPr>
          <w:sz w:val="20"/>
        </w:rPr>
        <w:t>;</w:t>
      </w:r>
      <w:r>
        <w:rPr>
          <w:spacing w:val="10"/>
          <w:sz w:val="20"/>
        </w:rPr>
        <w:t> </w:t>
      </w:r>
      <w:r>
        <w:rPr>
          <w:rFonts w:ascii="Arial"/>
          <w:i/>
          <w:sz w:val="20"/>
        </w:rPr>
        <w:t>R</w:t>
      </w:r>
      <w:r>
        <w:rPr>
          <w:rFonts w:ascii="Arial"/>
          <w:i/>
          <w:spacing w:val="10"/>
          <w:sz w:val="20"/>
        </w:rPr>
        <w:t> </w:t>
      </w:r>
      <w:r>
        <w:rPr>
          <w:rFonts w:ascii="Arial"/>
          <w:i/>
          <w:sz w:val="20"/>
        </w:rPr>
        <w:t>v</w:t>
      </w:r>
      <w:r>
        <w:rPr>
          <w:rFonts w:ascii="Arial"/>
          <w:i/>
          <w:spacing w:val="10"/>
          <w:sz w:val="20"/>
        </w:rPr>
        <w:t> </w:t>
      </w:r>
      <w:r>
        <w:rPr>
          <w:rFonts w:ascii="Arial"/>
          <w:i/>
          <w:sz w:val="20"/>
        </w:rPr>
        <w:t>Att-Gen</w:t>
      </w:r>
      <w:r>
        <w:rPr>
          <w:rFonts w:ascii="Arial"/>
          <w:i/>
          <w:spacing w:val="10"/>
          <w:sz w:val="20"/>
        </w:rPr>
        <w:t> </w:t>
      </w:r>
      <w:r>
        <w:rPr>
          <w:rFonts w:ascii="Arial"/>
          <w:i/>
          <w:sz w:val="20"/>
        </w:rPr>
        <w:t>for</w:t>
      </w:r>
      <w:r>
        <w:rPr>
          <w:rFonts w:ascii="Arial"/>
          <w:i/>
          <w:spacing w:val="10"/>
          <w:sz w:val="20"/>
        </w:rPr>
        <w:t> </w:t>
      </w:r>
      <w:r>
        <w:rPr>
          <w:rFonts w:ascii="Arial"/>
          <w:i/>
          <w:sz w:val="20"/>
        </w:rPr>
        <w:t>England</w:t>
      </w:r>
      <w:r>
        <w:rPr>
          <w:rFonts w:ascii="Arial"/>
          <w:i/>
          <w:spacing w:val="10"/>
          <w:sz w:val="20"/>
        </w:rPr>
        <w:t> </w:t>
      </w:r>
      <w:r>
        <w:rPr>
          <w:rFonts w:ascii="Arial"/>
          <w:i/>
          <w:sz w:val="20"/>
        </w:rPr>
        <w:t>and</w:t>
      </w:r>
      <w:r>
        <w:rPr>
          <w:rFonts w:ascii="Arial"/>
          <w:i/>
          <w:spacing w:val="10"/>
          <w:sz w:val="20"/>
        </w:rPr>
        <w:t> </w:t>
      </w:r>
      <w:r>
        <w:rPr>
          <w:rFonts w:ascii="Arial"/>
          <w:i/>
          <w:sz w:val="20"/>
        </w:rPr>
        <w:t>Wales</w:t>
      </w:r>
      <w:r>
        <w:rPr>
          <w:rFonts w:ascii="Arial"/>
          <w:i/>
          <w:spacing w:val="10"/>
          <w:sz w:val="20"/>
        </w:rPr>
        <w:t> </w:t>
      </w:r>
      <w:r>
        <w:rPr>
          <w:rFonts w:ascii="Arial"/>
          <w:i/>
          <w:sz w:val="20"/>
        </w:rPr>
        <w:t>[2003]</w:t>
      </w:r>
      <w:r>
        <w:rPr>
          <w:rFonts w:ascii="Arial"/>
          <w:i/>
          <w:spacing w:val="10"/>
          <w:sz w:val="20"/>
        </w:rPr>
        <w:t> </w:t>
      </w:r>
      <w:r>
        <w:rPr>
          <w:rFonts w:ascii="Arial"/>
          <w:i/>
          <w:sz w:val="20"/>
        </w:rPr>
        <w:t>UKPC</w:t>
      </w:r>
      <w:r>
        <w:rPr>
          <w:rFonts w:ascii="Arial"/>
          <w:i/>
          <w:spacing w:val="10"/>
          <w:sz w:val="20"/>
        </w:rPr>
        <w:t> </w:t>
      </w:r>
      <w:r>
        <w:rPr>
          <w:rFonts w:ascii="Arial"/>
          <w:i/>
          <w:sz w:val="20"/>
        </w:rPr>
        <w:t>22,</w:t>
      </w:r>
      <w:r>
        <w:rPr>
          <w:rFonts w:ascii="Arial"/>
          <w:i/>
          <w:spacing w:val="10"/>
          <w:sz w:val="20"/>
        </w:rPr>
        <w:t> </w:t>
      </w:r>
      <w:r>
        <w:rPr>
          <w:rFonts w:ascii="Arial"/>
          <w:i/>
          <w:sz w:val="20"/>
        </w:rPr>
        <w:t>[2003]</w:t>
      </w:r>
      <w:r>
        <w:rPr>
          <w:rFonts w:ascii="Arial"/>
          <w:i/>
          <w:spacing w:val="10"/>
          <w:sz w:val="20"/>
        </w:rPr>
        <w:t> </w:t>
      </w:r>
      <w:r>
        <w:rPr>
          <w:rFonts w:ascii="Arial"/>
          <w:i/>
          <w:spacing w:val="-2"/>
          <w:sz w:val="20"/>
        </w:rPr>
        <w:t>E.M.L.R.</w:t>
      </w:r>
    </w:p>
    <w:p>
      <w:pPr>
        <w:spacing w:line="227" w:lineRule="exact" w:before="0"/>
        <w:ind w:left="705" w:right="0" w:firstLine="0"/>
        <w:jc w:val="left"/>
        <w:rPr>
          <w:sz w:val="20"/>
        </w:rPr>
      </w:pPr>
      <w:r>
        <w:rPr>
          <w:rFonts w:ascii="Arial"/>
          <w:i/>
          <w:sz w:val="20"/>
        </w:rPr>
        <w:t>24</w:t>
      </w:r>
      <w:r>
        <w:rPr>
          <w:rFonts w:ascii="Arial"/>
          <w:i/>
          <w:spacing w:val="-1"/>
          <w:sz w:val="20"/>
        </w:rPr>
        <w:t> </w:t>
      </w:r>
      <w:r>
        <w:rPr>
          <w:sz w:val="20"/>
        </w:rPr>
        <w:t>at </w:t>
      </w:r>
      <w:r>
        <w:rPr>
          <w:spacing w:val="-2"/>
          <w:sz w:val="20"/>
        </w:rPr>
        <w:t>[31].</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4240">
            <wp:simplePos x="0" y="0"/>
            <wp:positionH relativeFrom="page">
              <wp:posOffset>1257846</wp:posOffset>
            </wp:positionH>
            <wp:positionV relativeFrom="paragraph">
              <wp:posOffset>160441</wp:posOffset>
            </wp:positionV>
            <wp:extent cx="107988" cy="107988"/>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609" w:id="611"/>
      <w:bookmarkEnd w:id="611"/>
      <w:r>
        <w:rPr/>
      </w:r>
      <w:hyperlink w:history="true" w:anchor="_bookmark590">
        <w:r>
          <w:rPr>
            <w:color w:val="005DA1"/>
            <w:spacing w:val="-4"/>
            <w:sz w:val="14"/>
            <w:u w:val="single" w:color="005DA1"/>
          </w:rPr>
          <w:t>317</w:t>
        </w:r>
      </w:hyperlink>
      <w:r>
        <w:rPr>
          <w:spacing w:val="-4"/>
          <w:sz w:val="14"/>
        </w:rPr>
        <w:t>.</w:t>
      </w:r>
    </w:p>
    <w:p>
      <w:pPr>
        <w:spacing w:line="235" w:lineRule="auto" w:before="212"/>
        <w:ind w:left="165" w:right="168" w:firstLine="170"/>
        <w:jc w:val="left"/>
        <w:rPr>
          <w:sz w:val="20"/>
        </w:rPr>
      </w:pPr>
      <w:r>
        <w:rPr/>
        <w:br w:type="column"/>
      </w:r>
      <w:r>
        <w:rPr>
          <w:rFonts w:ascii="Arial" w:hAnsi="Arial"/>
          <w:i/>
          <w:sz w:val="20"/>
        </w:rPr>
        <w:t>(1864)</w:t>
      </w:r>
      <w:r>
        <w:rPr>
          <w:rFonts w:ascii="Arial" w:hAnsi="Arial"/>
          <w:i/>
          <w:spacing w:val="22"/>
          <w:sz w:val="20"/>
        </w:rPr>
        <w:t> </w:t>
      </w:r>
      <w:r>
        <w:rPr>
          <w:rFonts w:ascii="Arial" w:hAnsi="Arial"/>
          <w:i/>
          <w:sz w:val="20"/>
        </w:rPr>
        <w:t>2</w:t>
      </w:r>
      <w:r>
        <w:rPr>
          <w:rFonts w:ascii="Arial" w:hAnsi="Arial"/>
          <w:i/>
          <w:spacing w:val="22"/>
          <w:sz w:val="20"/>
        </w:rPr>
        <w:t> </w:t>
      </w:r>
      <w:r>
        <w:rPr>
          <w:rFonts w:ascii="Arial" w:hAnsi="Arial"/>
          <w:i/>
          <w:sz w:val="20"/>
        </w:rPr>
        <w:t>Dr.</w:t>
      </w:r>
      <w:r>
        <w:rPr>
          <w:rFonts w:ascii="Arial" w:hAnsi="Arial"/>
          <w:i/>
          <w:spacing w:val="22"/>
          <w:sz w:val="20"/>
        </w:rPr>
        <w:t> </w:t>
      </w:r>
      <w:r>
        <w:rPr>
          <w:rFonts w:ascii="Arial" w:hAnsi="Arial"/>
          <w:i/>
          <w:sz w:val="20"/>
        </w:rPr>
        <w:t>&amp;</w:t>
      </w:r>
      <w:r>
        <w:rPr>
          <w:rFonts w:ascii="Arial" w:hAnsi="Arial"/>
          <w:i/>
          <w:spacing w:val="22"/>
          <w:sz w:val="20"/>
        </w:rPr>
        <w:t> </w:t>
      </w:r>
      <w:r>
        <w:rPr>
          <w:rFonts w:ascii="Arial" w:hAnsi="Arial"/>
          <w:i/>
          <w:sz w:val="20"/>
        </w:rPr>
        <w:t>Sm.</w:t>
      </w:r>
      <w:r>
        <w:rPr>
          <w:rFonts w:ascii="Arial" w:hAnsi="Arial"/>
          <w:i/>
          <w:spacing w:val="22"/>
          <w:sz w:val="20"/>
        </w:rPr>
        <w:t> </w:t>
      </w:r>
      <w:r>
        <w:rPr>
          <w:rFonts w:ascii="Arial" w:hAnsi="Arial"/>
          <w:i/>
          <w:sz w:val="20"/>
        </w:rPr>
        <w:t>289</w:t>
      </w:r>
      <w:r>
        <w:rPr>
          <w:rFonts w:ascii="Arial" w:hAnsi="Arial"/>
          <w:i/>
          <w:spacing w:val="21"/>
          <w:sz w:val="20"/>
        </w:rPr>
        <w:t> </w:t>
      </w:r>
      <w:r>
        <w:rPr>
          <w:sz w:val="20"/>
        </w:rPr>
        <w:t>at</w:t>
      </w:r>
      <w:r>
        <w:rPr>
          <w:spacing w:val="22"/>
          <w:sz w:val="20"/>
        </w:rPr>
        <w:t> </w:t>
      </w:r>
      <w:r>
        <w:rPr>
          <w:sz w:val="20"/>
        </w:rPr>
        <w:t>292;</w:t>
      </w:r>
      <w:r>
        <w:rPr>
          <w:spacing w:val="22"/>
          <w:sz w:val="20"/>
        </w:rPr>
        <w:t> </w:t>
      </w:r>
      <w:r>
        <w:rPr>
          <w:sz w:val="20"/>
        </w:rPr>
        <w:t>cf.</w:t>
      </w:r>
      <w:r>
        <w:rPr>
          <w:spacing w:val="22"/>
          <w:sz w:val="20"/>
        </w:rPr>
        <w:t> </w:t>
      </w:r>
      <w:r>
        <w:rPr>
          <w:rFonts w:ascii="Arial" w:hAnsi="Arial"/>
          <w:i/>
          <w:sz w:val="20"/>
        </w:rPr>
        <w:t>Banque</w:t>
      </w:r>
      <w:r>
        <w:rPr>
          <w:rFonts w:ascii="Arial" w:hAnsi="Arial"/>
          <w:i/>
          <w:spacing w:val="22"/>
          <w:sz w:val="20"/>
        </w:rPr>
        <w:t> </w:t>
      </w:r>
      <w:r>
        <w:rPr>
          <w:rFonts w:ascii="Arial" w:hAnsi="Arial"/>
          <w:i/>
          <w:sz w:val="20"/>
        </w:rPr>
        <w:t>Cantonale</w:t>
      </w:r>
      <w:r>
        <w:rPr>
          <w:rFonts w:ascii="Arial" w:hAnsi="Arial"/>
          <w:i/>
          <w:spacing w:val="22"/>
          <w:sz w:val="20"/>
        </w:rPr>
        <w:t> </w:t>
      </w:r>
      <w:r>
        <w:rPr>
          <w:rFonts w:ascii="Arial" w:hAnsi="Arial"/>
          <w:i/>
          <w:sz w:val="20"/>
        </w:rPr>
        <w:t>de</w:t>
      </w:r>
      <w:r>
        <w:rPr>
          <w:rFonts w:ascii="Arial" w:hAnsi="Arial"/>
          <w:i/>
          <w:spacing w:val="22"/>
          <w:sz w:val="20"/>
        </w:rPr>
        <w:t> </w:t>
      </w:r>
      <w:r>
        <w:rPr>
          <w:rFonts w:ascii="Arial" w:hAnsi="Arial"/>
          <w:i/>
          <w:sz w:val="20"/>
        </w:rPr>
        <w:t>Genève</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Sanomi</w:t>
      </w:r>
      <w:r>
        <w:rPr>
          <w:rFonts w:ascii="Arial" w:hAnsi="Arial"/>
          <w:i/>
          <w:spacing w:val="22"/>
          <w:sz w:val="20"/>
        </w:rPr>
        <w:t> </w:t>
      </w:r>
      <w:r>
        <w:rPr>
          <w:rFonts w:ascii="Arial" w:hAnsi="Arial"/>
          <w:i/>
          <w:sz w:val="20"/>
        </w:rPr>
        <w:t>[2016]</w:t>
      </w:r>
      <w:r>
        <w:rPr>
          <w:rFonts w:ascii="Arial" w:hAnsi="Arial"/>
          <w:i/>
          <w:spacing w:val="22"/>
          <w:sz w:val="20"/>
        </w:rPr>
        <w:t> </w:t>
      </w:r>
      <w:r>
        <w:rPr>
          <w:rFonts w:ascii="Arial" w:hAnsi="Arial"/>
          <w:i/>
          <w:sz w:val="20"/>
        </w:rPr>
        <w:t>EWHC 3353 (Comm) </w:t>
      </w:r>
      <w:r>
        <w:rPr>
          <w:sz w:val="20"/>
        </w:rPr>
        <w:t>at [62], quoted above, para.4-035.</w:t>
      </w:r>
    </w:p>
    <w:p>
      <w:pPr>
        <w:spacing w:after="0" w:line="235" w:lineRule="auto"/>
        <w:jc w:val="left"/>
        <w:rPr>
          <w:sz w:val="20"/>
        </w:rPr>
        <w:sectPr>
          <w:type w:val="continuous"/>
          <w:pgSz w:w="11900" w:h="16840"/>
          <w:pgMar w:header="971" w:footer="0" w:top="3760" w:bottom="280" w:left="1275" w:right="1275"/>
          <w:cols w:num="2" w:equalWidth="0">
            <w:col w:w="478" w:space="63"/>
            <w:col w:w="8809"/>
          </w:cols>
        </w:sectPr>
      </w:pPr>
    </w:p>
    <w:p>
      <w:pPr>
        <w:pStyle w:val="BodyText"/>
        <w:spacing w:before="5"/>
      </w:pPr>
    </w:p>
    <w:p>
      <w:pPr>
        <w:tabs>
          <w:tab w:pos="705" w:val="left" w:leader="none"/>
        </w:tabs>
        <w:spacing w:before="1"/>
        <w:ind w:left="165" w:right="0" w:firstLine="0"/>
        <w:jc w:val="left"/>
        <w:rPr>
          <w:sz w:val="20"/>
        </w:rPr>
      </w:pPr>
      <w:bookmarkStart w:name="_bookmark610" w:id="612"/>
      <w:bookmarkEnd w:id="612"/>
      <w:r>
        <w:rPr/>
      </w:r>
      <w:hyperlink w:history="true" w:anchor="_bookmark591">
        <w:r>
          <w:rPr>
            <w:color w:val="005DA1"/>
            <w:spacing w:val="-4"/>
            <w:position w:val="5"/>
            <w:sz w:val="14"/>
            <w:u w:val="single" w:color="005DA1"/>
          </w:rPr>
          <w:t>318</w:t>
        </w:r>
      </w:hyperlink>
      <w:r>
        <w:rPr>
          <w:spacing w:val="-4"/>
          <w:position w:val="5"/>
          <w:sz w:val="14"/>
        </w:rPr>
        <w:t>.</w:t>
      </w:r>
      <w:r>
        <w:rPr>
          <w:position w:val="5"/>
          <w:sz w:val="14"/>
        </w:rPr>
        <w:tab/>
      </w:r>
      <w:r>
        <w:rPr>
          <w:rFonts w:ascii="Arial"/>
          <w:i/>
          <w:sz w:val="20"/>
        </w:rPr>
        <w:t>(1886)</w:t>
      </w:r>
      <w:r>
        <w:rPr>
          <w:rFonts w:ascii="Arial"/>
          <w:i/>
          <w:spacing w:val="-1"/>
          <w:sz w:val="20"/>
        </w:rPr>
        <w:t> </w:t>
      </w:r>
      <w:r>
        <w:rPr>
          <w:rFonts w:ascii="Arial"/>
          <w:i/>
          <w:sz w:val="20"/>
        </w:rPr>
        <w:t>32 Ch.D. 267</w:t>
      </w:r>
      <w:r>
        <w:rPr>
          <w:sz w:val="20"/>
        </w:rPr>
        <w:t>; cf. </w:t>
      </w:r>
      <w:r>
        <w:rPr>
          <w:rFonts w:ascii="Arial"/>
          <w:i/>
          <w:sz w:val="20"/>
        </w:rPr>
        <w:t>Hunter v Bradford Property Trust Ltd, 1970 S.L.T. </w:t>
      </w:r>
      <w:r>
        <w:rPr>
          <w:rFonts w:ascii="Arial"/>
          <w:i/>
          <w:spacing w:val="-4"/>
          <w:sz w:val="20"/>
        </w:rPr>
        <w:t>173</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611" w:id="613"/>
      <w:bookmarkEnd w:id="613"/>
      <w:r>
        <w:rPr/>
      </w:r>
      <w:hyperlink w:history="true" w:anchor="_bookmark592">
        <w:r>
          <w:rPr>
            <w:color w:val="005DA1"/>
            <w:spacing w:val="-4"/>
            <w:position w:val="5"/>
            <w:sz w:val="14"/>
            <w:u w:val="single" w:color="005DA1"/>
          </w:rPr>
          <w:t>319</w:t>
        </w:r>
      </w:hyperlink>
      <w:r>
        <w:rPr>
          <w:spacing w:val="-4"/>
          <w:position w:val="5"/>
          <w:sz w:val="14"/>
        </w:rPr>
        <w:t>.</w:t>
      </w:r>
      <w:r>
        <w:rPr>
          <w:position w:val="5"/>
          <w:sz w:val="14"/>
        </w:rPr>
        <w:tab/>
      </w:r>
      <w:r>
        <w:rPr>
          <w:rFonts w:ascii="Arial"/>
          <w:i/>
          <w:sz w:val="20"/>
        </w:rPr>
        <w:t>(1886) 32 Ch.D. 267, </w:t>
      </w:r>
      <w:r>
        <w:rPr>
          <w:rFonts w:ascii="Arial"/>
          <w:i/>
          <w:spacing w:val="-4"/>
          <w:sz w:val="20"/>
        </w:rPr>
        <w:t>285</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612" w:id="614"/>
      <w:bookmarkEnd w:id="614"/>
      <w:r>
        <w:rPr/>
      </w:r>
      <w:hyperlink w:history="true" w:anchor="_bookmark593">
        <w:r>
          <w:rPr>
            <w:color w:val="005DA1"/>
            <w:spacing w:val="-4"/>
            <w:position w:val="5"/>
            <w:sz w:val="14"/>
            <w:u w:val="single" w:color="005DA1"/>
          </w:rPr>
          <w:t>320</w:t>
        </w:r>
      </w:hyperlink>
      <w:r>
        <w:rPr>
          <w:spacing w:val="-4"/>
          <w:position w:val="5"/>
          <w:sz w:val="14"/>
        </w:rPr>
        <w:t>.</w:t>
      </w:r>
      <w:r>
        <w:rPr>
          <w:position w:val="5"/>
          <w:sz w:val="14"/>
        </w:rPr>
        <w:tab/>
      </w:r>
      <w:r>
        <w:rPr>
          <w:sz w:val="20"/>
        </w:rPr>
        <w:t>ibid.</w:t>
      </w:r>
      <w:r>
        <w:rPr>
          <w:spacing w:val="40"/>
          <w:sz w:val="20"/>
        </w:rPr>
        <w:t> </w:t>
      </w:r>
      <w:r>
        <w:rPr>
          <w:sz w:val="20"/>
        </w:rPr>
        <w:t>at</w:t>
      </w:r>
      <w:r>
        <w:rPr>
          <w:spacing w:val="40"/>
          <w:sz w:val="20"/>
        </w:rPr>
        <w:t> </w:t>
      </w:r>
      <w:r>
        <w:rPr>
          <w:sz w:val="20"/>
        </w:rPr>
        <w:t>291;</w:t>
      </w:r>
      <w:r>
        <w:rPr>
          <w:spacing w:val="40"/>
          <w:sz w:val="20"/>
        </w:rPr>
        <w:t> </w:t>
      </w:r>
      <w:r>
        <w:rPr>
          <w:sz w:val="20"/>
        </w:rPr>
        <w:t>his</w:t>
      </w:r>
      <w:r>
        <w:rPr>
          <w:spacing w:val="40"/>
          <w:sz w:val="20"/>
        </w:rPr>
        <w:t> </w:t>
      </w:r>
      <w:r>
        <w:rPr>
          <w:sz w:val="20"/>
        </w:rPr>
        <w:t>view</w:t>
      </w:r>
      <w:r>
        <w:rPr>
          <w:spacing w:val="40"/>
          <w:sz w:val="20"/>
        </w:rPr>
        <w:t> </w:t>
      </w:r>
      <w:r>
        <w:rPr>
          <w:sz w:val="20"/>
        </w:rPr>
        <w:t>was</w:t>
      </w:r>
      <w:r>
        <w:rPr>
          <w:spacing w:val="40"/>
          <w:sz w:val="20"/>
        </w:rPr>
        <w:t> </w:t>
      </w:r>
      <w:r>
        <w:rPr>
          <w:sz w:val="20"/>
        </w:rPr>
        <w:t>approved</w:t>
      </w:r>
      <w:r>
        <w:rPr>
          <w:spacing w:val="40"/>
          <w:sz w:val="20"/>
        </w:rPr>
        <w:t> </w:t>
      </w:r>
      <w:r>
        <w:rPr>
          <w:sz w:val="20"/>
        </w:rPr>
        <w:t>by</w:t>
      </w:r>
      <w:r>
        <w:rPr>
          <w:spacing w:val="40"/>
          <w:sz w:val="20"/>
        </w:rPr>
        <w:t> </w:t>
      </w:r>
      <w:r>
        <w:rPr>
          <w:sz w:val="20"/>
        </w:rPr>
        <w:t>Lord</w:t>
      </w:r>
      <w:r>
        <w:rPr>
          <w:spacing w:val="40"/>
          <w:sz w:val="20"/>
        </w:rPr>
        <w:t> </w:t>
      </w:r>
      <w:r>
        <w:rPr>
          <w:sz w:val="20"/>
        </w:rPr>
        <w:t>Macnaghten</w:t>
      </w:r>
      <w:r>
        <w:rPr>
          <w:spacing w:val="40"/>
          <w:sz w:val="20"/>
        </w:rPr>
        <w:t> </w:t>
      </w:r>
      <w:r>
        <w:rPr>
          <w:sz w:val="20"/>
        </w:rPr>
        <w:t>in</w:t>
      </w:r>
      <w:r>
        <w:rPr>
          <w:spacing w:val="39"/>
          <w:sz w:val="20"/>
        </w:rPr>
        <w:t> </w:t>
      </w:r>
      <w:r>
        <w:rPr>
          <w:rFonts w:ascii="Arial"/>
          <w:i/>
          <w:sz w:val="20"/>
        </w:rPr>
        <w:t>Fullerton</w:t>
      </w:r>
      <w:r>
        <w:rPr>
          <w:rFonts w:ascii="Arial"/>
          <w:i/>
          <w:spacing w:val="40"/>
          <w:sz w:val="20"/>
        </w:rPr>
        <w:t> </w:t>
      </w:r>
      <w:r>
        <w:rPr>
          <w:rFonts w:ascii="Arial"/>
          <w:i/>
          <w:sz w:val="20"/>
        </w:rPr>
        <w:t>v</w:t>
      </w:r>
      <w:r>
        <w:rPr>
          <w:rFonts w:ascii="Arial"/>
          <w:i/>
          <w:spacing w:val="40"/>
          <w:sz w:val="20"/>
        </w:rPr>
        <w:t> </w:t>
      </w:r>
      <w:r>
        <w:rPr>
          <w:rFonts w:ascii="Arial"/>
          <w:i/>
          <w:sz w:val="20"/>
        </w:rPr>
        <w:t>Provincial</w:t>
      </w:r>
      <w:r>
        <w:rPr>
          <w:rFonts w:ascii="Arial"/>
          <w:i/>
          <w:spacing w:val="40"/>
          <w:sz w:val="20"/>
        </w:rPr>
        <w:t> </w:t>
      </w:r>
      <w:r>
        <w:rPr>
          <w:rFonts w:ascii="Arial"/>
          <w:i/>
          <w:sz w:val="20"/>
        </w:rPr>
        <w:t>Bank</w:t>
      </w:r>
      <w:r>
        <w:rPr>
          <w:rFonts w:ascii="Arial"/>
          <w:i/>
          <w:spacing w:val="40"/>
          <w:sz w:val="20"/>
        </w:rPr>
        <w:t> </w:t>
      </w:r>
      <w:r>
        <w:rPr>
          <w:rFonts w:ascii="Arial"/>
          <w:i/>
          <w:sz w:val="20"/>
        </w:rPr>
        <w:t>of Ireland [1903] A.C. 309, 314</w:t>
      </w:r>
      <w:r>
        <w:rPr>
          <w:sz w:val="20"/>
        </w:rPr>
        <w:t>.</w:t>
      </w:r>
    </w:p>
    <w:p>
      <w:pPr>
        <w:pStyle w:val="BodyText"/>
        <w:spacing w:before="6"/>
      </w:pPr>
    </w:p>
    <w:p>
      <w:pPr>
        <w:tabs>
          <w:tab w:pos="705" w:val="left" w:leader="none"/>
        </w:tabs>
        <w:spacing w:before="0"/>
        <w:ind w:left="165" w:right="0" w:firstLine="0"/>
        <w:jc w:val="left"/>
        <w:rPr>
          <w:sz w:val="20"/>
        </w:rPr>
      </w:pPr>
      <w:bookmarkStart w:name="_bookmark613" w:id="615"/>
      <w:bookmarkEnd w:id="615"/>
      <w:r>
        <w:rPr/>
      </w:r>
      <w:hyperlink w:history="true" w:anchor="_bookmark594">
        <w:r>
          <w:rPr>
            <w:color w:val="005DA1"/>
            <w:spacing w:val="-4"/>
            <w:position w:val="5"/>
            <w:sz w:val="14"/>
            <w:u w:val="single" w:color="005DA1"/>
          </w:rPr>
          <w:t>321</w:t>
        </w:r>
      </w:hyperlink>
      <w:r>
        <w:rPr>
          <w:spacing w:val="-4"/>
          <w:position w:val="5"/>
          <w:sz w:val="14"/>
        </w:rPr>
        <w:t>.</w:t>
      </w:r>
      <w:r>
        <w:rPr>
          <w:position w:val="5"/>
          <w:sz w:val="14"/>
        </w:rPr>
        <w:tab/>
      </w:r>
      <w:r>
        <w:rPr>
          <w:sz w:val="20"/>
        </w:rPr>
        <w:t>Above, para.4-</w:t>
      </w:r>
      <w:r>
        <w:rPr>
          <w:spacing w:val="-4"/>
          <w:sz w:val="20"/>
        </w:rPr>
        <w:t>048.</w:t>
      </w:r>
    </w:p>
    <w:p>
      <w:pPr>
        <w:pStyle w:val="BodyText"/>
        <w:spacing w:before="5"/>
      </w:pPr>
    </w:p>
    <w:p>
      <w:pPr>
        <w:tabs>
          <w:tab w:pos="705" w:val="left" w:leader="none"/>
        </w:tabs>
        <w:spacing w:before="0"/>
        <w:ind w:left="165" w:right="0" w:firstLine="0"/>
        <w:jc w:val="left"/>
        <w:rPr>
          <w:sz w:val="20"/>
        </w:rPr>
      </w:pPr>
      <w:bookmarkStart w:name="_bookmark614" w:id="616"/>
      <w:bookmarkEnd w:id="616"/>
      <w:r>
        <w:rPr/>
      </w:r>
      <w:hyperlink w:history="true" w:anchor="_bookmark595">
        <w:r>
          <w:rPr>
            <w:color w:val="005DA1"/>
            <w:spacing w:val="-4"/>
            <w:position w:val="5"/>
            <w:sz w:val="14"/>
            <w:u w:val="single" w:color="005DA1"/>
          </w:rPr>
          <w:t>322</w:t>
        </w:r>
      </w:hyperlink>
      <w:r>
        <w:rPr>
          <w:spacing w:val="-4"/>
          <w:position w:val="5"/>
          <w:sz w:val="14"/>
        </w:rPr>
        <w:t>.</w:t>
      </w:r>
      <w:r>
        <w:rPr>
          <w:position w:val="5"/>
          <w:sz w:val="14"/>
        </w:rPr>
        <w:tab/>
      </w:r>
      <w:r>
        <w:rPr>
          <w:rFonts w:ascii="Arial"/>
          <w:i/>
          <w:sz w:val="20"/>
        </w:rPr>
        <w:t>Alliance Bank v Broom (1864) 2 Dr. &amp; Sm. 289, </w:t>
      </w:r>
      <w:r>
        <w:rPr>
          <w:rFonts w:ascii="Arial"/>
          <w:i/>
          <w:spacing w:val="-4"/>
          <w:sz w:val="20"/>
        </w:rPr>
        <w:t>292</w:t>
      </w:r>
      <w:r>
        <w:rPr>
          <w:spacing w:val="-4"/>
          <w:sz w:val="20"/>
        </w:rPr>
        <w:t>.</w:t>
      </w:r>
    </w:p>
    <w:p>
      <w:pPr>
        <w:spacing w:after="0"/>
        <w:jc w:val="left"/>
        <w:rPr>
          <w:sz w:val="20"/>
        </w:rPr>
        <w:sectPr>
          <w:type w:val="continuous"/>
          <w:pgSz w:w="11900" w:h="16840"/>
          <w:pgMar w:header="971" w:footer="0" w:top="3760" w:bottom="280" w:left="1275" w:right="1275"/>
        </w:sectPr>
      </w:pPr>
    </w:p>
    <w:p>
      <w:pPr>
        <w:pStyle w:val="BodyText"/>
        <w:spacing w:before="81"/>
      </w:pPr>
    </w:p>
    <w:p>
      <w:pPr>
        <w:pStyle w:val="BodyText"/>
        <w:tabs>
          <w:tab w:pos="705" w:val="left" w:leader="none"/>
        </w:tabs>
        <w:ind w:left="165"/>
      </w:pPr>
      <w:bookmarkStart w:name="_bookmark615" w:id="617"/>
      <w:bookmarkEnd w:id="617"/>
      <w:r>
        <w:rPr/>
      </w:r>
      <w:hyperlink w:history="true" w:anchor="_bookmark596">
        <w:r>
          <w:rPr>
            <w:color w:val="005DA1"/>
            <w:spacing w:val="-4"/>
            <w:position w:val="5"/>
            <w:sz w:val="14"/>
            <w:u w:val="single" w:color="005DA1"/>
          </w:rPr>
          <w:t>323</w:t>
        </w:r>
      </w:hyperlink>
      <w:r>
        <w:rPr>
          <w:spacing w:val="-4"/>
          <w:position w:val="5"/>
          <w:sz w:val="14"/>
        </w:rPr>
        <w:t>.</w:t>
      </w:r>
      <w:r>
        <w:rPr>
          <w:position w:val="5"/>
          <w:sz w:val="14"/>
        </w:rPr>
        <w:tab/>
      </w:r>
      <w:r>
        <w:rPr/>
        <w:t>Or, which comes to the same thing, gives only past </w:t>
      </w:r>
      <w:r>
        <w:rPr>
          <w:spacing w:val="-2"/>
        </w:rPr>
        <w:t>consideration.</w:t>
      </w:r>
    </w:p>
    <w:p>
      <w:pPr>
        <w:pStyle w:val="BodyText"/>
        <w:spacing w:before="5"/>
      </w:pPr>
    </w:p>
    <w:p>
      <w:pPr>
        <w:tabs>
          <w:tab w:pos="705" w:val="left" w:leader="none"/>
        </w:tabs>
        <w:spacing w:before="0"/>
        <w:ind w:left="165" w:right="0" w:firstLine="0"/>
        <w:jc w:val="left"/>
        <w:rPr>
          <w:sz w:val="20"/>
        </w:rPr>
      </w:pPr>
      <w:bookmarkStart w:name="_bookmark616" w:id="618"/>
      <w:bookmarkEnd w:id="618"/>
      <w:r>
        <w:rPr/>
      </w:r>
      <w:hyperlink w:history="true" w:anchor="_bookmark597">
        <w:r>
          <w:rPr>
            <w:color w:val="005DA1"/>
            <w:spacing w:val="-4"/>
            <w:position w:val="5"/>
            <w:sz w:val="14"/>
            <w:u w:val="single" w:color="005DA1"/>
          </w:rPr>
          <w:t>324</w:t>
        </w:r>
      </w:hyperlink>
      <w:r>
        <w:rPr>
          <w:spacing w:val="-4"/>
          <w:position w:val="5"/>
          <w:sz w:val="14"/>
        </w:rPr>
        <w:t>.</w:t>
      </w:r>
      <w:r>
        <w:rPr>
          <w:position w:val="5"/>
          <w:sz w:val="14"/>
        </w:rPr>
        <w:tab/>
      </w:r>
      <w:r>
        <w:rPr>
          <w:sz w:val="20"/>
        </w:rPr>
        <w:t>Above, para.4-</w:t>
      </w:r>
      <w:r>
        <w:rPr>
          <w:spacing w:val="-4"/>
          <w:sz w:val="20"/>
        </w:rPr>
        <w:t>032.</w:t>
      </w:r>
    </w:p>
    <w:p>
      <w:pPr>
        <w:pStyle w:val="BodyText"/>
        <w:spacing w:before="5"/>
      </w:pPr>
    </w:p>
    <w:p>
      <w:pPr>
        <w:tabs>
          <w:tab w:pos="705" w:val="left" w:leader="none"/>
        </w:tabs>
        <w:spacing w:before="0"/>
        <w:ind w:left="165" w:right="0" w:firstLine="0"/>
        <w:jc w:val="left"/>
        <w:rPr>
          <w:sz w:val="20"/>
        </w:rPr>
      </w:pPr>
      <w:bookmarkStart w:name="_bookmark617" w:id="619"/>
      <w:bookmarkEnd w:id="619"/>
      <w:r>
        <w:rPr/>
      </w:r>
      <w:hyperlink w:history="true" w:anchor="_bookmark598">
        <w:r>
          <w:rPr>
            <w:color w:val="005DA1"/>
            <w:spacing w:val="-4"/>
            <w:position w:val="5"/>
            <w:sz w:val="14"/>
            <w:u w:val="single" w:color="005DA1"/>
          </w:rPr>
          <w:t>325</w:t>
        </w:r>
      </w:hyperlink>
      <w:r>
        <w:rPr>
          <w:spacing w:val="-4"/>
          <w:position w:val="5"/>
          <w:sz w:val="14"/>
        </w:rPr>
        <w:t>.</w:t>
      </w:r>
      <w:r>
        <w:rPr>
          <w:position w:val="5"/>
          <w:sz w:val="14"/>
        </w:rPr>
        <w:tab/>
      </w:r>
      <w:r>
        <w:rPr>
          <w:rFonts w:ascii="Arial"/>
          <w:i/>
          <w:sz w:val="20"/>
        </w:rPr>
        <w:t>[1909]</w:t>
      </w:r>
      <w:r>
        <w:rPr>
          <w:rFonts w:ascii="Arial"/>
          <w:i/>
          <w:spacing w:val="-1"/>
          <w:sz w:val="20"/>
        </w:rPr>
        <w:t> </w:t>
      </w:r>
      <w:r>
        <w:rPr>
          <w:rFonts w:ascii="Arial"/>
          <w:i/>
          <w:sz w:val="20"/>
        </w:rPr>
        <w:t>1 Ch. 291</w:t>
      </w:r>
      <w:r>
        <w:rPr>
          <w:sz w:val="20"/>
        </w:rPr>
        <w:t>; cf. </w:t>
      </w:r>
      <w:r>
        <w:rPr>
          <w:rFonts w:ascii="Arial"/>
          <w:i/>
          <w:sz w:val="20"/>
        </w:rPr>
        <w:t>Hopkins v Logan (1839) 5 M. &amp; W. </w:t>
      </w:r>
      <w:r>
        <w:rPr>
          <w:rFonts w:ascii="Arial"/>
          <w:i/>
          <w:spacing w:val="-4"/>
          <w:sz w:val="20"/>
        </w:rPr>
        <w:t>241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18" w:id="620"/>
      <w:bookmarkEnd w:id="620"/>
      <w:r>
        <w:rPr/>
      </w:r>
      <w:hyperlink w:history="true" w:anchor="_bookmark599">
        <w:r>
          <w:rPr>
            <w:color w:val="005DA1"/>
            <w:spacing w:val="-4"/>
            <w:position w:val="5"/>
            <w:sz w:val="14"/>
            <w:u w:val="single" w:color="005DA1"/>
          </w:rPr>
          <w:t>326</w:t>
        </w:r>
      </w:hyperlink>
      <w:r>
        <w:rPr>
          <w:spacing w:val="-4"/>
          <w:position w:val="5"/>
          <w:sz w:val="14"/>
        </w:rPr>
        <w:t>.</w:t>
      </w:r>
      <w:r>
        <w:rPr>
          <w:position w:val="5"/>
          <w:sz w:val="14"/>
        </w:rPr>
        <w:tab/>
      </w:r>
      <w:r>
        <w:rPr>
          <w:sz w:val="20"/>
        </w:rPr>
        <w:t>Above, para.4-</w:t>
      </w:r>
      <w:r>
        <w:rPr>
          <w:spacing w:val="-4"/>
          <w:sz w:val="20"/>
        </w:rPr>
        <w:t>032.</w:t>
      </w:r>
    </w:p>
    <w:p>
      <w:pPr>
        <w:pStyle w:val="BodyText"/>
        <w:spacing w:before="5"/>
      </w:pPr>
    </w:p>
    <w:p>
      <w:pPr>
        <w:tabs>
          <w:tab w:pos="705" w:val="left" w:leader="none"/>
        </w:tabs>
        <w:spacing w:before="0"/>
        <w:ind w:left="165" w:right="0" w:firstLine="0"/>
        <w:jc w:val="left"/>
        <w:rPr>
          <w:sz w:val="20"/>
        </w:rPr>
      </w:pPr>
      <w:bookmarkStart w:name="_bookmark619" w:id="621"/>
      <w:bookmarkEnd w:id="621"/>
      <w:r>
        <w:rPr/>
      </w:r>
      <w:hyperlink w:history="true" w:anchor="_bookmark600">
        <w:r>
          <w:rPr>
            <w:color w:val="005DA1"/>
            <w:spacing w:val="-4"/>
            <w:position w:val="5"/>
            <w:sz w:val="14"/>
            <w:u w:val="single" w:color="005DA1"/>
          </w:rPr>
          <w:t>327</w:t>
        </w:r>
      </w:hyperlink>
      <w:r>
        <w:rPr>
          <w:spacing w:val="-4"/>
          <w:position w:val="5"/>
          <w:sz w:val="14"/>
        </w:rPr>
        <w:t>.</w:t>
      </w:r>
      <w:r>
        <w:rPr>
          <w:position w:val="5"/>
          <w:sz w:val="14"/>
        </w:rPr>
        <w:tab/>
      </w:r>
      <w:r>
        <w:rPr>
          <w:rFonts w:ascii="Arial"/>
          <w:i/>
          <w:sz w:val="20"/>
        </w:rPr>
        <w:t>[1909]</w:t>
      </w:r>
      <w:r>
        <w:rPr>
          <w:rFonts w:ascii="Arial"/>
          <w:i/>
          <w:spacing w:val="-2"/>
          <w:sz w:val="20"/>
        </w:rPr>
        <w:t> </w:t>
      </w:r>
      <w:r>
        <w:rPr>
          <w:rFonts w:ascii="Arial"/>
          <w:i/>
          <w:sz w:val="20"/>
        </w:rPr>
        <w:t>1 Ch. 291</w:t>
      </w:r>
      <w:r>
        <w:rPr>
          <w:rFonts w:ascii="Arial"/>
          <w:i/>
          <w:spacing w:val="-1"/>
          <w:sz w:val="20"/>
        </w:rPr>
        <w:t> </w:t>
      </w:r>
      <w:r>
        <w:rPr>
          <w:sz w:val="20"/>
        </w:rPr>
        <w:t>at </w:t>
      </w:r>
      <w:r>
        <w:rPr>
          <w:spacing w:val="-4"/>
          <w:sz w:val="20"/>
        </w:rPr>
        <w:t>298.</w:t>
      </w:r>
    </w:p>
    <w:p>
      <w:pPr>
        <w:pStyle w:val="BodyText"/>
        <w:spacing w:before="5"/>
      </w:pPr>
    </w:p>
    <w:p>
      <w:pPr>
        <w:tabs>
          <w:tab w:pos="705" w:val="left" w:leader="none"/>
        </w:tabs>
        <w:spacing w:before="0"/>
        <w:ind w:left="165" w:right="0" w:firstLine="0"/>
        <w:jc w:val="left"/>
        <w:rPr>
          <w:sz w:val="20"/>
        </w:rPr>
      </w:pPr>
      <w:bookmarkStart w:name="_bookmark620" w:id="622"/>
      <w:bookmarkEnd w:id="622"/>
      <w:r>
        <w:rPr/>
      </w:r>
      <w:hyperlink w:history="true" w:anchor="_bookmark601">
        <w:r>
          <w:rPr>
            <w:color w:val="005DA1"/>
            <w:spacing w:val="-4"/>
            <w:position w:val="5"/>
            <w:sz w:val="14"/>
            <w:u w:val="single" w:color="005DA1"/>
          </w:rPr>
          <w:t>328</w:t>
        </w:r>
      </w:hyperlink>
      <w:r>
        <w:rPr>
          <w:spacing w:val="-4"/>
          <w:position w:val="5"/>
          <w:sz w:val="14"/>
        </w:rPr>
        <w:t>.</w:t>
      </w:r>
      <w:r>
        <w:rPr>
          <w:position w:val="5"/>
          <w:sz w:val="14"/>
        </w:rPr>
        <w:tab/>
      </w:r>
      <w:r>
        <w:rPr>
          <w:rFonts w:ascii="Arial"/>
          <w:i/>
          <w:sz w:val="20"/>
        </w:rPr>
        <w:t>Crears v Hunter (1887) 19 Q.B.D. 341, </w:t>
      </w:r>
      <w:r>
        <w:rPr>
          <w:rFonts w:ascii="Arial"/>
          <w:i/>
          <w:spacing w:val="-4"/>
          <w:sz w:val="20"/>
        </w:rPr>
        <w:t>344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21" w:id="623"/>
      <w:bookmarkEnd w:id="623"/>
      <w:r>
        <w:rPr/>
      </w:r>
      <w:hyperlink w:history="true" w:anchor="_bookmark601">
        <w:r>
          <w:rPr>
            <w:color w:val="005DA1"/>
            <w:spacing w:val="-4"/>
            <w:position w:val="5"/>
            <w:sz w:val="14"/>
            <w:u w:val="single" w:color="005DA1"/>
          </w:rPr>
          <w:t>329</w:t>
        </w:r>
      </w:hyperlink>
      <w:r>
        <w:rPr>
          <w:spacing w:val="-4"/>
          <w:position w:val="5"/>
          <w:sz w:val="14"/>
        </w:rPr>
        <w:t>.</w:t>
      </w:r>
      <w:r>
        <w:rPr>
          <w:position w:val="5"/>
          <w:sz w:val="14"/>
        </w:rPr>
        <w:tab/>
      </w:r>
      <w:r>
        <w:rPr>
          <w:rFonts w:ascii="Arial"/>
          <w:i/>
          <w:sz w:val="20"/>
        </w:rPr>
        <w:t>(1864)</w:t>
      </w:r>
      <w:r>
        <w:rPr>
          <w:rFonts w:ascii="Arial"/>
          <w:i/>
          <w:spacing w:val="-1"/>
          <w:sz w:val="20"/>
        </w:rPr>
        <w:t> </w:t>
      </w:r>
      <w:r>
        <w:rPr>
          <w:rFonts w:ascii="Arial"/>
          <w:i/>
          <w:sz w:val="20"/>
        </w:rPr>
        <w:t>2 Dr. &amp; Sm. 289</w:t>
      </w:r>
      <w:r>
        <w:rPr>
          <w:sz w:val="20"/>
        </w:rPr>
        <w:t>; above, para.4-</w:t>
      </w:r>
      <w:r>
        <w:rPr>
          <w:spacing w:val="-4"/>
          <w:sz w:val="20"/>
        </w:rPr>
        <w:t>058.</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4752">
            <wp:simplePos x="0" y="0"/>
            <wp:positionH relativeFrom="page">
              <wp:posOffset>1257846</wp:posOffset>
            </wp:positionH>
            <wp:positionV relativeFrom="paragraph">
              <wp:posOffset>160336</wp:posOffset>
            </wp:positionV>
            <wp:extent cx="107988" cy="107988"/>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622" w:id="624"/>
      <w:bookmarkEnd w:id="624"/>
      <w:r>
        <w:rPr/>
      </w:r>
      <w:hyperlink w:history="true" w:anchor="_bookmark602">
        <w:r>
          <w:rPr>
            <w:color w:val="005DA1"/>
            <w:spacing w:val="-4"/>
            <w:sz w:val="14"/>
            <w:u w:val="single" w:color="005DA1"/>
          </w:rPr>
          <w:t>330</w:t>
        </w:r>
      </w:hyperlink>
      <w:r>
        <w:rPr>
          <w:spacing w:val="-4"/>
          <w:sz w:val="14"/>
        </w:rPr>
        <w:t>.</w:t>
      </w:r>
    </w:p>
    <w:p>
      <w:pPr>
        <w:spacing w:line="235" w:lineRule="auto" w:before="212"/>
        <w:ind w:left="165" w:right="168" w:firstLine="170"/>
        <w:jc w:val="both"/>
        <w:rPr>
          <w:sz w:val="20"/>
        </w:rPr>
      </w:pPr>
      <w:r>
        <w:rPr/>
        <w:br w:type="column"/>
      </w:r>
      <w:r>
        <w:rPr>
          <w:rFonts w:ascii="Arial" w:hAnsi="Arial"/>
          <w:i/>
          <w:sz w:val="20"/>
        </w:rPr>
        <w:t>Fullerton v Provincial Bank of Ireland [1903] A.C. 309, 313</w:t>
      </w:r>
      <w:r>
        <w:rPr>
          <w:sz w:val="20"/>
        </w:rPr>
        <w:t>. For the sufficiency of an implied request</w:t>
      </w:r>
      <w:r>
        <w:rPr>
          <w:spacing w:val="-1"/>
          <w:sz w:val="20"/>
        </w:rPr>
        <w:t> </w:t>
      </w:r>
      <w:r>
        <w:rPr>
          <w:sz w:val="20"/>
        </w:rPr>
        <w:t>from</w:t>
      </w:r>
      <w:r>
        <w:rPr>
          <w:spacing w:val="-1"/>
          <w:sz w:val="20"/>
        </w:rPr>
        <w:t> </w:t>
      </w:r>
      <w:r>
        <w:rPr>
          <w:sz w:val="20"/>
        </w:rPr>
        <w:t>the</w:t>
      </w:r>
      <w:r>
        <w:rPr>
          <w:spacing w:val="-1"/>
          <w:sz w:val="20"/>
        </w:rPr>
        <w:t> </w:t>
      </w:r>
      <w:r>
        <w:rPr>
          <w:sz w:val="20"/>
        </w:rPr>
        <w:t>debtor</w:t>
      </w:r>
      <w:r>
        <w:rPr>
          <w:spacing w:val="-1"/>
          <w:sz w:val="20"/>
        </w:rPr>
        <w:t> </w:t>
      </w:r>
      <w:r>
        <w:rPr>
          <w:sz w:val="20"/>
        </w:rPr>
        <w:t>for</w:t>
      </w:r>
      <w:r>
        <w:rPr>
          <w:spacing w:val="-1"/>
          <w:sz w:val="20"/>
        </w:rPr>
        <w:t> </w:t>
      </w:r>
      <w:r>
        <w:rPr>
          <w:sz w:val="20"/>
        </w:rPr>
        <w:t>the</w:t>
      </w:r>
      <w:r>
        <w:rPr>
          <w:spacing w:val="-1"/>
          <w:sz w:val="20"/>
        </w:rPr>
        <w:t> </w:t>
      </w:r>
      <w:r>
        <w:rPr>
          <w:sz w:val="20"/>
        </w:rPr>
        <w:t>creditor’s</w:t>
      </w:r>
      <w:r>
        <w:rPr>
          <w:spacing w:val="-1"/>
          <w:sz w:val="20"/>
        </w:rPr>
        <w:t> </w:t>
      </w:r>
      <w:r>
        <w:rPr>
          <w:sz w:val="20"/>
        </w:rPr>
        <w:t>forbearance,</w:t>
      </w:r>
      <w:r>
        <w:rPr>
          <w:spacing w:val="-1"/>
          <w:sz w:val="20"/>
        </w:rPr>
        <w:t> </w:t>
      </w:r>
      <w:r>
        <w:rPr>
          <w:sz w:val="20"/>
        </w:rPr>
        <w:t>see</w:t>
      </w:r>
      <w:r>
        <w:rPr>
          <w:spacing w:val="-1"/>
          <w:sz w:val="20"/>
        </w:rPr>
        <w:t> </w:t>
      </w:r>
      <w:r>
        <w:rPr>
          <w:sz w:val="20"/>
        </w:rPr>
        <w:t>also</w:t>
      </w:r>
      <w:r>
        <w:rPr>
          <w:spacing w:val="-1"/>
          <w:sz w:val="20"/>
        </w:rPr>
        <w:t> </w:t>
      </w:r>
      <w:r>
        <w:rPr>
          <w:rFonts w:ascii="Arial" w:hAnsi="Arial"/>
          <w:i/>
          <w:sz w:val="20"/>
        </w:rPr>
        <w:t>Banque</w:t>
      </w:r>
      <w:r>
        <w:rPr>
          <w:rFonts w:ascii="Arial" w:hAnsi="Arial"/>
          <w:i/>
          <w:spacing w:val="-1"/>
          <w:sz w:val="20"/>
        </w:rPr>
        <w:t> </w:t>
      </w:r>
      <w:r>
        <w:rPr>
          <w:rFonts w:ascii="Arial" w:hAnsi="Arial"/>
          <w:i/>
          <w:sz w:val="20"/>
        </w:rPr>
        <w:t>Cantonale</w:t>
      </w:r>
      <w:r>
        <w:rPr>
          <w:rFonts w:ascii="Arial" w:hAnsi="Arial"/>
          <w:i/>
          <w:spacing w:val="-1"/>
          <w:sz w:val="20"/>
        </w:rPr>
        <w:t> </w:t>
      </w:r>
      <w:r>
        <w:rPr>
          <w:rFonts w:ascii="Arial" w:hAnsi="Arial"/>
          <w:i/>
          <w:sz w:val="20"/>
        </w:rPr>
        <w:t>de</w:t>
      </w:r>
      <w:r>
        <w:rPr>
          <w:rFonts w:ascii="Arial" w:hAnsi="Arial"/>
          <w:i/>
          <w:spacing w:val="-1"/>
          <w:sz w:val="20"/>
        </w:rPr>
        <w:t> </w:t>
      </w:r>
      <w:r>
        <w:rPr>
          <w:rFonts w:ascii="Arial" w:hAnsi="Arial"/>
          <w:i/>
          <w:sz w:val="20"/>
        </w:rPr>
        <w:t>Genève</w:t>
      </w:r>
      <w:r>
        <w:rPr>
          <w:rFonts w:ascii="Arial" w:hAnsi="Arial"/>
          <w:i/>
          <w:spacing w:val="-1"/>
          <w:sz w:val="20"/>
        </w:rPr>
        <w:t> </w:t>
      </w:r>
      <w:r>
        <w:rPr>
          <w:rFonts w:ascii="Arial" w:hAnsi="Arial"/>
          <w:i/>
          <w:sz w:val="20"/>
        </w:rPr>
        <w:t>v Sanomi [2016] EWHC 3353 (Comm) </w:t>
      </w:r>
      <w:r>
        <w:rPr>
          <w:sz w:val="20"/>
        </w:rPr>
        <w:t>at [60].</w:t>
      </w:r>
    </w:p>
    <w:p>
      <w:pPr>
        <w:spacing w:after="0" w:line="235" w:lineRule="auto"/>
        <w:jc w:val="both"/>
        <w:rPr>
          <w:sz w:val="20"/>
        </w:rPr>
        <w:sectPr>
          <w:type w:val="continuous"/>
          <w:pgSz w:w="11900" w:h="16840"/>
          <w:pgMar w:header="971" w:footer="0" w:top="376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623" w:id="625"/>
      <w:bookmarkEnd w:id="625"/>
      <w:r>
        <w:rPr/>
      </w:r>
      <w:hyperlink w:history="true" w:anchor="_bookmark603">
        <w:r>
          <w:rPr>
            <w:color w:val="005DA1"/>
            <w:spacing w:val="-4"/>
            <w:position w:val="5"/>
            <w:sz w:val="14"/>
            <w:u w:val="single" w:color="005DA1"/>
          </w:rPr>
          <w:t>331</w:t>
        </w:r>
      </w:hyperlink>
      <w:r>
        <w:rPr>
          <w:spacing w:val="-4"/>
          <w:position w:val="5"/>
          <w:sz w:val="14"/>
        </w:rPr>
        <w:t>.</w:t>
      </w:r>
      <w:r>
        <w:rPr>
          <w:position w:val="5"/>
          <w:sz w:val="14"/>
        </w:rPr>
        <w:tab/>
      </w:r>
      <w:r>
        <w:rPr>
          <w:rFonts w:ascii="Arial"/>
          <w:i/>
          <w:sz w:val="20"/>
        </w:rPr>
        <w:t>[1951]</w:t>
      </w:r>
      <w:r>
        <w:rPr>
          <w:rFonts w:ascii="Arial"/>
          <w:i/>
          <w:spacing w:val="-2"/>
          <w:sz w:val="20"/>
        </w:rPr>
        <w:t> </w:t>
      </w:r>
      <w:r>
        <w:rPr>
          <w:rFonts w:ascii="Arial"/>
          <w:i/>
          <w:sz w:val="20"/>
        </w:rPr>
        <w:t>2 K.B. </w:t>
      </w:r>
      <w:r>
        <w:rPr>
          <w:rFonts w:ascii="Arial"/>
          <w:i/>
          <w:spacing w:val="-4"/>
          <w:sz w:val="20"/>
        </w:rPr>
        <w:t>215</w:t>
      </w:r>
      <w:r>
        <w:rPr>
          <w:spacing w:val="-4"/>
          <w:sz w:val="20"/>
        </w:rPr>
        <w:t>.</w:t>
      </w:r>
    </w:p>
    <w:p>
      <w:pPr>
        <w:pStyle w:val="BodyText"/>
        <w:spacing w:before="9"/>
      </w:pPr>
    </w:p>
    <w:p>
      <w:pPr>
        <w:pStyle w:val="BodyText"/>
        <w:spacing w:line="235" w:lineRule="auto"/>
        <w:ind w:left="705" w:right="167" w:hanging="541"/>
        <w:jc w:val="both"/>
      </w:pPr>
      <w:bookmarkStart w:name="_bookmark624" w:id="626"/>
      <w:bookmarkEnd w:id="626"/>
      <w:r>
        <w:rPr/>
      </w:r>
      <w:hyperlink w:history="true" w:anchor="_bookmark604">
        <w:r>
          <w:rPr>
            <w:color w:val="005DA1"/>
            <w:position w:val="5"/>
            <w:sz w:val="14"/>
            <w:u w:val="single" w:color="005DA1"/>
          </w:rPr>
          <w:t>332</w:t>
        </w:r>
      </w:hyperlink>
      <w:r>
        <w:rPr>
          <w:position w:val="5"/>
          <w:sz w:val="14"/>
        </w:rPr>
        <w:t>.</w:t>
      </w:r>
      <w:r>
        <w:rPr>
          <w:spacing w:val="80"/>
          <w:w w:val="150"/>
          <w:position w:val="5"/>
          <w:sz w:val="14"/>
        </w:rPr>
        <w:t> </w:t>
      </w:r>
      <w:r>
        <w:rPr/>
        <w:t>Quaere whether such a request should not have been implied. On the question whether </w:t>
      </w:r>
      <w:r>
        <w:rPr/>
        <w:t>a “request” is necessary, see A.L.G. (1951) 67 L.Q.R. 456; Smith (1953) 69 L.Q.R. 99. It seems that</w:t>
      </w:r>
      <w:r>
        <w:rPr>
          <w:spacing w:val="-1"/>
        </w:rPr>
        <w:t> </w:t>
      </w:r>
      <w:r>
        <w:rPr/>
        <w:t>in</w:t>
      </w:r>
      <w:r>
        <w:rPr>
          <w:spacing w:val="-1"/>
        </w:rPr>
        <w:t> </w:t>
      </w:r>
      <w:r>
        <w:rPr/>
        <w:t>the</w:t>
      </w:r>
      <w:r>
        <w:rPr>
          <w:spacing w:val="-1"/>
        </w:rPr>
        <w:t> </w:t>
      </w:r>
      <w:r>
        <w:rPr/>
        <w:t>present</w:t>
      </w:r>
      <w:r>
        <w:rPr>
          <w:spacing w:val="-1"/>
        </w:rPr>
        <w:t> </w:t>
      </w:r>
      <w:r>
        <w:rPr/>
        <w:t>type</w:t>
      </w:r>
      <w:r>
        <w:rPr>
          <w:spacing w:val="-1"/>
        </w:rPr>
        <w:t> </w:t>
      </w:r>
      <w:r>
        <w:rPr/>
        <w:t>of</w:t>
      </w:r>
      <w:r>
        <w:rPr>
          <w:spacing w:val="-1"/>
        </w:rPr>
        <w:t> </w:t>
      </w:r>
      <w:r>
        <w:rPr/>
        <w:t>case,</w:t>
      </w:r>
      <w:r>
        <w:rPr>
          <w:spacing w:val="-1"/>
        </w:rPr>
        <w:t> </w:t>
      </w:r>
      <w:r>
        <w:rPr/>
        <w:t>involving</w:t>
      </w:r>
      <w:r>
        <w:rPr>
          <w:spacing w:val="-1"/>
        </w:rPr>
        <w:t> </w:t>
      </w:r>
      <w:r>
        <w:rPr/>
        <w:t>a</w:t>
      </w:r>
      <w:r>
        <w:rPr>
          <w:spacing w:val="-1"/>
        </w:rPr>
        <w:t> </w:t>
      </w:r>
      <w:r>
        <w:rPr/>
        <w:t>forbearance</w:t>
      </w:r>
      <w:r>
        <w:rPr>
          <w:spacing w:val="-1"/>
        </w:rPr>
        <w:t> </w:t>
      </w:r>
      <w:r>
        <w:rPr/>
        <w:t>to</w:t>
      </w:r>
      <w:r>
        <w:rPr>
          <w:spacing w:val="-1"/>
        </w:rPr>
        <w:t> </w:t>
      </w:r>
      <w:r>
        <w:rPr/>
        <w:t>sue,</w:t>
      </w:r>
      <w:r>
        <w:rPr>
          <w:spacing w:val="-1"/>
        </w:rPr>
        <w:t> </w:t>
      </w:r>
      <w:r>
        <w:rPr/>
        <w:t>a</w:t>
      </w:r>
      <w:r>
        <w:rPr>
          <w:spacing w:val="-1"/>
        </w:rPr>
        <w:t> </w:t>
      </w:r>
      <w:r>
        <w:rPr/>
        <w:t>request</w:t>
      </w:r>
      <w:r>
        <w:rPr>
          <w:spacing w:val="-1"/>
        </w:rPr>
        <w:t> </w:t>
      </w:r>
      <w:r>
        <w:rPr/>
        <w:t>is</w:t>
      </w:r>
      <w:r>
        <w:rPr>
          <w:spacing w:val="-1"/>
        </w:rPr>
        <w:t> </w:t>
      </w:r>
      <w:r>
        <w:rPr/>
        <w:t>necessary,</w:t>
      </w:r>
      <w:r>
        <w:rPr>
          <w:spacing w:val="-1"/>
        </w:rPr>
        <w:t> </w:t>
      </w:r>
      <w:r>
        <w:rPr/>
        <w:t>whether or not this is true of unilateral contracts generally. As to this, see </w:t>
      </w:r>
      <w:r>
        <w:rPr>
          <w:rFonts w:ascii="Arial" w:hAnsi="Arial"/>
          <w:i/>
        </w:rPr>
        <w:t>Australian Woollen Mills Pty Ltd v The Commonwealth (1954) 92 C.L.R. 424</w:t>
      </w:r>
      <w:r>
        <w:rPr/>
        <w:t>, especially at 457–460.</w:t>
      </w:r>
    </w:p>
    <w:p>
      <w:pPr>
        <w:pStyle w:val="BodyText"/>
        <w:spacing w:before="191"/>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37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727" w:right="2730"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81632">
                <wp:simplePos x="0" y="0"/>
                <wp:positionH relativeFrom="page">
                  <wp:posOffset>4707940</wp:posOffset>
                </wp:positionH>
                <wp:positionV relativeFrom="paragraph">
                  <wp:posOffset>377436</wp:posOffset>
                </wp:positionV>
                <wp:extent cx="4254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4848" from="370.70401pt,29.719406pt" to="374.04001pt,29.719406pt" stroked="true" strokeweight=".428pt" strokecolor="#005da1">
                <v:stroke dashstyle="solid"/>
                <w10:wrap type="none"/>
              </v:line>
            </w:pict>
          </mc:Fallback>
        </mc:AlternateContent>
      </w: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4 - Consideration </w:t>
      </w:r>
      <w:r>
        <w:rPr>
          <w:rFonts w:ascii="Arial"/>
          <w:b/>
          <w:color w:val="005DA1"/>
          <w:position w:val="11"/>
          <w:sz w:val="12"/>
        </w:rPr>
        <w:t>1</w:t>
      </w:r>
    </w:p>
    <w:p>
      <w:pPr>
        <w:spacing w:before="2"/>
        <w:ind w:left="940" w:right="943" w:firstLine="0"/>
        <w:jc w:val="center"/>
        <w:rPr>
          <w:rFonts w:ascii="Arial"/>
          <w:b/>
          <w:position w:val="11"/>
          <w:sz w:val="12"/>
        </w:rPr>
      </w:pPr>
      <w:r>
        <w:rPr>
          <w:rFonts w:ascii="Arial"/>
          <w:b/>
          <w:sz w:val="24"/>
        </w:rPr>
        <w:t>Section 8. - Existing Duties as Consideration </w:t>
      </w:r>
      <w:r>
        <w:rPr>
          <w:rFonts w:ascii="Arial"/>
          <w:b/>
          <w:color w:val="005DA1"/>
          <w:spacing w:val="-5"/>
          <w:position w:val="11"/>
          <w:sz w:val="12"/>
          <w:u w:val="single" w:color="005DA1"/>
        </w:rPr>
        <w:t>333</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General</w:t>
      </w:r>
    </w:p>
    <w:p>
      <w:pPr>
        <w:pStyle w:val="BodyText"/>
        <w:spacing w:before="41"/>
        <w:rPr>
          <w:rFonts w:ascii="Arial"/>
          <w:b/>
          <w:sz w:val="18"/>
        </w:rPr>
      </w:pPr>
    </w:p>
    <w:p>
      <w:pPr>
        <w:pStyle w:val="Heading2"/>
      </w:pPr>
      <w:r>
        <w:rPr/>
        <w:t>4-</w:t>
      </w:r>
      <w:r>
        <w:rPr>
          <w:spacing w:val="-5"/>
        </w:rPr>
        <w:t>062</w:t>
      </w:r>
    </w:p>
    <w:p>
      <w:pPr>
        <w:pStyle w:val="BodyText"/>
        <w:spacing w:line="235" w:lineRule="auto" w:before="203"/>
        <w:ind w:left="164" w:right="167"/>
        <w:jc w:val="both"/>
      </w:pPr>
      <w:r>
        <w:rPr/>
        <w:t>Much difficulty arises in determining whether a person who does, or promises to do, what he </w:t>
      </w:r>
      <w:r>
        <w:rPr/>
        <w:t>is already in law bound to do thereby provides consideration for a promise made to him. One possible </w:t>
      </w:r>
      <w:bookmarkStart w:name="_bookmark625" w:id="627"/>
      <w:bookmarkEnd w:id="627"/>
      <w:r>
        <w:rPr/>
        <w:t>view</w:t>
      </w:r>
      <w:r>
        <w:rPr/>
        <w:t> is that, as he was already legally bound to do the thing in question, his doing, or promising to do, </w:t>
      </w:r>
      <w:bookmarkStart w:name="_bookmark626" w:id="628"/>
      <w:bookmarkEnd w:id="628"/>
      <w:r>
        <w:rPr/>
        <w:t>it</w:t>
      </w:r>
      <w:r>
        <w:rPr/>
        <w:t> has no “value in the eye of the law” </w:t>
      </w:r>
      <w:r>
        <w:rPr>
          <w:color w:val="005DA1"/>
          <w:u w:val="single" w:color="005DA1"/>
          <w:vertAlign w:val="superscript"/>
        </w:rPr>
        <w:t>334</w:t>
      </w:r>
      <w:r>
        <w:rPr>
          <w:vertAlign w:val="baseline"/>
        </w:rPr>
        <w:t>: hence it cannot amount to a legal detriment to him, or to a legal benefit </w:t>
      </w:r>
      <w:r>
        <w:rPr>
          <w:color w:val="005DA1"/>
          <w:u w:val="single" w:color="005DA1"/>
          <w:vertAlign w:val="superscript"/>
        </w:rPr>
        <w:t>335</w:t>
      </w:r>
      <w:r>
        <w:rPr>
          <w:color w:val="005DA1"/>
          <w:vertAlign w:val="baseline"/>
        </w:rPr>
        <w:t> </w:t>
      </w:r>
      <w:r>
        <w:rPr>
          <w:vertAlign w:val="baseline"/>
        </w:rPr>
        <w:t>to the person already entitled to performance. On the other hand the actual performance of the legal duty may amount to a factual detriment or benefit: it may be a detriment to the party performing the duty since actual performance may be more troublesome to him than the payment of (or the risk of being sued for) damages; while the other party may benefit in the sense of finding</w:t>
      </w:r>
      <w:r>
        <w:rPr>
          <w:spacing w:val="20"/>
          <w:vertAlign w:val="baseline"/>
        </w:rPr>
        <w:t> </w:t>
      </w:r>
      <w:r>
        <w:rPr>
          <w:vertAlign w:val="baseline"/>
        </w:rPr>
        <w:t>his</w:t>
      </w:r>
      <w:r>
        <w:rPr>
          <w:spacing w:val="22"/>
          <w:vertAlign w:val="baseline"/>
        </w:rPr>
        <w:t> </w:t>
      </w:r>
      <w:r>
        <w:rPr>
          <w:vertAlign w:val="baseline"/>
        </w:rPr>
        <w:t>legal</w:t>
      </w:r>
      <w:r>
        <w:rPr>
          <w:spacing w:val="22"/>
          <w:vertAlign w:val="baseline"/>
        </w:rPr>
        <w:t> </w:t>
      </w:r>
      <w:r>
        <w:rPr>
          <w:vertAlign w:val="baseline"/>
        </w:rPr>
        <w:t>remedy</w:t>
      </w:r>
      <w:r>
        <w:rPr>
          <w:spacing w:val="22"/>
          <w:vertAlign w:val="baseline"/>
        </w:rPr>
        <w:t> </w:t>
      </w:r>
      <w:r>
        <w:rPr>
          <w:vertAlign w:val="baseline"/>
        </w:rPr>
        <w:t>for</w:t>
      </w:r>
      <w:r>
        <w:rPr>
          <w:spacing w:val="22"/>
          <w:vertAlign w:val="baseline"/>
        </w:rPr>
        <w:t> </w:t>
      </w:r>
      <w:r>
        <w:rPr>
          <w:vertAlign w:val="baseline"/>
        </w:rPr>
        <w:t>breach</w:t>
      </w:r>
      <w:r>
        <w:rPr>
          <w:spacing w:val="22"/>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duty</w:t>
      </w:r>
      <w:r>
        <w:rPr>
          <w:spacing w:val="22"/>
          <w:vertAlign w:val="baseline"/>
        </w:rPr>
        <w:t> </w:t>
      </w:r>
      <w:r>
        <w:rPr>
          <w:vertAlign w:val="baseline"/>
        </w:rPr>
        <w:t>less</w:t>
      </w:r>
      <w:r>
        <w:rPr>
          <w:spacing w:val="22"/>
          <w:vertAlign w:val="baseline"/>
        </w:rPr>
        <w:t> </w:t>
      </w:r>
      <w:r>
        <w:rPr>
          <w:vertAlign w:val="baseline"/>
        </w:rPr>
        <w:t>beneficial</w:t>
      </w:r>
      <w:r>
        <w:rPr>
          <w:spacing w:val="22"/>
          <w:vertAlign w:val="baseline"/>
        </w:rPr>
        <w:t> </w:t>
      </w:r>
      <w:r>
        <w:rPr>
          <w:vertAlign w:val="baseline"/>
        </w:rPr>
        <w:t>than</w:t>
      </w:r>
      <w:r>
        <w:rPr>
          <w:spacing w:val="22"/>
          <w:vertAlign w:val="baseline"/>
        </w:rPr>
        <w:t> </w:t>
      </w:r>
      <w:r>
        <w:rPr>
          <w:vertAlign w:val="baseline"/>
        </w:rPr>
        <w:t>its</w:t>
      </w:r>
      <w:r>
        <w:rPr>
          <w:spacing w:val="22"/>
          <w:vertAlign w:val="baseline"/>
        </w:rPr>
        <w:t> </w:t>
      </w:r>
      <w:r>
        <w:rPr>
          <w:vertAlign w:val="baseline"/>
        </w:rPr>
        <w:t>actual</w:t>
      </w:r>
      <w:r>
        <w:rPr>
          <w:spacing w:val="22"/>
          <w:vertAlign w:val="baseline"/>
        </w:rPr>
        <w:t> </w:t>
      </w:r>
      <w:r>
        <w:rPr>
          <w:vertAlign w:val="baseline"/>
        </w:rPr>
        <w:t>performance.</w:t>
      </w:r>
      <w:r>
        <w:rPr>
          <w:spacing w:val="22"/>
          <w:vertAlign w:val="baseline"/>
        </w:rPr>
        <w:t> </w:t>
      </w:r>
      <w:r>
        <w:rPr>
          <w:spacing w:val="-2"/>
          <w:vertAlign w:val="baseline"/>
        </w:rPr>
        <w:t>Denning</w:t>
      </w:r>
    </w:p>
    <w:p>
      <w:pPr>
        <w:pStyle w:val="BodyText"/>
        <w:spacing w:line="235" w:lineRule="auto"/>
        <w:ind w:left="164" w:right="167"/>
        <w:jc w:val="both"/>
      </w:pPr>
      <w:bookmarkStart w:name="_bookmark627" w:id="629"/>
      <w:bookmarkEnd w:id="629"/>
      <w:r>
        <w:rPr/>
      </w:r>
      <w:r>
        <w:rPr/>
        <w:t>L.J. has therefore said that the performance of an existing duty, or the promise to perform it, </w:t>
      </w:r>
      <w:r>
        <w:rPr/>
        <w:t>was always good consideration. </w:t>
      </w:r>
      <w:r>
        <w:rPr>
          <w:color w:val="005DA1"/>
          <w:u w:val="single" w:color="005DA1"/>
          <w:vertAlign w:val="superscript"/>
        </w:rPr>
        <w:t>336</w:t>
      </w:r>
      <w:r>
        <w:rPr>
          <w:color w:val="005DA1"/>
          <w:vertAlign w:val="baseline"/>
        </w:rPr>
        <w:t> </w:t>
      </w:r>
      <w:r>
        <w:rPr>
          <w:vertAlign w:val="baseline"/>
        </w:rPr>
        <w:t>This radical view has not been accepted; but the requirement of </w:t>
      </w:r>
      <w:bookmarkStart w:name="_bookmark628" w:id="630"/>
      <w:bookmarkEnd w:id="630"/>
      <w:r>
        <w:rPr>
          <w:vertAlign w:val="baseline"/>
        </w:rPr>
        <w:t>consideration</w:t>
      </w:r>
      <w:r>
        <w:rPr>
          <w:vertAlign w:val="baseline"/>
        </w:rPr>
        <w:t> in this group of cases has been mitigated by recognising that it can be satisfied where the promisee has conferred a factual (as opposed to a legal) benefit on the promisor. </w:t>
      </w:r>
      <w:r>
        <w:rPr>
          <w:color w:val="005DA1"/>
          <w:u w:val="single" w:color="005DA1"/>
          <w:vertAlign w:val="superscript"/>
        </w:rPr>
        <w:t>337</w:t>
      </w:r>
    </w:p>
    <w:p>
      <w:pPr>
        <w:pStyle w:val="BodyText"/>
      </w:pPr>
    </w:p>
    <w:p>
      <w:pPr>
        <w:pStyle w:val="BodyText"/>
        <w:spacing w:before="34"/>
      </w:pPr>
      <w:r>
        <w:rPr/>
        <mc:AlternateContent>
          <mc:Choice Requires="wps">
            <w:drawing>
              <wp:anchor distT="0" distB="0" distL="0" distR="0" allowOverlap="1" layoutInCell="1" locked="0" behindDoc="1" simplePos="0" relativeHeight="487614464">
                <wp:simplePos x="0" y="0"/>
                <wp:positionH relativeFrom="page">
                  <wp:posOffset>914400</wp:posOffset>
                </wp:positionH>
                <wp:positionV relativeFrom="paragraph">
                  <wp:posOffset>183467</wp:posOffset>
                </wp:positionV>
                <wp:extent cx="5724525"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46254pt;width:450.75pt;height:.1pt;mso-position-horizontal-relative:page;mso-position-vertical-relative:paragraph;z-index:-15702016;mso-wrap-distance-left:0;mso-wrap-distance-right:0" id="docshape34" coordorigin="1440,289" coordsize="9015,0" path="m1440,289l10454,289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182144">
                <wp:simplePos x="0" y="0"/>
                <wp:positionH relativeFrom="page">
                  <wp:posOffset>914400</wp:posOffset>
                </wp:positionH>
                <wp:positionV relativeFrom="paragraph">
                  <wp:posOffset>97116</wp:posOffset>
                </wp:positionV>
                <wp:extent cx="4953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4336"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before="5"/>
      </w:pPr>
    </w:p>
    <w:p>
      <w:pPr>
        <w:pStyle w:val="BodyText"/>
        <w:tabs>
          <w:tab w:pos="705" w:val="left" w:leader="none"/>
        </w:tabs>
        <w:spacing w:line="227" w:lineRule="exact"/>
        <w:ind w:left="165"/>
      </w:pPr>
      <w:hyperlink w:history="true" w:anchor="_bookmark754">
        <w:r>
          <w:rPr>
            <w:color w:val="005DA1"/>
            <w:spacing w:val="-4"/>
            <w:position w:val="5"/>
            <w:sz w:val="14"/>
            <w:u w:val="single" w:color="005DA1"/>
          </w:rPr>
          <w:t>333</w:t>
        </w:r>
      </w:hyperlink>
      <w:r>
        <w:rPr>
          <w:spacing w:val="-4"/>
          <w:position w:val="5"/>
          <w:sz w:val="14"/>
        </w:rPr>
        <w:t>.</w:t>
      </w:r>
      <w:r>
        <w:rPr>
          <w:position w:val="5"/>
          <w:sz w:val="14"/>
        </w:rPr>
        <w:tab/>
      </w:r>
      <w:r>
        <w:rPr/>
        <w:t>Reynolds</w:t>
      </w:r>
      <w:r>
        <w:rPr>
          <w:spacing w:val="55"/>
        </w:rPr>
        <w:t> </w:t>
      </w:r>
      <w:r>
        <w:rPr/>
        <w:t>and</w:t>
      </w:r>
      <w:r>
        <w:rPr>
          <w:spacing w:val="56"/>
        </w:rPr>
        <w:t> </w:t>
      </w:r>
      <w:r>
        <w:rPr/>
        <w:t>Treitel</w:t>
      </w:r>
      <w:r>
        <w:rPr>
          <w:spacing w:val="55"/>
        </w:rPr>
        <w:t> </w:t>
      </w:r>
      <w:r>
        <w:rPr/>
        <w:t>(1965)</w:t>
      </w:r>
      <w:r>
        <w:rPr>
          <w:spacing w:val="56"/>
        </w:rPr>
        <w:t> </w:t>
      </w:r>
      <w:r>
        <w:rPr/>
        <w:t>7</w:t>
      </w:r>
      <w:r>
        <w:rPr>
          <w:spacing w:val="55"/>
        </w:rPr>
        <w:t> </w:t>
      </w:r>
      <w:r>
        <w:rPr/>
        <w:t>Malaya</w:t>
      </w:r>
      <w:r>
        <w:rPr>
          <w:spacing w:val="56"/>
        </w:rPr>
        <w:t> </w:t>
      </w:r>
      <w:r>
        <w:rPr/>
        <w:t>L.Rev.</w:t>
      </w:r>
      <w:r>
        <w:rPr>
          <w:spacing w:val="55"/>
        </w:rPr>
        <w:t> </w:t>
      </w:r>
      <w:r>
        <w:rPr/>
        <w:t>1;</w:t>
      </w:r>
      <w:r>
        <w:rPr>
          <w:spacing w:val="56"/>
        </w:rPr>
        <w:t> </w:t>
      </w:r>
      <w:r>
        <w:rPr/>
        <w:t>Aivazian,</w:t>
      </w:r>
      <w:r>
        <w:rPr>
          <w:spacing w:val="56"/>
        </w:rPr>
        <w:t> </w:t>
      </w:r>
      <w:r>
        <w:rPr/>
        <w:t>Trebilcock</w:t>
      </w:r>
      <w:r>
        <w:rPr>
          <w:spacing w:val="55"/>
        </w:rPr>
        <w:t> </w:t>
      </w:r>
      <w:r>
        <w:rPr/>
        <w:t>&amp;</w:t>
      </w:r>
      <w:r>
        <w:rPr>
          <w:spacing w:val="56"/>
        </w:rPr>
        <w:t> </w:t>
      </w:r>
      <w:r>
        <w:rPr/>
        <w:t>Penny</w:t>
      </w:r>
      <w:r>
        <w:rPr>
          <w:spacing w:val="55"/>
        </w:rPr>
        <w:t> </w:t>
      </w:r>
      <w:r>
        <w:rPr/>
        <w:t>(1984)</w:t>
      </w:r>
      <w:r>
        <w:rPr>
          <w:spacing w:val="56"/>
        </w:rPr>
        <w:t> </w:t>
      </w:r>
      <w:r>
        <w:rPr>
          <w:spacing w:val="-5"/>
        </w:rPr>
        <w:t>22</w:t>
      </w:r>
    </w:p>
    <w:p>
      <w:pPr>
        <w:pStyle w:val="BodyText"/>
        <w:spacing w:line="227" w:lineRule="exact"/>
        <w:ind w:left="705"/>
      </w:pPr>
      <w:r>
        <w:rPr/>
        <w:t>Osgoode Hall L.J. 173; Hooley [1991] J.B.L. 195; Halson (1991) 107 L.Q.R. </w:t>
      </w:r>
      <w:r>
        <w:rPr>
          <w:spacing w:val="-4"/>
        </w:rPr>
        <w:t>649.</w:t>
      </w:r>
    </w:p>
    <w:p>
      <w:pPr>
        <w:pStyle w:val="BodyText"/>
        <w:spacing w:before="5"/>
      </w:pPr>
    </w:p>
    <w:p>
      <w:pPr>
        <w:tabs>
          <w:tab w:pos="705" w:val="left" w:leader="none"/>
        </w:tabs>
        <w:spacing w:before="0"/>
        <w:ind w:left="165" w:right="0" w:firstLine="0"/>
        <w:jc w:val="left"/>
        <w:rPr>
          <w:sz w:val="20"/>
        </w:rPr>
      </w:pPr>
      <w:bookmarkStart w:name="_bookmark629" w:id="631"/>
      <w:bookmarkEnd w:id="631"/>
      <w:r>
        <w:rPr/>
      </w:r>
      <w:hyperlink w:history="true" w:anchor="_bookmark625">
        <w:r>
          <w:rPr>
            <w:color w:val="005DA1"/>
            <w:spacing w:val="-4"/>
            <w:position w:val="5"/>
            <w:sz w:val="14"/>
            <w:u w:val="single" w:color="005DA1"/>
          </w:rPr>
          <w:t>334</w:t>
        </w:r>
      </w:hyperlink>
      <w:r>
        <w:rPr>
          <w:spacing w:val="-4"/>
          <w:position w:val="5"/>
          <w:sz w:val="14"/>
        </w:rPr>
        <w:t>.</w:t>
      </w:r>
      <w:r>
        <w:rPr>
          <w:position w:val="5"/>
          <w:sz w:val="14"/>
        </w:rPr>
        <w:tab/>
      </w:r>
      <w:r>
        <w:rPr>
          <w:rFonts w:ascii="Arial"/>
          <w:i/>
          <w:sz w:val="20"/>
        </w:rPr>
        <w:t>Thomas v Thomas (1842) 2 Q.B. 851</w:t>
      </w:r>
      <w:r>
        <w:rPr>
          <w:rFonts w:ascii="Arial"/>
          <w:i/>
          <w:spacing w:val="-1"/>
          <w:sz w:val="20"/>
        </w:rPr>
        <w:t> </w:t>
      </w:r>
      <w:r>
        <w:rPr>
          <w:sz w:val="20"/>
        </w:rPr>
        <w:t>at 859; above, para.4-</w:t>
      </w:r>
      <w:r>
        <w:rPr>
          <w:spacing w:val="-4"/>
          <w:sz w:val="20"/>
        </w:rPr>
        <w:t>002.</w:t>
      </w:r>
    </w:p>
    <w:p>
      <w:pPr>
        <w:pStyle w:val="BodyText"/>
        <w:spacing w:before="5"/>
      </w:pPr>
    </w:p>
    <w:p>
      <w:pPr>
        <w:tabs>
          <w:tab w:pos="705" w:val="left" w:leader="none"/>
        </w:tabs>
        <w:spacing w:before="0"/>
        <w:ind w:left="165" w:right="0" w:firstLine="0"/>
        <w:jc w:val="left"/>
        <w:rPr>
          <w:sz w:val="20"/>
        </w:rPr>
      </w:pPr>
      <w:bookmarkStart w:name="_bookmark630" w:id="632"/>
      <w:bookmarkEnd w:id="632"/>
      <w:r>
        <w:rPr/>
      </w:r>
      <w:hyperlink w:history="true" w:anchor="_bookmark626">
        <w:r>
          <w:rPr>
            <w:color w:val="005DA1"/>
            <w:spacing w:val="-4"/>
            <w:position w:val="5"/>
            <w:sz w:val="14"/>
            <w:u w:val="single" w:color="005DA1"/>
          </w:rPr>
          <w:t>335</w:t>
        </w:r>
      </w:hyperlink>
      <w:r>
        <w:rPr>
          <w:spacing w:val="-4"/>
          <w:position w:val="5"/>
          <w:sz w:val="14"/>
        </w:rPr>
        <w:t>.</w:t>
      </w:r>
      <w:r>
        <w:rPr>
          <w:position w:val="5"/>
          <w:sz w:val="14"/>
        </w:rPr>
        <w:tab/>
      </w:r>
      <w:r>
        <w:rPr>
          <w:sz w:val="20"/>
        </w:rPr>
        <w:t>Above, para.4-</w:t>
      </w:r>
      <w:r>
        <w:rPr>
          <w:spacing w:val="-4"/>
          <w:sz w:val="20"/>
        </w:rPr>
        <w:t>006.</w:t>
      </w:r>
    </w:p>
    <w:p>
      <w:pPr>
        <w:pStyle w:val="BodyText"/>
        <w:spacing w:before="5"/>
      </w:pPr>
    </w:p>
    <w:p>
      <w:pPr>
        <w:tabs>
          <w:tab w:pos="705" w:val="left" w:leader="none"/>
        </w:tabs>
        <w:spacing w:before="0"/>
        <w:ind w:left="165" w:right="0" w:firstLine="0"/>
        <w:jc w:val="left"/>
        <w:rPr>
          <w:sz w:val="20"/>
        </w:rPr>
      </w:pPr>
      <w:bookmarkStart w:name="_bookmark631" w:id="633"/>
      <w:bookmarkEnd w:id="633"/>
      <w:r>
        <w:rPr/>
      </w:r>
      <w:hyperlink w:history="true" w:anchor="_bookmark627">
        <w:r>
          <w:rPr>
            <w:color w:val="005DA1"/>
            <w:spacing w:val="-4"/>
            <w:position w:val="5"/>
            <w:sz w:val="14"/>
            <w:u w:val="single" w:color="005DA1"/>
          </w:rPr>
          <w:t>336</w:t>
        </w:r>
      </w:hyperlink>
      <w:r>
        <w:rPr>
          <w:spacing w:val="-4"/>
          <w:position w:val="5"/>
          <w:sz w:val="14"/>
        </w:rPr>
        <w:t>.</w:t>
      </w:r>
      <w:r>
        <w:rPr>
          <w:position w:val="5"/>
          <w:sz w:val="14"/>
        </w:rPr>
        <w:tab/>
      </w:r>
      <w:r>
        <w:rPr>
          <w:rFonts w:ascii="Arial"/>
          <w:i/>
          <w:sz w:val="20"/>
        </w:rPr>
        <w:t>Ward</w:t>
      </w:r>
      <w:r>
        <w:rPr>
          <w:rFonts w:ascii="Arial"/>
          <w:i/>
          <w:spacing w:val="-1"/>
          <w:sz w:val="20"/>
        </w:rPr>
        <w:t> </w:t>
      </w:r>
      <w:r>
        <w:rPr>
          <w:rFonts w:ascii="Arial"/>
          <w:i/>
          <w:sz w:val="20"/>
        </w:rPr>
        <w:t>v Byham [1956] 1 W.L.R. 496, 498</w:t>
      </w:r>
      <w:r>
        <w:rPr>
          <w:sz w:val="20"/>
        </w:rPr>
        <w:t>; </w:t>
      </w:r>
      <w:r>
        <w:rPr>
          <w:rFonts w:ascii="Arial"/>
          <w:i/>
          <w:sz w:val="20"/>
        </w:rPr>
        <w:t>Williams v Williams [1957] 1 W.L.R. 148, </w:t>
      </w:r>
      <w:r>
        <w:rPr>
          <w:rFonts w:ascii="Arial"/>
          <w:i/>
          <w:spacing w:val="-4"/>
          <w:sz w:val="20"/>
        </w:rPr>
        <w:t>151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32" w:id="634"/>
      <w:bookmarkEnd w:id="634"/>
      <w:r>
        <w:rPr/>
      </w:r>
      <w:hyperlink w:history="true" w:anchor="_bookmark628">
        <w:r>
          <w:rPr>
            <w:color w:val="005DA1"/>
            <w:spacing w:val="-4"/>
            <w:position w:val="5"/>
            <w:sz w:val="14"/>
            <w:u w:val="single" w:color="005DA1"/>
          </w:rPr>
          <w:t>337</w:t>
        </w:r>
      </w:hyperlink>
      <w:r>
        <w:rPr>
          <w:spacing w:val="-4"/>
          <w:position w:val="5"/>
          <w:sz w:val="14"/>
        </w:rPr>
        <w:t>.</w:t>
      </w:r>
      <w:r>
        <w:rPr>
          <w:position w:val="5"/>
          <w:sz w:val="14"/>
        </w:rPr>
        <w:tab/>
      </w:r>
      <w:r>
        <w:rPr>
          <w:sz w:val="20"/>
        </w:rPr>
        <w:t>Below, para.4-</w:t>
      </w:r>
      <w:r>
        <w:rPr>
          <w:spacing w:val="-4"/>
          <w:sz w:val="20"/>
        </w:rPr>
        <w:t>069.</w:t>
      </w:r>
    </w:p>
    <w:p>
      <w:pPr>
        <w:pStyle w:val="BodyText"/>
        <w:rPr>
          <w:sz w:val="14"/>
        </w:rPr>
      </w:pPr>
    </w:p>
    <w:p>
      <w:pPr>
        <w:pStyle w:val="BodyText"/>
        <w:spacing w:before="100"/>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headerReference w:type="even" r:id="rId26"/>
          <w:headerReference w:type="default" r:id="rId27"/>
          <w:pgSz w:w="11900" w:h="16840"/>
          <w:pgMar w:header="971" w:footer="0" w:top="1160" w:bottom="280" w:left="1275" w:right="1275"/>
          <w:pgNumType w:start="4"/>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727" w:right="2730"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82656">
                <wp:simplePos x="0" y="0"/>
                <wp:positionH relativeFrom="page">
                  <wp:posOffset>4707940</wp:posOffset>
                </wp:positionH>
                <wp:positionV relativeFrom="paragraph">
                  <wp:posOffset>377436</wp:posOffset>
                </wp:positionV>
                <wp:extent cx="4254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3824" from="370.70401pt,29.719406pt" to="374.04001pt,29.719406pt" stroked="true" strokeweight=".428pt" strokecolor="#005da1">
                <v:stroke dashstyle="solid"/>
                <w10:wrap type="none"/>
              </v:line>
            </w:pict>
          </mc:Fallback>
        </mc:AlternateContent>
      </w: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4 - Consideration </w:t>
      </w:r>
      <w:r>
        <w:rPr>
          <w:rFonts w:ascii="Arial"/>
          <w:b/>
          <w:color w:val="005DA1"/>
          <w:position w:val="11"/>
          <w:sz w:val="12"/>
        </w:rPr>
        <w:t>1</w:t>
      </w:r>
    </w:p>
    <w:p>
      <w:pPr>
        <w:spacing w:before="2"/>
        <w:ind w:left="940" w:right="943" w:firstLine="0"/>
        <w:jc w:val="center"/>
        <w:rPr>
          <w:rFonts w:ascii="Arial"/>
          <w:b/>
          <w:position w:val="11"/>
          <w:sz w:val="12"/>
        </w:rPr>
      </w:pPr>
      <w:r>
        <w:rPr>
          <w:rFonts w:ascii="Arial"/>
          <w:b/>
          <w:sz w:val="24"/>
        </w:rPr>
        <w:t>Section 8. - Existing Duties as Consideration </w:t>
      </w:r>
      <w:r>
        <w:rPr>
          <w:rFonts w:ascii="Arial"/>
          <w:b/>
          <w:color w:val="005DA1"/>
          <w:spacing w:val="-5"/>
          <w:position w:val="11"/>
          <w:sz w:val="12"/>
          <w:u w:val="single" w:color="005DA1"/>
        </w:rPr>
        <w:t>333</w:t>
      </w:r>
    </w:p>
    <w:p>
      <w:pPr>
        <w:pStyle w:val="ListParagraph"/>
        <w:numPr>
          <w:ilvl w:val="0"/>
          <w:numId w:val="3"/>
        </w:numPr>
        <w:tabs>
          <w:tab w:pos="4118" w:val="left" w:leader="none"/>
        </w:tabs>
        <w:spacing w:line="240" w:lineRule="auto" w:before="194" w:after="0"/>
        <w:ind w:left="4118" w:right="0" w:hanging="360"/>
        <w:jc w:val="left"/>
        <w:rPr>
          <w:rFonts w:ascii="Arial"/>
          <w:b/>
          <w:sz w:val="24"/>
        </w:rPr>
      </w:pPr>
      <w:r>
        <w:rPr>
          <w:rFonts w:ascii="Arial"/>
          <w:b/>
          <w:sz w:val="24"/>
        </w:rPr>
        <w:t>- Public </w:t>
      </w:r>
      <w:r>
        <w:rPr>
          <w:rFonts w:ascii="Arial"/>
          <w:b/>
          <w:spacing w:val="-4"/>
          <w:sz w:val="24"/>
        </w:rPr>
        <w:t>Duty</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Where the promisee is under a public </w:t>
      </w:r>
      <w:r>
        <w:rPr>
          <w:rFonts w:ascii="Arial"/>
          <w:b/>
          <w:spacing w:val="-4"/>
          <w:sz w:val="18"/>
        </w:rPr>
        <w:t>duty</w:t>
      </w:r>
    </w:p>
    <w:p>
      <w:pPr>
        <w:pStyle w:val="BodyText"/>
        <w:spacing w:before="41"/>
        <w:rPr>
          <w:rFonts w:ascii="Arial"/>
          <w:b/>
          <w:sz w:val="18"/>
        </w:rPr>
      </w:pPr>
    </w:p>
    <w:p>
      <w:pPr>
        <w:pStyle w:val="Heading2"/>
      </w:pPr>
      <w:r>
        <w:rPr/>
        <w:t>4-</w:t>
      </w:r>
      <w:r>
        <w:rPr>
          <w:spacing w:val="-5"/>
        </w:rPr>
        <w:t>063</w:t>
      </w:r>
    </w:p>
    <w:p>
      <w:pPr>
        <w:pStyle w:val="BodyText"/>
        <w:spacing w:line="235" w:lineRule="auto" w:before="203"/>
        <w:ind w:left="165" w:right="167"/>
        <w:jc w:val="both"/>
      </w:pPr>
      <w:bookmarkStart w:name="_bookmark633" w:id="635"/>
      <w:bookmarkEnd w:id="635"/>
      <w:r>
        <w:rPr/>
      </w:r>
      <w:r>
        <w:rPr/>
        <w:t>It</w:t>
      </w:r>
      <w:r>
        <w:rPr>
          <w:spacing w:val="-2"/>
        </w:rPr>
        <w:t> </w:t>
      </w:r>
      <w:r>
        <w:rPr/>
        <w:t>has</w:t>
      </w:r>
      <w:r>
        <w:rPr>
          <w:spacing w:val="-2"/>
        </w:rPr>
        <w:t> </w:t>
      </w:r>
      <w:r>
        <w:rPr/>
        <w:t>been</w:t>
      </w:r>
      <w:r>
        <w:rPr>
          <w:spacing w:val="-2"/>
        </w:rPr>
        <w:t> </w:t>
      </w:r>
      <w:r>
        <w:rPr/>
        <w:t>held</w:t>
      </w:r>
      <w:r>
        <w:rPr>
          <w:spacing w:val="-2"/>
        </w:rPr>
        <w:t> </w:t>
      </w:r>
      <w:r>
        <w:rPr/>
        <w:t>that</w:t>
      </w:r>
      <w:r>
        <w:rPr>
          <w:spacing w:val="-2"/>
        </w:rPr>
        <w:t> </w:t>
      </w:r>
      <w:r>
        <w:rPr/>
        <w:t>a</w:t>
      </w:r>
      <w:r>
        <w:rPr>
          <w:spacing w:val="-2"/>
        </w:rPr>
        <w:t> </w:t>
      </w:r>
      <w:r>
        <w:rPr/>
        <w:t>person</w:t>
      </w:r>
      <w:r>
        <w:rPr>
          <w:spacing w:val="-2"/>
        </w:rPr>
        <w:t> </w:t>
      </w:r>
      <w:r>
        <w:rPr/>
        <w:t>cannot</w:t>
      </w:r>
      <w:r>
        <w:rPr>
          <w:spacing w:val="-2"/>
        </w:rPr>
        <w:t> </w:t>
      </w:r>
      <w:r>
        <w:rPr/>
        <w:t>recover</w:t>
      </w:r>
      <w:r>
        <w:rPr>
          <w:spacing w:val="-2"/>
        </w:rPr>
        <w:t> </w:t>
      </w:r>
      <w:r>
        <w:rPr/>
        <w:t>money</w:t>
      </w:r>
      <w:r>
        <w:rPr>
          <w:spacing w:val="-2"/>
        </w:rPr>
        <w:t> </w:t>
      </w:r>
      <w:r>
        <w:rPr/>
        <w:t>promised</w:t>
      </w:r>
      <w:r>
        <w:rPr>
          <w:spacing w:val="-2"/>
        </w:rPr>
        <w:t> </w:t>
      </w:r>
      <w:r>
        <w:rPr/>
        <w:t>to</w:t>
      </w:r>
      <w:r>
        <w:rPr>
          <w:spacing w:val="-2"/>
        </w:rPr>
        <w:t> </w:t>
      </w:r>
      <w:r>
        <w:rPr/>
        <w:t>him</w:t>
      </w:r>
      <w:r>
        <w:rPr>
          <w:spacing w:val="-2"/>
        </w:rPr>
        <w:t> </w:t>
      </w:r>
      <w:r>
        <w:rPr/>
        <w:t>in</w:t>
      </w:r>
      <w:r>
        <w:rPr>
          <w:spacing w:val="-2"/>
        </w:rPr>
        <w:t> </w:t>
      </w:r>
      <w:r>
        <w:rPr/>
        <w:t>return</w:t>
      </w:r>
      <w:r>
        <w:rPr>
          <w:spacing w:val="-2"/>
        </w:rPr>
        <w:t> </w:t>
      </w:r>
      <w:r>
        <w:rPr/>
        <w:t>for</w:t>
      </w:r>
      <w:r>
        <w:rPr>
          <w:spacing w:val="-2"/>
        </w:rPr>
        <w:t> </w:t>
      </w:r>
      <w:r>
        <w:rPr/>
        <w:t>his</w:t>
      </w:r>
      <w:r>
        <w:rPr>
          <w:spacing w:val="-2"/>
        </w:rPr>
        <w:t> </w:t>
      </w:r>
      <w:r>
        <w:rPr/>
        <w:t>performance</w:t>
      </w:r>
      <w:r>
        <w:rPr>
          <w:spacing w:val="-2"/>
        </w:rPr>
        <w:t> </w:t>
      </w:r>
      <w:r>
        <w:rPr/>
        <w:t>of, or promise to perform, a duty imposed by law. In </w:t>
      </w:r>
      <w:r>
        <w:rPr>
          <w:rFonts w:ascii="Arial" w:hAnsi="Arial"/>
          <w:i/>
        </w:rPr>
        <w:t>Collins v Godefroy</w:t>
      </w:r>
      <w:r>
        <w:rPr/>
        <w:t>, </w:t>
      </w:r>
      <w:r>
        <w:rPr>
          <w:color w:val="005DA1"/>
          <w:u w:val="single" w:color="005DA1"/>
          <w:vertAlign w:val="superscript"/>
        </w:rPr>
        <w:t>338</w:t>
      </w:r>
      <w:r>
        <w:rPr>
          <w:color w:val="005DA1"/>
          <w:vertAlign w:val="baseline"/>
        </w:rPr>
        <w:t> </w:t>
      </w:r>
      <w:r>
        <w:rPr>
          <w:vertAlign w:val="baseline"/>
        </w:rPr>
        <w:t>an attorney had been subpoenaed to give evidence on the defendant’s behalf and alleged that the defendant had </w:t>
      </w:r>
      <w:r>
        <w:rPr>
          <w:vertAlign w:val="baseline"/>
        </w:rPr>
        <w:t>promised to pay him a guinea a day for his loss of time incurred in such attendance. It was held that, as the </w:t>
      </w:r>
      <w:bookmarkStart w:name="_bookmark634" w:id="636"/>
      <w:bookmarkEnd w:id="636"/>
      <w:r>
        <w:rPr>
          <w:vertAlign w:val="baseline"/>
        </w:rPr>
        <w:t>promisee</w:t>
      </w:r>
      <w:r>
        <w:rPr>
          <w:vertAlign w:val="baseline"/>
        </w:rPr>
        <w:t> was under a duty imposed by law to attend, the defendant’s promise was given “without consideration.”</w:t>
      </w:r>
      <w:r>
        <w:rPr>
          <w:spacing w:val="9"/>
          <w:vertAlign w:val="baseline"/>
        </w:rPr>
        <w:t> </w:t>
      </w:r>
      <w:r>
        <w:rPr>
          <w:vertAlign w:val="baseline"/>
        </w:rPr>
        <w:t>But</w:t>
      </w:r>
      <w:r>
        <w:rPr>
          <w:spacing w:val="9"/>
          <w:vertAlign w:val="baseline"/>
        </w:rPr>
        <w:t> </w:t>
      </w:r>
      <w:r>
        <w:rPr>
          <w:vertAlign w:val="baseline"/>
        </w:rPr>
        <w:t>this</w:t>
      </w:r>
      <w:r>
        <w:rPr>
          <w:spacing w:val="9"/>
          <w:vertAlign w:val="baseline"/>
        </w:rPr>
        <w:t> </w:t>
      </w:r>
      <w:r>
        <w:rPr>
          <w:vertAlign w:val="baseline"/>
        </w:rPr>
        <w:t>reasoning</w:t>
      </w:r>
      <w:r>
        <w:rPr>
          <w:spacing w:val="9"/>
          <w:vertAlign w:val="baseline"/>
        </w:rPr>
        <w:t> </w:t>
      </w:r>
      <w:r>
        <w:rPr>
          <w:vertAlign w:val="baseline"/>
        </w:rPr>
        <w:t>is</w:t>
      </w:r>
      <w:r>
        <w:rPr>
          <w:spacing w:val="9"/>
          <w:vertAlign w:val="baseline"/>
        </w:rPr>
        <w:t> </w:t>
      </w:r>
      <w:r>
        <w:rPr>
          <w:vertAlign w:val="baseline"/>
        </w:rPr>
        <w:t>hard</w:t>
      </w:r>
      <w:r>
        <w:rPr>
          <w:spacing w:val="9"/>
          <w:vertAlign w:val="baseline"/>
        </w:rPr>
        <w:t> </w:t>
      </w:r>
      <w:r>
        <w:rPr>
          <w:vertAlign w:val="baseline"/>
        </w:rPr>
        <w:t>to</w:t>
      </w:r>
      <w:r>
        <w:rPr>
          <w:spacing w:val="9"/>
          <w:vertAlign w:val="baseline"/>
        </w:rPr>
        <w:t> </w:t>
      </w:r>
      <w:r>
        <w:rPr>
          <w:vertAlign w:val="baseline"/>
        </w:rPr>
        <w:t>reconcile</w:t>
      </w:r>
      <w:r>
        <w:rPr>
          <w:spacing w:val="9"/>
          <w:vertAlign w:val="baseline"/>
        </w:rPr>
        <w:t> </w:t>
      </w:r>
      <w:r>
        <w:rPr>
          <w:vertAlign w:val="baseline"/>
        </w:rPr>
        <w:t>with</w:t>
      </w:r>
      <w:r>
        <w:rPr>
          <w:spacing w:val="9"/>
          <w:vertAlign w:val="baseline"/>
        </w:rPr>
        <w:t> </w:t>
      </w:r>
      <w:r>
        <w:rPr>
          <w:vertAlign w:val="baseline"/>
        </w:rPr>
        <w:t>some</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cases</w:t>
      </w:r>
      <w:r>
        <w:rPr>
          <w:spacing w:val="9"/>
          <w:vertAlign w:val="baseline"/>
        </w:rPr>
        <w:t> </w:t>
      </w:r>
      <w:r>
        <w:rPr>
          <w:vertAlign w:val="baseline"/>
        </w:rPr>
        <w:t>to</w:t>
      </w:r>
      <w:r>
        <w:rPr>
          <w:spacing w:val="9"/>
          <w:vertAlign w:val="baseline"/>
        </w:rPr>
        <w:t> </w:t>
      </w:r>
      <w:r>
        <w:rPr>
          <w:vertAlign w:val="baseline"/>
        </w:rPr>
        <w:t>be</w:t>
      </w:r>
      <w:r>
        <w:rPr>
          <w:spacing w:val="9"/>
          <w:vertAlign w:val="baseline"/>
        </w:rPr>
        <w:t> </w:t>
      </w:r>
      <w:r>
        <w:rPr>
          <w:vertAlign w:val="baseline"/>
        </w:rPr>
        <w:t>discussed</w:t>
      </w:r>
      <w:r>
        <w:rPr>
          <w:spacing w:val="9"/>
          <w:vertAlign w:val="baseline"/>
        </w:rPr>
        <w:t> </w:t>
      </w:r>
      <w:r>
        <w:rPr>
          <w:spacing w:val="-2"/>
          <w:vertAlign w:val="baseline"/>
        </w:rPr>
        <w:t>below,</w:t>
      </w:r>
    </w:p>
    <w:p>
      <w:pPr>
        <w:pStyle w:val="BodyText"/>
        <w:spacing w:line="235" w:lineRule="auto"/>
        <w:ind w:left="164" w:right="167"/>
        <w:jc w:val="both"/>
      </w:pPr>
      <w:r>
        <w:rPr>
          <w:color w:val="005DA1"/>
          <w:u w:val="single" w:color="005DA1"/>
          <w:vertAlign w:val="superscript"/>
        </w:rPr>
        <w:t>339</w:t>
      </w:r>
      <w:r>
        <w:rPr>
          <w:color w:val="005DA1"/>
          <w:vertAlign w:val="baseline"/>
        </w:rPr>
        <w:t> </w:t>
      </w:r>
      <w:r>
        <w:rPr>
          <w:vertAlign w:val="baseline"/>
        </w:rPr>
        <w:t>holding that promises of rewards for information leading to the arrest of criminals could </w:t>
      </w:r>
      <w:r>
        <w:rPr>
          <w:vertAlign w:val="baseline"/>
        </w:rPr>
        <w:t>be enforced; and other “public duty” cases are more readily explained on grounds of public policy: it has, </w:t>
      </w:r>
      <w:bookmarkStart w:name="_bookmark635" w:id="637"/>
      <w:bookmarkEnd w:id="637"/>
      <w:r>
        <w:rPr>
          <w:vertAlign w:val="baseline"/>
        </w:rPr>
        <w:t>for</w:t>
      </w:r>
      <w:r>
        <w:rPr>
          <w:vertAlign w:val="baseline"/>
        </w:rPr>
        <w:t> example, been held that a public officer cannot enforce a promise by a private citizen to pay him </w:t>
      </w:r>
      <w:bookmarkStart w:name="_bookmark636" w:id="638"/>
      <w:bookmarkEnd w:id="638"/>
      <w:r>
        <w:rPr>
          <w:vertAlign w:val="baseline"/>
        </w:rPr>
        <w:t>money</w:t>
      </w:r>
      <w:r>
        <w:rPr>
          <w:vertAlign w:val="baseline"/>
        </w:rPr>
        <w:t> for doing his public duty </w:t>
      </w:r>
      <w:r>
        <w:rPr>
          <w:color w:val="005DA1"/>
          <w:u w:val="single" w:color="005DA1"/>
          <w:vertAlign w:val="superscript"/>
        </w:rPr>
        <w:t>340</w:t>
      </w:r>
      <w:r>
        <w:rPr>
          <w:color w:val="005DA1"/>
          <w:vertAlign w:val="baseline"/>
        </w:rPr>
        <w:t> </w:t>
      </w:r>
      <w:r>
        <w:rPr>
          <w:vertAlign w:val="baseline"/>
        </w:rPr>
        <w:t>and that a person cannot enforce a promise made in consideration of his forbearing to engage in a course of conduct that is criminal. </w:t>
      </w:r>
      <w:r>
        <w:rPr>
          <w:color w:val="005DA1"/>
          <w:u w:val="single" w:color="005DA1"/>
          <w:vertAlign w:val="superscript"/>
        </w:rPr>
        <w:t>341</w:t>
      </w:r>
      <w:r>
        <w:rPr>
          <w:color w:val="005DA1"/>
          <w:vertAlign w:val="baseline"/>
        </w:rPr>
        <w:t> </w:t>
      </w:r>
      <w:r>
        <w:rPr>
          <w:vertAlign w:val="baseline"/>
        </w:rPr>
        <w:t>To uphold such promises would encourage undesirable forms of extortion; and this, rather than want of consideration, accounts for most of the authorities which establish the present rule. It is arguable that, when there are no such grounds of public policy against enforcing the promise, an action on it will not fail for want of consideration merely because the performance rendered in return was already due under a public duty from the promisee. Before 1968 a person who knew that a felony had been committed and had </w:t>
      </w:r>
      <w:bookmarkStart w:name="_bookmark637" w:id="639"/>
      <w:bookmarkEnd w:id="639"/>
      <w:r>
        <w:rPr>
          <w:vertAlign w:val="baseline"/>
        </w:rPr>
        <w:t>information</w:t>
      </w:r>
      <w:r>
        <w:rPr>
          <w:vertAlign w:val="baseline"/>
        </w:rPr>
        <w:t> which might lead to the arrest of the felon was bound to communicate the information to </w:t>
      </w:r>
      <w:bookmarkStart w:name="_bookmark638" w:id="640"/>
      <w:bookmarkEnd w:id="640"/>
      <w:r>
        <w:rPr>
          <w:vertAlign w:val="baseline"/>
        </w:rPr>
        <w:t>the</w:t>
      </w:r>
      <w:r>
        <w:rPr>
          <w:vertAlign w:val="baseline"/>
        </w:rPr>
        <w:t> police: if he failed to do so he was guilty of misprision of felony. </w:t>
      </w:r>
      <w:r>
        <w:rPr>
          <w:color w:val="005DA1"/>
          <w:u w:val="single" w:color="005DA1"/>
          <w:vertAlign w:val="superscript"/>
        </w:rPr>
        <w:t>342</w:t>
      </w:r>
      <w:r>
        <w:rPr>
          <w:color w:val="005DA1"/>
          <w:vertAlign w:val="baseline"/>
        </w:rPr>
        <w:t> </w:t>
      </w:r>
      <w:r>
        <w:rPr>
          <w:vertAlign w:val="baseline"/>
        </w:rPr>
        <w:t>Yet promises to pay rewards</w:t>
      </w:r>
      <w:r>
        <w:rPr>
          <w:spacing w:val="40"/>
          <w:vertAlign w:val="baseline"/>
        </w:rPr>
        <w:t> </w:t>
      </w:r>
      <w:r>
        <w:rPr>
          <w:vertAlign w:val="baseline"/>
        </w:rPr>
        <w:t>for such information could be enforced, even by police officers giving the information. </w:t>
      </w:r>
      <w:r>
        <w:rPr>
          <w:color w:val="005DA1"/>
          <w:u w:val="single" w:color="005DA1"/>
          <w:vertAlign w:val="superscript"/>
        </w:rPr>
        <w:t>343</w:t>
      </w:r>
      <w:r>
        <w:rPr>
          <w:color w:val="005DA1"/>
          <w:vertAlign w:val="baseline"/>
        </w:rPr>
        <w:t> </w:t>
      </w:r>
      <w:r>
        <w:rPr>
          <w:vertAlign w:val="baseline"/>
        </w:rPr>
        <w:t>Public policy </w:t>
      </w:r>
      <w:bookmarkStart w:name="_bookmark639" w:id="641"/>
      <w:bookmarkEnd w:id="641"/>
      <w:r>
        <w:rPr>
          <w:vertAlign w:val="baseline"/>
        </w:rPr>
        <w:t>was</w:t>
      </w:r>
      <w:r>
        <w:rPr>
          <w:vertAlign w:val="baseline"/>
        </w:rPr>
        <w:t> not offended by such offers, as they might induce people to look for the information and so </w:t>
      </w:r>
      <w:bookmarkStart w:name="_bookmark640" w:id="642"/>
      <w:bookmarkEnd w:id="642"/>
      <w:r>
        <w:rPr>
          <w:vertAlign w:val="baseline"/>
        </w:rPr>
        <w:t>promote</w:t>
      </w:r>
      <w:r>
        <w:rPr>
          <w:vertAlign w:val="baseline"/>
        </w:rPr>
        <w:t> the interests of justice. The term “felony” is now obsolete in English law </w:t>
      </w:r>
      <w:r>
        <w:rPr>
          <w:color w:val="005DA1"/>
          <w:u w:val="single" w:color="005DA1"/>
          <w:vertAlign w:val="superscript"/>
        </w:rPr>
        <w:t>344</w:t>
      </w:r>
      <w:r>
        <w:rPr>
          <w:color w:val="005DA1"/>
          <w:vertAlign w:val="baseline"/>
        </w:rPr>
        <w:t> </w:t>
      </w:r>
      <w:r>
        <w:rPr>
          <w:vertAlign w:val="baseline"/>
        </w:rPr>
        <w:t>and the mere failure to disclose information which might lead to the arrest of a criminal is no longer an offence</w:t>
      </w:r>
      <w:r>
        <w:rPr>
          <w:spacing w:val="-1"/>
          <w:vertAlign w:val="baseline"/>
        </w:rPr>
        <w:t> </w:t>
      </w:r>
      <w:r>
        <w:rPr>
          <w:color w:val="005DA1"/>
          <w:u w:val="single" w:color="005DA1"/>
          <w:vertAlign w:val="superscript"/>
        </w:rPr>
        <w:t>345</w:t>
      </w:r>
      <w:r>
        <w:rPr>
          <w:color w:val="005DA1"/>
          <w:vertAlign w:val="baseline"/>
        </w:rPr>
        <w:t> </w:t>
      </w:r>
      <w:r>
        <w:rPr>
          <w:vertAlign w:val="baseline"/>
        </w:rPr>
        <w:t>or a breach of a duty imposed by law. But the old reward cases show that an act may constitute consideration even though there is a public duty to do it.</w:t>
      </w:r>
    </w:p>
    <w:p>
      <w:pPr>
        <w:pStyle w:val="BodyText"/>
      </w:pPr>
    </w:p>
    <w:p>
      <w:pPr>
        <w:pStyle w:val="BodyText"/>
        <w:spacing w:before="29"/>
      </w:pPr>
    </w:p>
    <w:p>
      <w:pPr>
        <w:spacing w:before="0"/>
        <w:ind w:left="164" w:right="0" w:firstLine="0"/>
        <w:jc w:val="both"/>
        <w:rPr>
          <w:rFonts w:ascii="Arial"/>
          <w:b/>
          <w:sz w:val="18"/>
        </w:rPr>
      </w:pPr>
      <w:r>
        <w:rPr>
          <w:rFonts w:ascii="Arial"/>
          <w:b/>
          <w:sz w:val="18"/>
        </w:rPr>
        <w:t>Promisee doing more than public </w:t>
      </w:r>
      <w:r>
        <w:rPr>
          <w:rFonts w:ascii="Arial"/>
          <w:b/>
          <w:spacing w:val="-4"/>
          <w:sz w:val="18"/>
        </w:rPr>
        <w:t>duty</w:t>
      </w:r>
    </w:p>
    <w:p>
      <w:pPr>
        <w:pStyle w:val="BodyText"/>
        <w:spacing w:before="41"/>
        <w:rPr>
          <w:rFonts w:ascii="Arial"/>
          <w:b/>
          <w:sz w:val="18"/>
        </w:rPr>
      </w:pPr>
    </w:p>
    <w:p>
      <w:pPr>
        <w:pStyle w:val="Heading2"/>
        <w:spacing w:before="1"/>
        <w:ind w:left="164"/>
      </w:pPr>
      <w:r>
        <w:rPr/>
        <w:t>4-</w:t>
      </w:r>
      <w:r>
        <w:rPr>
          <w:spacing w:val="-5"/>
        </w:rPr>
        <w:t>064</w:t>
      </w:r>
    </w:p>
    <w:p>
      <w:pPr>
        <w:spacing w:line="235" w:lineRule="auto" w:before="202"/>
        <w:ind w:left="164" w:right="167" w:firstLine="0"/>
        <w:jc w:val="both"/>
        <w:rPr>
          <w:rFonts w:ascii="Arial"/>
          <w:i/>
          <w:sz w:val="20"/>
        </w:rPr>
      </w:pPr>
      <w:bookmarkStart w:name="_bookmark641" w:id="643"/>
      <w:bookmarkEnd w:id="643"/>
      <w:r>
        <w:rPr/>
      </w:r>
      <w:r>
        <w:rPr>
          <w:sz w:val="20"/>
        </w:rPr>
        <w:t>A</w:t>
      </w:r>
      <w:r>
        <w:rPr>
          <w:spacing w:val="-1"/>
          <w:sz w:val="20"/>
        </w:rPr>
        <w:t> </w:t>
      </w:r>
      <w:r>
        <w:rPr>
          <w:sz w:val="20"/>
        </w:rPr>
        <w:t>person</w:t>
      </w:r>
      <w:r>
        <w:rPr>
          <w:spacing w:val="-1"/>
          <w:sz w:val="20"/>
        </w:rPr>
        <w:t> </w:t>
      </w:r>
      <w:r>
        <w:rPr>
          <w:sz w:val="20"/>
        </w:rPr>
        <w:t>who</w:t>
      </w:r>
      <w:r>
        <w:rPr>
          <w:spacing w:val="-1"/>
          <w:sz w:val="20"/>
        </w:rPr>
        <w:t> </w:t>
      </w:r>
      <w:r>
        <w:rPr>
          <w:sz w:val="20"/>
        </w:rPr>
        <w:t>is</w:t>
      </w:r>
      <w:r>
        <w:rPr>
          <w:spacing w:val="-1"/>
          <w:sz w:val="20"/>
        </w:rPr>
        <w:t> </w:t>
      </w:r>
      <w:r>
        <w:rPr>
          <w:sz w:val="20"/>
        </w:rPr>
        <w:t>under</w:t>
      </w:r>
      <w:r>
        <w:rPr>
          <w:spacing w:val="-1"/>
          <w:sz w:val="20"/>
        </w:rPr>
        <w:t> </w:t>
      </w:r>
      <w:r>
        <w:rPr>
          <w:sz w:val="20"/>
        </w:rPr>
        <w:t>a</w:t>
      </w:r>
      <w:r>
        <w:rPr>
          <w:spacing w:val="-1"/>
          <w:sz w:val="20"/>
        </w:rPr>
        <w:t> </w:t>
      </w:r>
      <w:r>
        <w:rPr>
          <w:sz w:val="20"/>
        </w:rPr>
        <w:t>public</w:t>
      </w:r>
      <w:r>
        <w:rPr>
          <w:spacing w:val="-1"/>
          <w:sz w:val="20"/>
        </w:rPr>
        <w:t> </w:t>
      </w:r>
      <w:r>
        <w:rPr>
          <w:sz w:val="20"/>
        </w:rPr>
        <w:t>duty</w:t>
      </w:r>
      <w:r>
        <w:rPr>
          <w:spacing w:val="-1"/>
          <w:sz w:val="20"/>
        </w:rPr>
        <w:t> </w:t>
      </w:r>
      <w:r>
        <w:rPr>
          <w:sz w:val="20"/>
        </w:rPr>
        <w:t>can</w:t>
      </w:r>
      <w:r>
        <w:rPr>
          <w:spacing w:val="-1"/>
          <w:sz w:val="20"/>
        </w:rPr>
        <w:t> </w:t>
      </w:r>
      <w:r>
        <w:rPr>
          <w:sz w:val="20"/>
        </w:rPr>
        <w:t>provide</w:t>
      </w:r>
      <w:r>
        <w:rPr>
          <w:spacing w:val="-1"/>
          <w:sz w:val="20"/>
        </w:rPr>
        <w:t> </w:t>
      </w:r>
      <w:r>
        <w:rPr>
          <w:sz w:val="20"/>
        </w:rPr>
        <w:t>consideration</w:t>
      </w:r>
      <w:r>
        <w:rPr>
          <w:spacing w:val="-1"/>
          <w:sz w:val="20"/>
        </w:rPr>
        <w:t> </w:t>
      </w:r>
      <w:r>
        <w:rPr>
          <w:sz w:val="20"/>
        </w:rPr>
        <w:t>for</w:t>
      </w:r>
      <w:r>
        <w:rPr>
          <w:spacing w:val="-1"/>
          <w:sz w:val="20"/>
        </w:rPr>
        <w:t> </w:t>
      </w:r>
      <w:r>
        <w:rPr>
          <w:sz w:val="20"/>
        </w:rPr>
        <w:t>a</w:t>
      </w:r>
      <w:r>
        <w:rPr>
          <w:spacing w:val="-1"/>
          <w:sz w:val="20"/>
        </w:rPr>
        <w:t> </w:t>
      </w:r>
      <w:r>
        <w:rPr>
          <w:sz w:val="20"/>
        </w:rPr>
        <w:t>promise</w:t>
      </w:r>
      <w:r>
        <w:rPr>
          <w:spacing w:val="-1"/>
          <w:sz w:val="20"/>
        </w:rPr>
        <w:t> </w:t>
      </w:r>
      <w:r>
        <w:rPr>
          <w:sz w:val="20"/>
        </w:rPr>
        <w:t>by</w:t>
      </w:r>
      <w:r>
        <w:rPr>
          <w:spacing w:val="-1"/>
          <w:sz w:val="20"/>
        </w:rPr>
        <w:t> </w:t>
      </w:r>
      <w:r>
        <w:rPr>
          <w:sz w:val="20"/>
        </w:rPr>
        <w:t>doing</w:t>
      </w:r>
      <w:r>
        <w:rPr>
          <w:spacing w:val="-1"/>
          <w:sz w:val="20"/>
        </w:rPr>
        <w:t> </w:t>
      </w:r>
      <w:r>
        <w:rPr>
          <w:sz w:val="20"/>
        </w:rPr>
        <w:t>(or</w:t>
      </w:r>
      <w:r>
        <w:rPr>
          <w:spacing w:val="-1"/>
          <w:sz w:val="20"/>
        </w:rPr>
        <w:t> </w:t>
      </w:r>
      <w:r>
        <w:rPr>
          <w:sz w:val="20"/>
        </w:rPr>
        <w:t>promising</w:t>
      </w:r>
      <w:r>
        <w:rPr>
          <w:spacing w:val="-1"/>
          <w:sz w:val="20"/>
        </w:rPr>
        <w:t> </w:t>
      </w:r>
      <w:r>
        <w:rPr>
          <w:sz w:val="20"/>
        </w:rPr>
        <w:t>to do)</w:t>
      </w:r>
      <w:r>
        <w:rPr>
          <w:spacing w:val="13"/>
          <w:sz w:val="20"/>
        </w:rPr>
        <w:t> </w:t>
      </w:r>
      <w:r>
        <w:rPr>
          <w:sz w:val="20"/>
        </w:rPr>
        <w:t>more</w:t>
      </w:r>
      <w:r>
        <w:rPr>
          <w:spacing w:val="15"/>
          <w:sz w:val="20"/>
        </w:rPr>
        <w:t> </w:t>
      </w:r>
      <w:r>
        <w:rPr>
          <w:sz w:val="20"/>
        </w:rPr>
        <w:t>than</w:t>
      </w:r>
      <w:r>
        <w:rPr>
          <w:spacing w:val="15"/>
          <w:sz w:val="20"/>
        </w:rPr>
        <w:t> </w:t>
      </w:r>
      <w:r>
        <w:rPr>
          <w:sz w:val="20"/>
        </w:rPr>
        <w:t>he</w:t>
      </w:r>
      <w:r>
        <w:rPr>
          <w:spacing w:val="15"/>
          <w:sz w:val="20"/>
        </w:rPr>
        <w:t> </w:t>
      </w:r>
      <w:r>
        <w:rPr>
          <w:sz w:val="20"/>
        </w:rPr>
        <w:t>was</w:t>
      </w:r>
      <w:r>
        <w:rPr>
          <w:spacing w:val="15"/>
          <w:sz w:val="20"/>
        </w:rPr>
        <w:t> </w:t>
      </w:r>
      <w:r>
        <w:rPr>
          <w:sz w:val="20"/>
        </w:rPr>
        <w:t>by</w:t>
      </w:r>
      <w:r>
        <w:rPr>
          <w:spacing w:val="15"/>
          <w:sz w:val="20"/>
        </w:rPr>
        <w:t> </w:t>
      </w:r>
      <w:r>
        <w:rPr>
          <w:sz w:val="20"/>
        </w:rPr>
        <w:t>law</w:t>
      </w:r>
      <w:r>
        <w:rPr>
          <w:spacing w:val="15"/>
          <w:sz w:val="20"/>
        </w:rPr>
        <w:t> </w:t>
      </w:r>
      <w:r>
        <w:rPr>
          <w:sz w:val="20"/>
        </w:rPr>
        <w:t>obliged</w:t>
      </w:r>
      <w:r>
        <w:rPr>
          <w:spacing w:val="15"/>
          <w:sz w:val="20"/>
        </w:rPr>
        <w:t> </w:t>
      </w:r>
      <w:r>
        <w:rPr>
          <w:sz w:val="20"/>
        </w:rPr>
        <w:t>to</w:t>
      </w:r>
      <w:r>
        <w:rPr>
          <w:spacing w:val="15"/>
          <w:sz w:val="20"/>
        </w:rPr>
        <w:t> </w:t>
      </w:r>
      <w:r>
        <w:rPr>
          <w:sz w:val="20"/>
        </w:rPr>
        <w:t>do.</w:t>
      </w:r>
      <w:r>
        <w:rPr>
          <w:spacing w:val="15"/>
          <w:sz w:val="20"/>
        </w:rPr>
        <w:t> </w:t>
      </w:r>
      <w:r>
        <w:rPr>
          <w:sz w:val="20"/>
        </w:rPr>
        <w:t>In</w:t>
      </w:r>
      <w:r>
        <w:rPr>
          <w:spacing w:val="14"/>
          <w:sz w:val="20"/>
        </w:rPr>
        <w:t> </w:t>
      </w:r>
      <w:r>
        <w:rPr>
          <w:rFonts w:ascii="Arial"/>
          <w:i/>
          <w:sz w:val="20"/>
        </w:rPr>
        <w:t>Glasbrook</w:t>
      </w:r>
      <w:r>
        <w:rPr>
          <w:rFonts w:ascii="Arial"/>
          <w:i/>
          <w:spacing w:val="15"/>
          <w:sz w:val="20"/>
        </w:rPr>
        <w:t> </w:t>
      </w:r>
      <w:r>
        <w:rPr>
          <w:rFonts w:ascii="Arial"/>
          <w:i/>
          <w:sz w:val="20"/>
        </w:rPr>
        <w:t>Brothers</w:t>
      </w:r>
      <w:r>
        <w:rPr>
          <w:rFonts w:ascii="Arial"/>
          <w:i/>
          <w:spacing w:val="15"/>
          <w:sz w:val="20"/>
        </w:rPr>
        <w:t> </w:t>
      </w:r>
      <w:r>
        <w:rPr>
          <w:rFonts w:ascii="Arial"/>
          <w:i/>
          <w:sz w:val="20"/>
        </w:rPr>
        <w:t>Ltd</w:t>
      </w:r>
      <w:r>
        <w:rPr>
          <w:rFonts w:ascii="Arial"/>
          <w:i/>
          <w:spacing w:val="15"/>
          <w:sz w:val="20"/>
        </w:rPr>
        <w:t> </w:t>
      </w:r>
      <w:r>
        <w:rPr>
          <w:rFonts w:ascii="Arial"/>
          <w:i/>
          <w:sz w:val="20"/>
        </w:rPr>
        <w:t>v</w:t>
      </w:r>
      <w:r>
        <w:rPr>
          <w:rFonts w:ascii="Arial"/>
          <w:i/>
          <w:spacing w:val="15"/>
          <w:sz w:val="20"/>
        </w:rPr>
        <w:t> </w:t>
      </w:r>
      <w:r>
        <w:rPr>
          <w:rFonts w:ascii="Arial"/>
          <w:i/>
          <w:sz w:val="20"/>
        </w:rPr>
        <w:t>Glamorgan</w:t>
      </w:r>
      <w:r>
        <w:rPr>
          <w:rFonts w:ascii="Arial"/>
          <w:i/>
          <w:spacing w:val="15"/>
          <w:sz w:val="20"/>
        </w:rPr>
        <w:t> </w:t>
      </w:r>
      <w:r>
        <w:rPr>
          <w:rFonts w:ascii="Arial"/>
          <w:i/>
          <w:sz w:val="20"/>
        </w:rPr>
        <w:t>County</w:t>
      </w:r>
      <w:r>
        <w:rPr>
          <w:rFonts w:ascii="Arial"/>
          <w:i/>
          <w:spacing w:val="15"/>
          <w:sz w:val="20"/>
        </w:rPr>
        <w:t> </w:t>
      </w:r>
      <w:r>
        <w:rPr>
          <w:rFonts w:ascii="Arial"/>
          <w:i/>
          <w:spacing w:val="-2"/>
          <w:sz w:val="20"/>
        </w:rPr>
        <w:t>Council</w:t>
      </w:r>
    </w:p>
    <w:p>
      <w:pPr>
        <w:pStyle w:val="BodyText"/>
        <w:spacing w:line="235" w:lineRule="auto"/>
        <w:ind w:left="165" w:right="167"/>
        <w:jc w:val="both"/>
      </w:pPr>
      <w:r>
        <w:rPr>
          <w:color w:val="005DA1"/>
          <w:u w:val="single" w:color="005DA1"/>
          <w:vertAlign w:val="superscript"/>
        </w:rPr>
        <w:t>346</w:t>
      </w:r>
      <w:r>
        <w:rPr>
          <w:color w:val="005DA1"/>
          <w:vertAlign w:val="baseline"/>
        </w:rPr>
        <w:t> </w:t>
      </w:r>
      <w:r>
        <w:rPr>
          <w:vertAlign w:val="baseline"/>
        </w:rPr>
        <w:t>the owners of a coal mine, who feared violence from strikers, asked, and promised to pay, the police for a greater degree of protection than the police reasonably thought necessary. It was </w:t>
      </w:r>
      <w:r>
        <w:rPr>
          <w:vertAlign w:val="baseline"/>
        </w:rPr>
        <w:t>held</w:t>
      </w:r>
      <w:r>
        <w:rPr>
          <w:spacing w:val="40"/>
          <w:vertAlign w:val="baseline"/>
        </w:rPr>
        <w:t> </w:t>
      </w:r>
      <w:r>
        <w:rPr>
          <w:vertAlign w:val="baseline"/>
        </w:rPr>
        <w:t>that the police had provided consideration for this promise by providing the extra protection, and that accordingly the promise was enforceable. The position in cases of this kind is now regulated by statute. Section 25(1) of the Police Act 1996 provides that payment can be claimed for “special police services” rendered at the “request” of the person requiring them. Such a request can be implied from conduct:</w:t>
      </w:r>
      <w:r>
        <w:rPr>
          <w:spacing w:val="53"/>
          <w:vertAlign w:val="baseline"/>
        </w:rPr>
        <w:t> </w:t>
      </w:r>
      <w:r>
        <w:rPr>
          <w:vertAlign w:val="baseline"/>
        </w:rPr>
        <w:t>e.g.</w:t>
      </w:r>
      <w:r>
        <w:rPr>
          <w:spacing w:val="53"/>
          <w:vertAlign w:val="baseline"/>
        </w:rPr>
        <w:t> </w:t>
      </w:r>
      <w:r>
        <w:rPr>
          <w:vertAlign w:val="baseline"/>
        </w:rPr>
        <w:t>where</w:t>
      </w:r>
      <w:r>
        <w:rPr>
          <w:spacing w:val="53"/>
          <w:vertAlign w:val="baseline"/>
        </w:rPr>
        <w:t> </w:t>
      </w:r>
      <w:r>
        <w:rPr>
          <w:vertAlign w:val="baseline"/>
        </w:rPr>
        <w:t>a</w:t>
      </w:r>
      <w:r>
        <w:rPr>
          <w:spacing w:val="53"/>
          <w:vertAlign w:val="baseline"/>
        </w:rPr>
        <w:t> </w:t>
      </w:r>
      <w:r>
        <w:rPr>
          <w:vertAlign w:val="baseline"/>
        </w:rPr>
        <w:t>person</w:t>
      </w:r>
      <w:r>
        <w:rPr>
          <w:spacing w:val="53"/>
          <w:vertAlign w:val="baseline"/>
        </w:rPr>
        <w:t> </w:t>
      </w:r>
      <w:r>
        <w:rPr>
          <w:vertAlign w:val="baseline"/>
        </w:rPr>
        <w:t>organises</w:t>
      </w:r>
      <w:r>
        <w:rPr>
          <w:spacing w:val="53"/>
          <w:vertAlign w:val="baseline"/>
        </w:rPr>
        <w:t> </w:t>
      </w:r>
      <w:r>
        <w:rPr>
          <w:vertAlign w:val="baseline"/>
        </w:rPr>
        <w:t>an</w:t>
      </w:r>
      <w:r>
        <w:rPr>
          <w:spacing w:val="53"/>
          <w:vertAlign w:val="baseline"/>
        </w:rPr>
        <w:t> </w:t>
      </w:r>
      <w:r>
        <w:rPr>
          <w:vertAlign w:val="baseline"/>
        </w:rPr>
        <w:t>event</w:t>
      </w:r>
      <w:r>
        <w:rPr>
          <w:spacing w:val="53"/>
          <w:vertAlign w:val="baseline"/>
        </w:rPr>
        <w:t> </w:t>
      </w:r>
      <w:r>
        <w:rPr>
          <w:vertAlign w:val="baseline"/>
        </w:rPr>
        <w:t>which</w:t>
      </w:r>
      <w:r>
        <w:rPr>
          <w:spacing w:val="53"/>
          <w:vertAlign w:val="baseline"/>
        </w:rPr>
        <w:t> </w:t>
      </w:r>
      <w:r>
        <w:rPr>
          <w:vertAlign w:val="baseline"/>
        </w:rPr>
        <w:t>cannot</w:t>
      </w:r>
      <w:r>
        <w:rPr>
          <w:spacing w:val="53"/>
          <w:vertAlign w:val="baseline"/>
        </w:rPr>
        <w:t> </w:t>
      </w:r>
      <w:r>
        <w:rPr>
          <w:vertAlign w:val="baseline"/>
        </w:rPr>
        <w:t>safely</w:t>
      </w:r>
      <w:r>
        <w:rPr>
          <w:spacing w:val="53"/>
          <w:vertAlign w:val="baseline"/>
        </w:rPr>
        <w:t> </w:t>
      </w:r>
      <w:r>
        <w:rPr>
          <w:vertAlign w:val="baseline"/>
        </w:rPr>
        <w:t>take</w:t>
      </w:r>
      <w:r>
        <w:rPr>
          <w:spacing w:val="53"/>
          <w:vertAlign w:val="baseline"/>
        </w:rPr>
        <w:t> </w:t>
      </w:r>
      <w:r>
        <w:rPr>
          <w:vertAlign w:val="baseline"/>
        </w:rPr>
        <w:t>place</w:t>
      </w:r>
      <w:r>
        <w:rPr>
          <w:spacing w:val="53"/>
          <w:vertAlign w:val="baseline"/>
        </w:rPr>
        <w:t> </w:t>
      </w:r>
      <w:r>
        <w:rPr>
          <w:vertAlign w:val="baseline"/>
        </w:rPr>
        <w:t>without</w:t>
      </w:r>
      <w:r>
        <w:rPr>
          <w:spacing w:val="53"/>
          <w:vertAlign w:val="baseline"/>
        </w:rPr>
        <w:t> </w:t>
      </w:r>
      <w:r>
        <w:rPr>
          <w:spacing w:val="-4"/>
          <w:vertAlign w:val="baseline"/>
        </w:rPr>
        <w:t>such</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642" w:id="644"/>
      <w:bookmarkEnd w:id="644"/>
      <w:r>
        <w:rPr/>
      </w:r>
      <w:r>
        <w:rPr/>
        <w:t>services. On this reasoning, a football club has been held liable to the police authority for the cost </w:t>
      </w:r>
      <w:r>
        <w:rPr/>
        <w:t>of policing matches played on its ground. </w:t>
      </w:r>
      <w:r>
        <w:rPr>
          <w:color w:val="005DA1"/>
          <w:u w:val="single" w:color="005DA1"/>
          <w:vertAlign w:val="superscript"/>
        </w:rPr>
        <w:t>347</w:t>
      </w:r>
      <w:r>
        <w:rPr>
          <w:color w:val="005DA1"/>
          <w:vertAlign w:val="baseline"/>
        </w:rPr>
        <w:t> </w:t>
      </w:r>
      <w:r>
        <w:rPr>
          <w:vertAlign w:val="baseline"/>
        </w:rPr>
        <w:t>Such liability arises irrespective of contract. </w:t>
      </w:r>
      <w:r>
        <w:rPr>
          <w:color w:val="005DA1"/>
          <w:u w:val="single" w:color="005DA1"/>
          <w:vertAlign w:val="superscript"/>
        </w:rPr>
        <w:t>348</w:t>
      </w:r>
    </w:p>
    <w:p>
      <w:pPr>
        <w:pStyle w:val="BodyText"/>
        <w:spacing w:before="80"/>
      </w:pPr>
    </w:p>
    <w:p>
      <w:pPr>
        <w:pStyle w:val="Heading2"/>
      </w:pPr>
      <w:r>
        <w:rPr/>
        <w:t>4-</w:t>
      </w:r>
      <w:r>
        <w:rPr>
          <w:spacing w:val="-5"/>
        </w:rPr>
        <w:t>065</w:t>
      </w:r>
    </w:p>
    <w:p>
      <w:pPr>
        <w:pStyle w:val="BodyText"/>
        <w:spacing w:line="235" w:lineRule="auto" w:before="203"/>
        <w:ind w:left="165" w:right="167"/>
        <w:jc w:val="both"/>
      </w:pPr>
      <w:bookmarkStart w:name="_bookmark643" w:id="645"/>
      <w:bookmarkEnd w:id="645"/>
      <w:r>
        <w:rPr/>
      </w:r>
      <w:r>
        <w:rPr/>
        <w:t>In </w:t>
      </w:r>
      <w:r>
        <w:rPr>
          <w:rFonts w:ascii="Arial" w:hAnsi="Arial"/>
          <w:i/>
        </w:rPr>
        <w:t>Ward v Byham </w:t>
      </w:r>
      <w:r>
        <w:rPr>
          <w:color w:val="005DA1"/>
          <w:u w:val="single" w:color="005DA1"/>
          <w:vertAlign w:val="superscript"/>
        </w:rPr>
        <w:t>349</w:t>
      </w:r>
      <w:r>
        <w:rPr>
          <w:color w:val="005DA1"/>
          <w:vertAlign w:val="baseline"/>
        </w:rPr>
        <w:t> </w:t>
      </w:r>
      <w:r>
        <w:rPr>
          <w:vertAlign w:val="baseline"/>
        </w:rPr>
        <w:t>the father of an illegitimate child wrote to its mother, from whom he was separated, saying that she could have the child and an allowance of £1 a week if she proved that </w:t>
      </w:r>
      <w:r>
        <w:rPr>
          <w:vertAlign w:val="baseline"/>
        </w:rPr>
        <w:t>the child was “well looked after and happy and also that she is allowed to decide for herself whether or</w:t>
      </w:r>
      <w:r>
        <w:rPr>
          <w:spacing w:val="40"/>
          <w:vertAlign w:val="baseline"/>
        </w:rPr>
        <w:t> </w:t>
      </w:r>
      <w:r>
        <w:rPr>
          <w:vertAlign w:val="baseline"/>
        </w:rPr>
        <w:t>not she wishes to come and live with you.” The father refused to continue the payments after the marriage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mother</w:t>
      </w:r>
      <w:r>
        <w:rPr>
          <w:spacing w:val="-1"/>
          <w:vertAlign w:val="baseline"/>
        </w:rPr>
        <w:t> </w:t>
      </w:r>
      <w:r>
        <w:rPr>
          <w:vertAlign w:val="baseline"/>
        </w:rPr>
        <w:t>to</w:t>
      </w:r>
      <w:r>
        <w:rPr>
          <w:spacing w:val="-1"/>
          <w:vertAlign w:val="baseline"/>
        </w:rPr>
        <w:t> </w:t>
      </w:r>
      <w:r>
        <w:rPr>
          <w:vertAlign w:val="baseline"/>
        </w:rPr>
        <w:t>another</w:t>
      </w:r>
      <w:r>
        <w:rPr>
          <w:spacing w:val="-1"/>
          <w:vertAlign w:val="baseline"/>
        </w:rPr>
        <w:t> </w:t>
      </w:r>
      <w:r>
        <w:rPr>
          <w:vertAlign w:val="baseline"/>
        </w:rPr>
        <w:t>man.</w:t>
      </w:r>
      <w:r>
        <w:rPr>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mother</w:t>
      </w:r>
      <w:r>
        <w:rPr>
          <w:spacing w:val="-1"/>
          <w:vertAlign w:val="baseline"/>
        </w:rPr>
        <w:t> </w:t>
      </w:r>
      <w:r>
        <w:rPr>
          <w:vertAlign w:val="baseline"/>
        </w:rPr>
        <w:t>was</w:t>
      </w:r>
      <w:r>
        <w:rPr>
          <w:spacing w:val="-1"/>
          <w:vertAlign w:val="baseline"/>
        </w:rPr>
        <w:t> </w:t>
      </w:r>
      <w:r>
        <w:rPr>
          <w:vertAlign w:val="baseline"/>
        </w:rPr>
        <w:t>entitled</w:t>
      </w:r>
      <w:r>
        <w:rPr>
          <w:spacing w:val="-1"/>
          <w:vertAlign w:val="baseline"/>
        </w:rPr>
        <w:t> </w:t>
      </w:r>
      <w:r>
        <w:rPr>
          <w:vertAlign w:val="baseline"/>
        </w:rPr>
        <w:t>to</w:t>
      </w:r>
      <w:r>
        <w:rPr>
          <w:spacing w:val="-1"/>
          <w:vertAlign w:val="baseline"/>
        </w:rPr>
        <w:t> </w:t>
      </w:r>
      <w:r>
        <w:rPr>
          <w:vertAlign w:val="baseline"/>
        </w:rPr>
        <w:t>enforce</w:t>
      </w:r>
      <w:r>
        <w:rPr>
          <w:spacing w:val="-1"/>
          <w:vertAlign w:val="baseline"/>
        </w:rPr>
        <w:t> </w:t>
      </w:r>
      <w:r>
        <w:rPr>
          <w:vertAlign w:val="baseline"/>
        </w:rPr>
        <w:t>the</w:t>
      </w:r>
      <w:r>
        <w:rPr>
          <w:spacing w:val="-1"/>
          <w:vertAlign w:val="baseline"/>
        </w:rPr>
        <w:t> </w:t>
      </w:r>
      <w:r>
        <w:rPr>
          <w:vertAlign w:val="baseline"/>
        </w:rPr>
        <w:t>father’s promise even though she was under a statutory duty to maintain the child. One ground for the </w:t>
      </w:r>
      <w:bookmarkStart w:name="_bookmark644" w:id="646"/>
      <w:bookmarkEnd w:id="646"/>
      <w:r>
        <w:rPr>
          <w:vertAlign w:val="baseline"/>
        </w:rPr>
        <w:t>decision</w:t>
      </w:r>
      <w:r>
        <w:rPr>
          <w:vertAlign w:val="baseline"/>
        </w:rPr>
        <w:t> is that the mother had provided consideration by showing that she had made the child</w:t>
      </w:r>
      <w:r>
        <w:rPr>
          <w:spacing w:val="80"/>
          <w:vertAlign w:val="baseline"/>
        </w:rPr>
        <w:t> </w:t>
      </w:r>
      <w:bookmarkStart w:name="_bookmark645" w:id="647"/>
      <w:bookmarkEnd w:id="647"/>
      <w:r>
        <w:rPr>
          <w:vertAlign w:val="baseline"/>
        </w:rPr>
        <w:t>happy,</w:t>
      </w:r>
      <w:r>
        <w:rPr>
          <w:vertAlign w:val="baseline"/>
        </w:rPr>
        <w:t> etc.: in this way, she could be said to have done more than she was required by law to do, </w:t>
      </w:r>
      <w:r>
        <w:rPr>
          <w:color w:val="005DA1"/>
          <w:u w:val="single" w:color="005DA1"/>
          <w:vertAlign w:val="superscript"/>
        </w:rPr>
        <w:t>350</w:t>
      </w:r>
      <w:r>
        <w:rPr>
          <w:color w:val="005DA1"/>
          <w:vertAlign w:val="baseline"/>
        </w:rPr>
        <w:t> </w:t>
      </w:r>
      <w:bookmarkStart w:name="_bookmark646" w:id="648"/>
      <w:bookmarkEnd w:id="648"/>
      <w:r>
        <w:rPr>
          <w:color w:val="005DA1"/>
          <w:w w:val="92"/>
          <w:vertAlign w:val="baseline"/>
        </w:rPr>
      </w:r>
      <w:r>
        <w:rPr>
          <w:vertAlign w:val="baseline"/>
        </w:rPr>
        <w:t>and to have conferred a factual benefit on the father </w:t>
      </w:r>
      <w:r>
        <w:rPr>
          <w:color w:val="005DA1"/>
          <w:u w:val="single" w:color="005DA1"/>
          <w:vertAlign w:val="superscript"/>
        </w:rPr>
        <w:t>351</w:t>
      </w:r>
      <w:r>
        <w:rPr>
          <w:color w:val="005DA1"/>
          <w:vertAlign w:val="baseline"/>
        </w:rPr>
        <w:t> </w:t>
      </w:r>
      <w:r>
        <w:rPr>
          <w:vertAlign w:val="baseline"/>
        </w:rPr>
        <w:t>or on the child, </w:t>
      </w:r>
      <w:r>
        <w:rPr>
          <w:color w:val="005DA1"/>
          <w:u w:val="single" w:color="005DA1"/>
          <w:vertAlign w:val="superscript"/>
        </w:rPr>
        <w:t>352</w:t>
      </w:r>
      <w:r>
        <w:rPr>
          <w:color w:val="005DA1"/>
          <w:vertAlign w:val="baseline"/>
        </w:rPr>
        <w:t> </w:t>
      </w:r>
      <w:r>
        <w:rPr>
          <w:vertAlign w:val="baseline"/>
        </w:rPr>
        <w:t>even though she may not have</w:t>
      </w:r>
      <w:r>
        <w:rPr>
          <w:spacing w:val="-2"/>
          <w:vertAlign w:val="baseline"/>
        </w:rPr>
        <w:t> </w:t>
      </w:r>
      <w:r>
        <w:rPr>
          <w:vertAlign w:val="baseline"/>
        </w:rPr>
        <w:t>suffered</w:t>
      </w:r>
      <w:r>
        <w:rPr>
          <w:spacing w:val="-2"/>
          <w:vertAlign w:val="baseline"/>
        </w:rPr>
        <w:t> </w:t>
      </w:r>
      <w:r>
        <w:rPr>
          <w:vertAlign w:val="baseline"/>
        </w:rPr>
        <w:t>any</w:t>
      </w:r>
      <w:r>
        <w:rPr>
          <w:spacing w:val="-2"/>
          <w:vertAlign w:val="baseline"/>
        </w:rPr>
        <w:t> </w:t>
      </w:r>
      <w:r>
        <w:rPr>
          <w:vertAlign w:val="baseline"/>
        </w:rPr>
        <w:t>detriment.</w:t>
      </w:r>
      <w:r>
        <w:rPr>
          <w:spacing w:val="-2"/>
          <w:vertAlign w:val="baseline"/>
        </w:rPr>
        <w:t> </w:t>
      </w:r>
      <w:r>
        <w:rPr>
          <w:vertAlign w:val="baseline"/>
        </w:rPr>
        <w:t>But</w:t>
      </w:r>
      <w:r>
        <w:rPr>
          <w:spacing w:val="-2"/>
          <w:vertAlign w:val="baseline"/>
        </w:rPr>
        <w:t> </w:t>
      </w:r>
      <w:r>
        <w:rPr>
          <w:vertAlign w:val="baseline"/>
        </w:rPr>
        <w:t>if</w:t>
      </w:r>
      <w:r>
        <w:rPr>
          <w:spacing w:val="-2"/>
          <w:vertAlign w:val="baseline"/>
        </w:rPr>
        <w:t> </w:t>
      </w:r>
      <w:r>
        <w:rPr>
          <w:vertAlign w:val="baseline"/>
        </w:rPr>
        <w:t>a</w:t>
      </w:r>
      <w:r>
        <w:rPr>
          <w:spacing w:val="-2"/>
          <w:vertAlign w:val="baseline"/>
        </w:rPr>
        <w:t> </w:t>
      </w:r>
      <w:r>
        <w:rPr>
          <w:vertAlign w:val="baseline"/>
        </w:rPr>
        <w:t>son’s</w:t>
      </w:r>
      <w:r>
        <w:rPr>
          <w:spacing w:val="-2"/>
          <w:vertAlign w:val="baseline"/>
        </w:rPr>
        <w:t> </w:t>
      </w:r>
      <w:r>
        <w:rPr>
          <w:vertAlign w:val="baseline"/>
        </w:rPr>
        <w:t>promise</w:t>
      </w:r>
      <w:r>
        <w:rPr>
          <w:spacing w:val="-2"/>
          <w:vertAlign w:val="baseline"/>
        </w:rPr>
        <w:t> </w:t>
      </w:r>
      <w:r>
        <w:rPr>
          <w:vertAlign w:val="baseline"/>
        </w:rPr>
        <w:t>not</w:t>
      </w:r>
      <w:r>
        <w:rPr>
          <w:spacing w:val="-2"/>
          <w:vertAlign w:val="baseline"/>
        </w:rPr>
        <w:t> </w:t>
      </w:r>
      <w:r>
        <w:rPr>
          <w:vertAlign w:val="baseline"/>
        </w:rPr>
        <w:t>to</w:t>
      </w:r>
      <w:r>
        <w:rPr>
          <w:spacing w:val="-2"/>
          <w:vertAlign w:val="baseline"/>
        </w:rPr>
        <w:t> </w:t>
      </w:r>
      <w:r>
        <w:rPr>
          <w:vertAlign w:val="baseline"/>
        </w:rPr>
        <w:t>bore</w:t>
      </w:r>
      <w:r>
        <w:rPr>
          <w:spacing w:val="-2"/>
          <w:vertAlign w:val="baseline"/>
        </w:rPr>
        <w:t> </w:t>
      </w:r>
      <w:r>
        <w:rPr>
          <w:vertAlign w:val="baseline"/>
        </w:rPr>
        <w:t>his</w:t>
      </w:r>
      <w:r>
        <w:rPr>
          <w:spacing w:val="-2"/>
          <w:vertAlign w:val="baseline"/>
        </w:rPr>
        <w:t> </w:t>
      </w:r>
      <w:r>
        <w:rPr>
          <w:vertAlign w:val="baseline"/>
        </w:rPr>
        <w:t>father</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good</w:t>
      </w:r>
      <w:r>
        <w:rPr>
          <w:spacing w:val="-2"/>
          <w:vertAlign w:val="baseline"/>
        </w:rPr>
        <w:t> </w:t>
      </w:r>
      <w:r>
        <w:rPr>
          <w:vertAlign w:val="baseline"/>
        </w:rPr>
        <w:t>consideration,</w:t>
      </w:r>
      <w:r>
        <w:rPr>
          <w:spacing w:val="-3"/>
          <w:vertAlign w:val="baseline"/>
        </w:rPr>
        <w:t> </w:t>
      </w:r>
      <w:r>
        <w:rPr>
          <w:color w:val="005DA1"/>
          <w:u w:val="single" w:color="005DA1"/>
          <w:vertAlign w:val="superscript"/>
        </w:rPr>
        <w:t>353</w:t>
      </w:r>
      <w:r>
        <w:rPr>
          <w:color w:val="005DA1"/>
          <w:vertAlign w:val="baseline"/>
        </w:rPr>
        <w:t> </w:t>
      </w:r>
      <w:r>
        <w:rPr>
          <w:vertAlign w:val="baseline"/>
        </w:rPr>
        <w:t>it is hard to see why a mother’s promise to make her child happy should, for the present purpose, stand on a different footing. There is, with respect, force in Denning L.J.’s view that the mother provided consideration by merely performing her legal duty to support the child. There was certainly no ground of public policy for refusing to enforce the promise.</w:t>
      </w:r>
    </w:p>
    <w:p>
      <w:pPr>
        <w:pStyle w:val="BodyText"/>
      </w:pPr>
    </w:p>
    <w:p>
      <w:pPr>
        <w:pStyle w:val="BodyText"/>
        <w:spacing w:before="34"/>
      </w:pPr>
      <w:r>
        <w:rPr/>
        <mc:AlternateContent>
          <mc:Choice Requires="wps">
            <w:drawing>
              <wp:anchor distT="0" distB="0" distL="0" distR="0" allowOverlap="1" layoutInCell="1" locked="0" behindDoc="1" simplePos="0" relativeHeight="487616512">
                <wp:simplePos x="0" y="0"/>
                <wp:positionH relativeFrom="page">
                  <wp:posOffset>914400</wp:posOffset>
                </wp:positionH>
                <wp:positionV relativeFrom="paragraph">
                  <wp:posOffset>183389</wp:posOffset>
                </wp:positionV>
                <wp:extent cx="5724525" cy="127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40102pt;width:450.75pt;height:.1pt;mso-position-horizontal-relative:page;mso-position-vertical-relative:paragraph;z-index:-15699968;mso-wrap-distance-left:0;mso-wrap-distance-right:0" id="docshape37" coordorigin="1440,289" coordsize="9015,0" path="m1440,289l10454,289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183680">
                <wp:simplePos x="0" y="0"/>
                <wp:positionH relativeFrom="page">
                  <wp:posOffset>914400</wp:posOffset>
                </wp:positionH>
                <wp:positionV relativeFrom="paragraph">
                  <wp:posOffset>97116</wp:posOffset>
                </wp:positionV>
                <wp:extent cx="4953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2800"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before="5"/>
      </w:pPr>
    </w:p>
    <w:p>
      <w:pPr>
        <w:pStyle w:val="BodyText"/>
        <w:tabs>
          <w:tab w:pos="705" w:val="left" w:leader="none"/>
        </w:tabs>
        <w:spacing w:line="227" w:lineRule="exact"/>
        <w:ind w:left="165"/>
      </w:pPr>
      <w:hyperlink w:history="true" w:anchor="_bookmark754">
        <w:r>
          <w:rPr>
            <w:color w:val="005DA1"/>
            <w:spacing w:val="-4"/>
            <w:position w:val="5"/>
            <w:sz w:val="14"/>
            <w:u w:val="single" w:color="005DA1"/>
          </w:rPr>
          <w:t>333</w:t>
        </w:r>
      </w:hyperlink>
      <w:r>
        <w:rPr>
          <w:spacing w:val="-4"/>
          <w:position w:val="5"/>
          <w:sz w:val="14"/>
        </w:rPr>
        <w:t>.</w:t>
      </w:r>
      <w:r>
        <w:rPr>
          <w:position w:val="5"/>
          <w:sz w:val="14"/>
        </w:rPr>
        <w:tab/>
      </w:r>
      <w:r>
        <w:rPr/>
        <w:t>Reynolds</w:t>
      </w:r>
      <w:r>
        <w:rPr>
          <w:spacing w:val="55"/>
        </w:rPr>
        <w:t> </w:t>
      </w:r>
      <w:r>
        <w:rPr/>
        <w:t>and</w:t>
      </w:r>
      <w:r>
        <w:rPr>
          <w:spacing w:val="56"/>
        </w:rPr>
        <w:t> </w:t>
      </w:r>
      <w:r>
        <w:rPr/>
        <w:t>Treitel</w:t>
      </w:r>
      <w:r>
        <w:rPr>
          <w:spacing w:val="55"/>
        </w:rPr>
        <w:t> </w:t>
      </w:r>
      <w:r>
        <w:rPr/>
        <w:t>(1965)</w:t>
      </w:r>
      <w:r>
        <w:rPr>
          <w:spacing w:val="56"/>
        </w:rPr>
        <w:t> </w:t>
      </w:r>
      <w:r>
        <w:rPr/>
        <w:t>7</w:t>
      </w:r>
      <w:r>
        <w:rPr>
          <w:spacing w:val="55"/>
        </w:rPr>
        <w:t> </w:t>
      </w:r>
      <w:r>
        <w:rPr/>
        <w:t>Malaya</w:t>
      </w:r>
      <w:r>
        <w:rPr>
          <w:spacing w:val="56"/>
        </w:rPr>
        <w:t> </w:t>
      </w:r>
      <w:r>
        <w:rPr/>
        <w:t>L.Rev.</w:t>
      </w:r>
      <w:r>
        <w:rPr>
          <w:spacing w:val="55"/>
        </w:rPr>
        <w:t> </w:t>
      </w:r>
      <w:r>
        <w:rPr/>
        <w:t>1;</w:t>
      </w:r>
      <w:r>
        <w:rPr>
          <w:spacing w:val="56"/>
        </w:rPr>
        <w:t> </w:t>
      </w:r>
      <w:r>
        <w:rPr/>
        <w:t>Aivazian,</w:t>
      </w:r>
      <w:r>
        <w:rPr>
          <w:spacing w:val="56"/>
        </w:rPr>
        <w:t> </w:t>
      </w:r>
      <w:r>
        <w:rPr/>
        <w:t>Trebilcock</w:t>
      </w:r>
      <w:r>
        <w:rPr>
          <w:spacing w:val="55"/>
        </w:rPr>
        <w:t> </w:t>
      </w:r>
      <w:r>
        <w:rPr/>
        <w:t>&amp;</w:t>
      </w:r>
      <w:r>
        <w:rPr>
          <w:spacing w:val="56"/>
        </w:rPr>
        <w:t> </w:t>
      </w:r>
      <w:r>
        <w:rPr/>
        <w:t>Penny</w:t>
      </w:r>
      <w:r>
        <w:rPr>
          <w:spacing w:val="55"/>
        </w:rPr>
        <w:t> </w:t>
      </w:r>
      <w:r>
        <w:rPr/>
        <w:t>(1984)</w:t>
      </w:r>
      <w:r>
        <w:rPr>
          <w:spacing w:val="56"/>
        </w:rPr>
        <w:t> </w:t>
      </w:r>
      <w:r>
        <w:rPr>
          <w:spacing w:val="-5"/>
        </w:rPr>
        <w:t>22</w:t>
      </w:r>
    </w:p>
    <w:p>
      <w:pPr>
        <w:pStyle w:val="BodyText"/>
        <w:spacing w:line="227" w:lineRule="exact"/>
        <w:ind w:left="705"/>
      </w:pPr>
      <w:r>
        <w:rPr/>
        <w:t>Osgoode Hall L.J. 173; Hooley [1991] J.B.L. 195; Halson (1991) 107 L.Q.R. </w:t>
      </w:r>
      <w:r>
        <w:rPr>
          <w:spacing w:val="-4"/>
        </w:rPr>
        <w:t>649.</w:t>
      </w:r>
    </w:p>
    <w:p>
      <w:pPr>
        <w:pStyle w:val="BodyText"/>
        <w:spacing w:before="9"/>
      </w:pPr>
    </w:p>
    <w:p>
      <w:pPr>
        <w:spacing w:line="235" w:lineRule="auto" w:before="0"/>
        <w:ind w:left="705" w:right="168" w:hanging="541"/>
        <w:jc w:val="both"/>
        <w:rPr>
          <w:sz w:val="20"/>
        </w:rPr>
      </w:pPr>
      <w:bookmarkStart w:name="_bookmark647" w:id="649"/>
      <w:bookmarkEnd w:id="649"/>
      <w:r>
        <w:rPr/>
      </w:r>
      <w:hyperlink w:history="true" w:anchor="_bookmark633">
        <w:r>
          <w:rPr>
            <w:color w:val="005DA1"/>
            <w:position w:val="5"/>
            <w:sz w:val="14"/>
            <w:u w:val="single" w:color="005DA1"/>
          </w:rPr>
          <w:t>338</w:t>
        </w:r>
      </w:hyperlink>
      <w:r>
        <w:rPr>
          <w:position w:val="5"/>
          <w:sz w:val="14"/>
        </w:rPr>
        <w:t>.</w:t>
      </w:r>
      <w:r>
        <w:rPr>
          <w:spacing w:val="80"/>
          <w:position w:val="5"/>
          <w:sz w:val="14"/>
        </w:rPr>
        <w:t>  </w:t>
      </w:r>
      <w:r>
        <w:rPr>
          <w:rFonts w:ascii="Arial" w:hAnsi="Arial"/>
          <w:i/>
          <w:sz w:val="20"/>
        </w:rPr>
        <w:t>(1831) 1 B. &amp; Ad. 950</w:t>
      </w:r>
      <w:r>
        <w:rPr>
          <w:sz w:val="20"/>
        </w:rPr>
        <w:t>. See also </w:t>
      </w:r>
      <w:r>
        <w:rPr>
          <w:rFonts w:ascii="Arial" w:hAnsi="Arial"/>
          <w:i/>
          <w:sz w:val="20"/>
        </w:rPr>
        <w:t>Willis v Peckham (1820) 1 Br. &amp; B. 515</w:t>
      </w:r>
      <w:r>
        <w:rPr>
          <w:sz w:val="20"/>
        </w:rPr>
        <w:t>; </w:t>
      </w:r>
      <w:r>
        <w:rPr>
          <w:rFonts w:ascii="Arial" w:hAnsi="Arial"/>
          <w:i/>
          <w:sz w:val="20"/>
        </w:rPr>
        <w:t>Thoresen Car Ferries Ltd v Weymouth Portland BC [1977] 2 Lloyd’s Rep. 614, 619</w:t>
      </w:r>
      <w:r>
        <w:rPr>
          <w:sz w:val="20"/>
        </w:rPr>
        <w:t>. For contracts to pay fees to</w:t>
      </w:r>
      <w:r>
        <w:rPr>
          <w:spacing w:val="40"/>
          <w:sz w:val="20"/>
        </w:rPr>
        <w:t> </w:t>
      </w:r>
      <w:r>
        <w:rPr>
          <w:sz w:val="20"/>
        </w:rPr>
        <w:t>expert witnesses, see </w:t>
      </w:r>
      <w:r>
        <w:rPr>
          <w:rFonts w:ascii="Arial" w:hAnsi="Arial"/>
          <w:i/>
          <w:sz w:val="20"/>
        </w:rPr>
        <w:t>Goulden v Wilson Barca [2000] 1 W.L.R. 167</w:t>
      </w:r>
      <w:r>
        <w:rPr>
          <w:sz w:val="20"/>
        </w:rPr>
        <w:t>.</w:t>
      </w:r>
    </w:p>
    <w:p>
      <w:pPr>
        <w:pStyle w:val="BodyText"/>
        <w:spacing w:before="5"/>
      </w:pPr>
    </w:p>
    <w:p>
      <w:pPr>
        <w:tabs>
          <w:tab w:pos="705" w:val="left" w:leader="none"/>
        </w:tabs>
        <w:spacing w:before="0"/>
        <w:ind w:left="165" w:right="0" w:firstLine="0"/>
        <w:jc w:val="left"/>
        <w:rPr>
          <w:sz w:val="20"/>
        </w:rPr>
      </w:pPr>
      <w:bookmarkStart w:name="_bookmark648" w:id="650"/>
      <w:bookmarkEnd w:id="650"/>
      <w:r>
        <w:rPr/>
      </w:r>
      <w:hyperlink w:history="true" w:anchor="_bookmark634">
        <w:r>
          <w:rPr>
            <w:color w:val="005DA1"/>
            <w:spacing w:val="-4"/>
            <w:position w:val="5"/>
            <w:sz w:val="14"/>
            <w:u w:val="single" w:color="005DA1"/>
          </w:rPr>
          <w:t>339</w:t>
        </w:r>
      </w:hyperlink>
      <w:r>
        <w:rPr>
          <w:spacing w:val="-4"/>
          <w:position w:val="5"/>
          <w:sz w:val="14"/>
        </w:rPr>
        <w:t>.</w:t>
      </w:r>
      <w:r>
        <w:rPr>
          <w:position w:val="5"/>
          <w:sz w:val="14"/>
        </w:rPr>
        <w:tab/>
      </w:r>
      <w:r>
        <w:rPr>
          <w:sz w:val="20"/>
        </w:rPr>
        <w:t>At n.339 </w:t>
      </w:r>
      <w:r>
        <w:rPr>
          <w:spacing w:val="-2"/>
          <w:sz w:val="20"/>
        </w:rPr>
        <w:t>below.</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49" w:id="651"/>
      <w:bookmarkEnd w:id="651"/>
      <w:r>
        <w:rPr/>
      </w:r>
      <w:hyperlink w:history="true" w:anchor="_bookmark635">
        <w:r>
          <w:rPr>
            <w:color w:val="005DA1"/>
            <w:spacing w:val="-4"/>
            <w:position w:val="5"/>
            <w:sz w:val="14"/>
            <w:u w:val="single" w:color="005DA1"/>
          </w:rPr>
          <w:t>340</w:t>
        </w:r>
      </w:hyperlink>
      <w:r>
        <w:rPr>
          <w:spacing w:val="-4"/>
          <w:position w:val="5"/>
          <w:sz w:val="14"/>
        </w:rPr>
        <w:t>.</w:t>
      </w:r>
      <w:r>
        <w:rPr>
          <w:position w:val="5"/>
          <w:sz w:val="14"/>
        </w:rPr>
        <w:tab/>
      </w:r>
      <w:r>
        <w:rPr>
          <w:rFonts w:ascii="Arial"/>
          <w:i/>
          <w:sz w:val="20"/>
        </w:rPr>
        <w:t>Wathen</w:t>
      </w:r>
      <w:r>
        <w:rPr>
          <w:rFonts w:ascii="Arial"/>
          <w:i/>
          <w:spacing w:val="7"/>
          <w:sz w:val="20"/>
        </w:rPr>
        <w:t> </w:t>
      </w:r>
      <w:r>
        <w:rPr>
          <w:rFonts w:ascii="Arial"/>
          <w:i/>
          <w:sz w:val="20"/>
        </w:rPr>
        <w:t>v</w:t>
      </w:r>
      <w:r>
        <w:rPr>
          <w:rFonts w:ascii="Arial"/>
          <w:i/>
          <w:spacing w:val="8"/>
          <w:sz w:val="20"/>
        </w:rPr>
        <w:t> </w:t>
      </w:r>
      <w:r>
        <w:rPr>
          <w:rFonts w:ascii="Arial"/>
          <w:i/>
          <w:sz w:val="20"/>
        </w:rPr>
        <w:t>Sandys</w:t>
      </w:r>
      <w:r>
        <w:rPr>
          <w:rFonts w:ascii="Arial"/>
          <w:i/>
          <w:spacing w:val="8"/>
          <w:sz w:val="20"/>
        </w:rPr>
        <w:t> </w:t>
      </w:r>
      <w:r>
        <w:rPr>
          <w:rFonts w:ascii="Arial"/>
          <w:i/>
          <w:sz w:val="20"/>
        </w:rPr>
        <w:t>(1811)</w:t>
      </w:r>
      <w:r>
        <w:rPr>
          <w:rFonts w:ascii="Arial"/>
          <w:i/>
          <w:spacing w:val="8"/>
          <w:sz w:val="20"/>
        </w:rPr>
        <w:t> </w:t>
      </w:r>
      <w:r>
        <w:rPr>
          <w:rFonts w:ascii="Arial"/>
          <w:i/>
          <w:sz w:val="20"/>
        </w:rPr>
        <w:t>2</w:t>
      </w:r>
      <w:r>
        <w:rPr>
          <w:rFonts w:ascii="Arial"/>
          <w:i/>
          <w:spacing w:val="8"/>
          <w:sz w:val="20"/>
        </w:rPr>
        <w:t> </w:t>
      </w:r>
      <w:r>
        <w:rPr>
          <w:rFonts w:ascii="Arial"/>
          <w:i/>
          <w:sz w:val="20"/>
        </w:rPr>
        <w:t>Camp.</w:t>
      </w:r>
      <w:r>
        <w:rPr>
          <w:rFonts w:ascii="Arial"/>
          <w:i/>
          <w:spacing w:val="8"/>
          <w:sz w:val="20"/>
        </w:rPr>
        <w:t> </w:t>
      </w:r>
      <w:r>
        <w:rPr>
          <w:rFonts w:ascii="Arial"/>
          <w:i/>
          <w:sz w:val="20"/>
        </w:rPr>
        <w:t>640</w:t>
      </w:r>
      <w:r>
        <w:rPr>
          <w:sz w:val="20"/>
        </w:rPr>
        <w:t>;</w:t>
      </w:r>
      <w:r>
        <w:rPr>
          <w:spacing w:val="8"/>
          <w:sz w:val="20"/>
        </w:rPr>
        <w:t> </w:t>
      </w:r>
      <w:r>
        <w:rPr>
          <w:rFonts w:ascii="Arial"/>
          <w:i/>
          <w:sz w:val="20"/>
        </w:rPr>
        <w:t>Morris</w:t>
      </w:r>
      <w:r>
        <w:rPr>
          <w:rFonts w:ascii="Arial"/>
          <w:i/>
          <w:spacing w:val="8"/>
          <w:sz w:val="20"/>
        </w:rPr>
        <w:t> </w:t>
      </w:r>
      <w:r>
        <w:rPr>
          <w:rFonts w:ascii="Arial"/>
          <w:i/>
          <w:sz w:val="20"/>
        </w:rPr>
        <w:t>v</w:t>
      </w:r>
      <w:r>
        <w:rPr>
          <w:rFonts w:ascii="Arial"/>
          <w:i/>
          <w:spacing w:val="7"/>
          <w:sz w:val="20"/>
        </w:rPr>
        <w:t> </w:t>
      </w:r>
      <w:r>
        <w:rPr>
          <w:rFonts w:ascii="Arial"/>
          <w:i/>
          <w:sz w:val="20"/>
        </w:rPr>
        <w:t>Burdett</w:t>
      </w:r>
      <w:r>
        <w:rPr>
          <w:rFonts w:ascii="Arial"/>
          <w:i/>
          <w:spacing w:val="8"/>
          <w:sz w:val="20"/>
        </w:rPr>
        <w:t> </w:t>
      </w:r>
      <w:r>
        <w:rPr>
          <w:rFonts w:ascii="Arial"/>
          <w:i/>
          <w:sz w:val="20"/>
        </w:rPr>
        <w:t>(1808)</w:t>
      </w:r>
      <w:r>
        <w:rPr>
          <w:rFonts w:ascii="Arial"/>
          <w:i/>
          <w:spacing w:val="8"/>
          <w:sz w:val="20"/>
        </w:rPr>
        <w:t> </w:t>
      </w:r>
      <w:r>
        <w:rPr>
          <w:rFonts w:ascii="Arial"/>
          <w:i/>
          <w:sz w:val="20"/>
        </w:rPr>
        <w:t>1</w:t>
      </w:r>
      <w:r>
        <w:rPr>
          <w:rFonts w:ascii="Arial"/>
          <w:i/>
          <w:spacing w:val="8"/>
          <w:sz w:val="20"/>
        </w:rPr>
        <w:t> </w:t>
      </w:r>
      <w:r>
        <w:rPr>
          <w:rFonts w:ascii="Arial"/>
          <w:i/>
          <w:sz w:val="20"/>
        </w:rPr>
        <w:t>Camp.</w:t>
      </w:r>
      <w:r>
        <w:rPr>
          <w:rFonts w:ascii="Arial"/>
          <w:i/>
          <w:spacing w:val="8"/>
          <w:sz w:val="20"/>
        </w:rPr>
        <w:t> </w:t>
      </w:r>
      <w:r>
        <w:rPr>
          <w:rFonts w:ascii="Arial"/>
          <w:i/>
          <w:sz w:val="20"/>
        </w:rPr>
        <w:t>218</w:t>
      </w:r>
      <w:r>
        <w:rPr>
          <w:sz w:val="20"/>
        </w:rPr>
        <w:t>;</w:t>
      </w:r>
      <w:r>
        <w:rPr>
          <w:spacing w:val="8"/>
          <w:sz w:val="20"/>
        </w:rPr>
        <w:t> </w:t>
      </w:r>
      <w:r>
        <w:rPr>
          <w:rFonts w:ascii="Arial"/>
          <w:i/>
          <w:sz w:val="20"/>
        </w:rPr>
        <w:t>Bilke</w:t>
      </w:r>
      <w:r>
        <w:rPr>
          <w:rFonts w:ascii="Arial"/>
          <w:i/>
          <w:spacing w:val="8"/>
          <w:sz w:val="20"/>
        </w:rPr>
        <w:t> </w:t>
      </w:r>
      <w:r>
        <w:rPr>
          <w:rFonts w:ascii="Arial"/>
          <w:i/>
          <w:sz w:val="20"/>
        </w:rPr>
        <w:t>v</w:t>
      </w:r>
      <w:r>
        <w:rPr>
          <w:rFonts w:ascii="Arial"/>
          <w:i/>
          <w:spacing w:val="8"/>
          <w:sz w:val="20"/>
        </w:rPr>
        <w:t> </w:t>
      </w:r>
      <w:r>
        <w:rPr>
          <w:rFonts w:ascii="Arial"/>
          <w:i/>
          <w:spacing w:val="-2"/>
          <w:sz w:val="20"/>
        </w:rPr>
        <w:t>Havelock</w:t>
      </w:r>
    </w:p>
    <w:p>
      <w:pPr>
        <w:spacing w:line="235" w:lineRule="auto" w:before="1"/>
        <w:ind w:left="705" w:right="167" w:firstLine="0"/>
        <w:jc w:val="both"/>
        <w:rPr>
          <w:sz w:val="20"/>
        </w:rPr>
      </w:pPr>
      <w:r>
        <w:rPr>
          <w:rFonts w:ascii="Arial"/>
          <w:i/>
          <w:sz w:val="20"/>
        </w:rPr>
        <w:t>(1813) 3 Camp. 374</w:t>
      </w:r>
      <w:r>
        <w:rPr>
          <w:sz w:val="20"/>
        </w:rPr>
        <w:t>; cf. </w:t>
      </w:r>
      <w:r>
        <w:rPr>
          <w:rFonts w:ascii="Arial"/>
          <w:i/>
          <w:sz w:val="20"/>
        </w:rPr>
        <w:t>Morgan v Palmer (1824) 2 B. &amp; C. 729, 736 </w:t>
      </w:r>
      <w:r>
        <w:rPr>
          <w:sz w:val="20"/>
        </w:rPr>
        <w:t>(where the actual </w:t>
      </w:r>
      <w:r>
        <w:rPr>
          <w:sz w:val="20"/>
        </w:rPr>
        <w:t>decision was that money paid to the official was recoverable by the payee as having been extorted from him colore officii: see </w:t>
      </w:r>
      <w:r>
        <w:rPr>
          <w:rFonts w:ascii="Arial"/>
          <w:i/>
          <w:sz w:val="20"/>
        </w:rPr>
        <w:t>Woolwich Equitable B.S. v I.R.C. [1993] A.C. 70, 155, 165, 181, 198)</w:t>
      </w:r>
      <w:r>
        <w:rPr>
          <w:sz w:val="20"/>
        </w:rPr>
        <w:t>.</w:t>
      </w:r>
    </w:p>
    <w:p>
      <w:pPr>
        <w:pStyle w:val="BodyText"/>
        <w:spacing w:before="5"/>
      </w:pPr>
    </w:p>
    <w:p>
      <w:pPr>
        <w:tabs>
          <w:tab w:pos="705" w:val="left" w:leader="none"/>
        </w:tabs>
        <w:spacing w:before="1"/>
        <w:ind w:left="165" w:right="0" w:firstLine="0"/>
        <w:jc w:val="left"/>
        <w:rPr>
          <w:sz w:val="20"/>
        </w:rPr>
      </w:pPr>
      <w:bookmarkStart w:name="_bookmark650" w:id="652"/>
      <w:bookmarkEnd w:id="652"/>
      <w:r>
        <w:rPr/>
      </w:r>
      <w:hyperlink w:history="true" w:anchor="_bookmark636">
        <w:r>
          <w:rPr>
            <w:color w:val="005DA1"/>
            <w:spacing w:val="-4"/>
            <w:position w:val="5"/>
            <w:sz w:val="14"/>
            <w:u w:val="single" w:color="005DA1"/>
          </w:rPr>
          <w:t>341</w:t>
        </w:r>
      </w:hyperlink>
      <w:r>
        <w:rPr>
          <w:spacing w:val="-4"/>
          <w:position w:val="5"/>
          <w:sz w:val="14"/>
        </w:rPr>
        <w:t>.</w:t>
      </w:r>
      <w:r>
        <w:rPr>
          <w:position w:val="5"/>
          <w:sz w:val="14"/>
        </w:rPr>
        <w:tab/>
      </w:r>
      <w:r>
        <w:rPr>
          <w:rFonts w:ascii="Arial"/>
          <w:i/>
          <w:sz w:val="20"/>
        </w:rPr>
        <w:t>Brown v Brine (1875) L.R. 1 Ex.D. 5</w:t>
      </w:r>
      <w:r>
        <w:rPr>
          <w:rFonts w:ascii="Arial"/>
          <w:i/>
          <w:spacing w:val="-1"/>
          <w:sz w:val="20"/>
        </w:rPr>
        <w:t> </w:t>
      </w:r>
      <w:r>
        <w:rPr>
          <w:sz w:val="20"/>
        </w:rPr>
        <w:t>(forbearance to commit criminal </w:t>
      </w:r>
      <w:r>
        <w:rPr>
          <w:spacing w:val="-2"/>
          <w:sz w:val="20"/>
        </w:rPr>
        <w:t>libel).</w:t>
      </w:r>
    </w:p>
    <w:p>
      <w:pPr>
        <w:pStyle w:val="BodyText"/>
        <w:spacing w:before="4"/>
      </w:pPr>
    </w:p>
    <w:p>
      <w:pPr>
        <w:tabs>
          <w:tab w:pos="705" w:val="left" w:leader="none"/>
        </w:tabs>
        <w:spacing w:before="1"/>
        <w:ind w:left="165" w:right="0" w:firstLine="0"/>
        <w:jc w:val="left"/>
        <w:rPr>
          <w:sz w:val="20"/>
        </w:rPr>
      </w:pPr>
      <w:bookmarkStart w:name="_bookmark651" w:id="653"/>
      <w:bookmarkEnd w:id="653"/>
      <w:r>
        <w:rPr/>
      </w:r>
      <w:hyperlink w:history="true" w:anchor="_bookmark637">
        <w:r>
          <w:rPr>
            <w:color w:val="005DA1"/>
            <w:spacing w:val="-4"/>
            <w:position w:val="5"/>
            <w:sz w:val="14"/>
            <w:u w:val="single" w:color="005DA1"/>
          </w:rPr>
          <w:t>342</w:t>
        </w:r>
      </w:hyperlink>
      <w:r>
        <w:rPr>
          <w:spacing w:val="-4"/>
          <w:position w:val="5"/>
          <w:sz w:val="14"/>
        </w:rPr>
        <w:t>.</w:t>
      </w:r>
      <w:r>
        <w:rPr>
          <w:position w:val="5"/>
          <w:sz w:val="14"/>
        </w:rPr>
        <w:tab/>
      </w:r>
      <w:r>
        <w:rPr>
          <w:rFonts w:ascii="Arial"/>
          <w:i/>
          <w:sz w:val="20"/>
        </w:rPr>
        <w:t>Sykes v D.P.P. [1962] A.C. </w:t>
      </w:r>
      <w:r>
        <w:rPr>
          <w:rFonts w:ascii="Arial"/>
          <w:i/>
          <w:spacing w:val="-4"/>
          <w:sz w:val="20"/>
        </w:rPr>
        <w:t>528</w:t>
      </w:r>
      <w:r>
        <w:rPr>
          <w:spacing w:val="-4"/>
          <w:sz w:val="20"/>
        </w:rPr>
        <w:t>.</w:t>
      </w:r>
    </w:p>
    <w:p>
      <w:pPr>
        <w:pStyle w:val="BodyText"/>
        <w:spacing w:before="4"/>
      </w:pPr>
    </w:p>
    <w:p>
      <w:pPr>
        <w:spacing w:line="227" w:lineRule="exact" w:before="1"/>
        <w:ind w:left="165" w:right="0" w:firstLine="0"/>
        <w:jc w:val="both"/>
        <w:rPr>
          <w:rFonts w:ascii="Arial"/>
          <w:i/>
          <w:sz w:val="20"/>
        </w:rPr>
      </w:pPr>
      <w:bookmarkStart w:name="_bookmark652" w:id="654"/>
      <w:bookmarkEnd w:id="654"/>
      <w:r>
        <w:rPr/>
      </w:r>
      <w:hyperlink w:history="true" w:anchor="_bookmark638">
        <w:r>
          <w:rPr>
            <w:color w:val="005DA1"/>
            <w:position w:val="5"/>
            <w:sz w:val="14"/>
            <w:u w:val="single" w:color="005DA1"/>
          </w:rPr>
          <w:t>343</w:t>
        </w:r>
      </w:hyperlink>
      <w:r>
        <w:rPr>
          <w:position w:val="5"/>
          <w:sz w:val="14"/>
        </w:rPr>
        <w:t>.</w:t>
      </w:r>
      <w:r>
        <w:rPr>
          <w:spacing w:val="75"/>
          <w:w w:val="150"/>
          <w:position w:val="5"/>
          <w:sz w:val="14"/>
        </w:rPr>
        <w:t>  </w:t>
      </w:r>
      <w:r>
        <w:rPr>
          <w:rFonts w:ascii="Arial"/>
          <w:i/>
          <w:sz w:val="20"/>
        </w:rPr>
        <w:t>England</w:t>
      </w:r>
      <w:r>
        <w:rPr>
          <w:rFonts w:ascii="Arial"/>
          <w:i/>
          <w:spacing w:val="18"/>
          <w:sz w:val="20"/>
        </w:rPr>
        <w:t> </w:t>
      </w:r>
      <w:r>
        <w:rPr>
          <w:rFonts w:ascii="Arial"/>
          <w:i/>
          <w:sz w:val="20"/>
        </w:rPr>
        <w:t>v</w:t>
      </w:r>
      <w:r>
        <w:rPr>
          <w:rFonts w:ascii="Arial"/>
          <w:i/>
          <w:spacing w:val="18"/>
          <w:sz w:val="20"/>
        </w:rPr>
        <w:t> </w:t>
      </w:r>
      <w:r>
        <w:rPr>
          <w:rFonts w:ascii="Arial"/>
          <w:i/>
          <w:sz w:val="20"/>
        </w:rPr>
        <w:t>Davidson</w:t>
      </w:r>
      <w:r>
        <w:rPr>
          <w:rFonts w:ascii="Arial"/>
          <w:i/>
          <w:spacing w:val="18"/>
          <w:sz w:val="20"/>
        </w:rPr>
        <w:t> </w:t>
      </w:r>
      <w:r>
        <w:rPr>
          <w:rFonts w:ascii="Arial"/>
          <w:i/>
          <w:sz w:val="20"/>
        </w:rPr>
        <w:t>(1840)</w:t>
      </w:r>
      <w:r>
        <w:rPr>
          <w:rFonts w:ascii="Arial"/>
          <w:i/>
          <w:spacing w:val="18"/>
          <w:sz w:val="20"/>
        </w:rPr>
        <w:t> </w:t>
      </w:r>
      <w:r>
        <w:rPr>
          <w:rFonts w:ascii="Arial"/>
          <w:i/>
          <w:sz w:val="20"/>
        </w:rPr>
        <w:t>11</w:t>
      </w:r>
      <w:r>
        <w:rPr>
          <w:rFonts w:ascii="Arial"/>
          <w:i/>
          <w:spacing w:val="18"/>
          <w:sz w:val="20"/>
        </w:rPr>
        <w:t> </w:t>
      </w:r>
      <w:r>
        <w:rPr>
          <w:rFonts w:ascii="Arial"/>
          <w:i/>
          <w:sz w:val="20"/>
        </w:rPr>
        <w:t>A.</w:t>
      </w:r>
      <w:r>
        <w:rPr>
          <w:rFonts w:ascii="Arial"/>
          <w:i/>
          <w:spacing w:val="17"/>
          <w:sz w:val="20"/>
        </w:rPr>
        <w:t> </w:t>
      </w:r>
      <w:r>
        <w:rPr>
          <w:rFonts w:ascii="Arial"/>
          <w:i/>
          <w:sz w:val="20"/>
        </w:rPr>
        <w:t>&amp;</w:t>
      </w:r>
      <w:r>
        <w:rPr>
          <w:rFonts w:ascii="Arial"/>
          <w:i/>
          <w:spacing w:val="18"/>
          <w:sz w:val="20"/>
        </w:rPr>
        <w:t> </w:t>
      </w:r>
      <w:r>
        <w:rPr>
          <w:rFonts w:ascii="Arial"/>
          <w:i/>
          <w:sz w:val="20"/>
        </w:rPr>
        <w:t>E.</w:t>
      </w:r>
      <w:r>
        <w:rPr>
          <w:rFonts w:ascii="Arial"/>
          <w:i/>
          <w:spacing w:val="18"/>
          <w:sz w:val="20"/>
        </w:rPr>
        <w:t> </w:t>
      </w:r>
      <w:r>
        <w:rPr>
          <w:rFonts w:ascii="Arial"/>
          <w:i/>
          <w:sz w:val="20"/>
        </w:rPr>
        <w:t>856</w:t>
      </w:r>
      <w:r>
        <w:rPr>
          <w:sz w:val="20"/>
        </w:rPr>
        <w:t>;</w:t>
      </w:r>
      <w:r>
        <w:rPr>
          <w:spacing w:val="18"/>
          <w:sz w:val="20"/>
        </w:rPr>
        <w:t> </w:t>
      </w:r>
      <w:r>
        <w:rPr>
          <w:rFonts w:ascii="Arial"/>
          <w:i/>
          <w:sz w:val="20"/>
        </w:rPr>
        <w:t>Smith</w:t>
      </w:r>
      <w:r>
        <w:rPr>
          <w:rFonts w:ascii="Arial"/>
          <w:i/>
          <w:spacing w:val="18"/>
          <w:sz w:val="20"/>
        </w:rPr>
        <w:t> </w:t>
      </w:r>
      <w:r>
        <w:rPr>
          <w:rFonts w:ascii="Arial"/>
          <w:i/>
          <w:sz w:val="20"/>
        </w:rPr>
        <w:t>v</w:t>
      </w:r>
      <w:r>
        <w:rPr>
          <w:rFonts w:ascii="Arial"/>
          <w:i/>
          <w:spacing w:val="18"/>
          <w:sz w:val="20"/>
        </w:rPr>
        <w:t> </w:t>
      </w:r>
      <w:r>
        <w:rPr>
          <w:rFonts w:ascii="Arial"/>
          <w:i/>
          <w:sz w:val="20"/>
        </w:rPr>
        <w:t>Moore</w:t>
      </w:r>
      <w:r>
        <w:rPr>
          <w:rFonts w:ascii="Arial"/>
          <w:i/>
          <w:spacing w:val="18"/>
          <w:sz w:val="20"/>
        </w:rPr>
        <w:t> </w:t>
      </w:r>
      <w:r>
        <w:rPr>
          <w:rFonts w:ascii="Arial"/>
          <w:i/>
          <w:sz w:val="20"/>
        </w:rPr>
        <w:t>(1845)</w:t>
      </w:r>
      <w:r>
        <w:rPr>
          <w:rFonts w:ascii="Arial"/>
          <w:i/>
          <w:spacing w:val="17"/>
          <w:sz w:val="20"/>
        </w:rPr>
        <w:t> </w:t>
      </w:r>
      <w:r>
        <w:rPr>
          <w:rFonts w:ascii="Arial"/>
          <w:i/>
          <w:sz w:val="20"/>
        </w:rPr>
        <w:t>1</w:t>
      </w:r>
      <w:r>
        <w:rPr>
          <w:rFonts w:ascii="Arial"/>
          <w:i/>
          <w:spacing w:val="18"/>
          <w:sz w:val="20"/>
        </w:rPr>
        <w:t> </w:t>
      </w:r>
      <w:r>
        <w:rPr>
          <w:rFonts w:ascii="Arial"/>
          <w:i/>
          <w:sz w:val="20"/>
        </w:rPr>
        <w:t>C.B.</w:t>
      </w:r>
      <w:r>
        <w:rPr>
          <w:rFonts w:ascii="Arial"/>
          <w:i/>
          <w:spacing w:val="18"/>
          <w:sz w:val="20"/>
        </w:rPr>
        <w:t> </w:t>
      </w:r>
      <w:r>
        <w:rPr>
          <w:rFonts w:ascii="Arial"/>
          <w:i/>
          <w:sz w:val="20"/>
        </w:rPr>
        <w:t>438</w:t>
      </w:r>
      <w:r>
        <w:rPr>
          <w:sz w:val="20"/>
        </w:rPr>
        <w:t>;</w:t>
      </w:r>
      <w:r>
        <w:rPr>
          <w:spacing w:val="18"/>
          <w:sz w:val="20"/>
        </w:rPr>
        <w:t> </w:t>
      </w:r>
      <w:r>
        <w:rPr>
          <w:rFonts w:ascii="Arial"/>
          <w:i/>
          <w:sz w:val="20"/>
        </w:rPr>
        <w:t>Neville</w:t>
      </w:r>
      <w:r>
        <w:rPr>
          <w:rFonts w:ascii="Arial"/>
          <w:i/>
          <w:spacing w:val="18"/>
          <w:sz w:val="20"/>
        </w:rPr>
        <w:t> </w:t>
      </w:r>
      <w:r>
        <w:rPr>
          <w:rFonts w:ascii="Arial"/>
          <w:i/>
          <w:sz w:val="20"/>
        </w:rPr>
        <w:t>v</w:t>
      </w:r>
      <w:r>
        <w:rPr>
          <w:rFonts w:ascii="Arial"/>
          <w:i/>
          <w:spacing w:val="18"/>
          <w:sz w:val="20"/>
        </w:rPr>
        <w:t> </w:t>
      </w:r>
      <w:r>
        <w:rPr>
          <w:rFonts w:ascii="Arial"/>
          <w:i/>
          <w:spacing w:val="-2"/>
          <w:sz w:val="20"/>
        </w:rPr>
        <w:t>Kelly</w:t>
      </w:r>
    </w:p>
    <w:p>
      <w:pPr>
        <w:spacing w:line="235" w:lineRule="auto" w:before="1"/>
        <w:ind w:left="705" w:right="168" w:firstLine="0"/>
        <w:jc w:val="both"/>
        <w:rPr>
          <w:sz w:val="20"/>
        </w:rPr>
      </w:pPr>
      <w:r>
        <w:rPr>
          <w:rFonts w:ascii="Arial"/>
          <w:i/>
          <w:sz w:val="20"/>
        </w:rPr>
        <w:t>(1862) 12 C.B.(N.S.) 740</w:t>
      </w:r>
      <w:r>
        <w:rPr>
          <w:sz w:val="20"/>
        </w:rPr>
        <w:t>; </w:t>
      </w:r>
      <w:r>
        <w:rPr>
          <w:rFonts w:ascii="Arial"/>
          <w:i/>
          <w:sz w:val="20"/>
        </w:rPr>
        <w:t>Bent v Wakefield and Barnsley Union Bank (1878) 4 C.P.D. </w:t>
      </w:r>
      <w:r>
        <w:rPr>
          <w:rFonts w:ascii="Arial"/>
          <w:i/>
          <w:sz w:val="20"/>
        </w:rPr>
        <w:t>1</w:t>
      </w:r>
      <w:r>
        <w:rPr>
          <w:sz w:val="20"/>
        </w:rPr>
        <w:t>. Contrast </w:t>
      </w:r>
      <w:r>
        <w:rPr>
          <w:rFonts w:ascii="Arial"/>
          <w:i/>
          <w:sz w:val="20"/>
        </w:rPr>
        <w:t>Maryland Casualty Co v Matthews 209 F.Supp. 822 (1962) </w:t>
      </w:r>
      <w:r>
        <w:rPr>
          <w:sz w:val="20"/>
        </w:rPr>
        <w:t>where a similar claim by a detective failed on grounds of public policy.</w:t>
      </w:r>
    </w:p>
    <w:p>
      <w:pPr>
        <w:pStyle w:val="BodyText"/>
        <w:spacing w:before="5"/>
      </w:pPr>
    </w:p>
    <w:p>
      <w:pPr>
        <w:pStyle w:val="BodyText"/>
        <w:tabs>
          <w:tab w:pos="705" w:val="left" w:leader="none"/>
        </w:tabs>
        <w:ind w:left="165"/>
      </w:pPr>
      <w:bookmarkStart w:name="_bookmark653" w:id="655"/>
      <w:bookmarkEnd w:id="655"/>
      <w:r>
        <w:rPr/>
      </w:r>
      <w:hyperlink w:history="true" w:anchor="_bookmark639">
        <w:r>
          <w:rPr>
            <w:color w:val="005DA1"/>
            <w:spacing w:val="-4"/>
            <w:position w:val="5"/>
            <w:sz w:val="14"/>
            <w:u w:val="single" w:color="005DA1"/>
          </w:rPr>
          <w:t>344</w:t>
        </w:r>
      </w:hyperlink>
      <w:r>
        <w:rPr>
          <w:spacing w:val="-4"/>
          <w:position w:val="5"/>
          <w:sz w:val="14"/>
        </w:rPr>
        <w:t>.</w:t>
      </w:r>
      <w:r>
        <w:rPr>
          <w:position w:val="5"/>
          <w:sz w:val="14"/>
        </w:rPr>
        <w:tab/>
      </w:r>
      <w:r>
        <w:rPr/>
        <w:t>Criminal</w:t>
      </w:r>
      <w:r>
        <w:rPr>
          <w:spacing w:val="-2"/>
        </w:rPr>
        <w:t> </w:t>
      </w:r>
      <w:r>
        <w:rPr/>
        <w:t>Law Act 1967, </w:t>
      </w:r>
      <w:r>
        <w:rPr>
          <w:spacing w:val="-4"/>
        </w:rPr>
        <w:t>s.1.</w:t>
      </w:r>
    </w:p>
    <w:p>
      <w:pPr>
        <w:pStyle w:val="BodyText"/>
        <w:spacing w:before="9"/>
      </w:pPr>
    </w:p>
    <w:p>
      <w:pPr>
        <w:pStyle w:val="BodyText"/>
        <w:spacing w:line="235" w:lineRule="auto"/>
        <w:ind w:left="705" w:right="167" w:hanging="541"/>
        <w:jc w:val="both"/>
      </w:pPr>
      <w:bookmarkStart w:name="_bookmark654" w:id="656"/>
      <w:bookmarkEnd w:id="656"/>
      <w:r>
        <w:rPr/>
      </w:r>
      <w:hyperlink w:history="true" w:anchor="_bookmark640">
        <w:r>
          <w:rPr>
            <w:color w:val="005DA1"/>
            <w:position w:val="5"/>
            <w:sz w:val="14"/>
            <w:u w:val="single" w:color="005DA1"/>
          </w:rPr>
          <w:t>345</w:t>
        </w:r>
      </w:hyperlink>
      <w:r>
        <w:rPr>
          <w:position w:val="5"/>
          <w:sz w:val="14"/>
        </w:rPr>
        <w:t>.</w:t>
      </w:r>
      <w:r>
        <w:rPr>
          <w:spacing w:val="80"/>
          <w:position w:val="5"/>
          <w:sz w:val="14"/>
        </w:rPr>
        <w:t>  </w:t>
      </w:r>
      <w:r>
        <w:rPr/>
        <w:t>The offence of concealing an arrestable offence created by s.5(1) of the Criminal Law Act 1967 is much narrower in scope than the former offence of misprision of felony; the statutory offence is committed only if the person withholding the information accepts or agrees to accept </w:t>
      </w:r>
      <w:r>
        <w:rPr/>
        <w:t>some consideration (other than making good the loss) for not disclosing it. For the definition of “arrestable offence,” see now Police and Criminal Evidence Act 1984, s.24; as amended by Police Reform Act 2002, s.48.</w:t>
      </w:r>
    </w:p>
    <w:p>
      <w:pPr>
        <w:pStyle w:val="BodyText"/>
        <w:spacing w:before="4"/>
      </w:pPr>
    </w:p>
    <w:p>
      <w:pPr>
        <w:tabs>
          <w:tab w:pos="705" w:val="left" w:leader="none"/>
        </w:tabs>
        <w:spacing w:line="227" w:lineRule="exact" w:before="0"/>
        <w:ind w:left="165" w:right="0" w:firstLine="0"/>
        <w:jc w:val="left"/>
        <w:rPr>
          <w:rFonts w:ascii="Arial" w:hAnsi="Arial"/>
          <w:i/>
          <w:sz w:val="20"/>
        </w:rPr>
      </w:pPr>
      <w:bookmarkStart w:name="_bookmark655" w:id="657"/>
      <w:bookmarkEnd w:id="657"/>
      <w:r>
        <w:rPr/>
      </w:r>
      <w:hyperlink w:history="true" w:anchor="_bookmark641">
        <w:r>
          <w:rPr>
            <w:color w:val="005DA1"/>
            <w:spacing w:val="-4"/>
            <w:position w:val="5"/>
            <w:sz w:val="14"/>
            <w:u w:val="single" w:color="005DA1"/>
          </w:rPr>
          <w:t>346</w:t>
        </w:r>
      </w:hyperlink>
      <w:r>
        <w:rPr>
          <w:spacing w:val="-4"/>
          <w:position w:val="5"/>
          <w:sz w:val="14"/>
        </w:rPr>
        <w:t>.</w:t>
      </w:r>
      <w:r>
        <w:rPr>
          <w:position w:val="5"/>
          <w:sz w:val="14"/>
        </w:rPr>
        <w:tab/>
      </w:r>
      <w:r>
        <w:rPr>
          <w:rFonts w:ascii="Arial" w:hAnsi="Arial"/>
          <w:i/>
          <w:sz w:val="20"/>
        </w:rPr>
        <w:t>[1925]</w:t>
      </w:r>
      <w:r>
        <w:rPr>
          <w:rFonts w:ascii="Arial" w:hAnsi="Arial"/>
          <w:i/>
          <w:spacing w:val="11"/>
          <w:sz w:val="20"/>
        </w:rPr>
        <w:t> </w:t>
      </w:r>
      <w:r>
        <w:rPr>
          <w:rFonts w:ascii="Arial" w:hAnsi="Arial"/>
          <w:i/>
          <w:sz w:val="20"/>
        </w:rPr>
        <w:t>A.C.</w:t>
      </w:r>
      <w:r>
        <w:rPr>
          <w:rFonts w:ascii="Arial" w:hAnsi="Arial"/>
          <w:i/>
          <w:spacing w:val="12"/>
          <w:sz w:val="20"/>
        </w:rPr>
        <w:t> </w:t>
      </w:r>
      <w:r>
        <w:rPr>
          <w:rFonts w:ascii="Arial" w:hAnsi="Arial"/>
          <w:i/>
          <w:sz w:val="20"/>
        </w:rPr>
        <w:t>270</w:t>
      </w:r>
      <w:r>
        <w:rPr>
          <w:sz w:val="20"/>
        </w:rPr>
        <w:t>.</w:t>
      </w:r>
      <w:r>
        <w:rPr>
          <w:spacing w:val="12"/>
          <w:sz w:val="20"/>
        </w:rPr>
        <w:t> </w:t>
      </w:r>
      <w:r>
        <w:rPr>
          <w:sz w:val="20"/>
        </w:rPr>
        <w:t>cf.</w:t>
      </w:r>
      <w:r>
        <w:rPr>
          <w:spacing w:val="12"/>
          <w:sz w:val="20"/>
        </w:rPr>
        <w:t> </w:t>
      </w:r>
      <w:r>
        <w:rPr>
          <w:rFonts w:ascii="Arial" w:hAnsi="Arial"/>
          <w:i/>
          <w:sz w:val="20"/>
        </w:rPr>
        <w:t>Thoresen</w:t>
      </w:r>
      <w:r>
        <w:rPr>
          <w:rFonts w:ascii="Arial" w:hAnsi="Arial"/>
          <w:i/>
          <w:spacing w:val="12"/>
          <w:sz w:val="20"/>
        </w:rPr>
        <w:t> </w:t>
      </w:r>
      <w:r>
        <w:rPr>
          <w:rFonts w:ascii="Arial" w:hAnsi="Arial"/>
          <w:i/>
          <w:sz w:val="20"/>
        </w:rPr>
        <w:t>Car</w:t>
      </w:r>
      <w:r>
        <w:rPr>
          <w:rFonts w:ascii="Arial" w:hAnsi="Arial"/>
          <w:i/>
          <w:spacing w:val="12"/>
          <w:sz w:val="20"/>
        </w:rPr>
        <w:t> </w:t>
      </w:r>
      <w:r>
        <w:rPr>
          <w:rFonts w:ascii="Arial" w:hAnsi="Arial"/>
          <w:i/>
          <w:sz w:val="20"/>
        </w:rPr>
        <w:t>Ferries</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Weymouth</w:t>
      </w:r>
      <w:r>
        <w:rPr>
          <w:rFonts w:ascii="Arial" w:hAnsi="Arial"/>
          <w:i/>
          <w:spacing w:val="12"/>
          <w:sz w:val="20"/>
        </w:rPr>
        <w:t> </w:t>
      </w:r>
      <w:r>
        <w:rPr>
          <w:rFonts w:ascii="Arial" w:hAnsi="Arial"/>
          <w:i/>
          <w:sz w:val="20"/>
        </w:rPr>
        <w:t>Portland</w:t>
      </w:r>
      <w:r>
        <w:rPr>
          <w:rFonts w:ascii="Arial" w:hAnsi="Arial"/>
          <w:i/>
          <w:spacing w:val="12"/>
          <w:sz w:val="20"/>
        </w:rPr>
        <w:t> </w:t>
      </w:r>
      <w:r>
        <w:rPr>
          <w:rFonts w:ascii="Arial" w:hAnsi="Arial"/>
          <w:i/>
          <w:sz w:val="20"/>
        </w:rPr>
        <w:t>BC</w:t>
      </w:r>
      <w:r>
        <w:rPr>
          <w:rFonts w:ascii="Arial" w:hAnsi="Arial"/>
          <w:i/>
          <w:spacing w:val="12"/>
          <w:sz w:val="20"/>
        </w:rPr>
        <w:t> </w:t>
      </w:r>
      <w:r>
        <w:rPr>
          <w:rFonts w:ascii="Arial" w:hAnsi="Arial"/>
          <w:i/>
          <w:sz w:val="20"/>
        </w:rPr>
        <w:t>[1997]</w:t>
      </w:r>
      <w:r>
        <w:rPr>
          <w:rFonts w:ascii="Arial" w:hAnsi="Arial"/>
          <w:i/>
          <w:spacing w:val="12"/>
          <w:sz w:val="20"/>
        </w:rPr>
        <w:t> </w:t>
      </w:r>
      <w:r>
        <w:rPr>
          <w:rFonts w:ascii="Arial" w:hAnsi="Arial"/>
          <w:i/>
          <w:sz w:val="20"/>
        </w:rPr>
        <w:t>2</w:t>
      </w:r>
      <w:r>
        <w:rPr>
          <w:rFonts w:ascii="Arial" w:hAnsi="Arial"/>
          <w:i/>
          <w:spacing w:val="12"/>
          <w:sz w:val="20"/>
        </w:rPr>
        <w:t> </w:t>
      </w:r>
      <w:r>
        <w:rPr>
          <w:rFonts w:ascii="Arial" w:hAnsi="Arial"/>
          <w:i/>
          <w:sz w:val="20"/>
        </w:rPr>
        <w:t>Lloyd’s</w:t>
      </w:r>
      <w:r>
        <w:rPr>
          <w:rFonts w:ascii="Arial" w:hAnsi="Arial"/>
          <w:i/>
          <w:spacing w:val="12"/>
          <w:sz w:val="20"/>
        </w:rPr>
        <w:t> </w:t>
      </w:r>
      <w:r>
        <w:rPr>
          <w:rFonts w:ascii="Arial" w:hAnsi="Arial"/>
          <w:i/>
          <w:sz w:val="20"/>
        </w:rPr>
        <w:t>Rep.</w:t>
      </w:r>
      <w:r>
        <w:rPr>
          <w:rFonts w:ascii="Arial" w:hAnsi="Arial"/>
          <w:i/>
          <w:spacing w:val="12"/>
          <w:sz w:val="20"/>
        </w:rPr>
        <w:t> </w:t>
      </w:r>
      <w:r>
        <w:rPr>
          <w:rFonts w:ascii="Arial" w:hAnsi="Arial"/>
          <w:i/>
          <w:spacing w:val="-5"/>
          <w:sz w:val="20"/>
        </w:rPr>
        <w:t>614</w:t>
      </w:r>
    </w:p>
    <w:p>
      <w:pPr>
        <w:pStyle w:val="BodyText"/>
        <w:spacing w:line="227" w:lineRule="exact"/>
        <w:ind w:left="705"/>
      </w:pPr>
      <w:r>
        <w:rPr/>
        <w:t>(A’s</w:t>
      </w:r>
      <w:r>
        <w:rPr>
          <w:spacing w:val="22"/>
        </w:rPr>
        <w:t> </w:t>
      </w:r>
      <w:r>
        <w:rPr/>
        <w:t>promise</w:t>
      </w:r>
      <w:r>
        <w:rPr>
          <w:spacing w:val="22"/>
        </w:rPr>
        <w:t> </w:t>
      </w:r>
      <w:r>
        <w:rPr/>
        <w:t>to</w:t>
      </w:r>
      <w:r>
        <w:rPr>
          <w:spacing w:val="22"/>
        </w:rPr>
        <w:t> </w:t>
      </w:r>
      <w:r>
        <w:rPr>
          <w:rFonts w:ascii="Arial" w:hAnsi="Arial"/>
          <w:i/>
        </w:rPr>
        <w:t>make</w:t>
      </w:r>
      <w:r>
        <w:rPr>
          <w:rFonts w:ascii="Arial" w:hAnsi="Arial"/>
          <w:i/>
          <w:spacing w:val="22"/>
        </w:rPr>
        <w:t> </w:t>
      </w:r>
      <w:r>
        <w:rPr>
          <w:rFonts w:ascii="Arial" w:hAnsi="Arial"/>
          <w:i/>
        </w:rPr>
        <w:t>use</w:t>
      </w:r>
      <w:r>
        <w:rPr>
          <w:rFonts w:ascii="Arial" w:hAnsi="Arial"/>
          <w:i/>
          <w:spacing w:val="22"/>
        </w:rPr>
        <w:t> </w:t>
      </w:r>
      <w:r>
        <w:rPr/>
        <w:t>of</w:t>
      </w:r>
      <w:r>
        <w:rPr>
          <w:spacing w:val="22"/>
        </w:rPr>
        <w:t> </w:t>
      </w:r>
      <w:r>
        <w:rPr/>
        <w:t>B’s</w:t>
      </w:r>
      <w:r>
        <w:rPr>
          <w:spacing w:val="22"/>
        </w:rPr>
        <w:t> </w:t>
      </w:r>
      <w:r>
        <w:rPr/>
        <w:t>services</w:t>
      </w:r>
      <w:r>
        <w:rPr>
          <w:spacing w:val="22"/>
        </w:rPr>
        <w:t> </w:t>
      </w:r>
      <w:r>
        <w:rPr/>
        <w:t>for</w:t>
      </w:r>
      <w:r>
        <w:rPr>
          <w:spacing w:val="22"/>
        </w:rPr>
        <w:t> </w:t>
      </w:r>
      <w:r>
        <w:rPr/>
        <w:t>which</w:t>
      </w:r>
      <w:r>
        <w:rPr>
          <w:spacing w:val="22"/>
        </w:rPr>
        <w:t> </w:t>
      </w:r>
      <w:r>
        <w:rPr/>
        <w:t>he</w:t>
      </w:r>
      <w:r>
        <w:rPr>
          <w:spacing w:val="22"/>
        </w:rPr>
        <w:t> </w:t>
      </w:r>
      <w:r>
        <w:rPr/>
        <w:t>was</w:t>
      </w:r>
      <w:r>
        <w:rPr>
          <w:spacing w:val="22"/>
        </w:rPr>
        <w:t> </w:t>
      </w:r>
      <w:r>
        <w:rPr/>
        <w:t>under</w:t>
      </w:r>
      <w:r>
        <w:rPr>
          <w:spacing w:val="22"/>
        </w:rPr>
        <w:t> </w:t>
      </w:r>
      <w:r>
        <w:rPr/>
        <w:t>a</w:t>
      </w:r>
      <w:r>
        <w:rPr>
          <w:spacing w:val="22"/>
        </w:rPr>
        <w:t> </w:t>
      </w:r>
      <w:r>
        <w:rPr/>
        <w:t>legal</w:t>
      </w:r>
      <w:r>
        <w:rPr>
          <w:spacing w:val="22"/>
        </w:rPr>
        <w:t> </w:t>
      </w:r>
      <w:r>
        <w:rPr/>
        <w:t>duty</w:t>
      </w:r>
      <w:r>
        <w:rPr>
          <w:spacing w:val="22"/>
        </w:rPr>
        <w:t> </w:t>
      </w:r>
      <w:r>
        <w:rPr/>
        <w:t>to</w:t>
      </w:r>
      <w:r>
        <w:rPr>
          <w:spacing w:val="21"/>
        </w:rPr>
        <w:t> </w:t>
      </w:r>
      <w:r>
        <w:rPr>
          <w:rFonts w:ascii="Arial" w:hAnsi="Arial"/>
          <w:i/>
        </w:rPr>
        <w:t>pay</w:t>
      </w:r>
      <w:r>
        <w:rPr>
          <w:rFonts w:ascii="Arial" w:hAnsi="Arial"/>
          <w:i/>
          <w:spacing w:val="22"/>
        </w:rPr>
        <w:t> </w:t>
      </w:r>
      <w:r>
        <w:rPr/>
        <w:t>held</w:t>
      </w:r>
      <w:r>
        <w:rPr>
          <w:spacing w:val="22"/>
        </w:rPr>
        <w:t> </w:t>
      </w:r>
      <w:r>
        <w:rPr>
          <w:spacing w:val="-5"/>
        </w:rPr>
        <w:t>to</w:t>
      </w:r>
    </w:p>
    <w:p>
      <w:pPr>
        <w:pStyle w:val="BodyText"/>
        <w:spacing w:after="0" w:line="227" w:lineRule="exact"/>
        <w:sectPr>
          <w:headerReference w:type="even" r:id="rId28"/>
          <w:headerReference w:type="default" r:id="rId29"/>
          <w:pgSz w:w="11900" w:h="16840"/>
          <w:pgMar w:header="971" w:footer="0" w:top="1160" w:bottom="280" w:left="1275" w:right="1275"/>
          <w:pgNumType w:start="2"/>
        </w:sectPr>
      </w:pPr>
    </w:p>
    <w:p>
      <w:pPr>
        <w:pStyle w:val="BodyText"/>
        <w:spacing w:before="21"/>
      </w:pPr>
    </w:p>
    <w:p>
      <w:pPr>
        <w:pStyle w:val="BodyText"/>
        <w:ind w:left="705"/>
      </w:pPr>
      <w:r>
        <w:rPr/>
        <w:t>constitute consideration for B’s </w:t>
      </w:r>
      <w:r>
        <w:rPr>
          <w:spacing w:val="-2"/>
        </w:rPr>
        <w:t>counterpromise).</w:t>
      </w:r>
    </w:p>
    <w:p>
      <w:pPr>
        <w:pStyle w:val="BodyText"/>
        <w:spacing w:before="9"/>
      </w:pPr>
    </w:p>
    <w:p>
      <w:pPr>
        <w:spacing w:line="235" w:lineRule="auto" w:before="0"/>
        <w:ind w:left="705" w:right="167" w:hanging="541"/>
        <w:jc w:val="both"/>
        <w:rPr>
          <w:sz w:val="20"/>
        </w:rPr>
      </w:pPr>
      <w:bookmarkStart w:name="_bookmark656" w:id="658"/>
      <w:bookmarkEnd w:id="658"/>
      <w:r>
        <w:rPr/>
      </w:r>
      <w:hyperlink w:history="true" w:anchor="_bookmark642">
        <w:r>
          <w:rPr>
            <w:color w:val="005DA1"/>
            <w:position w:val="5"/>
            <w:sz w:val="14"/>
            <w:u w:val="single" w:color="005DA1"/>
          </w:rPr>
          <w:t>347</w:t>
        </w:r>
      </w:hyperlink>
      <w:r>
        <w:rPr>
          <w:position w:val="5"/>
          <w:sz w:val="14"/>
        </w:rPr>
        <w:t>.</w:t>
      </w:r>
      <w:r>
        <w:rPr>
          <w:spacing w:val="80"/>
          <w:w w:val="150"/>
          <w:position w:val="5"/>
          <w:sz w:val="14"/>
        </w:rPr>
        <w:t> </w:t>
      </w:r>
      <w:r>
        <w:rPr>
          <w:rFonts w:ascii="Arial" w:hAnsi="Arial"/>
          <w:i/>
          <w:sz w:val="20"/>
        </w:rPr>
        <w:t>Harris v Sheffield United F.C. Ltd [1988] Q.B. 77</w:t>
      </w:r>
      <w:r>
        <w:rPr>
          <w:sz w:val="20"/>
        </w:rPr>
        <w:t>. Contrast </w:t>
      </w:r>
      <w:r>
        <w:rPr>
          <w:rFonts w:ascii="Arial" w:hAnsi="Arial"/>
          <w:i/>
          <w:sz w:val="20"/>
        </w:rPr>
        <w:t>Reading Festival Ltd v </w:t>
      </w:r>
      <w:r>
        <w:rPr>
          <w:rFonts w:ascii="Arial" w:hAnsi="Arial"/>
          <w:i/>
          <w:sz w:val="20"/>
        </w:rPr>
        <w:t>West</w:t>
      </w:r>
      <w:r>
        <w:rPr>
          <w:rFonts w:ascii="Arial" w:hAnsi="Arial"/>
          <w:i/>
          <w:spacing w:val="80"/>
          <w:sz w:val="20"/>
        </w:rPr>
        <w:t> </w:t>
      </w:r>
      <w:r>
        <w:rPr>
          <w:rFonts w:ascii="Arial" w:hAnsi="Arial"/>
          <w:i/>
          <w:sz w:val="20"/>
        </w:rPr>
        <w:t>Yorkshire Police Authority [2006] EWCA Civ 524, [2006] 1 W.L.R. 2005 </w:t>
      </w:r>
      <w:r>
        <w:rPr>
          <w:sz w:val="20"/>
        </w:rPr>
        <w:t>where a similar claim against the promoters of a music festival failed, principally on the ground that they had not</w:t>
      </w:r>
      <w:r>
        <w:rPr>
          <w:spacing w:val="40"/>
          <w:sz w:val="20"/>
        </w:rPr>
        <w:t> </w:t>
      </w:r>
      <w:r>
        <w:rPr>
          <w:sz w:val="20"/>
        </w:rPr>
        <w:t>made any “request” for the police services in respect of which the claim was made.</w:t>
      </w:r>
    </w:p>
    <w:p>
      <w:pPr>
        <w:pStyle w:val="BodyText"/>
        <w:spacing w:before="8"/>
      </w:pPr>
    </w:p>
    <w:p>
      <w:pPr>
        <w:pStyle w:val="BodyText"/>
        <w:spacing w:line="235" w:lineRule="auto"/>
        <w:ind w:left="705" w:right="167" w:hanging="541"/>
        <w:jc w:val="both"/>
      </w:pPr>
      <w:bookmarkStart w:name="_bookmark657" w:id="659"/>
      <w:bookmarkEnd w:id="659"/>
      <w:r>
        <w:rPr/>
      </w:r>
      <w:hyperlink w:history="true" w:anchor="_bookmark642">
        <w:r>
          <w:rPr>
            <w:color w:val="005DA1"/>
            <w:position w:val="5"/>
            <w:sz w:val="14"/>
            <w:u w:val="single" w:color="005DA1"/>
          </w:rPr>
          <w:t>348</w:t>
        </w:r>
      </w:hyperlink>
      <w:r>
        <w:rPr>
          <w:position w:val="5"/>
          <w:sz w:val="14"/>
        </w:rPr>
        <w:t>.</w:t>
      </w:r>
      <w:r>
        <w:rPr>
          <w:spacing w:val="80"/>
          <w:position w:val="5"/>
          <w:sz w:val="14"/>
        </w:rPr>
        <w:t>  </w:t>
      </w:r>
      <w:r>
        <w:rPr/>
        <w:t>Dicta</w:t>
      </w:r>
      <w:r>
        <w:rPr>
          <w:spacing w:val="36"/>
        </w:rPr>
        <w:t> </w:t>
      </w:r>
      <w:r>
        <w:rPr/>
        <w:t>in</w:t>
      </w:r>
      <w:r>
        <w:rPr>
          <w:spacing w:val="36"/>
        </w:rPr>
        <w:t> </w:t>
      </w:r>
      <w:r>
        <w:rPr/>
        <w:t>the</w:t>
      </w:r>
      <w:r>
        <w:rPr>
          <w:spacing w:val="36"/>
        </w:rPr>
        <w:t> </w:t>
      </w:r>
      <w:r>
        <w:rPr>
          <w:rFonts w:ascii="Arial" w:hAnsi="Arial"/>
          <w:i/>
        </w:rPr>
        <w:t>Reading</w:t>
      </w:r>
      <w:r>
        <w:rPr>
          <w:rFonts w:ascii="Arial" w:hAnsi="Arial"/>
          <w:i/>
          <w:spacing w:val="36"/>
        </w:rPr>
        <w:t> </w:t>
      </w:r>
      <w:r>
        <w:rPr>
          <w:rFonts w:ascii="Arial" w:hAnsi="Arial"/>
          <w:i/>
        </w:rPr>
        <w:t>Festival</w:t>
      </w:r>
      <w:r>
        <w:rPr>
          <w:rFonts w:ascii="Arial" w:hAnsi="Arial"/>
          <w:i/>
          <w:spacing w:val="35"/>
        </w:rPr>
        <w:t> </w:t>
      </w:r>
      <w:r>
        <w:rPr/>
        <w:t>case,</w:t>
      </w:r>
      <w:r>
        <w:rPr>
          <w:spacing w:val="36"/>
        </w:rPr>
        <w:t> </w:t>
      </w:r>
      <w:r>
        <w:rPr/>
        <w:t>above</w:t>
      </w:r>
      <w:r>
        <w:rPr>
          <w:spacing w:val="36"/>
        </w:rPr>
        <w:t> </w:t>
      </w:r>
      <w:r>
        <w:rPr/>
        <w:t>n.343,</w:t>
      </w:r>
      <w:r>
        <w:rPr>
          <w:spacing w:val="36"/>
        </w:rPr>
        <w:t> </w:t>
      </w:r>
      <w:r>
        <w:rPr/>
        <w:t>emphasise</w:t>
      </w:r>
      <w:r>
        <w:rPr>
          <w:spacing w:val="36"/>
        </w:rPr>
        <w:t> </w:t>
      </w:r>
      <w:r>
        <w:rPr/>
        <w:t>that</w:t>
      </w:r>
      <w:r>
        <w:rPr>
          <w:spacing w:val="36"/>
        </w:rPr>
        <w:t> </w:t>
      </w:r>
      <w:r>
        <w:rPr/>
        <w:t>a</w:t>
      </w:r>
      <w:r>
        <w:rPr>
          <w:spacing w:val="36"/>
        </w:rPr>
        <w:t> </w:t>
      </w:r>
      <w:r>
        <w:rPr/>
        <w:t>claim</w:t>
      </w:r>
      <w:r>
        <w:rPr>
          <w:spacing w:val="36"/>
        </w:rPr>
        <w:t> </w:t>
      </w:r>
      <w:r>
        <w:rPr/>
        <w:t>under</w:t>
      </w:r>
      <w:r>
        <w:rPr>
          <w:spacing w:val="36"/>
        </w:rPr>
        <w:t> </w:t>
      </w:r>
      <w:r>
        <w:rPr/>
        <w:t>subsection 25(1) of the Police Act 1996 can succeed only if there has been a “meeting of the minds” between</w:t>
      </w:r>
      <w:r>
        <w:rPr>
          <w:spacing w:val="-2"/>
        </w:rPr>
        <w:t> </w:t>
      </w:r>
      <w:r>
        <w:rPr/>
        <w:t>the</w:t>
      </w:r>
      <w:r>
        <w:rPr>
          <w:spacing w:val="-2"/>
        </w:rPr>
        <w:t> </w:t>
      </w:r>
      <w:r>
        <w:rPr/>
        <w:t>police</w:t>
      </w:r>
      <w:r>
        <w:rPr>
          <w:spacing w:val="-2"/>
        </w:rPr>
        <w:t> </w:t>
      </w:r>
      <w:r>
        <w:rPr/>
        <w:t>authority</w:t>
      </w:r>
      <w:r>
        <w:rPr>
          <w:spacing w:val="-2"/>
        </w:rPr>
        <w:t> </w:t>
      </w:r>
      <w:r>
        <w:rPr/>
        <w:t>and</w:t>
      </w:r>
      <w:r>
        <w:rPr>
          <w:spacing w:val="-2"/>
        </w:rPr>
        <w:t> </w:t>
      </w:r>
      <w:r>
        <w:rPr/>
        <w:t>the</w:t>
      </w:r>
      <w:r>
        <w:rPr>
          <w:spacing w:val="-2"/>
        </w:rPr>
        <w:t> </w:t>
      </w:r>
      <w:r>
        <w:rPr/>
        <w:t>promoter</w:t>
      </w:r>
      <w:r>
        <w:rPr>
          <w:spacing w:val="-2"/>
        </w:rPr>
        <w:t> </w:t>
      </w:r>
      <w:r>
        <w:rPr/>
        <w:t>(at</w:t>
      </w:r>
      <w:r>
        <w:rPr>
          <w:spacing w:val="-2"/>
        </w:rPr>
        <w:t> </w:t>
      </w:r>
      <w:r>
        <w:rPr/>
        <w:t>[54])</w:t>
      </w:r>
      <w:r>
        <w:rPr>
          <w:spacing w:val="-2"/>
        </w:rPr>
        <w:t> </w:t>
      </w:r>
      <w:r>
        <w:rPr/>
        <w:t>and</w:t>
      </w:r>
      <w:r>
        <w:rPr>
          <w:spacing w:val="-2"/>
        </w:rPr>
        <w:t> </w:t>
      </w:r>
      <w:r>
        <w:rPr/>
        <w:t>add</w:t>
      </w:r>
      <w:r>
        <w:rPr>
          <w:spacing w:val="-2"/>
        </w:rPr>
        <w:t> </w:t>
      </w:r>
      <w:r>
        <w:rPr/>
        <w:t>(at</w:t>
      </w:r>
      <w:r>
        <w:rPr>
          <w:spacing w:val="-2"/>
        </w:rPr>
        <w:t> </w:t>
      </w:r>
      <w:r>
        <w:rPr/>
        <w:t>[20])</w:t>
      </w:r>
      <w:r>
        <w:rPr>
          <w:spacing w:val="-2"/>
        </w:rPr>
        <w:t> </w:t>
      </w:r>
      <w:r>
        <w:rPr/>
        <w:t>that</w:t>
      </w:r>
      <w:r>
        <w:rPr>
          <w:spacing w:val="-2"/>
        </w:rPr>
        <w:t> </w:t>
      </w:r>
      <w:r>
        <w:rPr/>
        <w:t>the</w:t>
      </w:r>
      <w:r>
        <w:rPr>
          <w:spacing w:val="-2"/>
        </w:rPr>
        <w:t> </w:t>
      </w:r>
      <w:r>
        <w:rPr/>
        <w:t>subsection</w:t>
      </w:r>
      <w:r>
        <w:rPr>
          <w:spacing w:val="-2"/>
        </w:rPr>
        <w:t> </w:t>
      </w:r>
      <w:r>
        <w:rPr/>
        <w:t>had not</w:t>
      </w:r>
      <w:r>
        <w:rPr>
          <w:spacing w:val="36"/>
        </w:rPr>
        <w:t> </w:t>
      </w:r>
      <w:r>
        <w:rPr/>
        <w:t>“added</w:t>
      </w:r>
      <w:r>
        <w:rPr>
          <w:spacing w:val="36"/>
        </w:rPr>
        <w:t> </w:t>
      </w:r>
      <w:r>
        <w:rPr/>
        <w:t>to</w:t>
      </w:r>
      <w:r>
        <w:rPr>
          <w:spacing w:val="36"/>
        </w:rPr>
        <w:t> </w:t>
      </w:r>
      <w:r>
        <w:rPr/>
        <w:t>or</w:t>
      </w:r>
      <w:r>
        <w:rPr>
          <w:spacing w:val="36"/>
        </w:rPr>
        <w:t> </w:t>
      </w:r>
      <w:r>
        <w:rPr/>
        <w:t>altered</w:t>
      </w:r>
      <w:r>
        <w:rPr>
          <w:spacing w:val="36"/>
        </w:rPr>
        <w:t> </w:t>
      </w:r>
      <w:r>
        <w:rPr/>
        <w:t>the</w:t>
      </w:r>
      <w:r>
        <w:rPr>
          <w:spacing w:val="36"/>
        </w:rPr>
        <w:t> </w:t>
      </w:r>
      <w:r>
        <w:rPr/>
        <w:t>common</w:t>
      </w:r>
      <w:r>
        <w:rPr>
          <w:spacing w:val="36"/>
        </w:rPr>
        <w:t> </w:t>
      </w:r>
      <w:r>
        <w:rPr/>
        <w:t>law</w:t>
      </w:r>
      <w:r>
        <w:rPr>
          <w:spacing w:val="36"/>
        </w:rPr>
        <w:t> </w:t>
      </w:r>
      <w:r>
        <w:rPr/>
        <w:t>position”</w:t>
      </w:r>
      <w:r>
        <w:rPr>
          <w:spacing w:val="36"/>
        </w:rPr>
        <w:t> </w:t>
      </w:r>
      <w:r>
        <w:rPr/>
        <w:t>as</w:t>
      </w:r>
      <w:r>
        <w:rPr>
          <w:spacing w:val="36"/>
        </w:rPr>
        <w:t> </w:t>
      </w:r>
      <w:r>
        <w:rPr/>
        <w:t>stated</w:t>
      </w:r>
      <w:r>
        <w:rPr>
          <w:spacing w:val="36"/>
        </w:rPr>
        <w:t> </w:t>
      </w:r>
      <w:r>
        <w:rPr/>
        <w:t>in</w:t>
      </w:r>
      <w:r>
        <w:rPr>
          <w:spacing w:val="36"/>
        </w:rPr>
        <w:t> </w:t>
      </w:r>
      <w:r>
        <w:rPr/>
        <w:t>the</w:t>
      </w:r>
      <w:r>
        <w:rPr>
          <w:spacing w:val="35"/>
        </w:rPr>
        <w:t> </w:t>
      </w:r>
      <w:r>
        <w:rPr>
          <w:rFonts w:ascii="Arial" w:hAnsi="Arial"/>
          <w:i/>
        </w:rPr>
        <w:t>Glasbrook</w:t>
      </w:r>
      <w:r>
        <w:rPr>
          <w:rFonts w:ascii="Arial" w:hAnsi="Arial"/>
          <w:i/>
          <w:spacing w:val="36"/>
        </w:rPr>
        <w:t> </w:t>
      </w:r>
      <w:r>
        <w:rPr/>
        <w:t>case,</w:t>
      </w:r>
      <w:r>
        <w:rPr>
          <w:spacing w:val="36"/>
        </w:rPr>
        <w:t> </w:t>
      </w:r>
      <w:r>
        <w:rPr>
          <w:spacing w:val="-4"/>
        </w:rPr>
        <w:t>above</w:t>
      </w:r>
    </w:p>
    <w:p>
      <w:pPr>
        <w:pStyle w:val="BodyText"/>
        <w:spacing w:line="235" w:lineRule="auto"/>
        <w:ind w:left="705" w:right="167"/>
        <w:jc w:val="both"/>
      </w:pPr>
      <w:r>
        <w:rPr/>
        <w:t>n.342. But it was also said that the police “had the last word on charges” (at [20]) and that </w:t>
      </w:r>
      <w:r>
        <w:rPr/>
        <w:t>“how the police provide the services must always be a matter for them” (at [21]). It is respectfully submitted that an agreement for services which left such a broad discretion to the provider of the services as to what services were to be provided and what the recipient of the services </w:t>
      </w:r>
      <w:r>
        <w:rPr/>
        <w:t>was to pay for them would not normally be sufficiently certain to give rise to a binding contract </w:t>
      </w:r>
      <w:r>
        <w:rPr/>
        <w:t>(see above, para.2-119).</w:t>
      </w:r>
    </w:p>
    <w:p>
      <w:pPr>
        <w:pStyle w:val="BodyText"/>
        <w:spacing w:before="2"/>
      </w:pPr>
    </w:p>
    <w:p>
      <w:pPr>
        <w:tabs>
          <w:tab w:pos="705" w:val="left" w:leader="none"/>
        </w:tabs>
        <w:spacing w:before="1"/>
        <w:ind w:left="165" w:right="0" w:firstLine="0"/>
        <w:jc w:val="left"/>
        <w:rPr>
          <w:sz w:val="20"/>
        </w:rPr>
      </w:pPr>
      <w:bookmarkStart w:name="_bookmark658" w:id="660"/>
      <w:bookmarkEnd w:id="660"/>
      <w:r>
        <w:rPr/>
      </w:r>
      <w:hyperlink w:history="true" w:anchor="_bookmark643">
        <w:r>
          <w:rPr>
            <w:color w:val="005DA1"/>
            <w:spacing w:val="-4"/>
            <w:position w:val="5"/>
            <w:sz w:val="14"/>
            <w:u w:val="single" w:color="005DA1"/>
          </w:rPr>
          <w:t>349</w:t>
        </w:r>
      </w:hyperlink>
      <w:r>
        <w:rPr>
          <w:spacing w:val="-4"/>
          <w:position w:val="5"/>
          <w:sz w:val="14"/>
        </w:rPr>
        <w:t>.</w:t>
      </w:r>
      <w:r>
        <w:rPr>
          <w:position w:val="5"/>
          <w:sz w:val="14"/>
        </w:rPr>
        <w:tab/>
      </w:r>
      <w:r>
        <w:rPr>
          <w:rFonts w:ascii="Arial"/>
          <w:i/>
          <w:sz w:val="20"/>
        </w:rPr>
        <w:t>[1956]</w:t>
      </w:r>
      <w:r>
        <w:rPr>
          <w:rFonts w:ascii="Arial"/>
          <w:i/>
          <w:spacing w:val="-2"/>
          <w:sz w:val="20"/>
        </w:rPr>
        <w:t> </w:t>
      </w:r>
      <w:r>
        <w:rPr>
          <w:rFonts w:ascii="Arial"/>
          <w:i/>
          <w:sz w:val="20"/>
        </w:rPr>
        <w:t>1 W.L.R. </w:t>
      </w:r>
      <w:r>
        <w:rPr>
          <w:rFonts w:ascii="Arial"/>
          <w:i/>
          <w:spacing w:val="-4"/>
          <w:sz w:val="20"/>
        </w:rPr>
        <w:t>496</w:t>
      </w:r>
      <w:r>
        <w:rPr>
          <w:spacing w:val="-4"/>
          <w:sz w:val="20"/>
        </w:rPr>
        <w:t>.</w:t>
      </w:r>
    </w:p>
    <w:p>
      <w:pPr>
        <w:pStyle w:val="BodyText"/>
        <w:spacing w:before="8"/>
      </w:pPr>
    </w:p>
    <w:p>
      <w:pPr>
        <w:pStyle w:val="BodyText"/>
        <w:tabs>
          <w:tab w:pos="705" w:val="left" w:leader="none"/>
        </w:tabs>
        <w:spacing w:line="235" w:lineRule="auto"/>
        <w:ind w:left="705" w:right="168" w:hanging="541"/>
      </w:pPr>
      <w:bookmarkStart w:name="_bookmark659" w:id="661"/>
      <w:bookmarkEnd w:id="661"/>
      <w:r>
        <w:rPr/>
      </w:r>
      <w:hyperlink w:history="true" w:anchor="_bookmark644">
        <w:r>
          <w:rPr>
            <w:color w:val="005DA1"/>
            <w:spacing w:val="-4"/>
            <w:position w:val="5"/>
            <w:sz w:val="14"/>
            <w:u w:val="single" w:color="005DA1"/>
          </w:rPr>
          <w:t>350</w:t>
        </w:r>
      </w:hyperlink>
      <w:r>
        <w:rPr>
          <w:spacing w:val="-4"/>
          <w:position w:val="5"/>
          <w:sz w:val="14"/>
        </w:rPr>
        <w:t>.</w:t>
      </w:r>
      <w:r>
        <w:rPr>
          <w:position w:val="5"/>
          <w:sz w:val="14"/>
        </w:rPr>
        <w:tab/>
      </w:r>
      <w:r>
        <w:rPr/>
        <w:t>This may be what Morris and Parker L.JJ. had in mind when saying at 499 that the mother </w:t>
      </w:r>
      <w:r>
        <w:rPr/>
        <w:t>had provided “ample consideration” for the promise.</w:t>
      </w:r>
    </w:p>
    <w:p>
      <w:pPr>
        <w:pStyle w:val="BodyText"/>
        <w:spacing w:before="6"/>
      </w:pPr>
    </w:p>
    <w:p>
      <w:pPr>
        <w:tabs>
          <w:tab w:pos="705" w:val="left" w:leader="none"/>
        </w:tabs>
        <w:spacing w:before="0"/>
        <w:ind w:left="165" w:right="0" w:firstLine="0"/>
        <w:jc w:val="left"/>
        <w:rPr>
          <w:sz w:val="20"/>
        </w:rPr>
      </w:pPr>
      <w:bookmarkStart w:name="_bookmark660" w:id="662"/>
      <w:bookmarkEnd w:id="662"/>
      <w:r>
        <w:rPr/>
      </w:r>
      <w:hyperlink w:history="true" w:anchor="_bookmark645">
        <w:r>
          <w:rPr>
            <w:color w:val="005DA1"/>
            <w:spacing w:val="-4"/>
            <w:position w:val="5"/>
            <w:sz w:val="14"/>
            <w:u w:val="single" w:color="005DA1"/>
          </w:rPr>
          <w:t>351</w:t>
        </w:r>
      </w:hyperlink>
      <w:r>
        <w:rPr>
          <w:spacing w:val="-4"/>
          <w:position w:val="5"/>
          <w:sz w:val="14"/>
        </w:rPr>
        <w:t>.</w:t>
      </w:r>
      <w:r>
        <w:rPr>
          <w:position w:val="5"/>
          <w:sz w:val="14"/>
        </w:rPr>
        <w:tab/>
      </w:r>
      <w:r>
        <w:rPr>
          <w:sz w:val="20"/>
        </w:rPr>
        <w:t>See</w:t>
      </w:r>
      <w:r>
        <w:rPr>
          <w:spacing w:val="-2"/>
          <w:sz w:val="20"/>
        </w:rPr>
        <w:t> </w:t>
      </w:r>
      <w:r>
        <w:rPr>
          <w:rFonts w:ascii="Arial"/>
          <w:i/>
          <w:sz w:val="20"/>
        </w:rPr>
        <w:t>Williams v Roffey Bros. &amp; Nicholls (Contractors) Ltd [1991] 1 Q.B. 1, 13</w:t>
      </w:r>
      <w:r>
        <w:rPr>
          <w:sz w:val="20"/>
        </w:rPr>
        <w:t>; below, para.4-</w:t>
      </w:r>
      <w:r>
        <w:rPr>
          <w:spacing w:val="-4"/>
          <w:sz w:val="20"/>
        </w:rPr>
        <w:t>064.</w:t>
      </w:r>
    </w:p>
    <w:p>
      <w:pPr>
        <w:pStyle w:val="BodyText"/>
        <w:spacing w:before="5"/>
      </w:pPr>
    </w:p>
    <w:p>
      <w:pPr>
        <w:pStyle w:val="BodyText"/>
        <w:tabs>
          <w:tab w:pos="705" w:val="left" w:leader="none"/>
        </w:tabs>
        <w:ind w:left="165"/>
      </w:pPr>
      <w:bookmarkStart w:name="_bookmark661" w:id="663"/>
      <w:bookmarkEnd w:id="663"/>
      <w:r>
        <w:rPr/>
      </w:r>
      <w:hyperlink w:history="true" w:anchor="_bookmark645">
        <w:r>
          <w:rPr>
            <w:color w:val="005DA1"/>
            <w:spacing w:val="-4"/>
            <w:position w:val="5"/>
            <w:sz w:val="14"/>
            <w:u w:val="single" w:color="005DA1"/>
          </w:rPr>
          <w:t>352</w:t>
        </w:r>
      </w:hyperlink>
      <w:r>
        <w:rPr>
          <w:spacing w:val="-4"/>
          <w:position w:val="5"/>
          <w:sz w:val="14"/>
        </w:rPr>
        <w:t>.</w:t>
      </w:r>
      <w:r>
        <w:rPr>
          <w:position w:val="5"/>
          <w:sz w:val="14"/>
        </w:rPr>
        <w:tab/>
      </w:r>
      <w:r>
        <w:rPr/>
        <w:t>Consideration need not move to the promisor: above para.4-</w:t>
      </w:r>
      <w:r>
        <w:rPr>
          <w:spacing w:val="-4"/>
        </w:rPr>
        <w:t>040.</w:t>
      </w:r>
    </w:p>
    <w:p>
      <w:pPr>
        <w:pStyle w:val="BodyText"/>
        <w:spacing w:before="5"/>
      </w:pPr>
    </w:p>
    <w:p>
      <w:pPr>
        <w:tabs>
          <w:tab w:pos="705" w:val="left" w:leader="none"/>
        </w:tabs>
        <w:spacing w:before="0"/>
        <w:ind w:left="165" w:right="0" w:firstLine="0"/>
        <w:jc w:val="left"/>
        <w:rPr>
          <w:sz w:val="20"/>
        </w:rPr>
      </w:pPr>
      <w:bookmarkStart w:name="_bookmark662" w:id="664"/>
      <w:bookmarkEnd w:id="664"/>
      <w:r>
        <w:rPr/>
      </w:r>
      <w:hyperlink w:history="true" w:anchor="_bookmark646">
        <w:r>
          <w:rPr>
            <w:color w:val="005DA1"/>
            <w:spacing w:val="-4"/>
            <w:position w:val="5"/>
            <w:sz w:val="14"/>
            <w:u w:val="single" w:color="005DA1"/>
          </w:rPr>
          <w:t>353</w:t>
        </w:r>
      </w:hyperlink>
      <w:r>
        <w:rPr>
          <w:spacing w:val="-4"/>
          <w:position w:val="5"/>
          <w:sz w:val="14"/>
        </w:rPr>
        <w:t>.</w:t>
      </w:r>
      <w:r>
        <w:rPr>
          <w:position w:val="5"/>
          <w:sz w:val="14"/>
        </w:rPr>
        <w:tab/>
      </w:r>
      <w:r>
        <w:rPr>
          <w:sz w:val="20"/>
        </w:rPr>
        <w:t>Above, para.4-</w:t>
      </w:r>
      <w:r>
        <w:rPr>
          <w:spacing w:val="-4"/>
          <w:sz w:val="20"/>
        </w:rPr>
        <w:t>022.</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727" w:right="2730"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84192">
                <wp:simplePos x="0" y="0"/>
                <wp:positionH relativeFrom="page">
                  <wp:posOffset>4707940</wp:posOffset>
                </wp:positionH>
                <wp:positionV relativeFrom="paragraph">
                  <wp:posOffset>377436</wp:posOffset>
                </wp:positionV>
                <wp:extent cx="4254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2288" from="370.70401pt,29.719406pt" to="374.04001pt,29.719406pt" stroked="true" strokeweight=".428pt" strokecolor="#005da1">
                <v:stroke dashstyle="solid"/>
                <w10:wrap type="none"/>
              </v:line>
            </w:pict>
          </mc:Fallback>
        </mc:AlternateContent>
      </w: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4 - Consideration </w:t>
      </w:r>
      <w:r>
        <w:rPr>
          <w:rFonts w:ascii="Arial"/>
          <w:b/>
          <w:color w:val="005DA1"/>
          <w:position w:val="11"/>
          <w:sz w:val="12"/>
        </w:rPr>
        <w:t>1</w:t>
      </w:r>
    </w:p>
    <w:p>
      <w:pPr>
        <w:spacing w:before="2"/>
        <w:ind w:left="940" w:right="943" w:firstLine="0"/>
        <w:jc w:val="center"/>
        <w:rPr>
          <w:rFonts w:ascii="Arial"/>
          <w:b/>
          <w:position w:val="11"/>
          <w:sz w:val="12"/>
        </w:rPr>
      </w:pPr>
      <w:r>
        <w:rPr>
          <w:rFonts w:ascii="Arial"/>
          <w:b/>
          <w:sz w:val="24"/>
        </w:rPr>
        <w:t>Section 8. - Existing Duties as Consideration </w:t>
      </w:r>
      <w:r>
        <w:rPr>
          <w:rFonts w:ascii="Arial"/>
          <w:b/>
          <w:color w:val="005DA1"/>
          <w:spacing w:val="-5"/>
          <w:position w:val="11"/>
          <w:sz w:val="12"/>
          <w:u w:val="single" w:color="005DA1"/>
        </w:rPr>
        <w:t>333</w:t>
      </w:r>
    </w:p>
    <w:p>
      <w:pPr>
        <w:pStyle w:val="ListParagraph"/>
        <w:numPr>
          <w:ilvl w:val="0"/>
          <w:numId w:val="3"/>
        </w:numPr>
        <w:tabs>
          <w:tab w:pos="2458" w:val="left" w:leader="none"/>
        </w:tabs>
        <w:spacing w:line="240" w:lineRule="auto" w:before="194" w:after="0"/>
        <w:ind w:left="2458" w:right="0" w:hanging="373"/>
        <w:jc w:val="left"/>
        <w:rPr>
          <w:rFonts w:ascii="Arial"/>
          <w:b/>
          <w:sz w:val="24"/>
        </w:rPr>
      </w:pPr>
      <w:r>
        <w:rPr>
          <w:rFonts w:ascii="Arial"/>
          <w:b/>
          <w:sz w:val="24"/>
        </w:rPr>
        <w:t>- Duty Imposed by Contract with </w:t>
      </w:r>
      <w:r>
        <w:rPr>
          <w:rFonts w:ascii="Arial"/>
          <w:b/>
          <w:spacing w:val="-2"/>
          <w:sz w:val="24"/>
        </w:rPr>
        <w:t>Promisor</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Contractual duty to </w:t>
      </w:r>
      <w:r>
        <w:rPr>
          <w:rFonts w:ascii="Arial"/>
          <w:b/>
          <w:spacing w:val="-2"/>
          <w:sz w:val="18"/>
        </w:rPr>
        <w:t>promisor</w:t>
      </w:r>
    </w:p>
    <w:p>
      <w:pPr>
        <w:pStyle w:val="BodyText"/>
        <w:spacing w:before="41"/>
        <w:rPr>
          <w:rFonts w:ascii="Arial"/>
          <w:b/>
          <w:sz w:val="18"/>
        </w:rPr>
      </w:pPr>
    </w:p>
    <w:p>
      <w:pPr>
        <w:pStyle w:val="Heading2"/>
      </w:pPr>
      <w:r>
        <w:rPr/>
        <w:t>4-</w:t>
      </w:r>
      <w:r>
        <w:rPr>
          <w:spacing w:val="-5"/>
        </w:rPr>
        <w:t>066</w:t>
      </w:r>
    </w:p>
    <w:p>
      <w:pPr>
        <w:pStyle w:val="BodyText"/>
        <w:spacing w:line="235" w:lineRule="auto" w:before="203"/>
        <w:ind w:left="165" w:right="167"/>
        <w:jc w:val="both"/>
      </w:pPr>
      <w:r>
        <w:rPr/>
        <w:t>When A was bound by contract with B to do, or to forbear from doing, something, the law at one </w:t>
      </w:r>
      <w:r>
        <w:rPr/>
        <w:t>time took the view that A’s performance of that duty (or his promise to perform it) was no consideration for </w:t>
      </w:r>
      <w:bookmarkStart w:name="_bookmark663" w:id="665"/>
      <w:bookmarkEnd w:id="665"/>
      <w:r>
        <w:rPr/>
        <w:t>a</w:t>
      </w:r>
      <w:r>
        <w:rPr/>
        <w:t> new promise by B. Later authority has qualified that view, but the extent of the qualification is uncertain. The cases fall into three groups. </w:t>
      </w:r>
      <w:r>
        <w:rPr>
          <w:color w:val="005DA1"/>
          <w:u w:val="single" w:color="005DA1"/>
          <w:vertAlign w:val="superscript"/>
        </w:rPr>
        <w:t>354</w:t>
      </w:r>
    </w:p>
    <w:p>
      <w:pPr>
        <w:pStyle w:val="BodyText"/>
      </w:pPr>
    </w:p>
    <w:p>
      <w:pPr>
        <w:pStyle w:val="BodyText"/>
        <w:spacing w:before="37"/>
      </w:pPr>
    </w:p>
    <w:p>
      <w:pPr>
        <w:spacing w:before="0"/>
        <w:ind w:left="165" w:right="0" w:firstLine="0"/>
        <w:jc w:val="left"/>
        <w:rPr>
          <w:rFonts w:ascii="Arial"/>
          <w:b/>
          <w:sz w:val="18"/>
        </w:rPr>
      </w:pPr>
      <w:r>
        <w:rPr>
          <w:rFonts w:ascii="Arial"/>
          <w:b/>
          <w:sz w:val="18"/>
        </w:rPr>
        <w:t>Cases in which there was no </w:t>
      </w:r>
      <w:r>
        <w:rPr>
          <w:rFonts w:ascii="Arial"/>
          <w:b/>
          <w:spacing w:val="-2"/>
          <w:sz w:val="18"/>
        </w:rPr>
        <w:t>consideration</w:t>
      </w:r>
    </w:p>
    <w:p>
      <w:pPr>
        <w:pStyle w:val="BodyText"/>
        <w:spacing w:before="41"/>
        <w:rPr>
          <w:rFonts w:ascii="Arial"/>
          <w:b/>
          <w:sz w:val="18"/>
        </w:rPr>
      </w:pPr>
    </w:p>
    <w:p>
      <w:pPr>
        <w:pStyle w:val="Heading2"/>
      </w:pPr>
      <w:r>
        <w:rPr/>
        <w:t>4-</w:t>
      </w:r>
      <w:r>
        <w:rPr>
          <w:spacing w:val="-5"/>
        </w:rPr>
        <w:t>067</w:t>
      </w:r>
    </w:p>
    <w:p>
      <w:pPr>
        <w:pStyle w:val="BodyText"/>
        <w:spacing w:line="235" w:lineRule="auto" w:before="203"/>
        <w:ind w:left="165" w:right="167"/>
        <w:jc w:val="both"/>
      </w:pPr>
      <w:bookmarkStart w:name="_bookmark664" w:id="666"/>
      <w:bookmarkEnd w:id="666"/>
      <w:r>
        <w:rPr/>
      </w:r>
      <w:r>
        <w:rPr/>
        <w:t>The</w:t>
      </w:r>
      <w:r>
        <w:rPr>
          <w:spacing w:val="-3"/>
        </w:rPr>
        <w:t> </w:t>
      </w:r>
      <w:r>
        <w:rPr/>
        <w:t>view</w:t>
      </w:r>
      <w:r>
        <w:rPr>
          <w:spacing w:val="-3"/>
        </w:rPr>
        <w:t> </w:t>
      </w:r>
      <w:r>
        <w:rPr/>
        <w:t>that</w:t>
      </w:r>
      <w:r>
        <w:rPr>
          <w:spacing w:val="-3"/>
        </w:rPr>
        <w:t> </w:t>
      </w:r>
      <w:r>
        <w:rPr/>
        <w:t>there</w:t>
      </w:r>
      <w:r>
        <w:rPr>
          <w:spacing w:val="-3"/>
        </w:rPr>
        <w:t> </w:t>
      </w:r>
      <w:r>
        <w:rPr/>
        <w:t>was</w:t>
      </w:r>
      <w:r>
        <w:rPr>
          <w:spacing w:val="-3"/>
        </w:rPr>
        <w:t> </w:t>
      </w:r>
      <w:r>
        <w:rPr/>
        <w:t>no</w:t>
      </w:r>
      <w:r>
        <w:rPr>
          <w:spacing w:val="-3"/>
        </w:rPr>
        <w:t> </w:t>
      </w:r>
      <w:r>
        <w:rPr/>
        <w:t>consideration</w:t>
      </w:r>
      <w:r>
        <w:rPr>
          <w:spacing w:val="-3"/>
        </w:rPr>
        <w:t> </w:t>
      </w:r>
      <w:r>
        <w:rPr/>
        <w:t>for</w:t>
      </w:r>
      <w:r>
        <w:rPr>
          <w:spacing w:val="-3"/>
        </w:rPr>
        <w:t> </w:t>
      </w:r>
      <w:r>
        <w:rPr/>
        <w:t>B’s</w:t>
      </w:r>
      <w:r>
        <w:rPr>
          <w:spacing w:val="-3"/>
        </w:rPr>
        <w:t> </w:t>
      </w:r>
      <w:r>
        <w:rPr/>
        <w:t>new</w:t>
      </w:r>
      <w:r>
        <w:rPr>
          <w:spacing w:val="-3"/>
        </w:rPr>
        <w:t> </w:t>
      </w:r>
      <w:r>
        <w:rPr/>
        <w:t>promise</w:t>
      </w:r>
      <w:r>
        <w:rPr>
          <w:spacing w:val="-3"/>
        </w:rPr>
        <w:t> </w:t>
      </w:r>
      <w:r>
        <w:rPr/>
        <w:t>is</w:t>
      </w:r>
      <w:r>
        <w:rPr>
          <w:spacing w:val="-3"/>
        </w:rPr>
        <w:t> </w:t>
      </w:r>
      <w:r>
        <w:rPr/>
        <w:t>usually</w:t>
      </w:r>
      <w:r>
        <w:rPr>
          <w:spacing w:val="-3"/>
        </w:rPr>
        <w:t> </w:t>
      </w:r>
      <w:r>
        <w:rPr/>
        <w:t>traced</w:t>
      </w:r>
      <w:r>
        <w:rPr>
          <w:spacing w:val="-3"/>
        </w:rPr>
        <w:t> </w:t>
      </w:r>
      <w:r>
        <w:rPr/>
        <w:t>back</w:t>
      </w:r>
      <w:r>
        <w:rPr>
          <w:spacing w:val="-3"/>
        </w:rPr>
        <w:t> </w:t>
      </w:r>
      <w:r>
        <w:rPr/>
        <w:t>to</w:t>
      </w:r>
      <w:r>
        <w:rPr>
          <w:spacing w:val="-5"/>
        </w:rPr>
        <w:t> </w:t>
      </w:r>
      <w:r>
        <w:rPr>
          <w:rFonts w:ascii="Arial" w:hAnsi="Arial"/>
          <w:i/>
        </w:rPr>
        <w:t>Stilk</w:t>
      </w:r>
      <w:r>
        <w:rPr>
          <w:rFonts w:ascii="Arial" w:hAnsi="Arial"/>
          <w:i/>
          <w:spacing w:val="-3"/>
        </w:rPr>
        <w:t> </w:t>
      </w:r>
      <w:r>
        <w:rPr>
          <w:rFonts w:ascii="Arial" w:hAnsi="Arial"/>
          <w:i/>
        </w:rPr>
        <w:t>Myrick</w:t>
      </w:r>
      <w:r>
        <w:rPr/>
        <w:t>.</w:t>
      </w:r>
      <w:r>
        <w:rPr>
          <w:spacing w:val="-3"/>
        </w:rPr>
        <w:t> </w:t>
      </w:r>
      <w:r>
        <w:rPr>
          <w:color w:val="005DA1"/>
          <w:u w:val="single" w:color="005DA1"/>
          <w:vertAlign w:val="superscript"/>
        </w:rPr>
        <w:t>355</w:t>
      </w:r>
      <w:r>
        <w:rPr>
          <w:color w:val="005DA1"/>
          <w:vertAlign w:val="baseline"/>
        </w:rPr>
        <w:t> </w:t>
      </w:r>
      <w:r>
        <w:rPr>
          <w:vertAlign w:val="baseline"/>
        </w:rPr>
        <w:t>In</w:t>
      </w:r>
      <w:r>
        <w:rPr>
          <w:spacing w:val="-2"/>
          <w:vertAlign w:val="baseline"/>
        </w:rPr>
        <w:t> </w:t>
      </w:r>
      <w:r>
        <w:rPr>
          <w:vertAlign w:val="baseline"/>
        </w:rPr>
        <w:t>that</w:t>
      </w:r>
      <w:r>
        <w:rPr>
          <w:spacing w:val="-2"/>
          <w:vertAlign w:val="baseline"/>
        </w:rPr>
        <w:t> </w:t>
      </w:r>
      <w:r>
        <w:rPr>
          <w:vertAlign w:val="baseline"/>
        </w:rPr>
        <w:t>case</w:t>
      </w:r>
      <w:r>
        <w:rPr>
          <w:spacing w:val="-2"/>
          <w:vertAlign w:val="baseline"/>
        </w:rPr>
        <w:t> </w:t>
      </w:r>
      <w:r>
        <w:rPr>
          <w:vertAlign w:val="baseline"/>
        </w:rPr>
        <w:t>two</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crew</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ship</w:t>
      </w:r>
      <w:r>
        <w:rPr>
          <w:spacing w:val="-2"/>
          <w:vertAlign w:val="baseline"/>
        </w:rPr>
        <w:t> </w:t>
      </w:r>
      <w:r>
        <w:rPr>
          <w:vertAlign w:val="baseline"/>
        </w:rPr>
        <w:t>had</w:t>
      </w:r>
      <w:r>
        <w:rPr>
          <w:spacing w:val="-2"/>
          <w:vertAlign w:val="baseline"/>
        </w:rPr>
        <w:t> </w:t>
      </w:r>
      <w:r>
        <w:rPr>
          <w:vertAlign w:val="baseline"/>
        </w:rPr>
        <w:t>deserted</w:t>
      </w:r>
      <w:r>
        <w:rPr>
          <w:spacing w:val="-2"/>
          <w:vertAlign w:val="baseline"/>
        </w:rPr>
        <w:t> </w:t>
      </w:r>
      <w:r>
        <w:rPr>
          <w:vertAlign w:val="baseline"/>
        </w:rPr>
        <w:t>during</w:t>
      </w:r>
      <w:r>
        <w:rPr>
          <w:spacing w:val="-2"/>
          <w:vertAlign w:val="baseline"/>
        </w:rPr>
        <w:t> </w:t>
      </w:r>
      <w:r>
        <w:rPr>
          <w:vertAlign w:val="baseline"/>
        </w:rPr>
        <w:t>the</w:t>
      </w:r>
      <w:r>
        <w:rPr>
          <w:spacing w:val="-2"/>
          <w:vertAlign w:val="baseline"/>
        </w:rPr>
        <w:t> </w:t>
      </w:r>
      <w:r>
        <w:rPr>
          <w:vertAlign w:val="baseline"/>
        </w:rPr>
        <w:t>voyage</w:t>
      </w:r>
      <w:r>
        <w:rPr>
          <w:spacing w:val="-2"/>
          <w:vertAlign w:val="baseline"/>
        </w:rPr>
        <w:t> </w:t>
      </w:r>
      <w:r>
        <w:rPr>
          <w:vertAlign w:val="baseline"/>
        </w:rPr>
        <w:t>for</w:t>
      </w:r>
      <w:r>
        <w:rPr>
          <w:spacing w:val="-2"/>
          <w:vertAlign w:val="baseline"/>
        </w:rPr>
        <w:t> </w:t>
      </w:r>
      <w:r>
        <w:rPr>
          <w:vertAlign w:val="baseline"/>
        </w:rPr>
        <w:t>which</w:t>
      </w:r>
      <w:r>
        <w:rPr>
          <w:spacing w:val="-2"/>
          <w:vertAlign w:val="baseline"/>
        </w:rPr>
        <w:t> </w:t>
      </w:r>
      <w:r>
        <w:rPr>
          <w:vertAlign w:val="baseline"/>
        </w:rPr>
        <w:t>they</w:t>
      </w:r>
      <w:r>
        <w:rPr>
          <w:spacing w:val="-2"/>
          <w:vertAlign w:val="baseline"/>
        </w:rPr>
        <w:t> </w:t>
      </w:r>
      <w:r>
        <w:rPr>
          <w:vertAlign w:val="baseline"/>
        </w:rPr>
        <w:t>had</w:t>
      </w:r>
      <w:r>
        <w:rPr>
          <w:spacing w:val="-2"/>
          <w:vertAlign w:val="baseline"/>
        </w:rPr>
        <w:t> </w:t>
      </w:r>
      <w:r>
        <w:rPr>
          <w:vertAlign w:val="baseline"/>
        </w:rPr>
        <w:t>contracted</w:t>
      </w:r>
      <w:r>
        <w:rPr>
          <w:spacing w:val="-2"/>
          <w:vertAlign w:val="baseline"/>
        </w:rPr>
        <w:t> </w:t>
      </w:r>
      <w:r>
        <w:rPr>
          <w:vertAlign w:val="baseline"/>
        </w:rPr>
        <w:t>to serve and the master promised to divide the wages of the deserters amongst the other nine if replacements for the deserters could not be found (as turned out to be the case). The court rejected a </w:t>
      </w:r>
      <w:bookmarkStart w:name="_bookmark665" w:id="667"/>
      <w:bookmarkEnd w:id="667"/>
      <w:r>
        <w:rPr>
          <w:vertAlign w:val="baseline"/>
        </w:rPr>
        <w:t>claim</w:t>
      </w:r>
      <w:r>
        <w:rPr>
          <w:vertAlign w:val="baseline"/>
        </w:rPr>
        <w:t> brought by one of the promisees against the master for a share of the extra wages promised by </w:t>
      </w:r>
      <w:bookmarkStart w:name="_bookmark666" w:id="668"/>
      <w:bookmarkEnd w:id="668"/>
      <w:r>
        <w:rPr>
          <w:vertAlign w:val="baseline"/>
        </w:rPr>
        <w:t>the</w:t>
      </w:r>
      <w:r>
        <w:rPr>
          <w:vertAlign w:val="baseline"/>
        </w:rPr>
        <w:t> master. According to one of the reports, </w:t>
      </w:r>
      <w:r>
        <w:rPr>
          <w:color w:val="005DA1"/>
          <w:u w:val="single" w:color="005DA1"/>
          <w:vertAlign w:val="superscript"/>
        </w:rPr>
        <w:t>356</w:t>
      </w:r>
      <w:r>
        <w:rPr>
          <w:color w:val="005DA1"/>
          <w:vertAlign w:val="baseline"/>
        </w:rPr>
        <w:t> </w:t>
      </w:r>
      <w:r>
        <w:rPr>
          <w:vertAlign w:val="baseline"/>
        </w:rPr>
        <w:t>the claim was rejected on grounds of public policy stated in an earlier similar case, </w:t>
      </w:r>
      <w:r>
        <w:rPr>
          <w:color w:val="005DA1"/>
          <w:u w:val="single" w:color="005DA1"/>
          <w:vertAlign w:val="superscript"/>
        </w:rPr>
        <w:t>357</w:t>
      </w:r>
      <w:r>
        <w:rPr>
          <w:color w:val="005DA1"/>
          <w:vertAlign w:val="baseline"/>
        </w:rPr>
        <w:t> </w:t>
      </w:r>
      <w:r>
        <w:rPr>
          <w:vertAlign w:val="baseline"/>
        </w:rPr>
        <w:t>viz. that the enforcement of such promises might lead sailors to </w:t>
      </w:r>
      <w:bookmarkStart w:name="_bookmark667" w:id="669"/>
      <w:bookmarkEnd w:id="669"/>
      <w:r>
        <w:rPr>
          <w:vertAlign w:val="baseline"/>
        </w:rPr>
        <w:t>refuse</w:t>
      </w:r>
      <w:r>
        <w:rPr>
          <w:vertAlign w:val="baseline"/>
        </w:rPr>
        <w:t> to perform their contracts unless they were promised extra pay. But according to the other report </w:t>
      </w:r>
      <w:r>
        <w:rPr>
          <w:color w:val="005DA1"/>
          <w:u w:val="single" w:color="005DA1"/>
          <w:vertAlign w:val="superscript"/>
        </w:rPr>
        <w:t>358</w:t>
      </w:r>
      <w:r>
        <w:rPr>
          <w:color w:val="005DA1"/>
          <w:vertAlign w:val="baseline"/>
        </w:rPr>
        <w:t> </w:t>
      </w:r>
      <w:r>
        <w:rPr>
          <w:vertAlign w:val="baseline"/>
        </w:rPr>
        <w:t>(which has been said to have “the better reputation”) </w:t>
      </w:r>
      <w:r>
        <w:rPr>
          <w:color w:val="005DA1"/>
          <w:u w:val="single" w:color="005DA1"/>
          <w:vertAlign w:val="superscript"/>
        </w:rPr>
        <w:t>359</w:t>
      </w:r>
      <w:r>
        <w:rPr>
          <w:color w:val="005DA1"/>
          <w:vertAlign w:val="baseline"/>
        </w:rPr>
        <w:t> </w:t>
      </w:r>
      <w:r>
        <w:rPr>
          <w:vertAlign w:val="baseline"/>
        </w:rPr>
        <w:t>the court doubted that reasoning and based its decision instead on the ground that the nine crew members had provided no </w:t>
      </w:r>
      <w:bookmarkStart w:name="_bookmark668" w:id="670"/>
      <w:bookmarkEnd w:id="670"/>
      <w:r>
        <w:rPr>
          <w:vertAlign w:val="baseline"/>
        </w:rPr>
        <w:t>consideration</w:t>
      </w:r>
      <w:r>
        <w:rPr>
          <w:vertAlign w:val="baseline"/>
        </w:rPr>
        <w:t> by doing what they were already bound by their contracts to do; and it is on this ground that the case is now generally explained. </w:t>
      </w:r>
      <w:r>
        <w:rPr>
          <w:color w:val="005DA1"/>
          <w:u w:val="single" w:color="005DA1"/>
          <w:vertAlign w:val="superscript"/>
        </w:rPr>
        <w:t>360</w:t>
      </w:r>
      <w:r>
        <w:rPr>
          <w:color w:val="005DA1"/>
          <w:vertAlign w:val="baseline"/>
        </w:rPr>
        <w:t> </w:t>
      </w:r>
      <w:r>
        <w:rPr>
          <w:vertAlign w:val="baseline"/>
        </w:rPr>
        <w:t>On the same principle, a promise to pay more than the </w:t>
      </w:r>
      <w:bookmarkStart w:name="_bookmark669" w:id="671"/>
      <w:bookmarkEnd w:id="671"/>
      <w:r>
        <w:rPr>
          <w:vertAlign w:val="baseline"/>
        </w:rPr>
        <w:t>originally</w:t>
      </w:r>
      <w:r>
        <w:rPr>
          <w:vertAlign w:val="baseline"/>
        </w:rPr>
        <w:t> agreed freight for the carriage of goods to the agreed destination cannot be enforced by the carrier </w:t>
      </w:r>
      <w:r>
        <w:rPr>
          <w:color w:val="005DA1"/>
          <w:u w:val="single" w:color="005DA1"/>
          <w:vertAlign w:val="superscript"/>
        </w:rPr>
        <w:t>361</w:t>
      </w:r>
      <w:r>
        <w:rPr>
          <w:vertAlign w:val="baseline"/>
        </w:rPr>
        <w:t>; and, where a debt is already due in full, a promise by the debtor to pay it in stated </w:t>
      </w:r>
      <w:bookmarkStart w:name="_bookmark670" w:id="672"/>
      <w:bookmarkEnd w:id="672"/>
      <w:r>
        <w:rPr>
          <w:vertAlign w:val="baseline"/>
        </w:rPr>
        <w:t>instalments</w:t>
      </w:r>
      <w:r>
        <w:rPr>
          <w:vertAlign w:val="baseline"/>
        </w:rPr>
        <w:t> is no consideration for the creditor’s promise not to take bankruptcy proceedings in respect of the debt. </w:t>
      </w:r>
      <w:r>
        <w:rPr>
          <w:color w:val="005DA1"/>
          <w:u w:val="single" w:color="005DA1"/>
          <w:vertAlign w:val="superscript"/>
        </w:rPr>
        <w:t>362</w:t>
      </w:r>
    </w:p>
    <w:p>
      <w:pPr>
        <w:pStyle w:val="BodyText"/>
      </w:pPr>
    </w:p>
    <w:p>
      <w:pPr>
        <w:pStyle w:val="BodyText"/>
        <w:spacing w:before="32"/>
      </w:pPr>
    </w:p>
    <w:p>
      <w:pPr>
        <w:spacing w:before="0"/>
        <w:ind w:left="164" w:right="0" w:firstLine="0"/>
        <w:jc w:val="left"/>
        <w:rPr>
          <w:rFonts w:ascii="Arial"/>
          <w:b/>
          <w:sz w:val="18"/>
        </w:rPr>
      </w:pPr>
      <w:r>
        <w:rPr>
          <w:rFonts w:ascii="Arial"/>
          <w:b/>
          <w:sz w:val="18"/>
        </w:rPr>
        <w:t>Bases of the </w:t>
      </w:r>
      <w:r>
        <w:rPr>
          <w:rFonts w:ascii="Arial"/>
          <w:b/>
          <w:spacing w:val="-4"/>
          <w:sz w:val="18"/>
        </w:rPr>
        <w:t>rule</w:t>
      </w:r>
    </w:p>
    <w:p>
      <w:pPr>
        <w:pStyle w:val="BodyText"/>
        <w:spacing w:before="42"/>
        <w:rPr>
          <w:rFonts w:ascii="Arial"/>
          <w:b/>
          <w:sz w:val="18"/>
        </w:rPr>
      </w:pPr>
    </w:p>
    <w:p>
      <w:pPr>
        <w:pStyle w:val="Heading2"/>
        <w:ind w:left="164"/>
      </w:pPr>
      <w:r>
        <w:rPr/>
        <w:t>4-</w:t>
      </w:r>
      <w:r>
        <w:rPr>
          <w:spacing w:val="-5"/>
        </w:rPr>
        <w:t>068</w:t>
      </w:r>
    </w:p>
    <w:p>
      <w:pPr>
        <w:pStyle w:val="BodyText"/>
        <w:spacing w:line="235" w:lineRule="auto" w:before="202"/>
        <w:ind w:left="165" w:right="167"/>
        <w:jc w:val="both"/>
      </w:pPr>
      <w:bookmarkStart w:name="_bookmark671" w:id="673"/>
      <w:bookmarkEnd w:id="673"/>
      <w:r>
        <w:rPr/>
      </w:r>
      <w:r>
        <w:rPr/>
        <w:t>The public policy explanation of the rule, stated in para. 4-067 above, </w:t>
      </w:r>
      <w:r>
        <w:rPr>
          <w:color w:val="005DA1"/>
          <w:u w:val="single" w:color="005DA1"/>
          <w:vertAlign w:val="superscript"/>
        </w:rPr>
        <w:t>363</w:t>
      </w:r>
      <w:r>
        <w:rPr>
          <w:color w:val="005DA1"/>
          <w:vertAlign w:val="baseline"/>
        </w:rPr>
        <w:t> </w:t>
      </w:r>
      <w:r>
        <w:rPr>
          <w:vertAlign w:val="baseline"/>
        </w:rPr>
        <w:t>was always open to the </w:t>
      </w:r>
      <w:bookmarkStart w:name="_bookmark672" w:id="674"/>
      <w:bookmarkEnd w:id="674"/>
      <w:r>
        <w:rPr>
          <w:vertAlign w:val="baseline"/>
        </w:rPr>
        <w:t>objection</w:t>
      </w:r>
      <w:r>
        <w:rPr>
          <w:spacing w:val="-2"/>
          <w:vertAlign w:val="baseline"/>
        </w:rPr>
        <w:t> </w:t>
      </w:r>
      <w:r>
        <w:rPr>
          <w:vertAlign w:val="baseline"/>
        </w:rPr>
        <w:t>that</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based</w:t>
      </w:r>
      <w:r>
        <w:rPr>
          <w:spacing w:val="-2"/>
          <w:vertAlign w:val="baseline"/>
        </w:rPr>
        <w:t> </w:t>
      </w:r>
      <w:r>
        <w:rPr>
          <w:vertAlign w:val="baseline"/>
        </w:rPr>
        <w:t>on</w:t>
      </w:r>
      <w:r>
        <w:rPr>
          <w:spacing w:val="-2"/>
          <w:vertAlign w:val="baseline"/>
        </w:rPr>
        <w:t> </w:t>
      </w:r>
      <w:r>
        <w:rPr>
          <w:vertAlign w:val="baseline"/>
        </w:rPr>
        <w:t>a</w:t>
      </w:r>
      <w:r>
        <w:rPr>
          <w:spacing w:val="-2"/>
          <w:vertAlign w:val="baseline"/>
        </w:rPr>
        <w:t> </w:t>
      </w:r>
      <w:r>
        <w:rPr>
          <w:vertAlign w:val="baseline"/>
        </w:rPr>
        <w:t>danger</w:t>
      </w:r>
      <w:r>
        <w:rPr>
          <w:spacing w:val="-2"/>
          <w:vertAlign w:val="baseline"/>
        </w:rPr>
        <w:t> </w:t>
      </w:r>
      <w:r>
        <w:rPr>
          <w:vertAlign w:val="baseline"/>
        </w:rPr>
        <w:t>that</w:t>
      </w:r>
      <w:r>
        <w:rPr>
          <w:spacing w:val="-2"/>
          <w:vertAlign w:val="baseline"/>
        </w:rPr>
        <w:t> </w:t>
      </w:r>
      <w:r>
        <w:rPr>
          <w:vertAlign w:val="baseline"/>
        </w:rPr>
        <w:t>was</w:t>
      </w:r>
      <w:r>
        <w:rPr>
          <w:spacing w:val="-2"/>
          <w:vertAlign w:val="baseline"/>
        </w:rPr>
        <w:t> </w:t>
      </w:r>
      <w:r>
        <w:rPr>
          <w:vertAlign w:val="baseline"/>
        </w:rPr>
        <w:t>no</w:t>
      </w:r>
      <w:r>
        <w:rPr>
          <w:spacing w:val="-2"/>
          <w:vertAlign w:val="baseline"/>
        </w:rPr>
        <w:t> </w:t>
      </w:r>
      <w:r>
        <w:rPr>
          <w:vertAlign w:val="baseline"/>
        </w:rPr>
        <w:t>more</w:t>
      </w:r>
      <w:r>
        <w:rPr>
          <w:spacing w:val="-2"/>
          <w:vertAlign w:val="baseline"/>
        </w:rPr>
        <w:t> </w:t>
      </w:r>
      <w:r>
        <w:rPr>
          <w:vertAlign w:val="baseline"/>
        </w:rPr>
        <w:t>than</w:t>
      </w:r>
      <w:r>
        <w:rPr>
          <w:spacing w:val="-2"/>
          <w:vertAlign w:val="baseline"/>
        </w:rPr>
        <w:t> </w:t>
      </w:r>
      <w:r>
        <w:rPr>
          <w:vertAlign w:val="baseline"/>
        </w:rPr>
        <w:t>hypothetical:</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cases</w:t>
      </w:r>
      <w:r>
        <w:rPr>
          <w:spacing w:val="-2"/>
          <w:vertAlign w:val="baseline"/>
        </w:rPr>
        <w:t> </w:t>
      </w:r>
      <w:r>
        <w:rPr>
          <w:vertAlign w:val="baseline"/>
        </w:rPr>
        <w:t>on</w:t>
      </w:r>
      <w:r>
        <w:rPr>
          <w:spacing w:val="-2"/>
          <w:vertAlign w:val="baseline"/>
        </w:rPr>
        <w:t> </w:t>
      </w:r>
      <w:r>
        <w:rPr>
          <w:vertAlign w:val="baseline"/>
        </w:rPr>
        <w:t>seamen’s wages, </w:t>
      </w:r>
      <w:r>
        <w:rPr>
          <w:color w:val="005DA1"/>
          <w:u w:val="single" w:color="005DA1"/>
          <w:vertAlign w:val="superscript"/>
        </w:rPr>
        <w:t>364</w:t>
      </w:r>
      <w:r>
        <w:rPr>
          <w:color w:val="005DA1"/>
          <w:vertAlign w:val="baseline"/>
        </w:rPr>
        <w:t> </w:t>
      </w:r>
      <w:r>
        <w:rPr>
          <w:vertAlign w:val="baseline"/>
        </w:rPr>
        <w:t>for example, there was no evidence of any refusal on the men’s part to perform </w:t>
      </w:r>
      <w:r>
        <w:rPr>
          <w:vertAlign w:val="baseline"/>
        </w:rPr>
        <w:t>their original contracts. Even where there is such evidence, the public policy argument is much reduced in </w:t>
      </w:r>
      <w:bookmarkStart w:name="_bookmark673" w:id="675"/>
      <w:bookmarkEnd w:id="675"/>
      <w:r>
        <w:rPr>
          <w:vertAlign w:val="baseline"/>
        </w:rPr>
        <w:t>importance</w:t>
      </w:r>
      <w:r>
        <w:rPr>
          <w:vertAlign w:val="baseline"/>
        </w:rPr>
        <w:t> now that the law has come to recognise that such a refusal may amount to economic </w:t>
      </w:r>
      <w:bookmarkStart w:name="_bookmark674" w:id="676"/>
      <w:bookmarkEnd w:id="676"/>
      <w:r>
        <w:rPr>
          <w:vertAlign w:val="baseline"/>
        </w:rPr>
        <w:t>duress.</w:t>
      </w:r>
      <w:r>
        <w:rPr>
          <w:vertAlign w:val="baseline"/>
        </w:rPr>
        <w:t> </w:t>
      </w:r>
      <w:r>
        <w:rPr>
          <w:color w:val="005DA1"/>
          <w:u w:val="single" w:color="005DA1"/>
          <w:vertAlign w:val="superscript"/>
        </w:rPr>
        <w:t>365</w:t>
      </w:r>
      <w:r>
        <w:rPr>
          <w:color w:val="005DA1"/>
          <w:vertAlign w:val="baseline"/>
        </w:rPr>
        <w:t> </w:t>
      </w:r>
      <w:r>
        <w:rPr>
          <w:vertAlign w:val="baseline"/>
        </w:rPr>
        <w:t>Where the refusal </w:t>
      </w:r>
      <w:r>
        <w:rPr>
          <w:rFonts w:ascii="Arial" w:hAnsi="Arial"/>
          <w:i/>
          <w:vertAlign w:val="baseline"/>
        </w:rPr>
        <w:t>does </w:t>
      </w:r>
      <w:r>
        <w:rPr>
          <w:vertAlign w:val="baseline"/>
        </w:rPr>
        <w:t>amount to duress, a promise induced by it can be avoided (and money</w:t>
      </w:r>
      <w:r>
        <w:rPr>
          <w:spacing w:val="27"/>
          <w:vertAlign w:val="baseline"/>
        </w:rPr>
        <w:t> </w:t>
      </w:r>
      <w:r>
        <w:rPr>
          <w:vertAlign w:val="baseline"/>
        </w:rPr>
        <w:t>paid</w:t>
      </w:r>
      <w:r>
        <w:rPr>
          <w:spacing w:val="27"/>
          <w:vertAlign w:val="baseline"/>
        </w:rPr>
        <w:t> </w:t>
      </w:r>
      <w:r>
        <w:rPr>
          <w:vertAlign w:val="baseline"/>
        </w:rPr>
        <w:t>in</w:t>
      </w:r>
      <w:r>
        <w:rPr>
          <w:spacing w:val="27"/>
          <w:vertAlign w:val="baseline"/>
        </w:rPr>
        <w:t> </w:t>
      </w:r>
      <w:r>
        <w:rPr>
          <w:vertAlign w:val="baseline"/>
        </w:rPr>
        <w:t>pursuance</w:t>
      </w:r>
      <w:r>
        <w:rPr>
          <w:spacing w:val="27"/>
          <w:vertAlign w:val="baseline"/>
        </w:rPr>
        <w:t> </w:t>
      </w:r>
      <w:r>
        <w:rPr>
          <w:vertAlign w:val="baseline"/>
        </w:rPr>
        <w:t>of</w:t>
      </w:r>
      <w:r>
        <w:rPr>
          <w:spacing w:val="27"/>
          <w:vertAlign w:val="baseline"/>
        </w:rPr>
        <w:t> </w:t>
      </w:r>
      <w:r>
        <w:rPr>
          <w:vertAlign w:val="baseline"/>
        </w:rPr>
        <w:t>it</w:t>
      </w:r>
      <w:r>
        <w:rPr>
          <w:spacing w:val="27"/>
          <w:vertAlign w:val="baseline"/>
        </w:rPr>
        <w:t> </w:t>
      </w:r>
      <w:r>
        <w:rPr>
          <w:vertAlign w:val="baseline"/>
        </w:rPr>
        <w:t>be</w:t>
      </w:r>
      <w:r>
        <w:rPr>
          <w:spacing w:val="27"/>
          <w:vertAlign w:val="baseline"/>
        </w:rPr>
        <w:t> </w:t>
      </w:r>
      <w:r>
        <w:rPr>
          <w:vertAlign w:val="baseline"/>
        </w:rPr>
        <w:t>recovered</w:t>
      </w:r>
      <w:r>
        <w:rPr>
          <w:spacing w:val="27"/>
          <w:vertAlign w:val="baseline"/>
        </w:rPr>
        <w:t> </w:t>
      </w:r>
      <w:r>
        <w:rPr>
          <w:vertAlign w:val="baseline"/>
        </w:rPr>
        <w:t>back)</w:t>
      </w:r>
      <w:r>
        <w:rPr>
          <w:spacing w:val="27"/>
          <w:vertAlign w:val="baseline"/>
        </w:rPr>
        <w:t> </w:t>
      </w:r>
      <w:r>
        <w:rPr>
          <w:vertAlign w:val="baseline"/>
        </w:rPr>
        <w:t>on</w:t>
      </w:r>
      <w:r>
        <w:rPr>
          <w:spacing w:val="27"/>
          <w:vertAlign w:val="baseline"/>
        </w:rPr>
        <w:t> </w:t>
      </w:r>
      <w:r>
        <w:rPr>
          <w:vertAlign w:val="baseline"/>
        </w:rPr>
        <w:t>that</w:t>
      </w:r>
      <w:r>
        <w:rPr>
          <w:spacing w:val="27"/>
          <w:vertAlign w:val="baseline"/>
        </w:rPr>
        <w:t> </w:t>
      </w:r>
      <w:r>
        <w:rPr>
          <w:vertAlign w:val="baseline"/>
        </w:rPr>
        <w:t>ground.</w:t>
      </w:r>
      <w:r>
        <w:rPr>
          <w:spacing w:val="26"/>
          <w:vertAlign w:val="baseline"/>
        </w:rPr>
        <w:t> </w:t>
      </w:r>
      <w:r>
        <w:rPr>
          <w:color w:val="005DA1"/>
          <w:u w:val="single" w:color="005DA1"/>
          <w:vertAlign w:val="superscript"/>
        </w:rPr>
        <w:t>366</w:t>
      </w:r>
      <w:r>
        <w:rPr>
          <w:color w:val="005DA1"/>
          <w:spacing w:val="27"/>
          <w:vertAlign w:val="baseline"/>
        </w:rPr>
        <w:t> </w:t>
      </w:r>
      <w:r>
        <w:rPr>
          <w:vertAlign w:val="baseline"/>
        </w:rPr>
        <w:t>This</w:t>
      </w:r>
      <w:r>
        <w:rPr>
          <w:spacing w:val="27"/>
          <w:vertAlign w:val="baseline"/>
        </w:rPr>
        <w:t> </w:t>
      </w:r>
      <w:r>
        <w:rPr>
          <w:vertAlign w:val="baseline"/>
        </w:rPr>
        <w:t>is</w:t>
      </w:r>
      <w:r>
        <w:rPr>
          <w:spacing w:val="27"/>
          <w:vertAlign w:val="baseline"/>
        </w:rPr>
        <w:t> </w:t>
      </w:r>
      <w:r>
        <w:rPr>
          <w:vertAlign w:val="baseline"/>
        </w:rPr>
        <w:t>true</w:t>
      </w:r>
      <w:r>
        <w:rPr>
          <w:spacing w:val="27"/>
          <w:vertAlign w:val="baseline"/>
        </w:rPr>
        <w:t> </w:t>
      </w:r>
      <w:r>
        <w:rPr>
          <w:vertAlign w:val="baseline"/>
        </w:rPr>
        <w:t>even</w:t>
      </w:r>
      <w:r>
        <w:rPr>
          <w:spacing w:val="27"/>
          <w:vertAlign w:val="baseline"/>
        </w:rPr>
        <w:t> </w:t>
      </w:r>
      <w:r>
        <w:rPr>
          <w:vertAlign w:val="baseline"/>
        </w:rPr>
        <w:t>where</w:t>
      </w:r>
      <w:r>
        <w:rPr>
          <w:spacing w:val="27"/>
          <w:vertAlign w:val="baseline"/>
        </w:rPr>
        <w:t> </w:t>
      </w:r>
      <w:r>
        <w:rPr>
          <w:spacing w:val="-5"/>
          <w:vertAlign w:val="baseline"/>
        </w:rPr>
        <w:t>the</w:t>
      </w:r>
    </w:p>
    <w:p>
      <w:pPr>
        <w:pStyle w:val="BodyText"/>
        <w:spacing w:after="0" w:line="235" w:lineRule="auto"/>
        <w:jc w:val="both"/>
        <w:sectPr>
          <w:headerReference w:type="default" r:id="rId30"/>
          <w:headerReference w:type="even" r:id="rId31"/>
          <w:pgSz w:w="11900" w:h="16840"/>
          <w:pgMar w:header="971" w:footer="0" w:top="1160" w:bottom="280" w:left="1275" w:right="1275"/>
          <w:pgNumType w:start="1"/>
        </w:sectPr>
      </w:pPr>
    </w:p>
    <w:p>
      <w:pPr>
        <w:pStyle w:val="BodyText"/>
        <w:spacing w:before="24"/>
      </w:pPr>
    </w:p>
    <w:p>
      <w:pPr>
        <w:pStyle w:val="BodyText"/>
        <w:spacing w:line="235" w:lineRule="auto" w:before="1"/>
        <w:ind w:left="165" w:right="167"/>
        <w:jc w:val="both"/>
      </w:pPr>
      <w:r>
        <w:rPr/>
        <w:t>promise </w:t>
      </w:r>
      <w:r>
        <w:rPr>
          <w:rFonts w:ascii="Arial" w:hAnsi="Arial"/>
          <w:i/>
        </w:rPr>
        <w:t>is </w:t>
      </w:r>
      <w:r>
        <w:rPr/>
        <w:t>supported by consideration: for example, where the promisee has undertaken not </w:t>
      </w:r>
      <w:r>
        <w:rPr/>
        <w:t>merely</w:t>
      </w:r>
      <w:r>
        <w:rPr>
          <w:spacing w:val="40"/>
        </w:rPr>
        <w:t> </w:t>
      </w:r>
      <w:bookmarkStart w:name="_bookmark675" w:id="677"/>
      <w:bookmarkEnd w:id="677"/>
      <w:r>
        <w:rPr/>
        <w:t>to</w:t>
      </w:r>
      <w:r>
        <w:rPr/>
        <w:t> perform his duties under the original contract, but also to render some relatively small additional service. </w:t>
      </w:r>
      <w:r>
        <w:rPr>
          <w:color w:val="005DA1"/>
          <w:u w:val="single" w:color="005DA1"/>
          <w:vertAlign w:val="superscript"/>
        </w:rPr>
        <w:t>367</w:t>
      </w:r>
      <w:r>
        <w:rPr>
          <w:color w:val="005DA1"/>
          <w:vertAlign w:val="baseline"/>
        </w:rPr>
        <w:t> </w:t>
      </w:r>
      <w:r>
        <w:rPr>
          <w:vertAlign w:val="baseline"/>
        </w:rPr>
        <w:t>If, on the other hand, the promisee’s refusal to perform the original contract does </w:t>
      </w:r>
      <w:r>
        <w:rPr>
          <w:rFonts w:ascii="Arial" w:hAnsi="Arial"/>
          <w:i/>
          <w:vertAlign w:val="baseline"/>
        </w:rPr>
        <w:t>not </w:t>
      </w:r>
      <w:bookmarkStart w:name="_bookmark676" w:id="678"/>
      <w:bookmarkEnd w:id="678"/>
      <w:r>
        <w:rPr>
          <w:rFonts w:ascii="Arial" w:hAnsi="Arial"/>
          <w:i/>
          <w:vertAlign w:val="baseline"/>
        </w:rPr>
      </w:r>
      <w:r>
        <w:rPr>
          <w:vertAlign w:val="baseline"/>
        </w:rPr>
        <w:t>amount to duress, the promise cannot be impugned merely on the ground that the refusal amounted to an abuse by the promisee of a dominant bargaining position. </w:t>
      </w:r>
      <w:r>
        <w:rPr>
          <w:color w:val="005DA1"/>
          <w:u w:val="single" w:color="005DA1"/>
          <w:vertAlign w:val="superscript"/>
        </w:rPr>
        <w:t>368</w:t>
      </w:r>
      <w:r>
        <w:rPr>
          <w:color w:val="005DA1"/>
          <w:vertAlign w:val="baseline"/>
        </w:rPr>
        <w:t> </w:t>
      </w:r>
      <w:r>
        <w:rPr>
          <w:vertAlign w:val="baseline"/>
        </w:rPr>
        <w:t>To allow a promise to be invalidated</w:t>
      </w:r>
      <w:r>
        <w:rPr>
          <w:spacing w:val="-2"/>
          <w:vertAlign w:val="baseline"/>
        </w:rPr>
        <w:t> </w:t>
      </w:r>
      <w:r>
        <w:rPr>
          <w:vertAlign w:val="baseline"/>
        </w:rPr>
        <w:t>on</w:t>
      </w:r>
      <w:r>
        <w:rPr>
          <w:spacing w:val="-2"/>
          <w:vertAlign w:val="baseline"/>
        </w:rPr>
        <w:t> </w:t>
      </w:r>
      <w:r>
        <w:rPr>
          <w:vertAlign w:val="baseline"/>
        </w:rPr>
        <w:t>this</w:t>
      </w:r>
      <w:r>
        <w:rPr>
          <w:spacing w:val="-2"/>
          <w:vertAlign w:val="baseline"/>
        </w:rPr>
        <w:t> </w:t>
      </w:r>
      <w:r>
        <w:rPr>
          <w:vertAlign w:val="baseline"/>
        </w:rPr>
        <w:t>ground</w:t>
      </w:r>
      <w:r>
        <w:rPr>
          <w:spacing w:val="-2"/>
          <w:vertAlign w:val="baseline"/>
        </w:rPr>
        <w:t> </w:t>
      </w:r>
      <w:r>
        <w:rPr>
          <w:vertAlign w:val="baseline"/>
        </w:rPr>
        <w:t>even</w:t>
      </w:r>
      <w:r>
        <w:rPr>
          <w:spacing w:val="-2"/>
          <w:vertAlign w:val="baseline"/>
        </w:rPr>
        <w:t> </w:t>
      </w:r>
      <w:r>
        <w:rPr>
          <w:vertAlign w:val="baseline"/>
        </w:rPr>
        <w:t>though</w:t>
      </w:r>
      <w:r>
        <w:rPr>
          <w:spacing w:val="-2"/>
          <w:vertAlign w:val="baseline"/>
        </w:rPr>
        <w:t> </w:t>
      </w:r>
      <w:r>
        <w:rPr>
          <w:vertAlign w:val="baseline"/>
        </w:rPr>
        <w:t>there</w:t>
      </w:r>
      <w:r>
        <w:rPr>
          <w:spacing w:val="-2"/>
          <w:vertAlign w:val="baseline"/>
        </w:rPr>
        <w:t> </w:t>
      </w:r>
      <w:r>
        <w:rPr>
          <w:vertAlign w:val="baseline"/>
        </w:rPr>
        <w:t>was</w:t>
      </w:r>
      <w:r>
        <w:rPr>
          <w:spacing w:val="-3"/>
          <w:vertAlign w:val="baseline"/>
        </w:rPr>
        <w:t> </w:t>
      </w:r>
      <w:r>
        <w:rPr>
          <w:rFonts w:ascii="Arial" w:hAnsi="Arial"/>
          <w:i/>
          <w:vertAlign w:val="baseline"/>
        </w:rPr>
        <w:t>no</w:t>
      </w:r>
      <w:r>
        <w:rPr>
          <w:rFonts w:ascii="Arial" w:hAnsi="Arial"/>
          <w:i/>
          <w:spacing w:val="-2"/>
          <w:vertAlign w:val="baseline"/>
        </w:rPr>
        <w:t> </w:t>
      </w:r>
      <w:r>
        <w:rPr>
          <w:vertAlign w:val="baseline"/>
        </w:rPr>
        <w:t>duress</w:t>
      </w:r>
      <w:r>
        <w:rPr>
          <w:spacing w:val="-2"/>
          <w:vertAlign w:val="baseline"/>
        </w:rPr>
        <w:t> </w:t>
      </w:r>
      <w:r>
        <w:rPr>
          <w:vertAlign w:val="baseline"/>
        </w:rPr>
        <w:t>would</w:t>
      </w:r>
      <w:r>
        <w:rPr>
          <w:spacing w:val="-2"/>
          <w:vertAlign w:val="baseline"/>
        </w:rPr>
        <w:t> </w:t>
      </w:r>
      <w:r>
        <w:rPr>
          <w:vertAlign w:val="baseline"/>
        </w:rPr>
        <w:t>introduce</w:t>
      </w:r>
      <w:r>
        <w:rPr>
          <w:spacing w:val="-2"/>
          <w:vertAlign w:val="baseline"/>
        </w:rPr>
        <w:t> </w:t>
      </w:r>
      <w:r>
        <w:rPr>
          <w:vertAlign w:val="baseline"/>
        </w:rPr>
        <w:t>an</w:t>
      </w:r>
      <w:r>
        <w:rPr>
          <w:spacing w:val="-2"/>
          <w:vertAlign w:val="baseline"/>
        </w:rPr>
        <w:t> </w:t>
      </w:r>
      <w:r>
        <w:rPr>
          <w:vertAlign w:val="baseline"/>
        </w:rPr>
        <w:t>intermediate</w:t>
      </w:r>
      <w:r>
        <w:rPr>
          <w:spacing w:val="-2"/>
          <w:vertAlign w:val="baseline"/>
        </w:rPr>
        <w:t> </w:t>
      </w:r>
      <w:r>
        <w:rPr>
          <w:vertAlign w:val="baseline"/>
        </w:rPr>
        <w:t>category </w:t>
      </w:r>
      <w:bookmarkStart w:name="_bookmark677" w:id="679"/>
      <w:bookmarkEnd w:id="679"/>
      <w:r>
        <w:rPr>
          <w:vertAlign w:val="baseline"/>
        </w:rPr>
        <w:t>of</w:t>
      </w:r>
      <w:r>
        <w:rPr>
          <w:vertAlign w:val="baseline"/>
        </w:rPr>
        <w:t> promises unfairly obtained; and this would (in the words of Lord Scarman) “be unhelpful because it would render the law uncertain.” </w:t>
      </w:r>
      <w:r>
        <w:rPr>
          <w:color w:val="005DA1"/>
          <w:u w:val="single" w:color="005DA1"/>
          <w:vertAlign w:val="superscript"/>
        </w:rPr>
        <w:t>369</w:t>
      </w:r>
      <w:r>
        <w:rPr>
          <w:color w:val="005DA1"/>
          <w:vertAlign w:val="baseline"/>
        </w:rPr>
        <w:t> </w:t>
      </w:r>
      <w:r>
        <w:rPr>
          <w:vertAlign w:val="baseline"/>
        </w:rPr>
        <w:t>The now more generally held view is that the new promises in the </w:t>
      </w:r>
      <w:bookmarkStart w:name="_bookmark678" w:id="680"/>
      <w:bookmarkEnd w:id="680"/>
      <w:r>
        <w:rPr>
          <w:vertAlign w:val="baseline"/>
        </w:rPr>
        <w:t>present</w:t>
      </w:r>
      <w:r>
        <w:rPr>
          <w:vertAlign w:val="baseline"/>
        </w:rPr>
        <w:t> group of cases are unenforceable for want of consideration; and the reason for this view seems to have been that the promisee suffered no legal detriment </w:t>
      </w:r>
      <w:r>
        <w:rPr>
          <w:color w:val="005DA1"/>
          <w:u w:val="single" w:color="005DA1"/>
          <w:vertAlign w:val="superscript"/>
        </w:rPr>
        <w:t>370</w:t>
      </w:r>
      <w:r>
        <w:rPr>
          <w:color w:val="005DA1"/>
          <w:vertAlign w:val="baseline"/>
        </w:rPr>
        <w:t> </w:t>
      </w:r>
      <w:r>
        <w:rPr>
          <w:vertAlign w:val="baseline"/>
        </w:rPr>
        <w:t>in performing what was already due</w:t>
      </w:r>
      <w:r>
        <w:rPr>
          <w:spacing w:val="-1"/>
          <w:vertAlign w:val="baseline"/>
        </w:rPr>
        <w:t> </w:t>
      </w:r>
      <w:r>
        <w:rPr>
          <w:vertAlign w:val="baseline"/>
        </w:rPr>
        <w:t>from</w:t>
      </w:r>
      <w:r>
        <w:rPr>
          <w:spacing w:val="-1"/>
          <w:vertAlign w:val="baseline"/>
        </w:rPr>
        <w:t> </w:t>
      </w:r>
      <w:r>
        <w:rPr>
          <w:vertAlign w:val="baseline"/>
        </w:rPr>
        <w:t>him,</w:t>
      </w:r>
      <w:r>
        <w:rPr>
          <w:spacing w:val="-1"/>
          <w:vertAlign w:val="baseline"/>
        </w:rPr>
        <w:t> </w:t>
      </w:r>
      <w:r>
        <w:rPr>
          <w:vertAlign w:val="baseline"/>
        </w:rPr>
        <w:t>nor</w:t>
      </w:r>
      <w:r>
        <w:rPr>
          <w:spacing w:val="-1"/>
          <w:vertAlign w:val="baseline"/>
        </w:rPr>
        <w:t> </w:t>
      </w:r>
      <w:r>
        <w:rPr>
          <w:vertAlign w:val="baseline"/>
        </w:rPr>
        <w:t>did</w:t>
      </w:r>
      <w:r>
        <w:rPr>
          <w:spacing w:val="-1"/>
          <w:vertAlign w:val="baseline"/>
        </w:rPr>
        <w:t> </w:t>
      </w:r>
      <w:r>
        <w:rPr>
          <w:vertAlign w:val="baseline"/>
        </w:rPr>
        <w:t>the</w:t>
      </w:r>
      <w:r>
        <w:rPr>
          <w:spacing w:val="-1"/>
          <w:vertAlign w:val="baseline"/>
        </w:rPr>
        <w:t> </w:t>
      </w:r>
      <w:r>
        <w:rPr>
          <w:vertAlign w:val="baseline"/>
        </w:rPr>
        <w:t>promisor</w:t>
      </w:r>
      <w:r>
        <w:rPr>
          <w:spacing w:val="-1"/>
          <w:vertAlign w:val="baseline"/>
        </w:rPr>
        <w:t> </w:t>
      </w:r>
      <w:r>
        <w:rPr>
          <w:vertAlign w:val="baseline"/>
        </w:rPr>
        <w:t>receive</w:t>
      </w:r>
      <w:r>
        <w:rPr>
          <w:spacing w:val="-1"/>
          <w:vertAlign w:val="baseline"/>
        </w:rPr>
        <w:t> </w:t>
      </w:r>
      <w:r>
        <w:rPr>
          <w:vertAlign w:val="baseline"/>
        </w:rPr>
        <w:t>any</w:t>
      </w:r>
      <w:r>
        <w:rPr>
          <w:spacing w:val="-1"/>
          <w:vertAlign w:val="baseline"/>
        </w:rPr>
        <w:t> </w:t>
      </w:r>
      <w:r>
        <w:rPr>
          <w:vertAlign w:val="baseline"/>
        </w:rPr>
        <w:t>legal</w:t>
      </w:r>
      <w:r>
        <w:rPr>
          <w:spacing w:val="-1"/>
          <w:vertAlign w:val="baseline"/>
        </w:rPr>
        <w:t> </w:t>
      </w:r>
      <w:r>
        <w:rPr>
          <w:vertAlign w:val="baseline"/>
        </w:rPr>
        <w:t>benefit</w:t>
      </w:r>
      <w:r>
        <w:rPr>
          <w:spacing w:val="-1"/>
          <w:vertAlign w:val="baseline"/>
        </w:rPr>
        <w:t> </w:t>
      </w:r>
      <w:r>
        <w:rPr>
          <w:vertAlign w:val="baseline"/>
        </w:rPr>
        <w:t>in</w:t>
      </w:r>
      <w:r>
        <w:rPr>
          <w:spacing w:val="-1"/>
          <w:vertAlign w:val="baseline"/>
        </w:rPr>
        <w:t> </w:t>
      </w:r>
      <w:r>
        <w:rPr>
          <w:vertAlign w:val="baseline"/>
        </w:rPr>
        <w:t>receiving</w:t>
      </w:r>
      <w:r>
        <w:rPr>
          <w:spacing w:val="-1"/>
          <w:vertAlign w:val="baseline"/>
        </w:rPr>
        <w:t> </w:t>
      </w:r>
      <w:r>
        <w:rPr>
          <w:vertAlign w:val="baseline"/>
        </w:rPr>
        <w:t>what</w:t>
      </w:r>
      <w:r>
        <w:rPr>
          <w:spacing w:val="-1"/>
          <w:vertAlign w:val="baseline"/>
        </w:rPr>
        <w:t> </w:t>
      </w:r>
      <w:r>
        <w:rPr>
          <w:vertAlign w:val="baseline"/>
        </w:rPr>
        <w:t>was</w:t>
      </w:r>
      <w:r>
        <w:rPr>
          <w:spacing w:val="-1"/>
          <w:vertAlign w:val="baseline"/>
        </w:rPr>
        <w:t> </w:t>
      </w:r>
      <w:r>
        <w:rPr>
          <w:vertAlign w:val="baseline"/>
        </w:rPr>
        <w:t>already</w:t>
      </w:r>
      <w:r>
        <w:rPr>
          <w:spacing w:val="-1"/>
          <w:vertAlign w:val="baseline"/>
        </w:rPr>
        <w:t> </w:t>
      </w:r>
      <w:r>
        <w:rPr>
          <w:vertAlign w:val="baseline"/>
        </w:rPr>
        <w:t>due</w:t>
      </w:r>
      <w:r>
        <w:rPr>
          <w:spacing w:val="-1"/>
          <w:vertAlign w:val="baseline"/>
        </w:rPr>
        <w:t> </w:t>
      </w:r>
      <w:r>
        <w:rPr>
          <w:vertAlign w:val="baseline"/>
        </w:rPr>
        <w:t>to</w:t>
      </w:r>
      <w:r>
        <w:rPr>
          <w:spacing w:val="-1"/>
          <w:vertAlign w:val="baseline"/>
        </w:rPr>
        <w:t> </w:t>
      </w:r>
      <w:r>
        <w:rPr>
          <w:vertAlign w:val="baseline"/>
        </w:rPr>
        <w:t>him. But this reasoning takes no account of the fact that the promisee may in fact suffer a detriment: for example, the wages which a seaman could earn elsewhere might exceed those due to him under the original contract together with the damages which he would have to pay for breaking it. Conversely</w:t>
      </w:r>
      <w:r>
        <w:rPr>
          <w:spacing w:val="40"/>
          <w:vertAlign w:val="baseline"/>
        </w:rPr>
        <w:t> </w:t>
      </w:r>
      <w:r>
        <w:rPr>
          <w:vertAlign w:val="baseline"/>
        </w:rPr>
        <w:t>the promisor may in fact benefit from the performance which he receives in consequence of the new promise: in </w:t>
      </w:r>
      <w:r>
        <w:rPr>
          <w:rFonts w:ascii="Arial" w:hAnsi="Arial"/>
          <w:i/>
          <w:vertAlign w:val="baseline"/>
        </w:rPr>
        <w:t>Stilk v Myrick </w:t>
      </w:r>
      <w:r>
        <w:rPr>
          <w:vertAlign w:val="baseline"/>
        </w:rPr>
        <w:t>the master got the ship home, and this may well have been worth more to him than any damages that he could have recovered from the crew.</w:t>
      </w:r>
    </w:p>
    <w:p>
      <w:pPr>
        <w:pStyle w:val="BodyText"/>
      </w:pPr>
    </w:p>
    <w:p>
      <w:pPr>
        <w:pStyle w:val="BodyText"/>
        <w:spacing w:before="32"/>
      </w:pPr>
    </w:p>
    <w:p>
      <w:pPr>
        <w:spacing w:before="0"/>
        <w:ind w:left="165" w:right="0" w:firstLine="0"/>
        <w:jc w:val="both"/>
        <w:rPr>
          <w:rFonts w:ascii="Arial"/>
          <w:b/>
          <w:sz w:val="18"/>
        </w:rPr>
      </w:pPr>
      <w:r>
        <w:rPr>
          <w:rFonts w:ascii="Arial"/>
          <w:b/>
          <w:sz w:val="18"/>
        </w:rPr>
        <w:t>Factual benefit to </w:t>
      </w:r>
      <w:r>
        <w:rPr>
          <w:rFonts w:ascii="Arial"/>
          <w:b/>
          <w:spacing w:val="-2"/>
          <w:sz w:val="18"/>
        </w:rPr>
        <w:t>promisor</w:t>
      </w:r>
    </w:p>
    <w:p>
      <w:pPr>
        <w:pStyle w:val="BodyText"/>
        <w:spacing w:before="41"/>
        <w:rPr>
          <w:rFonts w:ascii="Arial"/>
          <w:b/>
          <w:sz w:val="18"/>
        </w:rPr>
      </w:pPr>
    </w:p>
    <w:p>
      <w:pPr>
        <w:pStyle w:val="Heading2"/>
      </w:pPr>
      <w:r>
        <w:rPr/>
        <w:t>4-</w:t>
      </w:r>
      <w:r>
        <w:rPr>
          <w:spacing w:val="-5"/>
        </w:rPr>
        <w:t>069</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forgoing discussion shows that a new promise by B in consideration of A’s performing his </w:t>
      </w:r>
      <w:r>
        <w:rPr/>
        <w:t>duty to B under an earlier contract between them is not necessarily obtained by duress; and that A’s </w:t>
      </w:r>
      <w:bookmarkStart w:name="_bookmark679" w:id="681"/>
      <w:bookmarkEnd w:id="681"/>
      <w:r>
        <w:rPr/>
        <w:t>performance</w:t>
      </w:r>
      <w:r>
        <w:rPr/>
        <w:t> of the duty may in fact benefit B. Where both these conditions are satisfied, it has been held that A can enforce B’s new promise. In </w:t>
      </w:r>
      <w:r>
        <w:rPr>
          <w:rFonts w:ascii="Arial" w:hAnsi="Arial"/>
          <w:i/>
        </w:rPr>
        <w:t>Williams v Roffey Bros. &amp; Nicholls (Contractors) Ltd </w:t>
      </w:r>
      <w:r>
        <w:rPr>
          <w:color w:val="005DA1"/>
          <w:u w:val="single" w:color="005DA1"/>
          <w:vertAlign w:val="superscript"/>
        </w:rPr>
        <w:t>371</w:t>
      </w:r>
      <w:r>
        <w:rPr>
          <w:color w:val="005DA1"/>
          <w:vertAlign w:val="baseline"/>
        </w:rPr>
        <w:t> </w:t>
      </w:r>
      <w:r>
        <w:rPr>
          <w:vertAlign w:val="baseline"/>
        </w:rPr>
        <w:t>B had engaged A as carpentry sub-contractor, for the purpose of performing a contract between B and</w:t>
      </w:r>
      <w:r>
        <w:rPr>
          <w:spacing w:val="40"/>
          <w:vertAlign w:val="baseline"/>
        </w:rPr>
        <w:t> </w:t>
      </w:r>
      <w:bookmarkStart w:name="_bookmark680" w:id="682"/>
      <w:bookmarkEnd w:id="682"/>
      <w:r>
        <w:rPr>
          <w:vertAlign w:val="baseline"/>
        </w:rPr>
        <w:t>X</w:t>
      </w:r>
      <w:r>
        <w:rPr>
          <w:vertAlign w:val="baseline"/>
        </w:rPr>
        <w:t> to refurbish a number of flats. The amount payable by B to A under the subcontract was £20,000</w:t>
      </w:r>
      <w:r>
        <w:rPr>
          <w:spacing w:val="40"/>
          <w:vertAlign w:val="baseline"/>
        </w:rPr>
        <w:t> </w:t>
      </w:r>
      <w:r>
        <w:rPr>
          <w:vertAlign w:val="baseline"/>
        </w:rPr>
        <w:t>but</w:t>
      </w:r>
      <w:r>
        <w:rPr>
          <w:spacing w:val="15"/>
          <w:vertAlign w:val="baseline"/>
        </w:rPr>
        <w:t> </w:t>
      </w:r>
      <w:r>
        <w:rPr>
          <w:vertAlign w:val="baseline"/>
        </w:rPr>
        <w:t>B</w:t>
      </w:r>
      <w:r>
        <w:rPr>
          <w:spacing w:val="15"/>
          <w:vertAlign w:val="baseline"/>
        </w:rPr>
        <w:t> </w:t>
      </w:r>
      <w:r>
        <w:rPr>
          <w:vertAlign w:val="baseline"/>
        </w:rPr>
        <w:t>later</w:t>
      </w:r>
      <w:r>
        <w:rPr>
          <w:spacing w:val="15"/>
          <w:vertAlign w:val="baseline"/>
        </w:rPr>
        <w:t> </w:t>
      </w:r>
      <w:r>
        <w:rPr>
          <w:vertAlign w:val="baseline"/>
        </w:rPr>
        <w:t>promised</w:t>
      </w:r>
      <w:r>
        <w:rPr>
          <w:spacing w:val="15"/>
          <w:vertAlign w:val="baseline"/>
        </w:rPr>
        <w:t> </w:t>
      </w:r>
      <w:r>
        <w:rPr>
          <w:vertAlign w:val="baseline"/>
        </w:rPr>
        <w:t>to</w:t>
      </w:r>
      <w:r>
        <w:rPr>
          <w:spacing w:val="15"/>
          <w:vertAlign w:val="baseline"/>
        </w:rPr>
        <w:t> </w:t>
      </w:r>
      <w:r>
        <w:rPr>
          <w:vertAlign w:val="baseline"/>
        </w:rPr>
        <w:t>make</w:t>
      </w:r>
      <w:r>
        <w:rPr>
          <w:spacing w:val="15"/>
          <w:vertAlign w:val="baseline"/>
        </w:rPr>
        <w:t> </w:t>
      </w:r>
      <w:r>
        <w:rPr>
          <w:vertAlign w:val="baseline"/>
        </w:rPr>
        <w:t>extra</w:t>
      </w:r>
      <w:r>
        <w:rPr>
          <w:spacing w:val="15"/>
          <w:vertAlign w:val="baseline"/>
        </w:rPr>
        <w:t> </w:t>
      </w:r>
      <w:r>
        <w:rPr>
          <w:vertAlign w:val="baseline"/>
        </w:rPr>
        <w:t>payments</w:t>
      </w:r>
      <w:r>
        <w:rPr>
          <w:spacing w:val="15"/>
          <w:vertAlign w:val="baseline"/>
        </w:rPr>
        <w:t> </w:t>
      </w:r>
      <w:r>
        <w:rPr>
          <w:vertAlign w:val="baseline"/>
        </w:rPr>
        <w:t>to</w:t>
      </w:r>
      <w:r>
        <w:rPr>
          <w:spacing w:val="15"/>
          <w:vertAlign w:val="baseline"/>
        </w:rPr>
        <w:t> </w:t>
      </w:r>
      <w:r>
        <w:rPr>
          <w:vertAlign w:val="baseline"/>
        </w:rPr>
        <w:t>A,</w:t>
      </w:r>
      <w:r>
        <w:rPr>
          <w:spacing w:val="15"/>
          <w:vertAlign w:val="baseline"/>
        </w:rPr>
        <w:t> </w:t>
      </w:r>
      <w:r>
        <w:rPr>
          <w:vertAlign w:val="baseline"/>
        </w:rPr>
        <w:t>who</w:t>
      </w:r>
      <w:r>
        <w:rPr>
          <w:spacing w:val="15"/>
          <w:vertAlign w:val="baseline"/>
        </w:rPr>
        <w:t> </w:t>
      </w:r>
      <w:r>
        <w:rPr>
          <w:vertAlign w:val="baseline"/>
        </w:rPr>
        <w:t>undertook</w:t>
      </w:r>
      <w:r>
        <w:rPr>
          <w:spacing w:val="15"/>
          <w:vertAlign w:val="baseline"/>
        </w:rPr>
        <w:t> </w:t>
      </w:r>
      <w:r>
        <w:rPr>
          <w:vertAlign w:val="baseline"/>
        </w:rPr>
        <w:t>no</w:t>
      </w:r>
      <w:r>
        <w:rPr>
          <w:spacing w:val="15"/>
          <w:vertAlign w:val="baseline"/>
        </w:rPr>
        <w:t> </w:t>
      </w:r>
      <w:r>
        <w:rPr>
          <w:vertAlign w:val="baseline"/>
        </w:rPr>
        <w:t>additional</w:t>
      </w:r>
      <w:r>
        <w:rPr>
          <w:spacing w:val="15"/>
          <w:vertAlign w:val="baseline"/>
        </w:rPr>
        <w:t> </w:t>
      </w:r>
      <w:r>
        <w:rPr>
          <w:vertAlign w:val="baseline"/>
        </w:rPr>
        <w:t>obligation</w:t>
      </w:r>
      <w:r>
        <w:rPr>
          <w:spacing w:val="15"/>
          <w:vertAlign w:val="baseline"/>
        </w:rPr>
        <w:t> </w:t>
      </w:r>
      <w:r>
        <w:rPr>
          <w:vertAlign w:val="baseline"/>
        </w:rPr>
        <w:t>in</w:t>
      </w:r>
      <w:r>
        <w:rPr>
          <w:spacing w:val="15"/>
          <w:vertAlign w:val="baseline"/>
        </w:rPr>
        <w:t> </w:t>
      </w:r>
      <w:r>
        <w:rPr>
          <w:spacing w:val="-2"/>
          <w:vertAlign w:val="baseline"/>
        </w:rPr>
        <w:t>return.</w:t>
      </w:r>
    </w:p>
    <w:p>
      <w:pPr>
        <w:pStyle w:val="BodyText"/>
        <w:spacing w:line="221" w:lineRule="exact"/>
        <w:ind w:left="165"/>
        <w:jc w:val="both"/>
      </w:pPr>
      <w:r>
        <w:rPr>
          <w:color w:val="005DA1"/>
          <w:u w:val="single" w:color="005DA1"/>
          <w:vertAlign w:val="superscript"/>
        </w:rPr>
        <w:t>372</w:t>
      </w:r>
      <w:r>
        <w:rPr>
          <w:color w:val="005DA1"/>
          <w:spacing w:val="9"/>
          <w:vertAlign w:val="baseline"/>
        </w:rPr>
        <w:t> </w:t>
      </w:r>
      <w:r>
        <w:rPr>
          <w:vertAlign w:val="baseline"/>
        </w:rPr>
        <w:t>B</w:t>
      </w:r>
      <w:r>
        <w:rPr>
          <w:spacing w:val="10"/>
          <w:vertAlign w:val="baseline"/>
        </w:rPr>
        <w:t> </w:t>
      </w:r>
      <w:r>
        <w:rPr>
          <w:vertAlign w:val="baseline"/>
        </w:rPr>
        <w:t>made</w:t>
      </w:r>
      <w:r>
        <w:rPr>
          <w:spacing w:val="10"/>
          <w:vertAlign w:val="baseline"/>
        </w:rPr>
        <w:t> </w:t>
      </w:r>
      <w:r>
        <w:rPr>
          <w:vertAlign w:val="baseline"/>
        </w:rPr>
        <w:t>this</w:t>
      </w:r>
      <w:r>
        <w:rPr>
          <w:spacing w:val="10"/>
          <w:vertAlign w:val="baseline"/>
        </w:rPr>
        <w:t> </w:t>
      </w:r>
      <w:r>
        <w:rPr>
          <w:vertAlign w:val="baseline"/>
        </w:rPr>
        <w:t>new</w:t>
      </w:r>
      <w:r>
        <w:rPr>
          <w:spacing w:val="10"/>
          <w:vertAlign w:val="baseline"/>
        </w:rPr>
        <w:t> </w:t>
      </w:r>
      <w:r>
        <w:rPr>
          <w:vertAlign w:val="baseline"/>
        </w:rPr>
        <w:t>promise</w:t>
      </w:r>
      <w:r>
        <w:rPr>
          <w:spacing w:val="10"/>
          <w:vertAlign w:val="baseline"/>
        </w:rPr>
        <w:t> </w:t>
      </w:r>
      <w:r>
        <w:rPr>
          <w:vertAlign w:val="baseline"/>
        </w:rPr>
        <w:t>because</w:t>
      </w:r>
      <w:r>
        <w:rPr>
          <w:spacing w:val="10"/>
          <w:vertAlign w:val="baseline"/>
        </w:rPr>
        <w:t> </w:t>
      </w:r>
      <w:r>
        <w:rPr>
          <w:vertAlign w:val="baseline"/>
        </w:rPr>
        <w:t>B’s</w:t>
      </w:r>
      <w:r>
        <w:rPr>
          <w:spacing w:val="10"/>
          <w:vertAlign w:val="baseline"/>
        </w:rPr>
        <w:t> </w:t>
      </w:r>
      <w:r>
        <w:rPr>
          <w:vertAlign w:val="baseline"/>
        </w:rPr>
        <w:t>own</w:t>
      </w:r>
      <w:r>
        <w:rPr>
          <w:spacing w:val="10"/>
          <w:vertAlign w:val="baseline"/>
        </w:rPr>
        <w:t> </w:t>
      </w:r>
      <w:r>
        <w:rPr>
          <w:vertAlign w:val="baseline"/>
        </w:rPr>
        <w:t>surveyor</w:t>
      </w:r>
      <w:r>
        <w:rPr>
          <w:spacing w:val="10"/>
          <w:vertAlign w:val="baseline"/>
        </w:rPr>
        <w:t> </w:t>
      </w:r>
      <w:r>
        <w:rPr>
          <w:vertAlign w:val="baseline"/>
        </w:rPr>
        <w:t>recognised</w:t>
      </w:r>
      <w:r>
        <w:rPr>
          <w:spacing w:val="10"/>
          <w:vertAlign w:val="baseline"/>
        </w:rPr>
        <w:t> </w:t>
      </w:r>
      <w:r>
        <w:rPr>
          <w:vertAlign w:val="baseline"/>
        </w:rPr>
        <w:t>that</w:t>
      </w:r>
      <w:r>
        <w:rPr>
          <w:spacing w:val="9"/>
          <w:vertAlign w:val="baseline"/>
        </w:rPr>
        <w:t> </w:t>
      </w:r>
      <w:r>
        <w:rPr>
          <w:vertAlign w:val="baseline"/>
        </w:rPr>
        <w:t>the</w:t>
      </w:r>
      <w:r>
        <w:rPr>
          <w:spacing w:val="10"/>
          <w:vertAlign w:val="baseline"/>
        </w:rPr>
        <w:t> </w:t>
      </w:r>
      <w:r>
        <w:rPr>
          <w:vertAlign w:val="baseline"/>
        </w:rPr>
        <w:t>originally</w:t>
      </w:r>
      <w:r>
        <w:rPr>
          <w:spacing w:val="10"/>
          <w:vertAlign w:val="baseline"/>
        </w:rPr>
        <w:t> </w:t>
      </w:r>
      <w:r>
        <w:rPr>
          <w:vertAlign w:val="baseline"/>
        </w:rPr>
        <w:t>agreed</w:t>
      </w:r>
      <w:r>
        <w:rPr>
          <w:spacing w:val="10"/>
          <w:vertAlign w:val="baseline"/>
        </w:rPr>
        <w:t> </w:t>
      </w:r>
      <w:r>
        <w:rPr>
          <w:vertAlign w:val="baseline"/>
        </w:rPr>
        <w:t>sum</w:t>
      </w:r>
      <w:r>
        <w:rPr>
          <w:spacing w:val="10"/>
          <w:vertAlign w:val="baseline"/>
        </w:rPr>
        <w:t> </w:t>
      </w:r>
      <w:r>
        <w:rPr>
          <w:spacing w:val="-5"/>
          <w:vertAlign w:val="baseline"/>
        </w:rPr>
        <w:t>of</w:t>
      </w:r>
    </w:p>
    <w:p>
      <w:pPr>
        <w:pStyle w:val="BodyText"/>
        <w:spacing w:line="235" w:lineRule="auto" w:before="1"/>
        <w:ind w:left="165" w:right="167"/>
        <w:jc w:val="both"/>
      </w:pPr>
      <w:r>
        <w:rPr/>
        <w:t>£20,000</w:t>
      </w:r>
      <w:r>
        <w:rPr>
          <w:spacing w:val="-1"/>
        </w:rPr>
        <w:t> </w:t>
      </w:r>
      <w:r>
        <w:rPr/>
        <w:t>was</w:t>
      </w:r>
      <w:r>
        <w:rPr>
          <w:spacing w:val="-1"/>
        </w:rPr>
        <w:t> </w:t>
      </w:r>
      <w:r>
        <w:rPr/>
        <w:t>too</w:t>
      </w:r>
      <w:r>
        <w:rPr>
          <w:spacing w:val="-1"/>
        </w:rPr>
        <w:t> </w:t>
      </w:r>
      <w:r>
        <w:rPr/>
        <w:t>low,</w:t>
      </w:r>
      <w:r>
        <w:rPr>
          <w:spacing w:val="-1"/>
        </w:rPr>
        <w:t> </w:t>
      </w:r>
      <w:r>
        <w:rPr/>
        <w:t>and</w:t>
      </w:r>
      <w:r>
        <w:rPr>
          <w:spacing w:val="-1"/>
        </w:rPr>
        <w:t> </w:t>
      </w:r>
      <w:r>
        <w:rPr/>
        <w:t>because</w:t>
      </w:r>
      <w:r>
        <w:rPr>
          <w:spacing w:val="-1"/>
        </w:rPr>
        <w:t> </w:t>
      </w:r>
      <w:r>
        <w:rPr/>
        <w:t>B</w:t>
      </w:r>
      <w:r>
        <w:rPr>
          <w:spacing w:val="-1"/>
        </w:rPr>
        <w:t> </w:t>
      </w:r>
      <w:r>
        <w:rPr/>
        <w:t>feared</w:t>
      </w:r>
      <w:r>
        <w:rPr>
          <w:spacing w:val="-1"/>
        </w:rPr>
        <w:t> </w:t>
      </w:r>
      <w:r>
        <w:rPr/>
        <w:t>that</w:t>
      </w:r>
      <w:r>
        <w:rPr>
          <w:spacing w:val="-1"/>
        </w:rPr>
        <w:t> </w:t>
      </w:r>
      <w:r>
        <w:rPr/>
        <w:t>A</w:t>
      </w:r>
      <w:r>
        <w:rPr>
          <w:spacing w:val="-1"/>
        </w:rPr>
        <w:t> </w:t>
      </w:r>
      <w:r>
        <w:rPr/>
        <w:t>(who</w:t>
      </w:r>
      <w:r>
        <w:rPr>
          <w:spacing w:val="-1"/>
        </w:rPr>
        <w:t> </w:t>
      </w:r>
      <w:r>
        <w:rPr/>
        <w:t>was</w:t>
      </w:r>
      <w:r>
        <w:rPr>
          <w:spacing w:val="-1"/>
        </w:rPr>
        <w:t> </w:t>
      </w:r>
      <w:r>
        <w:rPr/>
        <w:t>in</w:t>
      </w:r>
      <w:r>
        <w:rPr>
          <w:spacing w:val="-1"/>
        </w:rPr>
        <w:t> </w:t>
      </w:r>
      <w:r>
        <w:rPr/>
        <w:t>financial</w:t>
      </w:r>
      <w:r>
        <w:rPr>
          <w:spacing w:val="-1"/>
        </w:rPr>
        <w:t> </w:t>
      </w:r>
      <w:r>
        <w:rPr/>
        <w:t>difficulties)</w:t>
      </w:r>
      <w:r>
        <w:rPr>
          <w:spacing w:val="-1"/>
        </w:rPr>
        <w:t> </w:t>
      </w:r>
      <w:r>
        <w:rPr/>
        <w:t>would</w:t>
      </w:r>
      <w:r>
        <w:rPr>
          <w:spacing w:val="-1"/>
        </w:rPr>
        <w:t> </w:t>
      </w:r>
      <w:r>
        <w:rPr/>
        <w:t>not</w:t>
      </w:r>
      <w:r>
        <w:rPr>
          <w:spacing w:val="-1"/>
        </w:rPr>
        <w:t> </w:t>
      </w:r>
      <w:r>
        <w:rPr/>
        <w:t>be</w:t>
      </w:r>
      <w:r>
        <w:rPr>
          <w:spacing w:val="-1"/>
        </w:rPr>
        <w:t> </w:t>
      </w:r>
      <w:r>
        <w:rPr/>
        <w:t>able to complete his work on time, and so expose B to penalties for delay under his contract with X. It was </w:t>
      </w:r>
      <w:bookmarkStart w:name="_bookmark681" w:id="683"/>
      <w:bookmarkEnd w:id="683"/>
      <w:r>
        <w:rPr/>
        <w:t>held</w:t>
      </w:r>
      <w:r>
        <w:rPr>
          <w:spacing w:val="11"/>
        </w:rPr>
        <w:t> </w:t>
      </w:r>
      <w:r>
        <w:rPr/>
        <w:t>that</w:t>
      </w:r>
      <w:r>
        <w:rPr>
          <w:spacing w:val="11"/>
        </w:rPr>
        <w:t> </w:t>
      </w:r>
      <w:r>
        <w:rPr/>
        <w:t>B’s</w:t>
      </w:r>
      <w:r>
        <w:rPr>
          <w:spacing w:val="11"/>
        </w:rPr>
        <w:t> </w:t>
      </w:r>
      <w:r>
        <w:rPr/>
        <w:t>promise</w:t>
      </w:r>
      <w:r>
        <w:rPr>
          <w:spacing w:val="11"/>
        </w:rPr>
        <w:t> </w:t>
      </w:r>
      <w:r>
        <w:rPr/>
        <w:t>to</w:t>
      </w:r>
      <w:r>
        <w:rPr>
          <w:spacing w:val="11"/>
        </w:rPr>
        <w:t> </w:t>
      </w:r>
      <w:r>
        <w:rPr/>
        <w:t>make</w:t>
      </w:r>
      <w:r>
        <w:rPr>
          <w:spacing w:val="11"/>
        </w:rPr>
        <w:t> </w:t>
      </w:r>
      <w:r>
        <w:rPr/>
        <w:t>the</w:t>
      </w:r>
      <w:r>
        <w:rPr>
          <w:spacing w:val="11"/>
        </w:rPr>
        <w:t> </w:t>
      </w:r>
      <w:r>
        <w:rPr/>
        <w:t>extra</w:t>
      </w:r>
      <w:r>
        <w:rPr>
          <w:spacing w:val="11"/>
        </w:rPr>
        <w:t> </w:t>
      </w:r>
      <w:r>
        <w:rPr/>
        <w:t>payments</w:t>
      </w:r>
      <w:r>
        <w:rPr>
          <w:spacing w:val="11"/>
        </w:rPr>
        <w:t> </w:t>
      </w:r>
      <w:r>
        <w:rPr/>
        <w:t>to</w:t>
      </w:r>
      <w:r>
        <w:rPr>
          <w:spacing w:val="11"/>
        </w:rPr>
        <w:t> </w:t>
      </w:r>
      <w:r>
        <w:rPr/>
        <w:t>A</w:t>
      </w:r>
      <w:r>
        <w:rPr>
          <w:spacing w:val="11"/>
        </w:rPr>
        <w:t> </w:t>
      </w:r>
      <w:r>
        <w:rPr/>
        <w:t>was</w:t>
      </w:r>
      <w:r>
        <w:rPr>
          <w:spacing w:val="11"/>
        </w:rPr>
        <w:t> </w:t>
      </w:r>
      <w:r>
        <w:rPr/>
        <w:t>supported</w:t>
      </w:r>
      <w:r>
        <w:rPr>
          <w:spacing w:val="11"/>
        </w:rPr>
        <w:t> </w:t>
      </w:r>
      <w:r>
        <w:rPr/>
        <w:t>by</w:t>
      </w:r>
      <w:r>
        <w:rPr>
          <w:spacing w:val="11"/>
        </w:rPr>
        <w:t> </w:t>
      </w:r>
      <w:r>
        <w:rPr/>
        <w:t>consideration</w:t>
      </w:r>
      <w:r>
        <w:rPr>
          <w:spacing w:val="11"/>
        </w:rPr>
        <w:t> </w:t>
      </w:r>
      <w:r>
        <w:rPr/>
        <w:t>in</w:t>
      </w:r>
      <w:r>
        <w:rPr>
          <w:spacing w:val="11"/>
        </w:rPr>
        <w:t> </w:t>
      </w:r>
      <w:r>
        <w:rPr/>
        <w:t>the</w:t>
      </w:r>
      <w:r>
        <w:rPr>
          <w:spacing w:val="11"/>
        </w:rPr>
        <w:t> </w:t>
      </w:r>
      <w:r>
        <w:rPr>
          <w:spacing w:val="-2"/>
        </w:rPr>
        <w:t>shape</w:t>
      </w:r>
    </w:p>
    <w:p>
      <w:pPr>
        <w:pStyle w:val="BodyText"/>
        <w:spacing w:line="235" w:lineRule="auto" w:before="119"/>
        <w:ind w:left="165" w:right="167"/>
        <w:jc w:val="both"/>
      </w:pPr>
      <w:bookmarkStart w:name="_bookmark682" w:id="684"/>
      <w:bookmarkEnd w:id="684"/>
      <w:r>
        <w:rPr/>
      </w:r>
      <w:r>
        <w:rPr/>
        <w:t>of the “practical benefits” </w:t>
      </w:r>
      <w:r>
        <w:rPr>
          <w:color w:val="005DA1"/>
          <w:u w:val="single" w:color="005DA1"/>
          <w:vertAlign w:val="superscript"/>
        </w:rPr>
        <w:t>373</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30"/>
          <w:vertAlign w:val="baseline"/>
        </w:rPr>
        <w:t> </w:t>
      </w:r>
      <w:r>
        <w:rPr>
          <w:vertAlign w:val="baseline"/>
        </w:rPr>
        <w:t>obtained by B from A’s performance of his duties under the </w:t>
      </w:r>
      <w:r>
        <w:rPr>
          <w:vertAlign w:val="baseline"/>
        </w:rPr>
        <w:t>original contract between them. </w:t>
      </w:r>
      <w:r>
        <w:rPr>
          <w:color w:val="005DA1"/>
          <w:u w:val="single" w:color="005DA1"/>
          <w:vertAlign w:val="superscript"/>
        </w:rPr>
        <w:t>374</w:t>
      </w:r>
      <w:r>
        <w:rPr>
          <w:color w:val="005DA1"/>
          <w:vertAlign w:val="baseline"/>
        </w:rPr>
        <w:t> </w:t>
      </w:r>
      <w:r>
        <w:rPr>
          <w:vertAlign w:val="baseline"/>
        </w:rPr>
        <w:t>Since no allegation of duress on A’s part had been made by B, the new promise by B to pay extra could not be avoided on this ground. There had been no threat by A to break his original contract; indeed, the initiative for the agreement containing the promise of extra pay seems to have come from B.</w:t>
      </w:r>
    </w:p>
    <w:p>
      <w:pPr>
        <w:pStyle w:val="BodyText"/>
        <w:spacing w:before="79"/>
      </w:pPr>
    </w:p>
    <w:p>
      <w:pPr>
        <w:pStyle w:val="Heading2"/>
        <w:spacing w:before="1"/>
      </w:pPr>
      <w:r>
        <w:rPr/>
        <w:t>4-</w:t>
      </w:r>
      <w:r>
        <w:rPr>
          <w:spacing w:val="-5"/>
        </w:rPr>
        <w:t>070</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consideration for B’s promise in the </w:t>
      </w:r>
      <w:r>
        <w:rPr>
          <w:rFonts w:ascii="Arial" w:hAnsi="Arial"/>
          <w:i/>
        </w:rPr>
        <w:t>Williams </w:t>
      </w:r>
      <w:r>
        <w:rPr/>
        <w:t>case appears to have been the factual benefit obtained by B from A’s actual performance of his earlier contract with B. This element of factual </w:t>
      </w:r>
      <w:bookmarkStart w:name="_bookmark683" w:id="685"/>
      <w:bookmarkEnd w:id="685"/>
      <w:r>
        <w:rPr/>
        <w:t>benefit</w:t>
      </w:r>
      <w:r>
        <w:rPr/>
        <w:t> has been regarded as consideration where a person performs or (promises to perform) a </w:t>
      </w:r>
      <w:bookmarkStart w:name="_bookmark684" w:id="686"/>
      <w:bookmarkEnd w:id="686"/>
      <w:r>
        <w:rPr/>
        <w:t>contractual</w:t>
      </w:r>
      <w:r>
        <w:rPr/>
        <w:t> duty owed to a third party </w:t>
      </w:r>
      <w:r>
        <w:rPr>
          <w:color w:val="005DA1"/>
          <w:u w:val="single" w:color="005DA1"/>
          <w:vertAlign w:val="superscript"/>
        </w:rPr>
        <w:t>375</w:t>
      </w:r>
      <w:r>
        <w:rPr>
          <w:vertAlign w:val="baseline"/>
        </w:rPr>
        <w:t>; and the </w:t>
      </w:r>
      <w:r>
        <w:rPr>
          <w:rFonts w:ascii="Arial" w:hAnsi="Arial"/>
          <w:i/>
          <w:vertAlign w:val="baseline"/>
        </w:rPr>
        <w:t>Williams </w:t>
      </w:r>
      <w:r>
        <w:rPr>
          <w:vertAlign w:val="baseline"/>
        </w:rPr>
        <w:t>case is to be welcomed in bringing the</w:t>
      </w:r>
      <w:r>
        <w:rPr>
          <w:spacing w:val="80"/>
          <w:vertAlign w:val="baseline"/>
        </w:rPr>
        <w:t> </w:t>
      </w:r>
      <w:r>
        <w:rPr>
          <w:vertAlign w:val="baseline"/>
        </w:rPr>
        <w:t>two-party cases in line with those involving three parties. </w:t>
      </w:r>
      <w:r>
        <w:rPr>
          <w:color w:val="005DA1"/>
          <w:u w:val="single" w:color="005DA1"/>
          <w:vertAlign w:val="superscript"/>
        </w:rPr>
        <w:t>376</w:t>
      </w:r>
      <w:r>
        <w:rPr>
          <w:color w:val="005DA1"/>
          <w:vertAlign w:val="baseline"/>
        </w:rPr>
        <w:t> </w:t>
      </w:r>
      <w:r>
        <w:rPr>
          <w:vertAlign w:val="baseline"/>
        </w:rPr>
        <w:t>But it is by no means clear how the </w:t>
      </w:r>
      <w:r>
        <w:rPr>
          <w:vertAlign w:val="baseline"/>
        </w:rPr>
        <w:t>case </w:t>
      </w:r>
      <w:bookmarkStart w:name="_bookmark685" w:id="687"/>
      <w:bookmarkEnd w:id="687"/>
      <w:r>
        <w:rPr>
          <w:vertAlign w:val="baseline"/>
        </w:rPr>
        <w:t>is,</w:t>
      </w:r>
      <w:r>
        <w:rPr>
          <w:vertAlign w:val="baseline"/>
        </w:rPr>
        <w:t> from this point of view, to be reconciled with </w:t>
      </w:r>
      <w:r>
        <w:rPr>
          <w:rFonts w:ascii="Arial" w:hAnsi="Arial"/>
          <w:i/>
          <w:vertAlign w:val="baseline"/>
        </w:rPr>
        <w:t>Stilk v Myrick </w:t>
      </w:r>
      <w:r>
        <w:rPr>
          <w:vertAlign w:val="baseline"/>
        </w:rPr>
        <w:t>and the line of more recent decisions which have followed that case. </w:t>
      </w:r>
      <w:r>
        <w:rPr>
          <w:color w:val="005DA1"/>
          <w:u w:val="single" w:color="005DA1"/>
          <w:vertAlign w:val="superscript"/>
        </w:rPr>
        <w:t>377</w:t>
      </w:r>
      <w:r>
        <w:rPr>
          <w:color w:val="005DA1"/>
          <w:vertAlign w:val="baseline"/>
        </w:rPr>
        <w:t> </w:t>
      </w:r>
      <w:r>
        <w:rPr>
          <w:vertAlign w:val="baseline"/>
        </w:rPr>
        <w:t>As has been suggested above, the master in </w:t>
      </w:r>
      <w:r>
        <w:rPr>
          <w:rFonts w:ascii="Arial" w:hAnsi="Arial"/>
          <w:i/>
          <w:vertAlign w:val="baseline"/>
        </w:rPr>
        <w:t>Stilk v Myrick </w:t>
      </w:r>
      <w:r>
        <w:rPr>
          <w:vertAlign w:val="baseline"/>
        </w:rPr>
        <w:t>also obtained a factual benefit (in getting the ship home); and such a factual benefit will very often be obtained by B where he secures actual performance from A (as opposed to having to sue him for</w:t>
      </w:r>
      <w:r>
        <w:rPr>
          <w:spacing w:val="80"/>
          <w:vertAlign w:val="baseline"/>
        </w:rPr>
        <w:t> </w:t>
      </w:r>
      <w:bookmarkStart w:name="_bookmark686" w:id="688"/>
      <w:bookmarkEnd w:id="688"/>
      <w:r>
        <w:rPr>
          <w:vertAlign w:val="baseline"/>
        </w:rPr>
        <w:t>non</w:t>
      </w:r>
      <w:r>
        <w:rPr>
          <w:vertAlign w:val="baseline"/>
        </w:rPr>
        <w:t>-performance of the original contract). In the </w:t>
      </w:r>
      <w:r>
        <w:rPr>
          <w:rFonts w:ascii="Arial" w:hAnsi="Arial"/>
          <w:i/>
          <w:vertAlign w:val="baseline"/>
        </w:rPr>
        <w:t>Williams </w:t>
      </w:r>
      <w:r>
        <w:rPr>
          <w:vertAlign w:val="baseline"/>
        </w:rPr>
        <w:t>case, </w:t>
      </w:r>
      <w:r>
        <w:rPr>
          <w:rFonts w:ascii="Arial" w:hAnsi="Arial"/>
          <w:i/>
          <w:vertAlign w:val="baseline"/>
        </w:rPr>
        <w:t>Stilk v Myrick </w:t>
      </w:r>
      <w:r>
        <w:rPr>
          <w:vertAlign w:val="baseline"/>
        </w:rPr>
        <w:t>was not overruled; </w:t>
      </w:r>
      <w:bookmarkStart w:name="_bookmark687" w:id="689"/>
      <w:bookmarkEnd w:id="689"/>
      <w:r>
        <w:rPr>
          <w:vertAlign w:val="baseline"/>
        </w:rPr>
        <w:t>indeed</w:t>
      </w:r>
      <w:r>
        <w:rPr>
          <w:vertAlign w:val="baseline"/>
        </w:rPr>
        <w:t> Purchas L.J. described it as a “pillarstone of the law of contract.” </w:t>
      </w:r>
      <w:r>
        <w:rPr>
          <w:color w:val="005DA1"/>
          <w:u w:val="single" w:color="005DA1"/>
          <w:vertAlign w:val="superscript"/>
        </w:rPr>
        <w:t>378</w:t>
      </w:r>
      <w:r>
        <w:rPr>
          <w:color w:val="005DA1"/>
          <w:vertAlign w:val="baseline"/>
        </w:rPr>
        <w:t> </w:t>
      </w:r>
      <w:r>
        <w:rPr>
          <w:vertAlign w:val="baseline"/>
        </w:rPr>
        <w:t>But he added that the</w:t>
      </w:r>
      <w:r>
        <w:rPr>
          <w:spacing w:val="40"/>
          <w:vertAlign w:val="baseline"/>
        </w:rPr>
        <w:t> </w:t>
      </w:r>
      <w:bookmarkStart w:name="_bookmark688" w:id="690"/>
      <w:bookmarkEnd w:id="690"/>
      <w:r>
        <w:rPr>
          <w:vertAlign w:val="baseline"/>
        </w:rPr>
        <w:t>case</w:t>
      </w:r>
      <w:r>
        <w:rPr>
          <w:vertAlign w:val="baseline"/>
        </w:rPr>
        <w:t> might be differently decided today </w:t>
      </w:r>
      <w:r>
        <w:rPr>
          <w:color w:val="005DA1"/>
          <w:u w:val="single" w:color="005DA1"/>
          <w:vertAlign w:val="superscript"/>
        </w:rPr>
        <w:t>379</w:t>
      </w:r>
      <w:r>
        <w:rPr>
          <w:vertAlign w:val="baseline"/>
        </w:rPr>
        <w:t>; while Glidewell L.J. said that the present decision did not </w:t>
      </w:r>
      <w:bookmarkStart w:name="_bookmark689" w:id="691"/>
      <w:bookmarkEnd w:id="691"/>
      <w:r>
        <w:rPr>
          <w:vertAlign w:val="baseline"/>
        </w:rPr>
        <w:t>“contravene”</w:t>
      </w:r>
      <w:r>
        <w:rPr>
          <w:vertAlign w:val="baseline"/>
        </w:rPr>
        <w:t> but did “refine and limit” </w:t>
      </w:r>
      <w:r>
        <w:rPr>
          <w:color w:val="005DA1"/>
          <w:u w:val="single" w:color="005DA1"/>
          <w:vertAlign w:val="superscript"/>
        </w:rPr>
        <w:t>380</w:t>
      </w:r>
      <w:r>
        <w:rPr>
          <w:color w:val="005DA1"/>
          <w:vertAlign w:val="baseline"/>
        </w:rPr>
        <w:t> </w:t>
      </w:r>
      <w:r>
        <w:rPr>
          <w:vertAlign w:val="baseline"/>
        </w:rPr>
        <w:t>the principle of the earlier case; and Russell L.J. said that </w:t>
      </w:r>
      <w:r>
        <w:rPr>
          <w:spacing w:val="-5"/>
          <w:vertAlign w:val="baseline"/>
        </w:rPr>
        <w:t>the</w:t>
      </w:r>
    </w:p>
    <w:p>
      <w:pPr>
        <w:pStyle w:val="BodyText"/>
        <w:spacing w:line="235" w:lineRule="auto" w:before="115"/>
        <w:ind w:left="165" w:right="167"/>
        <w:jc w:val="both"/>
      </w:pPr>
      <w:r>
        <w:rPr/>
        <w:t>“rigid approach” to consideration in </w:t>
      </w:r>
      <w:r>
        <w:rPr>
          <w:rFonts w:ascii="Arial" w:hAnsi="Arial"/>
          <w:i/>
        </w:rPr>
        <w:t>Stilk v Myrick </w:t>
      </w:r>
      <w:r>
        <w:rPr/>
        <w:t>was “no longer necessary or desirable.” </w:t>
      </w:r>
      <w:r>
        <w:rPr>
          <w:color w:val="005DA1"/>
          <w:u w:val="single" w:color="005DA1"/>
          <w:vertAlign w:val="superscript"/>
        </w:rPr>
        <w:t>381</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13"/>
          <w:vertAlign w:val="baseline"/>
        </w:rPr>
        <w:t> </w:t>
      </w:r>
      <w:r>
        <w:rPr>
          <w:vertAlign w:val="baseline"/>
        </w:rPr>
        <w:t>The conclusion which may tentatively be drawn from these statements is that the factual benefit to B </w:t>
      </w:r>
      <w:r>
        <w:rPr>
          <w:vertAlign w:val="baseline"/>
        </w:rPr>
        <w:t>in securing</w:t>
      </w:r>
      <w:r>
        <w:rPr>
          <w:spacing w:val="35"/>
          <w:vertAlign w:val="baseline"/>
        </w:rPr>
        <w:t> </w:t>
      </w:r>
      <w:r>
        <w:rPr>
          <w:vertAlign w:val="baseline"/>
        </w:rPr>
        <w:t>A’s</w:t>
      </w:r>
      <w:r>
        <w:rPr>
          <w:spacing w:val="35"/>
          <w:vertAlign w:val="baseline"/>
        </w:rPr>
        <w:t> </w:t>
      </w:r>
      <w:r>
        <w:rPr>
          <w:vertAlign w:val="baseline"/>
        </w:rPr>
        <w:t>performance</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earlier</w:t>
      </w:r>
      <w:r>
        <w:rPr>
          <w:spacing w:val="35"/>
          <w:vertAlign w:val="baseline"/>
        </w:rPr>
        <w:t> </w:t>
      </w:r>
      <w:r>
        <w:rPr>
          <w:vertAlign w:val="baseline"/>
        </w:rPr>
        <w:t>contract</w:t>
      </w:r>
      <w:r>
        <w:rPr>
          <w:spacing w:val="35"/>
          <w:vertAlign w:val="baseline"/>
        </w:rPr>
        <w:t> </w:t>
      </w:r>
      <w:r>
        <w:rPr>
          <w:vertAlign w:val="baseline"/>
        </w:rPr>
        <w:t>normally</w:t>
      </w:r>
      <w:r>
        <w:rPr>
          <w:spacing w:val="35"/>
          <w:vertAlign w:val="baseline"/>
        </w:rPr>
        <w:t> </w:t>
      </w:r>
      <w:r>
        <w:rPr>
          <w:vertAlign w:val="baseline"/>
        </w:rPr>
        <w:t>suffices</w:t>
      </w:r>
      <w:r>
        <w:rPr>
          <w:spacing w:val="35"/>
          <w:vertAlign w:val="baseline"/>
        </w:rPr>
        <w:t> </w:t>
      </w:r>
      <w:r>
        <w:rPr>
          <w:vertAlign w:val="baseline"/>
        </w:rPr>
        <w:t>to</w:t>
      </w:r>
      <w:r>
        <w:rPr>
          <w:spacing w:val="35"/>
          <w:vertAlign w:val="baseline"/>
        </w:rPr>
        <w:t> </w:t>
      </w:r>
      <w:r>
        <w:rPr>
          <w:vertAlign w:val="baseline"/>
        </w:rPr>
        <w:t>constitute</w:t>
      </w:r>
      <w:r>
        <w:rPr>
          <w:spacing w:val="35"/>
          <w:vertAlign w:val="baseline"/>
        </w:rPr>
        <w:t> </w:t>
      </w:r>
      <w:r>
        <w:rPr>
          <w:vertAlign w:val="baseline"/>
        </w:rPr>
        <w:t>consideration.</w:t>
      </w:r>
      <w:r>
        <w:rPr>
          <w:spacing w:val="35"/>
          <w:vertAlign w:val="baseline"/>
        </w:rPr>
        <w:t> </w:t>
      </w:r>
      <w:r>
        <w:rPr>
          <w:spacing w:val="-5"/>
          <w:vertAlign w:val="baseline"/>
        </w:rPr>
        <w:t>The</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insistence in the earlier cases on the stricter requirement of legal benefit or detriment is no </w:t>
      </w:r>
      <w:r>
        <w:rPr/>
        <w:t>longer justified (if it ever was) by the need to protect B from the undue pressure that A might exert by</w:t>
      </w:r>
      <w:r>
        <w:rPr>
          <w:spacing w:val="40"/>
        </w:rPr>
        <w:t> </w:t>
      </w:r>
      <w:bookmarkStart w:name="_bookmark690" w:id="692"/>
      <w:bookmarkEnd w:id="692"/>
      <w:r>
        <w:rPr/>
        <w:t>refusing</w:t>
      </w:r>
      <w:r>
        <w:rPr/>
        <w:t> to perform his original contract; for this need can now be met by the expanding concept of duress. </w:t>
      </w:r>
      <w:r>
        <w:rPr>
          <w:color w:val="005DA1"/>
          <w:u w:val="single" w:color="005DA1"/>
          <w:vertAlign w:val="superscript"/>
        </w:rPr>
        <w:t>382</w:t>
      </w:r>
      <w:r>
        <w:rPr>
          <w:color w:val="005DA1"/>
          <w:vertAlign w:val="baseline"/>
        </w:rPr>
        <w:t> </w:t>
      </w:r>
      <w:r>
        <w:rPr>
          <w:vertAlign w:val="baseline"/>
        </w:rPr>
        <w:t>This provides a more satisfactory solution of the present problem since it invalidates promises</w:t>
      </w:r>
      <w:r>
        <w:rPr>
          <w:spacing w:val="-2"/>
          <w:vertAlign w:val="baseline"/>
        </w:rPr>
        <w:t> </w:t>
      </w:r>
      <w:r>
        <w:rPr>
          <w:vertAlign w:val="baseline"/>
        </w:rPr>
        <w:t>only</w:t>
      </w:r>
      <w:r>
        <w:rPr>
          <w:spacing w:val="-2"/>
          <w:vertAlign w:val="baseline"/>
        </w:rPr>
        <w:t> </w:t>
      </w:r>
      <w:r>
        <w:rPr>
          <w:vertAlign w:val="baseline"/>
        </w:rPr>
        <w:t>where</w:t>
      </w:r>
      <w:r>
        <w:rPr>
          <w:spacing w:val="-2"/>
          <w:vertAlign w:val="baseline"/>
        </w:rPr>
        <w:t> </w:t>
      </w:r>
      <w:r>
        <w:rPr>
          <w:vertAlign w:val="baseline"/>
        </w:rPr>
        <w:t>actual</w:t>
      </w:r>
      <w:r>
        <w:rPr>
          <w:spacing w:val="-2"/>
          <w:vertAlign w:val="baseline"/>
        </w:rPr>
        <w:t> </w:t>
      </w:r>
      <w:r>
        <w:rPr>
          <w:vertAlign w:val="baseline"/>
        </w:rPr>
        <w:t>duress</w:t>
      </w:r>
      <w:r>
        <w:rPr>
          <w:spacing w:val="-2"/>
          <w:vertAlign w:val="baseline"/>
        </w:rPr>
        <w:t> </w:t>
      </w:r>
      <w:r>
        <w:rPr>
          <w:vertAlign w:val="baseline"/>
        </w:rPr>
        <w:t>is</w:t>
      </w:r>
      <w:r>
        <w:rPr>
          <w:spacing w:val="-2"/>
          <w:vertAlign w:val="baseline"/>
        </w:rPr>
        <w:t> </w:t>
      </w:r>
      <w:r>
        <w:rPr>
          <w:vertAlign w:val="baseline"/>
        </w:rPr>
        <w:t>established.</w:t>
      </w:r>
      <w:r>
        <w:rPr>
          <w:spacing w:val="-2"/>
          <w:vertAlign w:val="baseline"/>
        </w:rPr>
        <w:t> </w:t>
      </w:r>
      <w:r>
        <w:rPr>
          <w:vertAlign w:val="baseline"/>
        </w:rPr>
        <w:t>Where</w:t>
      </w:r>
      <w:r>
        <w:rPr>
          <w:spacing w:val="-2"/>
          <w:vertAlign w:val="baseline"/>
        </w:rPr>
        <w:t> </w:t>
      </w:r>
      <w:r>
        <w:rPr>
          <w:vertAlign w:val="baseline"/>
        </w:rPr>
        <w:t>this</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the</w:t>
      </w:r>
      <w:r>
        <w:rPr>
          <w:spacing w:val="-2"/>
          <w:vertAlign w:val="baseline"/>
        </w:rPr>
        <w:t> </w:t>
      </w:r>
      <w:r>
        <w:rPr>
          <w:vertAlign w:val="baseline"/>
        </w:rPr>
        <w:t>case,</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promisee</w:t>
      </w:r>
      <w:r>
        <w:rPr>
          <w:spacing w:val="-2"/>
          <w:vertAlign w:val="baseline"/>
        </w:rPr>
        <w:t> </w:t>
      </w:r>
      <w:r>
        <w:rPr>
          <w:vertAlign w:val="baseline"/>
        </w:rPr>
        <w:t>has</w:t>
      </w:r>
      <w:r>
        <w:rPr>
          <w:spacing w:val="-2"/>
          <w:vertAlign w:val="baseline"/>
        </w:rPr>
        <w:t> </w:t>
      </w:r>
      <w:r>
        <w:rPr>
          <w:vertAlign w:val="baseline"/>
        </w:rPr>
        <w:t>in fact conferred a benefit on the promisor by performing the original contract, then the requirement of </w:t>
      </w:r>
      <w:bookmarkStart w:name="_bookmark691" w:id="693"/>
      <w:bookmarkEnd w:id="693"/>
      <w:r>
        <w:rPr>
          <w:vertAlign w:val="baseline"/>
        </w:rPr>
        <w:t>consideration</w:t>
      </w:r>
      <w:r>
        <w:rPr>
          <w:spacing w:val="36"/>
          <w:vertAlign w:val="baseline"/>
        </w:rPr>
        <w:t> </w:t>
      </w:r>
      <w:r>
        <w:rPr>
          <w:vertAlign w:val="baseline"/>
        </w:rPr>
        <w:t>is</w:t>
      </w:r>
      <w:r>
        <w:rPr>
          <w:spacing w:val="36"/>
          <w:vertAlign w:val="baseline"/>
        </w:rPr>
        <w:t> </w:t>
      </w:r>
      <w:r>
        <w:rPr>
          <w:vertAlign w:val="baseline"/>
        </w:rPr>
        <w:t>satisfied</w:t>
      </w:r>
      <w:r>
        <w:rPr>
          <w:spacing w:val="36"/>
          <w:vertAlign w:val="baseline"/>
        </w:rPr>
        <w:t> </w:t>
      </w:r>
      <w:r>
        <w:rPr>
          <w:vertAlign w:val="baseline"/>
        </w:rPr>
        <w:t>and</w:t>
      </w:r>
      <w:r>
        <w:rPr>
          <w:spacing w:val="36"/>
          <w:vertAlign w:val="baseline"/>
        </w:rPr>
        <w:t> </w:t>
      </w:r>
      <w:r>
        <w:rPr>
          <w:vertAlign w:val="baseline"/>
        </w:rPr>
        <w:t>there</w:t>
      </w:r>
      <w:r>
        <w:rPr>
          <w:spacing w:val="36"/>
          <w:vertAlign w:val="baseline"/>
        </w:rPr>
        <w:t> </w:t>
      </w:r>
      <w:r>
        <w:rPr>
          <w:vertAlign w:val="baseline"/>
        </w:rPr>
        <w:t>seems</w:t>
      </w:r>
      <w:r>
        <w:rPr>
          <w:spacing w:val="36"/>
          <w:vertAlign w:val="baseline"/>
        </w:rPr>
        <w:t> </w:t>
      </w:r>
      <w:r>
        <w:rPr>
          <w:vertAlign w:val="baseline"/>
        </w:rPr>
        <w:t>to</w:t>
      </w:r>
      <w:r>
        <w:rPr>
          <w:spacing w:val="36"/>
          <w:vertAlign w:val="baseline"/>
        </w:rPr>
        <w:t> </w:t>
      </w:r>
      <w:r>
        <w:rPr>
          <w:vertAlign w:val="baseline"/>
        </w:rPr>
        <w:t>be</w:t>
      </w:r>
      <w:r>
        <w:rPr>
          <w:spacing w:val="36"/>
          <w:vertAlign w:val="baseline"/>
        </w:rPr>
        <w:t> </w:t>
      </w:r>
      <w:r>
        <w:rPr>
          <w:vertAlign w:val="baseline"/>
        </w:rPr>
        <w:t>no</w:t>
      </w:r>
      <w:r>
        <w:rPr>
          <w:spacing w:val="36"/>
          <w:vertAlign w:val="baseline"/>
        </w:rPr>
        <w:t> </w:t>
      </w:r>
      <w:r>
        <w:rPr>
          <w:vertAlign w:val="baseline"/>
        </w:rPr>
        <w:t>good</w:t>
      </w:r>
      <w:r>
        <w:rPr>
          <w:spacing w:val="36"/>
          <w:vertAlign w:val="baseline"/>
        </w:rPr>
        <w:t> </w:t>
      </w:r>
      <w:r>
        <w:rPr>
          <w:vertAlign w:val="baseline"/>
        </w:rPr>
        <w:t>reason</w:t>
      </w:r>
      <w:r>
        <w:rPr>
          <w:spacing w:val="36"/>
          <w:vertAlign w:val="baseline"/>
        </w:rPr>
        <w:t> </w:t>
      </w:r>
      <w:r>
        <w:rPr>
          <w:vertAlign w:val="baseline"/>
        </w:rPr>
        <w:t>for</w:t>
      </w:r>
      <w:r>
        <w:rPr>
          <w:spacing w:val="36"/>
          <w:vertAlign w:val="baseline"/>
        </w:rPr>
        <w:t> </w:t>
      </w:r>
      <w:r>
        <w:rPr>
          <w:vertAlign w:val="baseline"/>
        </w:rPr>
        <w:t>refusing</w:t>
      </w:r>
      <w:r>
        <w:rPr>
          <w:spacing w:val="36"/>
          <w:vertAlign w:val="baseline"/>
        </w:rPr>
        <w:t> </w:t>
      </w:r>
      <w:r>
        <w:rPr>
          <w:vertAlign w:val="baseline"/>
        </w:rPr>
        <w:t>to</w:t>
      </w:r>
      <w:r>
        <w:rPr>
          <w:spacing w:val="36"/>
          <w:vertAlign w:val="baseline"/>
        </w:rPr>
        <w:t> </w:t>
      </w:r>
      <w:r>
        <w:rPr>
          <w:vertAlign w:val="baseline"/>
        </w:rPr>
        <w:t>enforce</w:t>
      </w:r>
      <w:r>
        <w:rPr>
          <w:spacing w:val="36"/>
          <w:vertAlign w:val="baseline"/>
        </w:rPr>
        <w:t> </w:t>
      </w:r>
      <w:r>
        <w:rPr>
          <w:vertAlign w:val="baseline"/>
        </w:rPr>
        <w:t>the</w:t>
      </w:r>
      <w:r>
        <w:rPr>
          <w:spacing w:val="36"/>
          <w:vertAlign w:val="baseline"/>
        </w:rPr>
        <w:t> </w:t>
      </w:r>
      <w:r>
        <w:rPr>
          <w:spacing w:val="-5"/>
          <w:vertAlign w:val="baseline"/>
        </w:rPr>
        <w:t>new</w:t>
      </w:r>
    </w:p>
    <w:p>
      <w:pPr>
        <w:pStyle w:val="BodyText"/>
        <w:spacing w:before="113"/>
        <w:ind w:left="165"/>
        <w:jc w:val="both"/>
        <w:rPr>
          <w:position w:val="-2"/>
        </w:rPr>
      </w:pPr>
      <w:r>
        <w:rPr/>
        <w:t>promise. </w:t>
      </w:r>
      <w:r>
        <w:rPr>
          <w:color w:val="005DA1"/>
          <w:u w:val="single" w:color="005DA1"/>
          <w:vertAlign w:val="superscript"/>
        </w:rPr>
        <w:t>383</w:t>
      </w:r>
      <w:r>
        <w:rPr>
          <w:color w:val="005DA1"/>
          <w:spacing w:val="80"/>
          <w:vertAlign w:val="baseline"/>
        </w:rPr>
        <w:t> </w:t>
      </w:r>
      <w:r>
        <w:rPr>
          <w:color w:val="005DA1"/>
          <w:position w:val="-2"/>
          <w:vertAlign w:val="baseline"/>
        </w:rPr>
        <w:drawing>
          <wp:inline distT="0" distB="0" distL="0" distR="0">
            <wp:extent cx="107988" cy="107988"/>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hAnsi="Arial"/>
          <w:b/>
          <w:sz w:val="18"/>
        </w:rPr>
      </w:pPr>
      <w:r>
        <w:rPr>
          <w:rFonts w:ascii="Arial" w:hAnsi="Arial"/>
          <w:b/>
          <w:sz w:val="18"/>
        </w:rPr>
        <w:t>Increase in promisee’s </w:t>
      </w:r>
      <w:r>
        <w:rPr>
          <w:rFonts w:ascii="Arial" w:hAnsi="Arial"/>
          <w:b/>
          <w:spacing w:val="-2"/>
          <w:sz w:val="18"/>
        </w:rPr>
        <w:t>performance</w:t>
      </w:r>
    </w:p>
    <w:p>
      <w:pPr>
        <w:pStyle w:val="BodyText"/>
        <w:spacing w:before="41"/>
        <w:rPr>
          <w:rFonts w:ascii="Arial"/>
          <w:b/>
          <w:sz w:val="18"/>
        </w:rPr>
      </w:pPr>
    </w:p>
    <w:p>
      <w:pPr>
        <w:pStyle w:val="Heading2"/>
      </w:pPr>
      <w:r>
        <w:rPr/>
        <w:t>4-</w:t>
      </w:r>
      <w:r>
        <w:rPr>
          <w:spacing w:val="-5"/>
        </w:rPr>
        <w:t>071</w:t>
      </w:r>
    </w:p>
    <w:p>
      <w:pPr>
        <w:pStyle w:val="BodyText"/>
        <w:spacing w:line="235" w:lineRule="auto" w:before="203"/>
        <w:ind w:left="165" w:right="167"/>
        <w:jc w:val="both"/>
      </w:pPr>
      <w:bookmarkStart w:name="_bookmark692" w:id="694"/>
      <w:bookmarkEnd w:id="694"/>
      <w:r>
        <w:rPr/>
      </w:r>
      <w:r>
        <w:rPr/>
        <w:t>The promisee may provide consideration for the new promise by doing, or promising, more than he was bound by the original contract to do. Thus in one case </w:t>
      </w:r>
      <w:r>
        <w:rPr>
          <w:color w:val="005DA1"/>
          <w:u w:val="single" w:color="005DA1"/>
          <w:vertAlign w:val="superscript"/>
        </w:rPr>
        <w:t>384</w:t>
      </w:r>
      <w:r>
        <w:rPr>
          <w:color w:val="005DA1"/>
          <w:vertAlign w:val="baseline"/>
        </w:rPr>
        <w:t> </w:t>
      </w:r>
      <w:r>
        <w:rPr>
          <w:vertAlign w:val="baseline"/>
        </w:rPr>
        <w:t>a seaman was promoted during </w:t>
      </w:r>
      <w:r>
        <w:rPr>
          <w:vertAlign w:val="baseline"/>
        </w:rPr>
        <w:t>the course of the voyage and undertook additional duties: these were held to constitute consideration for</w:t>
      </w:r>
      <w:r>
        <w:rPr>
          <w:spacing w:val="40"/>
          <w:vertAlign w:val="baseline"/>
        </w:rPr>
        <w:t> </w:t>
      </w:r>
      <w:r>
        <w:rPr>
          <w:vertAlign w:val="baseline"/>
        </w:rPr>
        <w:t>a promise to pay him extra wages. The same principle was applied where shipbuilders claimed an increase in the agreed price for a supertanker on the ground that the currency in which that price was to be paid had been devalued. The contract provided for the giving by the builders of a performance </w:t>
      </w:r>
      <w:bookmarkStart w:name="_bookmark693" w:id="695"/>
      <w:bookmarkEnd w:id="695"/>
      <w:r>
        <w:rPr>
          <w:vertAlign w:val="baseline"/>
        </w:rPr>
        <w:t>guarantee,</w:t>
      </w:r>
      <w:r>
        <w:rPr>
          <w:vertAlign w:val="baseline"/>
        </w:rPr>
        <w:t> and it was held that they had provided consideration for the prospective owners’ promise to pay the price-increase by making corresponding increase in their performance guarantee. </w:t>
      </w:r>
      <w:r>
        <w:rPr>
          <w:color w:val="005DA1"/>
          <w:u w:val="single" w:color="005DA1"/>
          <w:vertAlign w:val="superscript"/>
        </w:rPr>
        <w:t>385</w:t>
      </w:r>
    </w:p>
    <w:p>
      <w:pPr>
        <w:pStyle w:val="BodyText"/>
        <w:spacing w:before="78"/>
      </w:pPr>
    </w:p>
    <w:p>
      <w:pPr>
        <w:pStyle w:val="Heading2"/>
      </w:pPr>
      <w:r>
        <w:rPr/>
        <w:t>4-</w:t>
      </w:r>
      <w:r>
        <w:rPr>
          <w:spacing w:val="-5"/>
        </w:rPr>
        <w:t>072</w:t>
      </w:r>
    </w:p>
    <w:p>
      <w:pPr>
        <w:pStyle w:val="BodyText"/>
        <w:spacing w:before="92"/>
        <w:rPr>
          <w:rFonts w:ascii="Arial"/>
          <w:b/>
        </w:rPr>
      </w:pPr>
    </w:p>
    <w:p>
      <w:pPr>
        <w:pStyle w:val="BodyText"/>
        <w:spacing w:line="235" w:lineRule="auto" w:before="1"/>
        <w:ind w:left="164" w:right="167"/>
        <w:jc w:val="both"/>
      </w:pPr>
      <w:r>
        <w:rPr>
          <w:position w:val="-2"/>
        </w:rPr>
        <w:drawing>
          <wp:inline distT="0" distB="0" distL="0" distR="0">
            <wp:extent cx="107988" cy="107988"/>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promisee may similarly provide consideration where, before the new promise was made, circumstances have arisen which justify the promisee’s refusal to perform the original contract. Thus members of the crew of a ship may be justified in refusing to complete the contractual voyage because so many of their fellows have deserted that its completion will involve hazards not </w:t>
      </w:r>
      <w:r>
        <w:rPr/>
        <w:t>originally </w:t>
      </w:r>
      <w:bookmarkStart w:name="_bookmark694" w:id="696"/>
      <w:bookmarkEnd w:id="696"/>
      <w:r>
        <w:rPr/>
        <w:t>contemplated.</w:t>
      </w:r>
      <w:r>
        <w:rPr/>
        <w:t> If they are induced to go on by a promise of extra pay, they do something which they were not bound by the original contract to do and so provide consideration for that promise. </w:t>
      </w:r>
      <w:r>
        <w:rPr>
          <w:color w:val="005DA1"/>
          <w:u w:val="single" w:color="005DA1"/>
          <w:vertAlign w:val="superscript"/>
        </w:rPr>
        <w:t>386</w:t>
      </w:r>
      <w:r>
        <w:rPr>
          <w:color w:val="005DA1"/>
          <w:vertAlign w:val="baseline"/>
        </w:rPr>
        <w:t> </w:t>
      </w:r>
      <w:r>
        <w:rPr>
          <w:vertAlign w:val="baseline"/>
        </w:rPr>
        <w:t>The same principle applies if the original contract has been brought to an end for some other reason: for example, by lapse of time or by notice or by mutual consent. Thus the parties to a contract could rescind it and then make a new agreement providing for the payment of higher wages. Factual </w:t>
      </w:r>
      <w:bookmarkStart w:name="_bookmark695" w:id="697"/>
      <w:bookmarkEnd w:id="697"/>
      <w:r>
        <w:rPr>
          <w:vertAlign w:val="baseline"/>
        </w:rPr>
        <w:t>difficulties</w:t>
      </w:r>
      <w:r>
        <w:rPr>
          <w:vertAlign w:val="baseline"/>
        </w:rPr>
        <w:t> can no doubt arise in distinguishing between: (1) a rescission followed by a new</w:t>
      </w:r>
      <w:r>
        <w:rPr>
          <w:spacing w:val="40"/>
          <w:vertAlign w:val="baseline"/>
        </w:rPr>
        <w:t> </w:t>
      </w:r>
      <w:r>
        <w:rPr>
          <w:vertAlign w:val="baseline"/>
        </w:rPr>
        <w:t>agreement; and (2) a mere variation. But in principle the distinction is clear </w:t>
      </w:r>
      <w:r>
        <w:rPr>
          <w:color w:val="005DA1"/>
          <w:u w:val="single" w:color="005DA1"/>
          <w:vertAlign w:val="superscript"/>
        </w:rPr>
        <w:t>387</w:t>
      </w:r>
      <w:r>
        <w:rPr>
          <w:vertAlign w:val="baseline"/>
        </w:rPr>
        <w:t>: in the first of these </w:t>
      </w:r>
      <w:bookmarkStart w:name="_bookmark696" w:id="698"/>
      <w:bookmarkEnd w:id="698"/>
      <w:r>
        <w:rPr>
          <w:vertAlign w:val="baseline"/>
        </w:rPr>
        <w:t>situations,</w:t>
      </w:r>
      <w:r>
        <w:rPr>
          <w:vertAlign w:val="baseline"/>
        </w:rPr>
        <w:t> the original contract is brought to an end and replaced by a new one in respect of which</w:t>
      </w:r>
      <w:r>
        <w:rPr>
          <w:spacing w:val="40"/>
          <w:vertAlign w:val="baseline"/>
        </w:rPr>
        <w:t> </w:t>
      </w:r>
      <w:r>
        <w:rPr>
          <w:vertAlign w:val="baseline"/>
        </w:rPr>
        <w:t>the requirement of consideration is satisfied, </w:t>
      </w:r>
      <w:r>
        <w:rPr>
          <w:color w:val="005DA1"/>
          <w:u w:val="single" w:color="005DA1"/>
          <w:vertAlign w:val="superscript"/>
        </w:rPr>
        <w:t>388</w:t>
      </w:r>
      <w:r>
        <w:rPr>
          <w:color w:val="005DA1"/>
          <w:vertAlign w:val="baseline"/>
        </w:rPr>
        <w:t> </w:t>
      </w:r>
      <w:r>
        <w:rPr>
          <w:vertAlign w:val="baseline"/>
        </w:rPr>
        <w:t>while in the second the original contract continues, so </w:t>
      </w:r>
      <w:bookmarkStart w:name="_bookmark697" w:id="699"/>
      <w:bookmarkEnd w:id="699"/>
      <w:r>
        <w:rPr>
          <w:vertAlign w:val="baseline"/>
        </w:rPr>
        <w:t>that</w:t>
      </w:r>
      <w:r>
        <w:rPr>
          <w:vertAlign w:val="baseline"/>
        </w:rPr>
        <w:t> each party is still bound by it and the promisee who seeks to enforce the variation of it provides no consideration merely by performing his obligations under it. </w:t>
      </w:r>
      <w:r>
        <w:rPr>
          <w:color w:val="005DA1"/>
          <w:u w:val="single" w:color="005DA1"/>
          <w:vertAlign w:val="superscript"/>
        </w:rPr>
        <w:t>389</w:t>
      </w:r>
      <w:r>
        <w:rPr>
          <w:color w:val="005DA1"/>
          <w:vertAlign w:val="baseline"/>
        </w:rPr>
        <w:t> </w:t>
      </w:r>
      <w:r>
        <w:rPr>
          <w:vertAlign w:val="baseline"/>
        </w:rPr>
        <w:t>This reasoning would not apply where the original contract was void, or voidable at the option of the promisee, or unenforceable against him, so that in such cases performance by him of the work specified in it would, it seems, be consideration for a promise of extra pay; and if the original contract was in fact good but was believed </w:t>
      </w:r>
      <w:bookmarkStart w:name="_bookmark698" w:id="700"/>
      <w:bookmarkEnd w:id="700"/>
      <w:r>
        <w:rPr>
          <w:vertAlign w:val="baseline"/>
        </w:rPr>
        <w:t>to</w:t>
      </w:r>
      <w:r>
        <w:rPr>
          <w:vertAlign w:val="baseline"/>
        </w:rPr>
        <w:t> be defective, the new promise might still be binding on the analogy of the rule that forbearance to litigate an invalid claim may amount to consideration. </w:t>
      </w:r>
      <w:r>
        <w:rPr>
          <w:color w:val="005DA1"/>
          <w:u w:val="single" w:color="005DA1"/>
          <w:vertAlign w:val="superscript"/>
        </w:rPr>
        <w:t>390</w:t>
      </w:r>
      <w:r>
        <w:rPr>
          <w:color w:val="005DA1"/>
          <w:vertAlign w:val="baseline"/>
        </w:rPr>
        <w:t> </w:t>
      </w:r>
      <w:r>
        <w:rPr>
          <w:vertAlign w:val="baseline"/>
        </w:rPr>
        <w:t>Similar reasoning can apply where a doubt</w:t>
      </w:r>
      <w:r>
        <w:rPr>
          <w:spacing w:val="40"/>
          <w:vertAlign w:val="baseline"/>
        </w:rPr>
        <w:t> </w:t>
      </w:r>
      <w:bookmarkStart w:name="_bookmark699" w:id="701"/>
      <w:bookmarkEnd w:id="701"/>
      <w:r>
        <w:rPr>
          <w:vertAlign w:val="baseline"/>
        </w:rPr>
        <w:t>as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validity</w:t>
      </w:r>
      <w:r>
        <w:rPr>
          <w:spacing w:val="-2"/>
          <w:vertAlign w:val="baseline"/>
        </w:rPr>
        <w:t> </w:t>
      </w:r>
      <w:r>
        <w:rPr>
          <w:vertAlign w:val="baseline"/>
        </w:rPr>
        <w:t>is</w:t>
      </w:r>
      <w:r>
        <w:rPr>
          <w:spacing w:val="-2"/>
          <w:vertAlign w:val="baseline"/>
        </w:rPr>
        <w:t> </w:t>
      </w:r>
      <w:r>
        <w:rPr>
          <w:vertAlign w:val="baseline"/>
        </w:rPr>
        <w:t>raised</w:t>
      </w:r>
      <w:r>
        <w:rPr>
          <w:spacing w:val="-2"/>
          <w:vertAlign w:val="baseline"/>
        </w:rPr>
        <w:t> </w:t>
      </w:r>
      <w:r>
        <w:rPr>
          <w:vertAlign w:val="baseline"/>
        </w:rPr>
        <w:t>by</w:t>
      </w:r>
      <w:r>
        <w:rPr>
          <w:spacing w:val="-2"/>
          <w:vertAlign w:val="baseline"/>
        </w:rPr>
        <w:t> </w:t>
      </w:r>
      <w:r>
        <w:rPr>
          <w:vertAlign w:val="baseline"/>
        </w:rPr>
        <w:t>a</w:t>
      </w:r>
      <w:r>
        <w:rPr>
          <w:spacing w:val="-2"/>
          <w:vertAlign w:val="baseline"/>
        </w:rPr>
        <w:t> </w:t>
      </w:r>
      <w:r>
        <w:rPr>
          <w:vertAlign w:val="baseline"/>
        </w:rPr>
        <w:t>third</w:t>
      </w:r>
      <w:r>
        <w:rPr>
          <w:spacing w:val="-2"/>
          <w:vertAlign w:val="baseline"/>
        </w:rPr>
        <w:t> </w:t>
      </w:r>
      <w:r>
        <w:rPr>
          <w:vertAlign w:val="baseline"/>
        </w:rPr>
        <w:t>party</w:t>
      </w:r>
      <w:r>
        <w:rPr>
          <w:spacing w:val="-2"/>
          <w:vertAlign w:val="baseline"/>
        </w:rPr>
        <w:t> </w:t>
      </w:r>
      <w:r>
        <w:rPr>
          <w:vertAlign w:val="baseline"/>
        </w:rPr>
        <w:t>with</w:t>
      </w:r>
      <w:r>
        <w:rPr>
          <w:spacing w:val="-2"/>
          <w:vertAlign w:val="baseline"/>
        </w:rPr>
        <w:t> </w:t>
      </w:r>
      <w:r>
        <w:rPr>
          <w:vertAlign w:val="baseline"/>
        </w:rPr>
        <w:t>an</w:t>
      </w:r>
      <w:r>
        <w:rPr>
          <w:spacing w:val="-2"/>
          <w:vertAlign w:val="baseline"/>
        </w:rPr>
        <w:t> </w:t>
      </w:r>
      <w:r>
        <w:rPr>
          <w:vertAlign w:val="baseline"/>
        </w:rPr>
        <w:t>interest</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point.</w:t>
      </w:r>
      <w:r>
        <w:rPr>
          <w:spacing w:val="-2"/>
          <w:vertAlign w:val="baseline"/>
        </w:rPr>
        <w:t> </w:t>
      </w:r>
      <w:r>
        <w:rPr>
          <w:vertAlign w:val="baseline"/>
        </w:rPr>
        <w:t>This</w:t>
      </w:r>
      <w:r>
        <w:rPr>
          <w:spacing w:val="-2"/>
          <w:vertAlign w:val="baseline"/>
        </w:rPr>
        <w:t> </w:t>
      </w:r>
      <w:r>
        <w:rPr>
          <w:vertAlign w:val="baseline"/>
        </w:rPr>
        <w:t>possibility</w:t>
      </w:r>
      <w:r>
        <w:rPr>
          <w:spacing w:val="-2"/>
          <w:vertAlign w:val="baseline"/>
        </w:rPr>
        <w:t> </w:t>
      </w:r>
      <w:r>
        <w:rPr>
          <w:vertAlign w:val="baseline"/>
        </w:rPr>
        <w:t>is</w:t>
      </w:r>
      <w:r>
        <w:rPr>
          <w:spacing w:val="-2"/>
          <w:vertAlign w:val="baseline"/>
        </w:rPr>
        <w:t> </w:t>
      </w:r>
      <w:r>
        <w:rPr>
          <w:vertAlign w:val="baseline"/>
        </w:rPr>
        <w:t>illustrated</w:t>
      </w:r>
      <w:r>
        <w:rPr>
          <w:spacing w:val="-2"/>
          <w:vertAlign w:val="baseline"/>
        </w:rPr>
        <w:t> </w:t>
      </w:r>
      <w:r>
        <w:rPr>
          <w:vertAlign w:val="baseline"/>
        </w:rPr>
        <w:t>by</w:t>
      </w:r>
      <w:r>
        <w:rPr>
          <w:spacing w:val="-2"/>
          <w:vertAlign w:val="baseline"/>
        </w:rPr>
        <w:t> </w:t>
      </w:r>
      <w:r>
        <w:rPr>
          <w:vertAlign w:val="baseline"/>
        </w:rPr>
        <w:t>a </w:t>
      </w:r>
      <w:bookmarkStart w:name="_bookmark700" w:id="702"/>
      <w:bookmarkEnd w:id="702"/>
      <w:r>
        <w:rPr>
          <w:vertAlign w:val="baseline"/>
        </w:rPr>
        <w:t>case</w:t>
      </w:r>
      <w:r>
        <w:rPr>
          <w:vertAlign w:val="baseline"/>
        </w:rPr>
        <w:t> </w:t>
      </w:r>
      <w:r>
        <w:rPr>
          <w:color w:val="005DA1"/>
          <w:u w:val="single" w:color="005DA1"/>
          <w:vertAlign w:val="superscript"/>
        </w:rPr>
        <w:t>391</w:t>
      </w:r>
      <w:r>
        <w:rPr>
          <w:color w:val="005DA1"/>
          <w:vertAlign w:val="baseline"/>
        </w:rPr>
        <w:t> </w:t>
      </w:r>
      <w:r>
        <w:rPr>
          <w:vertAlign w:val="baseline"/>
        </w:rPr>
        <w:t>where solicitors (M) agreed in CFA 1 to represent a client (C) in litigation against D who, in a dispute as to costs, challenged the validity of CFA 1.</w:t>
      </w:r>
      <w:r>
        <w:rPr>
          <w:spacing w:val="-1"/>
          <w:vertAlign w:val="baseline"/>
        </w:rPr>
        <w:t> </w:t>
      </w:r>
      <w:r>
        <w:rPr>
          <w:color w:val="005DA1"/>
          <w:u w:val="single" w:color="005DA1"/>
          <w:vertAlign w:val="superscript"/>
        </w:rPr>
        <w:t>392</w:t>
      </w:r>
      <w:r>
        <w:rPr>
          <w:color w:val="005DA1"/>
          <w:vertAlign w:val="baseline"/>
        </w:rPr>
        <w:t> </w:t>
      </w:r>
      <w:r>
        <w:rPr>
          <w:vertAlign w:val="baseline"/>
        </w:rPr>
        <w:t>A second agreement (CFA 2) was then made </w:t>
      </w:r>
      <w:bookmarkStart w:name="_bookmark701" w:id="703"/>
      <w:bookmarkEnd w:id="703"/>
      <w:r>
        <w:rPr>
          <w:vertAlign w:val="baseline"/>
        </w:rPr>
        <w:t>between</w:t>
      </w:r>
      <w:r>
        <w:rPr>
          <w:vertAlign w:val="baseline"/>
        </w:rPr>
        <w:t> M and C by which C promised to pay an additional amount to M (by way of a success fee)</w:t>
      </w:r>
      <w:r>
        <w:rPr>
          <w:spacing w:val="40"/>
          <w:vertAlign w:val="baseline"/>
        </w:rPr>
        <w:t> </w:t>
      </w:r>
      <w:r>
        <w:rPr>
          <w:vertAlign w:val="baseline"/>
        </w:rPr>
        <w:t>for the same services </w:t>
      </w:r>
      <w:r>
        <w:rPr>
          <w:color w:val="005DA1"/>
          <w:u w:val="single" w:color="005DA1"/>
          <w:vertAlign w:val="superscript"/>
        </w:rPr>
        <w:t>393</w:t>
      </w:r>
      <w:r>
        <w:rPr>
          <w:color w:val="005DA1"/>
          <w:vertAlign w:val="baseline"/>
        </w:rPr>
        <w:t> </w:t>
      </w:r>
      <w:r>
        <w:rPr>
          <w:vertAlign w:val="baseline"/>
        </w:rPr>
        <w:t>as those undertaken by M under CFA 1. It was held that “[t]he provision of</w:t>
      </w:r>
      <w:r>
        <w:rPr>
          <w:spacing w:val="40"/>
          <w:vertAlign w:val="baseline"/>
        </w:rPr>
        <w:t> </w:t>
      </w:r>
      <w:bookmarkStart w:name="_bookmark702" w:id="704"/>
      <w:bookmarkEnd w:id="704"/>
      <w:r>
        <w:rPr>
          <w:vertAlign w:val="baseline"/>
        </w:rPr>
        <w:t>an</w:t>
      </w:r>
      <w:r>
        <w:rPr>
          <w:vertAlign w:val="baseline"/>
        </w:rPr>
        <w:t> enforceable obligation [in CFA 2] to provide services in place of one which D asserted to be </w:t>
      </w:r>
      <w:bookmarkStart w:name="_bookmark703" w:id="705"/>
      <w:bookmarkEnd w:id="705"/>
      <w:r>
        <w:rPr>
          <w:vertAlign w:val="baseline"/>
        </w:rPr>
        <w:t>unenforceable</w:t>
      </w:r>
      <w:r>
        <w:rPr>
          <w:spacing w:val="40"/>
          <w:vertAlign w:val="baseline"/>
        </w:rPr>
        <w:t> </w:t>
      </w:r>
      <w:r>
        <w:rPr>
          <w:vertAlign w:val="baseline"/>
        </w:rPr>
        <w:t>was</w:t>
      </w:r>
      <w:r>
        <w:rPr>
          <w:spacing w:val="41"/>
          <w:vertAlign w:val="baseline"/>
        </w:rPr>
        <w:t> </w:t>
      </w:r>
      <w:r>
        <w:rPr>
          <w:vertAlign w:val="baseline"/>
        </w:rPr>
        <w:t>consideration</w:t>
      </w:r>
      <w:r>
        <w:rPr>
          <w:spacing w:val="41"/>
          <w:vertAlign w:val="baseline"/>
        </w:rPr>
        <w:t> </w:t>
      </w:r>
      <w:r>
        <w:rPr>
          <w:vertAlign w:val="baseline"/>
        </w:rPr>
        <w:t>for</w:t>
      </w:r>
      <w:r>
        <w:rPr>
          <w:spacing w:val="41"/>
          <w:vertAlign w:val="baseline"/>
        </w:rPr>
        <w:t> </w:t>
      </w:r>
      <w:r>
        <w:rPr>
          <w:vertAlign w:val="baseline"/>
        </w:rPr>
        <w:t>a</w:t>
      </w:r>
      <w:r>
        <w:rPr>
          <w:spacing w:val="40"/>
          <w:vertAlign w:val="baseline"/>
        </w:rPr>
        <w:t> </w:t>
      </w:r>
      <w:r>
        <w:rPr>
          <w:vertAlign w:val="baseline"/>
        </w:rPr>
        <w:t>fresh</w:t>
      </w:r>
      <w:r>
        <w:rPr>
          <w:spacing w:val="41"/>
          <w:vertAlign w:val="baseline"/>
        </w:rPr>
        <w:t> </w:t>
      </w:r>
      <w:r>
        <w:rPr>
          <w:vertAlign w:val="baseline"/>
        </w:rPr>
        <w:t>promise</w:t>
      </w:r>
      <w:r>
        <w:rPr>
          <w:spacing w:val="41"/>
          <w:vertAlign w:val="baseline"/>
        </w:rPr>
        <w:t> </w:t>
      </w:r>
      <w:r>
        <w:rPr>
          <w:vertAlign w:val="baseline"/>
        </w:rPr>
        <w:t>to</w:t>
      </w:r>
      <w:r>
        <w:rPr>
          <w:spacing w:val="41"/>
          <w:vertAlign w:val="baseline"/>
        </w:rPr>
        <w:t> </w:t>
      </w:r>
      <w:r>
        <w:rPr>
          <w:vertAlign w:val="baseline"/>
        </w:rPr>
        <w:t>pay.”</w:t>
      </w:r>
      <w:r>
        <w:rPr>
          <w:spacing w:val="39"/>
          <w:vertAlign w:val="baseline"/>
        </w:rPr>
        <w:t> </w:t>
      </w:r>
      <w:r>
        <w:rPr>
          <w:color w:val="005DA1"/>
          <w:u w:val="single" w:color="005DA1"/>
          <w:vertAlign w:val="superscript"/>
        </w:rPr>
        <w:t>394</w:t>
      </w:r>
      <w:r>
        <w:rPr>
          <w:color w:val="005DA1"/>
          <w:spacing w:val="41"/>
          <w:vertAlign w:val="baseline"/>
        </w:rPr>
        <w:t> </w:t>
      </w:r>
      <w:r>
        <w:rPr>
          <w:vertAlign w:val="baseline"/>
        </w:rPr>
        <w:t>Two</w:t>
      </w:r>
      <w:r>
        <w:rPr>
          <w:spacing w:val="41"/>
          <w:vertAlign w:val="baseline"/>
        </w:rPr>
        <w:t> </w:t>
      </w:r>
      <w:r>
        <w:rPr>
          <w:vertAlign w:val="baseline"/>
        </w:rPr>
        <w:t>further</w:t>
      </w:r>
      <w:r>
        <w:rPr>
          <w:spacing w:val="41"/>
          <w:vertAlign w:val="baseline"/>
        </w:rPr>
        <w:t> </w:t>
      </w:r>
      <w:r>
        <w:rPr>
          <w:vertAlign w:val="baseline"/>
        </w:rPr>
        <w:t>possibilities</w:t>
      </w:r>
      <w:r>
        <w:rPr>
          <w:spacing w:val="40"/>
          <w:vertAlign w:val="baseline"/>
        </w:rPr>
        <w:t> </w:t>
      </w:r>
      <w:r>
        <w:rPr>
          <w:vertAlign w:val="baseline"/>
        </w:rPr>
        <w:t>call</w:t>
      </w:r>
      <w:r>
        <w:rPr>
          <w:spacing w:val="41"/>
          <w:vertAlign w:val="baseline"/>
        </w:rPr>
        <w:t> </w:t>
      </w:r>
      <w:r>
        <w:rPr>
          <w:spacing w:val="-5"/>
          <w:vertAlign w:val="baseline"/>
        </w:rPr>
        <w:t>for</w:t>
      </w:r>
    </w:p>
    <w:p>
      <w:pPr>
        <w:pStyle w:val="BodyText"/>
        <w:spacing w:line="235" w:lineRule="auto" w:before="109"/>
        <w:ind w:left="164" w:right="167"/>
        <w:jc w:val="both"/>
      </w:pPr>
      <w:r>
        <w:rPr/>
        <w:t>discussion. The first is that the original contract might provide for revision of pay scales, </w:t>
      </w:r>
      <w:r>
        <w:rPr>
          <w:color w:val="005DA1"/>
          <w:u w:val="single" w:color="005DA1"/>
          <w:vertAlign w:val="superscript"/>
        </w:rPr>
        <w:t>395</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35"/>
          <w:vertAlign w:val="baseline"/>
        </w:rPr>
        <w:t> </w:t>
      </w:r>
      <w:r>
        <w:rPr>
          <w:vertAlign w:val="baseline"/>
        </w:rPr>
        <w:t>often after negotiations conducted, in accordance with machinery established by the contract, between the </w:t>
      </w:r>
      <w:bookmarkStart w:name="_bookmark704" w:id="706"/>
      <w:bookmarkEnd w:id="706"/>
      <w:r>
        <w:rPr>
          <w:vertAlign w:val="baseline"/>
        </w:rPr>
        <w:t>employer</w:t>
      </w:r>
      <w:r>
        <w:rPr>
          <w:vertAlign w:val="baseline"/>
        </w:rPr>
        <w:t> and the employees (or persons acting on their behalf). With reference to such a situation, it has</w:t>
      </w:r>
      <w:r>
        <w:rPr>
          <w:spacing w:val="-2"/>
          <w:vertAlign w:val="baseline"/>
        </w:rPr>
        <w:t> </w:t>
      </w:r>
      <w:r>
        <w:rPr>
          <w:vertAlign w:val="baseline"/>
        </w:rPr>
        <w:t>been</w:t>
      </w:r>
      <w:r>
        <w:rPr>
          <w:spacing w:val="-2"/>
          <w:vertAlign w:val="baseline"/>
        </w:rPr>
        <w:t> </w:t>
      </w:r>
      <w:r>
        <w:rPr>
          <w:vertAlign w:val="baseline"/>
        </w:rPr>
        <w:t>said</w:t>
      </w:r>
      <w:r>
        <w:rPr>
          <w:spacing w:val="-3"/>
          <w:vertAlign w:val="baseline"/>
        </w:rPr>
        <w:t> </w:t>
      </w:r>
      <w:r>
        <w:rPr>
          <w:color w:val="005DA1"/>
          <w:u w:val="single" w:color="005DA1"/>
          <w:vertAlign w:val="superscript"/>
        </w:rPr>
        <w:t>396</w:t>
      </w:r>
      <w:r>
        <w:rPr>
          <w:color w:val="005DA1"/>
          <w:spacing w:val="-3"/>
          <w:vertAlign w:val="baseline"/>
        </w:rPr>
        <w:t> </w:t>
      </w:r>
      <w:r>
        <w:rPr>
          <w:vertAlign w:val="baseline"/>
        </w:rPr>
        <w:t>that,</w:t>
      </w:r>
      <w:r>
        <w:rPr>
          <w:spacing w:val="-2"/>
          <w:vertAlign w:val="baseline"/>
        </w:rPr>
        <w:t> </w:t>
      </w:r>
      <w:r>
        <w:rPr>
          <w:vertAlign w:val="baseline"/>
        </w:rPr>
        <w:t>where,</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context</w:t>
      </w:r>
      <w:r>
        <w:rPr>
          <w:spacing w:val="-2"/>
          <w:vertAlign w:val="baseline"/>
        </w:rPr>
        <w:t> </w:t>
      </w:r>
      <w:r>
        <w:rPr>
          <w:vertAlign w:val="baseline"/>
        </w:rPr>
        <w:t>of</w:t>
      </w:r>
      <w:r>
        <w:rPr>
          <w:spacing w:val="-2"/>
          <w:vertAlign w:val="baseline"/>
        </w:rPr>
        <w:t> </w:t>
      </w:r>
      <w:r>
        <w:rPr>
          <w:vertAlign w:val="baseline"/>
        </w:rPr>
        <w:t>such</w:t>
      </w:r>
      <w:r>
        <w:rPr>
          <w:spacing w:val="-2"/>
          <w:vertAlign w:val="baseline"/>
        </w:rPr>
        <w:t> </w:t>
      </w:r>
      <w:r>
        <w:rPr>
          <w:vertAlign w:val="baseline"/>
        </w:rPr>
        <w:t>negotiations,</w:t>
      </w:r>
      <w:r>
        <w:rPr>
          <w:spacing w:val="-2"/>
          <w:vertAlign w:val="baseline"/>
        </w:rPr>
        <w:t> </w:t>
      </w:r>
      <w:r>
        <w:rPr>
          <w:vertAlign w:val="baseline"/>
        </w:rPr>
        <w:t>“increased</w:t>
      </w:r>
      <w:r>
        <w:rPr>
          <w:spacing w:val="-2"/>
          <w:vertAlign w:val="baseline"/>
        </w:rPr>
        <w:t> </w:t>
      </w:r>
      <w:r>
        <w:rPr>
          <w:vertAlign w:val="baseline"/>
        </w:rPr>
        <w:t>remuneration</w:t>
      </w:r>
      <w:r>
        <w:rPr>
          <w:spacing w:val="-2"/>
          <w:vertAlign w:val="baseline"/>
        </w:rPr>
        <w:t> </w:t>
      </w:r>
      <w:r>
        <w:rPr>
          <w:vertAlign w:val="baseline"/>
        </w:rPr>
        <w:t>is</w:t>
      </w:r>
      <w:r>
        <w:rPr>
          <w:spacing w:val="-2"/>
          <w:vertAlign w:val="baseline"/>
        </w:rPr>
        <w:t> </w:t>
      </w:r>
      <w:r>
        <w:rPr>
          <w:vertAlign w:val="baseline"/>
        </w:rPr>
        <w:t>paid</w:t>
      </w:r>
      <w:r>
        <w:rPr>
          <w:spacing w:val="-2"/>
          <w:vertAlign w:val="baseline"/>
        </w:rPr>
        <w:t> </w:t>
      </w:r>
      <w:r>
        <w:rPr>
          <w:vertAlign w:val="baseline"/>
        </w:rPr>
        <w:t>and </w:t>
      </w:r>
      <w:bookmarkStart w:name="_bookmark705" w:id="707"/>
      <w:bookmarkEnd w:id="707"/>
      <w:r>
        <w:rPr>
          <w:vertAlign w:val="baseline"/>
        </w:rPr>
        <w:t>employees</w:t>
      </w:r>
      <w:r>
        <w:rPr>
          <w:vertAlign w:val="baseline"/>
        </w:rPr>
        <w:t> continue to work as before, there is plainly consideration for the increase by reason of the settlement</w:t>
      </w:r>
      <w:r>
        <w:rPr>
          <w:spacing w:val="7"/>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pay</w:t>
      </w:r>
      <w:r>
        <w:rPr>
          <w:spacing w:val="8"/>
          <w:vertAlign w:val="baseline"/>
        </w:rPr>
        <w:t> </w:t>
      </w:r>
      <w:r>
        <w:rPr>
          <w:vertAlign w:val="baseline"/>
        </w:rPr>
        <w:t>claim</w:t>
      </w:r>
      <w:r>
        <w:rPr>
          <w:spacing w:val="7"/>
          <w:vertAlign w:val="baseline"/>
        </w:rPr>
        <w:t> </w:t>
      </w:r>
      <w:r>
        <w:rPr>
          <w:color w:val="005DA1"/>
          <w:u w:val="single" w:color="005DA1"/>
          <w:vertAlign w:val="superscript"/>
        </w:rPr>
        <w:t>397</w:t>
      </w:r>
      <w:r>
        <w:rPr>
          <w:color w:val="005DA1"/>
          <w:spacing w:val="7"/>
          <w:vertAlign w:val="baseline"/>
        </w:rPr>
        <w:t> </w:t>
      </w:r>
      <w:r>
        <w:rPr>
          <w:vertAlign w:val="baseline"/>
        </w:rPr>
        <w:t>and</w:t>
      </w:r>
      <w:r>
        <w:rPr>
          <w:spacing w:val="8"/>
          <w:vertAlign w:val="baseline"/>
        </w:rPr>
        <w:t> </w:t>
      </w:r>
      <w:r>
        <w:rPr>
          <w:vertAlign w:val="baseline"/>
        </w:rPr>
        <w:t>the</w:t>
      </w:r>
      <w:r>
        <w:rPr>
          <w:spacing w:val="8"/>
          <w:vertAlign w:val="baseline"/>
        </w:rPr>
        <w:t> </w:t>
      </w:r>
      <w:r>
        <w:rPr>
          <w:vertAlign w:val="baseline"/>
        </w:rPr>
        <w:t>continuation</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same</w:t>
      </w:r>
      <w:r>
        <w:rPr>
          <w:spacing w:val="8"/>
          <w:vertAlign w:val="baseline"/>
        </w:rPr>
        <w:t> </w:t>
      </w:r>
      <w:r>
        <w:rPr>
          <w:vertAlign w:val="baseline"/>
        </w:rPr>
        <w:t>employee</w:t>
      </w:r>
      <w:r>
        <w:rPr>
          <w:spacing w:val="7"/>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same</w:t>
      </w:r>
      <w:r>
        <w:rPr>
          <w:spacing w:val="8"/>
          <w:vertAlign w:val="baseline"/>
        </w:rPr>
        <w:t> </w:t>
      </w:r>
      <w:r>
        <w:rPr>
          <w:spacing w:val="-2"/>
          <w:vertAlign w:val="baseline"/>
        </w:rPr>
        <w:t>employment.”</w:t>
      </w:r>
    </w:p>
    <w:p>
      <w:pPr>
        <w:pStyle w:val="BodyText"/>
        <w:spacing w:line="224" w:lineRule="exact"/>
        <w:ind w:left="165"/>
        <w:jc w:val="both"/>
      </w:pPr>
      <w:r>
        <w:rPr>
          <w:color w:val="005DA1"/>
          <w:u w:val="single" w:color="005DA1"/>
          <w:vertAlign w:val="superscript"/>
        </w:rPr>
        <w:t>398</w:t>
      </w:r>
      <w:r>
        <w:rPr>
          <w:color w:val="005DA1"/>
          <w:spacing w:val="7"/>
          <w:vertAlign w:val="baseline"/>
        </w:rPr>
        <w:t> </w:t>
      </w:r>
      <w:r>
        <w:rPr>
          <w:vertAlign w:val="baseline"/>
        </w:rPr>
        <w:t>The</w:t>
      </w:r>
      <w:r>
        <w:rPr>
          <w:spacing w:val="8"/>
          <w:vertAlign w:val="baseline"/>
        </w:rPr>
        <w:t> </w:t>
      </w:r>
      <w:r>
        <w:rPr>
          <w:vertAlign w:val="baseline"/>
        </w:rPr>
        <w:t>employer’s</w:t>
      </w:r>
      <w:r>
        <w:rPr>
          <w:spacing w:val="8"/>
          <w:vertAlign w:val="baseline"/>
        </w:rPr>
        <w:t> </w:t>
      </w:r>
      <w:r>
        <w:rPr>
          <w:vertAlign w:val="baseline"/>
        </w:rPr>
        <w:t>promise</w:t>
      </w:r>
      <w:r>
        <w:rPr>
          <w:spacing w:val="8"/>
          <w:vertAlign w:val="baseline"/>
        </w:rPr>
        <w:t> </w:t>
      </w:r>
      <w:r>
        <w:rPr>
          <w:vertAlign w:val="baseline"/>
        </w:rPr>
        <w:t>would</w:t>
      </w:r>
      <w:r>
        <w:rPr>
          <w:spacing w:val="8"/>
          <w:vertAlign w:val="baseline"/>
        </w:rPr>
        <w:t> </w:t>
      </w:r>
      <w:r>
        <w:rPr>
          <w:vertAlign w:val="baseline"/>
        </w:rPr>
        <w:t>thus</w:t>
      </w:r>
      <w:r>
        <w:rPr>
          <w:spacing w:val="8"/>
          <w:vertAlign w:val="baseline"/>
        </w:rPr>
        <w:t> </w:t>
      </w:r>
      <w:r>
        <w:rPr>
          <w:vertAlign w:val="baseline"/>
        </w:rPr>
        <w:t>be</w:t>
      </w:r>
      <w:r>
        <w:rPr>
          <w:spacing w:val="8"/>
          <w:vertAlign w:val="baseline"/>
        </w:rPr>
        <w:t> </w:t>
      </w:r>
      <w:r>
        <w:rPr>
          <w:vertAlign w:val="baseline"/>
        </w:rPr>
        <w:t>binding</w:t>
      </w:r>
      <w:r>
        <w:rPr>
          <w:spacing w:val="8"/>
          <w:vertAlign w:val="baseline"/>
        </w:rPr>
        <w:t> </w:t>
      </w:r>
      <w:r>
        <w:rPr>
          <w:vertAlign w:val="baseline"/>
        </w:rPr>
        <w:t>at</w:t>
      </w:r>
      <w:r>
        <w:rPr>
          <w:spacing w:val="8"/>
          <w:vertAlign w:val="baseline"/>
        </w:rPr>
        <w:t> </w:t>
      </w:r>
      <w:r>
        <w:rPr>
          <w:vertAlign w:val="baseline"/>
        </w:rPr>
        <w:t>common</w:t>
      </w:r>
      <w:r>
        <w:rPr>
          <w:spacing w:val="8"/>
          <w:vertAlign w:val="baseline"/>
        </w:rPr>
        <w:t> </w:t>
      </w:r>
      <w:r>
        <w:rPr>
          <w:vertAlign w:val="baseline"/>
        </w:rPr>
        <w:t>law</w:t>
      </w:r>
      <w:r>
        <w:rPr>
          <w:spacing w:val="8"/>
          <w:vertAlign w:val="baseline"/>
        </w:rPr>
        <w:t> </w:t>
      </w:r>
      <w:r>
        <w:rPr>
          <w:vertAlign w:val="baseline"/>
        </w:rPr>
        <w:t>even</w:t>
      </w:r>
      <w:r>
        <w:rPr>
          <w:spacing w:val="8"/>
          <w:vertAlign w:val="baseline"/>
        </w:rPr>
        <w:t> </w:t>
      </w:r>
      <w:r>
        <w:rPr>
          <w:vertAlign w:val="baseline"/>
        </w:rPr>
        <w:t>where</w:t>
      </w:r>
      <w:r>
        <w:rPr>
          <w:spacing w:val="8"/>
          <w:vertAlign w:val="baseline"/>
        </w:rPr>
        <w:t> </w:t>
      </w:r>
      <w:r>
        <w:rPr>
          <w:vertAlign w:val="baseline"/>
        </w:rPr>
        <w:t>it</w:t>
      </w:r>
      <w:r>
        <w:rPr>
          <w:spacing w:val="8"/>
          <w:vertAlign w:val="baseline"/>
        </w:rPr>
        <w:t> </w:t>
      </w:r>
      <w:r>
        <w:rPr>
          <w:vertAlign w:val="baseline"/>
        </w:rPr>
        <w:t>was</w:t>
      </w:r>
      <w:r>
        <w:rPr>
          <w:spacing w:val="8"/>
          <w:vertAlign w:val="baseline"/>
        </w:rPr>
        <w:t> </w:t>
      </w:r>
      <w:r>
        <w:rPr>
          <w:vertAlign w:val="baseline"/>
        </w:rPr>
        <w:t>not</w:t>
      </w:r>
      <w:r>
        <w:rPr>
          <w:spacing w:val="8"/>
          <w:vertAlign w:val="baseline"/>
        </w:rPr>
        <w:t> </w:t>
      </w:r>
      <w:r>
        <w:rPr>
          <w:vertAlign w:val="baseline"/>
        </w:rPr>
        <w:t>matched</w:t>
      </w:r>
      <w:r>
        <w:rPr>
          <w:spacing w:val="8"/>
          <w:vertAlign w:val="baseline"/>
        </w:rPr>
        <w:t> </w:t>
      </w:r>
      <w:r>
        <w:rPr>
          <w:spacing w:val="-5"/>
          <w:vertAlign w:val="baseline"/>
        </w:rPr>
        <w:t>by</w:t>
      </w:r>
    </w:p>
    <w:p>
      <w:pPr>
        <w:pStyle w:val="BodyText"/>
        <w:spacing w:after="0" w:line="224" w:lineRule="exact"/>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706" w:id="708"/>
      <w:bookmarkEnd w:id="708"/>
      <w:r>
        <w:rPr/>
      </w:r>
      <w:r>
        <w:rPr/>
        <w:t>a</w:t>
      </w:r>
      <w:r>
        <w:rPr>
          <w:spacing w:val="-3"/>
        </w:rPr>
        <w:t> </w:t>
      </w:r>
      <w:r>
        <w:rPr/>
        <w:t>counter-promise</w:t>
      </w:r>
      <w:r>
        <w:rPr>
          <w:spacing w:val="-3"/>
        </w:rPr>
        <w:t> </w:t>
      </w:r>
      <w:r>
        <w:rPr/>
        <w:t>by</w:t>
      </w:r>
      <w:r>
        <w:rPr>
          <w:spacing w:val="-3"/>
        </w:rPr>
        <w:t> </w:t>
      </w:r>
      <w:r>
        <w:rPr/>
        <w:t>the</w:t>
      </w:r>
      <w:r>
        <w:rPr>
          <w:spacing w:val="-3"/>
        </w:rPr>
        <w:t> </w:t>
      </w:r>
      <w:r>
        <w:rPr/>
        <w:t>employees</w:t>
      </w:r>
      <w:r>
        <w:rPr>
          <w:spacing w:val="-3"/>
        </w:rPr>
        <w:t> </w:t>
      </w:r>
      <w:r>
        <w:rPr/>
        <w:t>of</w:t>
      </w:r>
      <w:r>
        <w:rPr>
          <w:spacing w:val="-3"/>
        </w:rPr>
        <w:t> </w:t>
      </w:r>
      <w:r>
        <w:rPr/>
        <w:t>higher</w:t>
      </w:r>
      <w:r>
        <w:rPr>
          <w:spacing w:val="-3"/>
        </w:rPr>
        <w:t> </w:t>
      </w:r>
      <w:r>
        <w:rPr/>
        <w:t>productivity.</w:t>
      </w:r>
      <w:r>
        <w:rPr>
          <w:spacing w:val="-4"/>
        </w:rPr>
        <w:t> </w:t>
      </w:r>
      <w:r>
        <w:rPr>
          <w:color w:val="005DA1"/>
          <w:u w:val="single" w:color="005DA1"/>
          <w:vertAlign w:val="superscript"/>
        </w:rPr>
        <w:t>399</w:t>
      </w:r>
      <w:r>
        <w:rPr>
          <w:color w:val="005DA1"/>
          <w:spacing w:val="-3"/>
          <w:vertAlign w:val="baseline"/>
        </w:rPr>
        <w:t> </w:t>
      </w:r>
      <w:r>
        <w:rPr>
          <w:vertAlign w:val="baseline"/>
        </w:rPr>
        <w:t>The</w:t>
      </w:r>
      <w:r>
        <w:rPr>
          <w:spacing w:val="-3"/>
          <w:vertAlign w:val="baseline"/>
        </w:rPr>
        <w:t> </w:t>
      </w:r>
      <w:r>
        <w:rPr>
          <w:vertAlign w:val="baseline"/>
        </w:rPr>
        <w:t>second</w:t>
      </w:r>
      <w:r>
        <w:rPr>
          <w:spacing w:val="-3"/>
          <w:vertAlign w:val="baseline"/>
        </w:rPr>
        <w:t> </w:t>
      </w:r>
      <w:r>
        <w:rPr>
          <w:vertAlign w:val="baseline"/>
        </w:rPr>
        <w:t>possibility</w:t>
      </w:r>
      <w:r>
        <w:rPr>
          <w:spacing w:val="-3"/>
          <w:vertAlign w:val="baseline"/>
        </w:rPr>
        <w:t> </w:t>
      </w:r>
      <w:r>
        <w:rPr>
          <w:vertAlign w:val="baseline"/>
        </w:rPr>
        <w:t>is</w:t>
      </w:r>
      <w:r>
        <w:rPr>
          <w:spacing w:val="-3"/>
          <w:vertAlign w:val="baseline"/>
        </w:rPr>
        <w:t> </w:t>
      </w:r>
      <w:r>
        <w:rPr>
          <w:vertAlign w:val="baseline"/>
        </w:rPr>
        <w:t>that</w:t>
      </w:r>
      <w:r>
        <w:rPr>
          <w:spacing w:val="-3"/>
          <w:vertAlign w:val="baseline"/>
        </w:rPr>
        <w:t> </w:t>
      </w:r>
      <w:r>
        <w:rPr>
          <w:vertAlign w:val="baseline"/>
        </w:rPr>
        <w:t>a</w:t>
      </w:r>
      <w:r>
        <w:rPr>
          <w:spacing w:val="-3"/>
          <w:vertAlign w:val="baseline"/>
        </w:rPr>
        <w:t> </w:t>
      </w:r>
      <w:r>
        <w:rPr>
          <w:vertAlign w:val="baseline"/>
        </w:rPr>
        <w:t>contract </w:t>
      </w:r>
      <w:bookmarkStart w:name="_bookmark707" w:id="709"/>
      <w:bookmarkEnd w:id="709"/>
      <w:r>
        <w:rPr>
          <w:vertAlign w:val="baseline"/>
        </w:rPr>
        <w:t>may</w:t>
      </w:r>
      <w:r>
        <w:rPr>
          <w:vertAlign w:val="baseline"/>
        </w:rPr>
        <w:t> give a party the right to terminate it by notice. That party may then, by forbearing to exercise this right,</w:t>
      </w:r>
      <w:r>
        <w:rPr>
          <w:spacing w:val="11"/>
          <w:vertAlign w:val="baseline"/>
        </w:rPr>
        <w:t> </w:t>
      </w:r>
      <w:r>
        <w:rPr>
          <w:vertAlign w:val="baseline"/>
        </w:rPr>
        <w:t>provide</w:t>
      </w:r>
      <w:r>
        <w:rPr>
          <w:spacing w:val="11"/>
          <w:vertAlign w:val="baseline"/>
        </w:rPr>
        <w:t> </w:t>
      </w:r>
      <w:r>
        <w:rPr>
          <w:vertAlign w:val="baseline"/>
        </w:rPr>
        <w:t>consideration</w:t>
      </w:r>
      <w:r>
        <w:rPr>
          <w:spacing w:val="11"/>
          <w:vertAlign w:val="baseline"/>
        </w:rPr>
        <w:t> </w:t>
      </w:r>
      <w:r>
        <w:rPr>
          <w:vertAlign w:val="baseline"/>
        </w:rPr>
        <w:t>for</w:t>
      </w:r>
      <w:r>
        <w:rPr>
          <w:spacing w:val="11"/>
          <w:vertAlign w:val="baseline"/>
        </w:rPr>
        <w:t> </w:t>
      </w:r>
      <w:r>
        <w:rPr>
          <w:vertAlign w:val="baseline"/>
        </w:rPr>
        <w:t>a</w:t>
      </w:r>
      <w:r>
        <w:rPr>
          <w:spacing w:val="11"/>
          <w:vertAlign w:val="baseline"/>
        </w:rPr>
        <w:t> </w:t>
      </w:r>
      <w:r>
        <w:rPr>
          <w:vertAlign w:val="baseline"/>
        </w:rPr>
        <w:t>promise</w:t>
      </w:r>
      <w:r>
        <w:rPr>
          <w:spacing w:val="11"/>
          <w:vertAlign w:val="baseline"/>
        </w:rPr>
        <w:t> </w:t>
      </w:r>
      <w:r>
        <w:rPr>
          <w:vertAlign w:val="baseline"/>
        </w:rPr>
        <w:t>made</w:t>
      </w:r>
      <w:r>
        <w:rPr>
          <w:spacing w:val="11"/>
          <w:vertAlign w:val="baseline"/>
        </w:rPr>
        <w:t> </w:t>
      </w:r>
      <w:r>
        <w:rPr>
          <w:vertAlign w:val="baseline"/>
        </w:rPr>
        <w:t>to</w:t>
      </w:r>
      <w:r>
        <w:rPr>
          <w:spacing w:val="11"/>
          <w:vertAlign w:val="baseline"/>
        </w:rPr>
        <w:t> </w:t>
      </w:r>
      <w:r>
        <w:rPr>
          <w:vertAlign w:val="baseline"/>
        </w:rPr>
        <w:t>him</w:t>
      </w:r>
      <w:r>
        <w:rPr>
          <w:spacing w:val="11"/>
          <w:vertAlign w:val="baseline"/>
        </w:rPr>
        <w:t> </w:t>
      </w:r>
      <w:r>
        <w:rPr>
          <w:vertAlign w:val="baseline"/>
        </w:rPr>
        <w:t>by</w:t>
      </w:r>
      <w:r>
        <w:rPr>
          <w:spacing w:val="11"/>
          <w:vertAlign w:val="baseline"/>
        </w:rPr>
        <w:t> </w:t>
      </w:r>
      <w:r>
        <w:rPr>
          <w:vertAlign w:val="baseline"/>
        </w:rPr>
        <w:t>the</w:t>
      </w:r>
      <w:r>
        <w:rPr>
          <w:spacing w:val="11"/>
          <w:vertAlign w:val="baseline"/>
        </w:rPr>
        <w:t> </w:t>
      </w:r>
      <w:r>
        <w:rPr>
          <w:vertAlign w:val="baseline"/>
        </w:rPr>
        <w:t>other</w:t>
      </w:r>
      <w:r>
        <w:rPr>
          <w:spacing w:val="11"/>
          <w:vertAlign w:val="baseline"/>
        </w:rPr>
        <w:t> </w:t>
      </w:r>
      <w:r>
        <w:rPr>
          <w:vertAlign w:val="baseline"/>
        </w:rPr>
        <w:t>party</w:t>
      </w:r>
      <w:r>
        <w:rPr>
          <w:spacing w:val="11"/>
          <w:vertAlign w:val="baseline"/>
        </w:rPr>
        <w:t> </w:t>
      </w:r>
      <w:r>
        <w:rPr>
          <w:vertAlign w:val="baseline"/>
        </w:rPr>
        <w:t>to</w:t>
      </w:r>
      <w:r>
        <w:rPr>
          <w:spacing w:val="11"/>
          <w:vertAlign w:val="baseline"/>
        </w:rPr>
        <w:t> </w:t>
      </w:r>
      <w:r>
        <w:rPr>
          <w:vertAlign w:val="baseline"/>
        </w:rPr>
        <w:t>induce</w:t>
      </w:r>
      <w:r>
        <w:rPr>
          <w:spacing w:val="11"/>
          <w:vertAlign w:val="baseline"/>
        </w:rPr>
        <w:t> </w:t>
      </w:r>
      <w:r>
        <w:rPr>
          <w:vertAlign w:val="baseline"/>
        </w:rPr>
        <w:t>that</w:t>
      </w:r>
      <w:r>
        <w:rPr>
          <w:spacing w:val="11"/>
          <w:vertAlign w:val="baseline"/>
        </w:rPr>
        <w:t> </w:t>
      </w:r>
      <w:r>
        <w:rPr>
          <w:spacing w:val="-2"/>
          <w:vertAlign w:val="baseline"/>
        </w:rPr>
        <w:t>forbearance.</w:t>
      </w:r>
    </w:p>
    <w:p>
      <w:pPr>
        <w:spacing w:line="112" w:lineRule="exact" w:before="0"/>
        <w:ind w:left="165" w:right="0" w:firstLine="0"/>
        <w:jc w:val="left"/>
        <w:rPr>
          <w:sz w:val="12"/>
        </w:rPr>
      </w:pPr>
      <w:r>
        <w:rPr>
          <w:color w:val="005DA1"/>
          <w:spacing w:val="-5"/>
          <w:sz w:val="12"/>
          <w:u w:val="single" w:color="005DA1"/>
        </w:rPr>
        <w:t>400</w:t>
      </w:r>
    </w:p>
    <w:p>
      <w:pPr>
        <w:pStyle w:val="BodyText"/>
      </w:pPr>
    </w:p>
    <w:p>
      <w:pPr>
        <w:pStyle w:val="BodyText"/>
        <w:spacing w:before="151"/>
      </w:pPr>
      <w:r>
        <w:rPr/>
        <mc:AlternateContent>
          <mc:Choice Requires="wps">
            <w:drawing>
              <wp:anchor distT="0" distB="0" distL="0" distR="0" allowOverlap="1" layoutInCell="1" locked="0" behindDoc="1" simplePos="0" relativeHeight="487618048">
                <wp:simplePos x="0" y="0"/>
                <wp:positionH relativeFrom="page">
                  <wp:posOffset>914400</wp:posOffset>
                </wp:positionH>
                <wp:positionV relativeFrom="paragraph">
                  <wp:posOffset>257376</wp:posOffset>
                </wp:positionV>
                <wp:extent cx="5724525" cy="1270"/>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265858pt;width:450.75pt;height:.1pt;mso-position-horizontal-relative:page;mso-position-vertical-relative:paragraph;z-index:-15698432;mso-wrap-distance-left:0;mso-wrap-distance-right:0" id="docshape40" coordorigin="1440,405" coordsize="9015,0" path="m1440,405l10454,405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185216">
                <wp:simplePos x="0" y="0"/>
                <wp:positionH relativeFrom="page">
                  <wp:posOffset>914400</wp:posOffset>
                </wp:positionH>
                <wp:positionV relativeFrom="paragraph">
                  <wp:posOffset>97116</wp:posOffset>
                </wp:positionV>
                <wp:extent cx="4953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31264"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before="5"/>
      </w:pPr>
    </w:p>
    <w:p>
      <w:pPr>
        <w:pStyle w:val="BodyText"/>
        <w:tabs>
          <w:tab w:pos="705" w:val="left" w:leader="none"/>
        </w:tabs>
        <w:spacing w:line="227" w:lineRule="exact"/>
        <w:ind w:left="165"/>
      </w:pPr>
      <w:hyperlink w:history="true" w:anchor="_bookmark754">
        <w:r>
          <w:rPr>
            <w:color w:val="005DA1"/>
            <w:spacing w:val="-4"/>
            <w:position w:val="5"/>
            <w:sz w:val="14"/>
            <w:u w:val="single" w:color="005DA1"/>
          </w:rPr>
          <w:t>333</w:t>
        </w:r>
      </w:hyperlink>
      <w:r>
        <w:rPr>
          <w:spacing w:val="-4"/>
          <w:position w:val="5"/>
          <w:sz w:val="14"/>
        </w:rPr>
        <w:t>.</w:t>
      </w:r>
      <w:r>
        <w:rPr>
          <w:position w:val="5"/>
          <w:sz w:val="14"/>
        </w:rPr>
        <w:tab/>
      </w:r>
      <w:r>
        <w:rPr/>
        <w:t>Reynolds</w:t>
      </w:r>
      <w:r>
        <w:rPr>
          <w:spacing w:val="55"/>
        </w:rPr>
        <w:t> </w:t>
      </w:r>
      <w:r>
        <w:rPr/>
        <w:t>and</w:t>
      </w:r>
      <w:r>
        <w:rPr>
          <w:spacing w:val="56"/>
        </w:rPr>
        <w:t> </w:t>
      </w:r>
      <w:r>
        <w:rPr/>
        <w:t>Treitel</w:t>
      </w:r>
      <w:r>
        <w:rPr>
          <w:spacing w:val="55"/>
        </w:rPr>
        <w:t> </w:t>
      </w:r>
      <w:r>
        <w:rPr/>
        <w:t>(1965)</w:t>
      </w:r>
      <w:r>
        <w:rPr>
          <w:spacing w:val="56"/>
        </w:rPr>
        <w:t> </w:t>
      </w:r>
      <w:r>
        <w:rPr/>
        <w:t>7</w:t>
      </w:r>
      <w:r>
        <w:rPr>
          <w:spacing w:val="55"/>
        </w:rPr>
        <w:t> </w:t>
      </w:r>
      <w:r>
        <w:rPr/>
        <w:t>Malaya</w:t>
      </w:r>
      <w:r>
        <w:rPr>
          <w:spacing w:val="56"/>
        </w:rPr>
        <w:t> </w:t>
      </w:r>
      <w:r>
        <w:rPr/>
        <w:t>L.Rev.</w:t>
      </w:r>
      <w:r>
        <w:rPr>
          <w:spacing w:val="55"/>
        </w:rPr>
        <w:t> </w:t>
      </w:r>
      <w:r>
        <w:rPr/>
        <w:t>1;</w:t>
      </w:r>
      <w:r>
        <w:rPr>
          <w:spacing w:val="56"/>
        </w:rPr>
        <w:t> </w:t>
      </w:r>
      <w:r>
        <w:rPr/>
        <w:t>Aivazian,</w:t>
      </w:r>
      <w:r>
        <w:rPr>
          <w:spacing w:val="56"/>
        </w:rPr>
        <w:t> </w:t>
      </w:r>
      <w:r>
        <w:rPr/>
        <w:t>Trebilcock</w:t>
      </w:r>
      <w:r>
        <w:rPr>
          <w:spacing w:val="55"/>
        </w:rPr>
        <w:t> </w:t>
      </w:r>
      <w:r>
        <w:rPr/>
        <w:t>&amp;</w:t>
      </w:r>
      <w:r>
        <w:rPr>
          <w:spacing w:val="56"/>
        </w:rPr>
        <w:t> </w:t>
      </w:r>
      <w:r>
        <w:rPr/>
        <w:t>Penny</w:t>
      </w:r>
      <w:r>
        <w:rPr>
          <w:spacing w:val="55"/>
        </w:rPr>
        <w:t> </w:t>
      </w:r>
      <w:r>
        <w:rPr/>
        <w:t>(1984)</w:t>
      </w:r>
      <w:r>
        <w:rPr>
          <w:spacing w:val="56"/>
        </w:rPr>
        <w:t> </w:t>
      </w:r>
      <w:r>
        <w:rPr>
          <w:spacing w:val="-5"/>
        </w:rPr>
        <w:t>22</w:t>
      </w:r>
    </w:p>
    <w:p>
      <w:pPr>
        <w:pStyle w:val="BodyText"/>
        <w:spacing w:line="227" w:lineRule="exact"/>
        <w:ind w:left="705"/>
      </w:pPr>
      <w:r>
        <w:rPr/>
        <w:t>Osgoode Hall L.J. 173; Hooley [1991] J.B.L. 195; Halson (1991) 107 L.Q.R. </w:t>
      </w:r>
      <w:r>
        <w:rPr>
          <w:spacing w:val="-4"/>
        </w:rPr>
        <w:t>649.</w:t>
      </w:r>
    </w:p>
    <w:p>
      <w:pPr>
        <w:pStyle w:val="BodyText"/>
        <w:spacing w:before="9"/>
      </w:pPr>
    </w:p>
    <w:p>
      <w:pPr>
        <w:pStyle w:val="BodyText"/>
        <w:tabs>
          <w:tab w:pos="705" w:val="left" w:leader="none"/>
        </w:tabs>
        <w:spacing w:line="235" w:lineRule="auto"/>
        <w:ind w:left="705" w:right="167" w:hanging="541"/>
      </w:pPr>
      <w:bookmarkStart w:name="_bookmark708" w:id="710"/>
      <w:bookmarkEnd w:id="710"/>
      <w:r>
        <w:rPr/>
      </w:r>
      <w:hyperlink w:history="true" w:anchor="_bookmark663">
        <w:r>
          <w:rPr>
            <w:color w:val="005DA1"/>
            <w:spacing w:val="-4"/>
            <w:position w:val="5"/>
            <w:sz w:val="14"/>
            <w:u w:val="single" w:color="005DA1"/>
          </w:rPr>
          <w:t>354</w:t>
        </w:r>
      </w:hyperlink>
      <w:r>
        <w:rPr>
          <w:spacing w:val="-4"/>
          <w:position w:val="5"/>
          <w:sz w:val="14"/>
        </w:rPr>
        <w:t>.</w:t>
      </w:r>
      <w:r>
        <w:rPr>
          <w:position w:val="5"/>
          <w:sz w:val="14"/>
        </w:rPr>
        <w:tab/>
      </w:r>
      <w:r>
        <w:rPr/>
        <w:t>For</w:t>
      </w:r>
      <w:r>
        <w:rPr>
          <w:spacing w:val="17"/>
        </w:rPr>
        <w:t> </w:t>
      </w:r>
      <w:r>
        <w:rPr/>
        <w:t>these</w:t>
      </w:r>
      <w:r>
        <w:rPr>
          <w:spacing w:val="17"/>
        </w:rPr>
        <w:t> </w:t>
      </w:r>
      <w:r>
        <w:rPr/>
        <w:t>groups</w:t>
      </w:r>
      <w:r>
        <w:rPr>
          <w:spacing w:val="17"/>
        </w:rPr>
        <w:t> </w:t>
      </w:r>
      <w:r>
        <w:rPr/>
        <w:t>see</w:t>
      </w:r>
      <w:r>
        <w:rPr>
          <w:spacing w:val="17"/>
        </w:rPr>
        <w:t> </w:t>
      </w:r>
      <w:r>
        <w:rPr/>
        <w:t>(i)</w:t>
      </w:r>
      <w:r>
        <w:rPr>
          <w:spacing w:val="17"/>
        </w:rPr>
        <w:t> </w:t>
      </w:r>
      <w:r>
        <w:rPr/>
        <w:t>paras</w:t>
      </w:r>
      <w:r>
        <w:rPr>
          <w:spacing w:val="17"/>
        </w:rPr>
        <w:t> </w:t>
      </w:r>
      <w:r>
        <w:rPr/>
        <w:t>4-067</w:t>
      </w:r>
      <w:r>
        <w:rPr>
          <w:spacing w:val="17"/>
        </w:rPr>
        <w:t> </w:t>
      </w:r>
      <w:r>
        <w:rPr/>
        <w:t>to</w:t>
      </w:r>
      <w:r>
        <w:rPr>
          <w:spacing w:val="17"/>
        </w:rPr>
        <w:t> </w:t>
      </w:r>
      <w:r>
        <w:rPr/>
        <w:t>4-078</w:t>
      </w:r>
      <w:r>
        <w:rPr>
          <w:spacing w:val="17"/>
        </w:rPr>
        <w:t> </w:t>
      </w:r>
      <w:r>
        <w:rPr/>
        <w:t>below;</w:t>
      </w:r>
      <w:r>
        <w:rPr>
          <w:spacing w:val="17"/>
        </w:rPr>
        <w:t> </w:t>
      </w:r>
      <w:r>
        <w:rPr/>
        <w:t>(ii)</w:t>
      </w:r>
      <w:r>
        <w:rPr>
          <w:spacing w:val="17"/>
        </w:rPr>
        <w:t> </w:t>
      </w:r>
      <w:r>
        <w:rPr/>
        <w:t>paras</w:t>
      </w:r>
      <w:r>
        <w:rPr>
          <w:spacing w:val="17"/>
        </w:rPr>
        <w:t> </w:t>
      </w:r>
      <w:r>
        <w:rPr/>
        <w:t>4-079</w:t>
      </w:r>
      <w:r>
        <w:rPr>
          <w:spacing w:val="17"/>
        </w:rPr>
        <w:t> </w:t>
      </w:r>
      <w:r>
        <w:rPr/>
        <w:t>to</w:t>
      </w:r>
      <w:r>
        <w:rPr>
          <w:spacing w:val="17"/>
        </w:rPr>
        <w:t> </w:t>
      </w:r>
      <w:r>
        <w:rPr/>
        <w:t>4-080</w:t>
      </w:r>
      <w:r>
        <w:rPr>
          <w:spacing w:val="17"/>
        </w:rPr>
        <w:t> </w:t>
      </w:r>
      <w:r>
        <w:rPr/>
        <w:t>below</w:t>
      </w:r>
      <w:r>
        <w:rPr>
          <w:spacing w:val="17"/>
        </w:rPr>
        <w:t> </w:t>
      </w:r>
      <w:r>
        <w:rPr/>
        <w:t>and</w:t>
      </w:r>
      <w:r>
        <w:rPr>
          <w:spacing w:val="17"/>
        </w:rPr>
        <w:t> </w:t>
      </w:r>
      <w:r>
        <w:rPr/>
        <w:t>(iii) 4-071 to 4-072 below.</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709" w:id="711"/>
      <w:bookmarkEnd w:id="711"/>
      <w:r>
        <w:rPr/>
      </w:r>
      <w:hyperlink w:history="true" w:anchor="_bookmark664">
        <w:r>
          <w:rPr>
            <w:color w:val="005DA1"/>
            <w:spacing w:val="-4"/>
            <w:position w:val="5"/>
            <w:sz w:val="14"/>
            <w:u w:val="single" w:color="005DA1"/>
          </w:rPr>
          <w:t>355</w:t>
        </w:r>
      </w:hyperlink>
      <w:r>
        <w:rPr>
          <w:spacing w:val="-4"/>
          <w:position w:val="5"/>
          <w:sz w:val="14"/>
        </w:rPr>
        <w:t>.</w:t>
      </w:r>
      <w:r>
        <w:rPr>
          <w:position w:val="5"/>
          <w:sz w:val="14"/>
        </w:rPr>
        <w:tab/>
      </w:r>
      <w:r>
        <w:rPr>
          <w:rFonts w:ascii="Arial"/>
          <w:i/>
          <w:sz w:val="20"/>
        </w:rPr>
        <w:t>(1809)</w:t>
      </w:r>
      <w:r>
        <w:rPr>
          <w:rFonts w:ascii="Arial"/>
          <w:i/>
          <w:spacing w:val="11"/>
          <w:sz w:val="20"/>
        </w:rPr>
        <w:t> </w:t>
      </w:r>
      <w:r>
        <w:rPr>
          <w:rFonts w:ascii="Arial"/>
          <w:i/>
          <w:sz w:val="20"/>
        </w:rPr>
        <w:t>2</w:t>
      </w:r>
      <w:r>
        <w:rPr>
          <w:rFonts w:ascii="Arial"/>
          <w:i/>
          <w:spacing w:val="14"/>
          <w:sz w:val="20"/>
        </w:rPr>
        <w:t> </w:t>
      </w:r>
      <w:r>
        <w:rPr>
          <w:rFonts w:ascii="Arial"/>
          <w:i/>
          <w:sz w:val="20"/>
        </w:rPr>
        <w:t>Camp.</w:t>
      </w:r>
      <w:r>
        <w:rPr>
          <w:rFonts w:ascii="Arial"/>
          <w:i/>
          <w:spacing w:val="14"/>
          <w:sz w:val="20"/>
        </w:rPr>
        <w:t> </w:t>
      </w:r>
      <w:r>
        <w:rPr>
          <w:rFonts w:ascii="Arial"/>
          <w:i/>
          <w:sz w:val="20"/>
        </w:rPr>
        <w:t>317;</w:t>
      </w:r>
      <w:r>
        <w:rPr>
          <w:rFonts w:ascii="Arial"/>
          <w:i/>
          <w:spacing w:val="14"/>
          <w:sz w:val="20"/>
        </w:rPr>
        <w:t> </w:t>
      </w:r>
      <w:r>
        <w:rPr>
          <w:rFonts w:ascii="Arial"/>
          <w:i/>
          <w:sz w:val="20"/>
        </w:rPr>
        <w:t>6</w:t>
      </w:r>
      <w:r>
        <w:rPr>
          <w:rFonts w:ascii="Arial"/>
          <w:i/>
          <w:spacing w:val="14"/>
          <w:sz w:val="20"/>
        </w:rPr>
        <w:t> </w:t>
      </w:r>
      <w:r>
        <w:rPr>
          <w:rFonts w:ascii="Arial"/>
          <w:i/>
          <w:sz w:val="20"/>
        </w:rPr>
        <w:t>Esp.</w:t>
      </w:r>
      <w:r>
        <w:rPr>
          <w:rFonts w:ascii="Arial"/>
          <w:i/>
          <w:spacing w:val="14"/>
          <w:sz w:val="20"/>
        </w:rPr>
        <w:t> </w:t>
      </w:r>
      <w:r>
        <w:rPr>
          <w:rFonts w:ascii="Arial"/>
          <w:i/>
          <w:sz w:val="20"/>
        </w:rPr>
        <w:t>129</w:t>
      </w:r>
      <w:r>
        <w:rPr>
          <w:sz w:val="20"/>
        </w:rPr>
        <w:t>.</w:t>
      </w:r>
      <w:r>
        <w:rPr>
          <w:spacing w:val="14"/>
          <w:sz w:val="20"/>
        </w:rPr>
        <w:t> </w:t>
      </w:r>
      <w:r>
        <w:rPr>
          <w:sz w:val="20"/>
        </w:rPr>
        <w:t>See</w:t>
      </w:r>
      <w:r>
        <w:rPr>
          <w:spacing w:val="14"/>
          <w:sz w:val="20"/>
        </w:rPr>
        <w:t> </w:t>
      </w:r>
      <w:r>
        <w:rPr>
          <w:sz w:val="20"/>
        </w:rPr>
        <w:t>also</w:t>
      </w:r>
      <w:r>
        <w:rPr>
          <w:spacing w:val="14"/>
          <w:sz w:val="20"/>
        </w:rPr>
        <w:t> </w:t>
      </w:r>
      <w:r>
        <w:rPr>
          <w:rFonts w:ascii="Arial"/>
          <w:i/>
          <w:sz w:val="20"/>
        </w:rPr>
        <w:t>Harris</w:t>
      </w:r>
      <w:r>
        <w:rPr>
          <w:rFonts w:ascii="Arial"/>
          <w:i/>
          <w:spacing w:val="13"/>
          <w:sz w:val="20"/>
        </w:rPr>
        <w:t> </w:t>
      </w:r>
      <w:r>
        <w:rPr>
          <w:rFonts w:ascii="Arial"/>
          <w:i/>
          <w:sz w:val="20"/>
        </w:rPr>
        <w:t>v</w:t>
      </w:r>
      <w:r>
        <w:rPr>
          <w:rFonts w:ascii="Arial"/>
          <w:i/>
          <w:spacing w:val="14"/>
          <w:sz w:val="20"/>
        </w:rPr>
        <w:t> </w:t>
      </w:r>
      <w:r>
        <w:rPr>
          <w:rFonts w:ascii="Arial"/>
          <w:i/>
          <w:sz w:val="20"/>
        </w:rPr>
        <w:t>Carter</w:t>
      </w:r>
      <w:r>
        <w:rPr>
          <w:rFonts w:ascii="Arial"/>
          <w:i/>
          <w:spacing w:val="14"/>
          <w:sz w:val="20"/>
        </w:rPr>
        <w:t> </w:t>
      </w:r>
      <w:r>
        <w:rPr>
          <w:rFonts w:ascii="Arial"/>
          <w:i/>
          <w:sz w:val="20"/>
        </w:rPr>
        <w:t>(1854)</w:t>
      </w:r>
      <w:r>
        <w:rPr>
          <w:rFonts w:ascii="Arial"/>
          <w:i/>
          <w:spacing w:val="14"/>
          <w:sz w:val="20"/>
        </w:rPr>
        <w:t> </w:t>
      </w:r>
      <w:r>
        <w:rPr>
          <w:rFonts w:ascii="Arial"/>
          <w:i/>
          <w:sz w:val="20"/>
        </w:rPr>
        <w:t>3</w:t>
      </w:r>
      <w:r>
        <w:rPr>
          <w:rFonts w:ascii="Arial"/>
          <w:i/>
          <w:spacing w:val="14"/>
          <w:sz w:val="20"/>
        </w:rPr>
        <w:t> </w:t>
      </w:r>
      <w:r>
        <w:rPr>
          <w:rFonts w:ascii="Arial"/>
          <w:i/>
          <w:sz w:val="20"/>
        </w:rPr>
        <w:t>E.</w:t>
      </w:r>
      <w:r>
        <w:rPr>
          <w:rFonts w:ascii="Arial"/>
          <w:i/>
          <w:spacing w:val="14"/>
          <w:sz w:val="20"/>
        </w:rPr>
        <w:t> </w:t>
      </w:r>
      <w:r>
        <w:rPr>
          <w:rFonts w:ascii="Arial"/>
          <w:i/>
          <w:sz w:val="20"/>
        </w:rPr>
        <w:t>&amp;</w:t>
      </w:r>
      <w:r>
        <w:rPr>
          <w:rFonts w:ascii="Arial"/>
          <w:i/>
          <w:spacing w:val="14"/>
          <w:sz w:val="20"/>
        </w:rPr>
        <w:t> </w:t>
      </w:r>
      <w:r>
        <w:rPr>
          <w:rFonts w:ascii="Arial"/>
          <w:i/>
          <w:sz w:val="20"/>
        </w:rPr>
        <w:t>B.</w:t>
      </w:r>
      <w:r>
        <w:rPr>
          <w:rFonts w:ascii="Arial"/>
          <w:i/>
          <w:spacing w:val="14"/>
          <w:sz w:val="20"/>
        </w:rPr>
        <w:t> </w:t>
      </w:r>
      <w:r>
        <w:rPr>
          <w:rFonts w:ascii="Arial"/>
          <w:i/>
          <w:sz w:val="20"/>
        </w:rPr>
        <w:t>559</w:t>
      </w:r>
      <w:r>
        <w:rPr>
          <w:sz w:val="20"/>
        </w:rPr>
        <w:t>;</w:t>
      </w:r>
      <w:r>
        <w:rPr>
          <w:spacing w:val="14"/>
          <w:sz w:val="20"/>
        </w:rPr>
        <w:t> </w:t>
      </w:r>
      <w:r>
        <w:rPr>
          <w:rFonts w:ascii="Arial"/>
          <w:i/>
          <w:sz w:val="20"/>
        </w:rPr>
        <w:t>Sanderson</w:t>
      </w:r>
      <w:r>
        <w:rPr>
          <w:rFonts w:ascii="Arial"/>
          <w:i/>
          <w:spacing w:val="14"/>
          <w:sz w:val="20"/>
        </w:rPr>
        <w:t> </w:t>
      </w:r>
      <w:r>
        <w:rPr>
          <w:rFonts w:ascii="Arial"/>
          <w:i/>
          <w:spacing w:val="-10"/>
          <w:sz w:val="20"/>
        </w:rPr>
        <w:t>v</w:t>
      </w:r>
    </w:p>
    <w:p>
      <w:pPr>
        <w:spacing w:line="227" w:lineRule="exact" w:before="0"/>
        <w:ind w:left="705" w:right="0" w:firstLine="0"/>
        <w:jc w:val="left"/>
        <w:rPr>
          <w:sz w:val="20"/>
        </w:rPr>
      </w:pPr>
      <w:r>
        <w:rPr>
          <w:rFonts w:ascii="Arial"/>
          <w:i/>
          <w:sz w:val="20"/>
        </w:rPr>
        <w:t>Workington</w:t>
      </w:r>
      <w:r>
        <w:rPr>
          <w:rFonts w:ascii="Arial"/>
          <w:i/>
          <w:spacing w:val="-1"/>
          <w:sz w:val="20"/>
        </w:rPr>
        <w:t> </w:t>
      </w:r>
      <w:r>
        <w:rPr>
          <w:rFonts w:ascii="Arial"/>
          <w:i/>
          <w:sz w:val="20"/>
        </w:rPr>
        <w:t>BC (1918) 34 T.L.R. 386</w:t>
      </w:r>
      <w:r>
        <w:rPr>
          <w:sz w:val="20"/>
        </w:rPr>
        <w:t>; </w:t>
      </w:r>
      <w:r>
        <w:rPr>
          <w:rFonts w:ascii="Arial"/>
          <w:i/>
          <w:sz w:val="20"/>
        </w:rPr>
        <w:t>Swain v West (Butchers) Ltd [1936] 1 All E.R. </w:t>
      </w:r>
      <w:r>
        <w:rPr>
          <w:rFonts w:ascii="Arial"/>
          <w:i/>
          <w:spacing w:val="-4"/>
          <w:sz w:val="20"/>
        </w:rPr>
        <w:t>224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10" w:id="712"/>
      <w:bookmarkEnd w:id="712"/>
      <w:r>
        <w:rPr/>
      </w:r>
      <w:hyperlink w:history="true" w:anchor="_bookmark665">
        <w:r>
          <w:rPr>
            <w:color w:val="005DA1"/>
            <w:spacing w:val="-4"/>
            <w:position w:val="5"/>
            <w:sz w:val="14"/>
            <w:u w:val="single" w:color="005DA1"/>
          </w:rPr>
          <w:t>356</w:t>
        </w:r>
      </w:hyperlink>
      <w:r>
        <w:rPr>
          <w:spacing w:val="-4"/>
          <w:position w:val="5"/>
          <w:sz w:val="14"/>
        </w:rPr>
        <w:t>.</w:t>
      </w:r>
      <w:r>
        <w:rPr>
          <w:position w:val="5"/>
          <w:sz w:val="14"/>
        </w:rPr>
        <w:tab/>
      </w:r>
      <w:r>
        <w:rPr>
          <w:rFonts w:ascii="Arial"/>
          <w:i/>
          <w:sz w:val="20"/>
        </w:rPr>
        <w:t>(1809)</w:t>
      </w:r>
      <w:r>
        <w:rPr>
          <w:rFonts w:ascii="Arial"/>
          <w:i/>
          <w:spacing w:val="-2"/>
          <w:sz w:val="20"/>
        </w:rPr>
        <w:t> </w:t>
      </w:r>
      <w:r>
        <w:rPr>
          <w:rFonts w:ascii="Arial"/>
          <w:i/>
          <w:sz w:val="20"/>
        </w:rPr>
        <w:t>6 Esp. </w:t>
      </w:r>
      <w:r>
        <w:rPr>
          <w:rFonts w:ascii="Arial"/>
          <w:i/>
          <w:spacing w:val="-4"/>
          <w:sz w:val="20"/>
        </w:rPr>
        <w:t>129</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711" w:id="713"/>
      <w:bookmarkEnd w:id="713"/>
      <w:r>
        <w:rPr/>
      </w:r>
      <w:hyperlink w:history="true" w:anchor="_bookmark666">
        <w:r>
          <w:rPr>
            <w:color w:val="005DA1"/>
            <w:spacing w:val="-4"/>
            <w:position w:val="5"/>
            <w:sz w:val="14"/>
            <w:u w:val="single" w:color="005DA1"/>
          </w:rPr>
          <w:t>357</w:t>
        </w:r>
      </w:hyperlink>
      <w:r>
        <w:rPr>
          <w:spacing w:val="-4"/>
          <w:position w:val="5"/>
          <w:sz w:val="14"/>
        </w:rPr>
        <w:t>.</w:t>
      </w:r>
      <w:r>
        <w:rPr>
          <w:position w:val="5"/>
          <w:sz w:val="14"/>
        </w:rPr>
        <w:tab/>
      </w:r>
      <w:r>
        <w:rPr>
          <w:rFonts w:ascii="Arial"/>
          <w:i/>
          <w:sz w:val="20"/>
        </w:rPr>
        <w:t>Harris v Watson (1791) Peake </w:t>
      </w:r>
      <w:r>
        <w:rPr>
          <w:rFonts w:ascii="Arial"/>
          <w:i/>
          <w:spacing w:val="-4"/>
          <w:sz w:val="20"/>
        </w:rPr>
        <w:t>102</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712" w:id="714"/>
      <w:bookmarkEnd w:id="714"/>
      <w:r>
        <w:rPr/>
      </w:r>
      <w:hyperlink w:history="true" w:anchor="_bookmark667">
        <w:r>
          <w:rPr>
            <w:color w:val="005DA1"/>
            <w:spacing w:val="-4"/>
            <w:position w:val="5"/>
            <w:sz w:val="14"/>
            <w:u w:val="single" w:color="005DA1"/>
          </w:rPr>
          <w:t>358</w:t>
        </w:r>
      </w:hyperlink>
      <w:r>
        <w:rPr>
          <w:spacing w:val="-4"/>
          <w:position w:val="5"/>
          <w:sz w:val="14"/>
        </w:rPr>
        <w:t>.</w:t>
      </w:r>
      <w:r>
        <w:rPr>
          <w:position w:val="5"/>
          <w:sz w:val="14"/>
        </w:rPr>
        <w:tab/>
      </w:r>
      <w:r>
        <w:rPr>
          <w:rFonts w:ascii="Arial"/>
          <w:i/>
          <w:sz w:val="20"/>
        </w:rPr>
        <w:t>(1809)</w:t>
      </w:r>
      <w:r>
        <w:rPr>
          <w:rFonts w:ascii="Arial"/>
          <w:i/>
          <w:spacing w:val="22"/>
          <w:sz w:val="20"/>
        </w:rPr>
        <w:t> </w:t>
      </w:r>
      <w:r>
        <w:rPr>
          <w:rFonts w:ascii="Arial"/>
          <w:i/>
          <w:sz w:val="20"/>
        </w:rPr>
        <w:t>2</w:t>
      </w:r>
      <w:r>
        <w:rPr>
          <w:rFonts w:ascii="Arial"/>
          <w:i/>
          <w:spacing w:val="22"/>
          <w:sz w:val="20"/>
        </w:rPr>
        <w:t> </w:t>
      </w:r>
      <w:r>
        <w:rPr>
          <w:rFonts w:ascii="Arial"/>
          <w:i/>
          <w:sz w:val="20"/>
        </w:rPr>
        <w:t>Camp.</w:t>
      </w:r>
      <w:r>
        <w:rPr>
          <w:rFonts w:ascii="Arial"/>
          <w:i/>
          <w:spacing w:val="22"/>
          <w:sz w:val="20"/>
        </w:rPr>
        <w:t> </w:t>
      </w:r>
      <w:r>
        <w:rPr>
          <w:rFonts w:ascii="Arial"/>
          <w:i/>
          <w:sz w:val="20"/>
        </w:rPr>
        <w:t>317</w:t>
      </w:r>
      <w:r>
        <w:rPr>
          <w:sz w:val="20"/>
        </w:rPr>
        <w:t>;</w:t>
      </w:r>
      <w:r>
        <w:rPr>
          <w:spacing w:val="22"/>
          <w:sz w:val="20"/>
        </w:rPr>
        <w:t> </w:t>
      </w:r>
      <w:r>
        <w:rPr>
          <w:sz w:val="20"/>
        </w:rPr>
        <w:t>in</w:t>
      </w:r>
      <w:r>
        <w:rPr>
          <w:spacing w:val="22"/>
          <w:sz w:val="20"/>
        </w:rPr>
        <w:t> </w:t>
      </w:r>
      <w:r>
        <w:rPr>
          <w:rFonts w:ascii="Arial"/>
          <w:i/>
          <w:sz w:val="20"/>
        </w:rPr>
        <w:t>Harris</w:t>
      </w:r>
      <w:r>
        <w:rPr>
          <w:rFonts w:ascii="Arial"/>
          <w:i/>
          <w:spacing w:val="22"/>
          <w:sz w:val="20"/>
        </w:rPr>
        <w:t> </w:t>
      </w:r>
      <w:r>
        <w:rPr>
          <w:rFonts w:ascii="Arial"/>
          <w:i/>
          <w:sz w:val="20"/>
        </w:rPr>
        <w:t>v</w:t>
      </w:r>
      <w:r>
        <w:rPr>
          <w:rFonts w:ascii="Arial"/>
          <w:i/>
          <w:spacing w:val="22"/>
          <w:sz w:val="20"/>
        </w:rPr>
        <w:t> </w:t>
      </w:r>
      <w:r>
        <w:rPr>
          <w:rFonts w:ascii="Arial"/>
          <w:i/>
          <w:sz w:val="20"/>
        </w:rPr>
        <w:t>Carter</w:t>
      </w:r>
      <w:r>
        <w:rPr>
          <w:rFonts w:ascii="Arial"/>
          <w:i/>
          <w:spacing w:val="22"/>
          <w:sz w:val="20"/>
        </w:rPr>
        <w:t> </w:t>
      </w:r>
      <w:r>
        <w:rPr>
          <w:rFonts w:ascii="Arial"/>
          <w:i/>
          <w:sz w:val="20"/>
        </w:rPr>
        <w:t>(1854)</w:t>
      </w:r>
      <w:r>
        <w:rPr>
          <w:rFonts w:ascii="Arial"/>
          <w:i/>
          <w:spacing w:val="22"/>
          <w:sz w:val="20"/>
        </w:rPr>
        <w:t> </w:t>
      </w:r>
      <w:r>
        <w:rPr>
          <w:rFonts w:ascii="Arial"/>
          <w:i/>
          <w:sz w:val="20"/>
        </w:rPr>
        <w:t>3</w:t>
      </w:r>
      <w:r>
        <w:rPr>
          <w:rFonts w:ascii="Arial"/>
          <w:i/>
          <w:spacing w:val="22"/>
          <w:sz w:val="20"/>
        </w:rPr>
        <w:t> </w:t>
      </w:r>
      <w:r>
        <w:rPr>
          <w:rFonts w:ascii="Arial"/>
          <w:i/>
          <w:sz w:val="20"/>
        </w:rPr>
        <w:t>E.</w:t>
      </w:r>
      <w:r>
        <w:rPr>
          <w:rFonts w:ascii="Arial"/>
          <w:i/>
          <w:spacing w:val="22"/>
          <w:sz w:val="20"/>
        </w:rPr>
        <w:t> </w:t>
      </w:r>
      <w:r>
        <w:rPr>
          <w:rFonts w:ascii="Arial"/>
          <w:i/>
          <w:sz w:val="20"/>
        </w:rPr>
        <w:t>&amp;</w:t>
      </w:r>
      <w:r>
        <w:rPr>
          <w:rFonts w:ascii="Arial"/>
          <w:i/>
          <w:spacing w:val="22"/>
          <w:sz w:val="20"/>
        </w:rPr>
        <w:t> </w:t>
      </w:r>
      <w:r>
        <w:rPr>
          <w:rFonts w:ascii="Arial"/>
          <w:i/>
          <w:sz w:val="20"/>
        </w:rPr>
        <w:t>B.</w:t>
      </w:r>
      <w:r>
        <w:rPr>
          <w:rFonts w:ascii="Arial"/>
          <w:i/>
          <w:spacing w:val="22"/>
          <w:sz w:val="20"/>
        </w:rPr>
        <w:t> </w:t>
      </w:r>
      <w:r>
        <w:rPr>
          <w:rFonts w:ascii="Arial"/>
          <w:i/>
          <w:sz w:val="20"/>
        </w:rPr>
        <w:t>559</w:t>
      </w:r>
      <w:r>
        <w:rPr>
          <w:sz w:val="20"/>
        </w:rPr>
        <w:t>,</w:t>
      </w:r>
      <w:r>
        <w:rPr>
          <w:spacing w:val="22"/>
          <w:sz w:val="20"/>
        </w:rPr>
        <w:t> </w:t>
      </w:r>
      <w:r>
        <w:rPr>
          <w:sz w:val="20"/>
        </w:rPr>
        <w:t>both</w:t>
      </w:r>
      <w:r>
        <w:rPr>
          <w:spacing w:val="22"/>
          <w:sz w:val="20"/>
        </w:rPr>
        <w:t> </w:t>
      </w:r>
      <w:r>
        <w:rPr>
          <w:sz w:val="20"/>
        </w:rPr>
        <w:t>public</w:t>
      </w:r>
      <w:r>
        <w:rPr>
          <w:spacing w:val="22"/>
          <w:sz w:val="20"/>
        </w:rPr>
        <w:t> </w:t>
      </w:r>
      <w:r>
        <w:rPr>
          <w:sz w:val="20"/>
        </w:rPr>
        <w:t>policy</w:t>
      </w:r>
      <w:r>
        <w:rPr>
          <w:spacing w:val="22"/>
          <w:sz w:val="20"/>
        </w:rPr>
        <w:t> </w:t>
      </w:r>
      <w:r>
        <w:rPr>
          <w:sz w:val="20"/>
        </w:rPr>
        <w:t>and</w:t>
      </w:r>
      <w:r>
        <w:rPr>
          <w:spacing w:val="22"/>
          <w:sz w:val="20"/>
        </w:rPr>
        <w:t> </w:t>
      </w:r>
      <w:r>
        <w:rPr>
          <w:sz w:val="20"/>
        </w:rPr>
        <w:t>want</w:t>
      </w:r>
      <w:r>
        <w:rPr>
          <w:spacing w:val="22"/>
          <w:sz w:val="20"/>
        </w:rPr>
        <w:t> </w:t>
      </w:r>
      <w:r>
        <w:rPr>
          <w:sz w:val="20"/>
        </w:rPr>
        <w:t>of consideration are relied on to explain the rule.</w:t>
      </w:r>
    </w:p>
    <w:p>
      <w:pPr>
        <w:pStyle w:val="BodyText"/>
        <w:spacing w:before="9"/>
      </w:pPr>
    </w:p>
    <w:p>
      <w:pPr>
        <w:spacing w:line="235" w:lineRule="auto" w:before="1"/>
        <w:ind w:left="705" w:right="167" w:hanging="541"/>
        <w:jc w:val="both"/>
        <w:rPr>
          <w:sz w:val="20"/>
        </w:rPr>
      </w:pPr>
      <w:bookmarkStart w:name="_bookmark713" w:id="715"/>
      <w:bookmarkEnd w:id="715"/>
      <w:r>
        <w:rPr/>
      </w:r>
      <w:hyperlink w:history="true" w:anchor="_bookmark667">
        <w:r>
          <w:rPr>
            <w:color w:val="005DA1"/>
            <w:position w:val="5"/>
            <w:sz w:val="14"/>
            <w:u w:val="single" w:color="005DA1"/>
          </w:rPr>
          <w:t>359</w:t>
        </w:r>
      </w:hyperlink>
      <w:r>
        <w:rPr>
          <w:position w:val="5"/>
          <w:sz w:val="14"/>
        </w:rPr>
        <w:t>.</w:t>
      </w:r>
      <w:r>
        <w:rPr>
          <w:spacing w:val="80"/>
          <w:position w:val="5"/>
          <w:sz w:val="14"/>
        </w:rPr>
        <w:t>  </w:t>
      </w:r>
      <w:r>
        <w:rPr>
          <w:rFonts w:ascii="Arial" w:hAnsi="Arial"/>
          <w:i/>
          <w:sz w:val="20"/>
        </w:rPr>
        <w:t>North Ocean Shipping Co Ltd v Hyundai Construction Co Ltd (The Atlantic Baron) [1979] Q.B. 705, 712</w:t>
      </w:r>
      <w:r>
        <w:rPr>
          <w:sz w:val="20"/>
        </w:rPr>
        <w:t>, where the rule in </w:t>
      </w:r>
      <w:r>
        <w:rPr>
          <w:rFonts w:ascii="Arial" w:hAnsi="Arial"/>
          <w:i/>
          <w:sz w:val="20"/>
        </w:rPr>
        <w:t>Stilk v Myrick </w:t>
      </w:r>
      <w:r>
        <w:rPr>
          <w:sz w:val="20"/>
        </w:rPr>
        <w:t>was recognised as being still good law, though held inapplicable for reasons stated in para.4-068, below; Coote [1980] C.L.J. 40; </w:t>
      </w:r>
      <w:r>
        <w:rPr>
          <w:rFonts w:ascii="Arial" w:hAnsi="Arial"/>
          <w:i/>
          <w:sz w:val="20"/>
        </w:rPr>
        <w:t>South </w:t>
      </w:r>
      <w:r>
        <w:rPr>
          <w:rFonts w:ascii="Arial" w:hAnsi="Arial"/>
          <w:i/>
          <w:sz w:val="20"/>
        </w:rPr>
        <w:t>Caribbean Trading</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Trafigura</w:t>
      </w:r>
      <w:r>
        <w:rPr>
          <w:rFonts w:ascii="Arial" w:hAnsi="Arial"/>
          <w:i/>
          <w:spacing w:val="-2"/>
          <w:sz w:val="20"/>
        </w:rPr>
        <w:t> </w:t>
      </w:r>
      <w:r>
        <w:rPr>
          <w:rFonts w:ascii="Arial" w:hAnsi="Arial"/>
          <w:i/>
          <w:sz w:val="20"/>
        </w:rPr>
        <w:t>Beheer</w:t>
      </w:r>
      <w:r>
        <w:rPr>
          <w:rFonts w:ascii="Arial" w:hAnsi="Arial"/>
          <w:i/>
          <w:spacing w:val="-2"/>
          <w:sz w:val="20"/>
        </w:rPr>
        <w:t> </w:t>
      </w:r>
      <w:r>
        <w:rPr>
          <w:rFonts w:ascii="Arial" w:hAnsi="Arial"/>
          <w:i/>
          <w:sz w:val="20"/>
        </w:rPr>
        <w:t>BV</w:t>
      </w:r>
      <w:r>
        <w:rPr>
          <w:rFonts w:ascii="Arial" w:hAnsi="Arial"/>
          <w:i/>
          <w:spacing w:val="-2"/>
          <w:sz w:val="20"/>
        </w:rPr>
        <w:t> </w:t>
      </w:r>
      <w:r>
        <w:rPr>
          <w:rFonts w:ascii="Arial" w:hAnsi="Arial"/>
          <w:i/>
          <w:sz w:val="20"/>
        </w:rPr>
        <w:t>[2004]</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2676,</w:t>
      </w:r>
      <w:r>
        <w:rPr>
          <w:rFonts w:ascii="Arial" w:hAnsi="Arial"/>
          <w:i/>
          <w:spacing w:val="-2"/>
          <w:sz w:val="20"/>
        </w:rPr>
        <w:t> </w:t>
      </w:r>
      <w:r>
        <w:rPr>
          <w:rFonts w:ascii="Arial" w:hAnsi="Arial"/>
          <w:i/>
          <w:sz w:val="20"/>
        </w:rPr>
        <w:t>[2005]</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128</w:t>
      </w:r>
      <w:r>
        <w:rPr>
          <w:rFonts w:ascii="Arial" w:hAnsi="Arial"/>
          <w:i/>
          <w:spacing w:val="-3"/>
          <w:sz w:val="20"/>
        </w:rPr>
        <w:t> </w:t>
      </w:r>
      <w:r>
        <w:rPr>
          <w:sz w:val="20"/>
        </w:rPr>
        <w:t>at</w:t>
      </w:r>
      <w:r>
        <w:rPr>
          <w:spacing w:val="-2"/>
          <w:sz w:val="20"/>
        </w:rPr>
        <w:t> </w:t>
      </w:r>
      <w:r>
        <w:rPr>
          <w:sz w:val="20"/>
        </w:rPr>
        <w:t>[107],</w:t>
      </w:r>
      <w:r>
        <w:rPr>
          <w:spacing w:val="-2"/>
          <w:sz w:val="20"/>
        </w:rPr>
        <w:t> </w:t>
      </w:r>
      <w:r>
        <w:rPr>
          <w:sz w:val="20"/>
        </w:rPr>
        <w:t>as</w:t>
      </w:r>
      <w:r>
        <w:rPr>
          <w:spacing w:val="-2"/>
          <w:sz w:val="20"/>
        </w:rPr>
        <w:t> </w:t>
      </w:r>
      <w:r>
        <w:rPr>
          <w:sz w:val="20"/>
        </w:rPr>
        <w:t>to which case see also below, paras 4-070, 4-080.</w:t>
      </w:r>
    </w:p>
    <w:p>
      <w:pPr>
        <w:pStyle w:val="BodyText"/>
        <w:spacing w:before="8"/>
      </w:pPr>
    </w:p>
    <w:p>
      <w:pPr>
        <w:spacing w:line="235" w:lineRule="auto" w:before="0"/>
        <w:ind w:left="705" w:right="167" w:hanging="541"/>
        <w:jc w:val="both"/>
        <w:rPr>
          <w:rFonts w:ascii="Arial" w:hAnsi="Arial"/>
          <w:i/>
          <w:sz w:val="20"/>
        </w:rPr>
      </w:pPr>
      <w:bookmarkStart w:name="_bookmark714" w:id="716"/>
      <w:bookmarkEnd w:id="716"/>
      <w:r>
        <w:rPr/>
      </w:r>
      <w:hyperlink w:history="true" w:anchor="_bookmark668">
        <w:r>
          <w:rPr>
            <w:color w:val="005DA1"/>
            <w:position w:val="5"/>
            <w:sz w:val="14"/>
            <w:u w:val="single" w:color="005DA1"/>
          </w:rPr>
          <w:t>360</w:t>
        </w:r>
      </w:hyperlink>
      <w:r>
        <w:rPr>
          <w:position w:val="5"/>
          <w:sz w:val="14"/>
        </w:rPr>
        <w:t>.</w:t>
      </w:r>
      <w:r>
        <w:rPr>
          <w:spacing w:val="40"/>
          <w:position w:val="5"/>
          <w:sz w:val="14"/>
        </w:rPr>
        <w:t>  </w:t>
      </w:r>
      <w:r>
        <w:rPr>
          <w:rFonts w:ascii="Arial" w:hAnsi="Arial"/>
          <w:i/>
          <w:sz w:val="20"/>
        </w:rPr>
        <w:t>Harrison v Dodd (1914) 111 L.T. 47</w:t>
      </w:r>
      <w:r>
        <w:rPr>
          <w:sz w:val="20"/>
        </w:rPr>
        <w:t>; </w:t>
      </w:r>
      <w:r>
        <w:rPr>
          <w:rFonts w:ascii="Arial" w:hAnsi="Arial"/>
          <w:i/>
          <w:sz w:val="20"/>
        </w:rPr>
        <w:t>Swain v West (Butchers) Ltd [1936] 3 All E.R. 261</w:t>
      </w:r>
      <w:r>
        <w:rPr>
          <w:sz w:val="20"/>
        </w:rPr>
        <w:t>; </w:t>
      </w:r>
      <w:r>
        <w:rPr>
          <w:rFonts w:ascii="Arial" w:hAnsi="Arial"/>
          <w:i/>
          <w:sz w:val="20"/>
        </w:rPr>
        <w:t>North Ocean Shipping Co Ltd v Hyundai Construction Co Ltd (The Atlantic Baron) [1979] Q.B. 705, 712</w:t>
      </w:r>
      <w:r>
        <w:rPr>
          <w:sz w:val="20"/>
        </w:rPr>
        <w:t>; </w:t>
      </w:r>
      <w:r>
        <w:rPr>
          <w:rFonts w:ascii="Arial" w:hAnsi="Arial"/>
          <w:i/>
          <w:sz w:val="20"/>
        </w:rPr>
        <w:t>Pao On v Lau Yiu Long [1980] A.C. 614, 633</w:t>
      </w:r>
      <w:r>
        <w:rPr>
          <w:sz w:val="20"/>
        </w:rPr>
        <w:t>; </w:t>
      </w:r>
      <w:r>
        <w:rPr>
          <w:rFonts w:ascii="Arial" w:hAnsi="Arial"/>
          <w:i/>
          <w:sz w:val="20"/>
        </w:rPr>
        <w:t>Sybron Corp. v Rochem Ltd [1983] I.C.R. 801, 817</w:t>
      </w:r>
      <w:r>
        <w:rPr>
          <w:sz w:val="20"/>
        </w:rPr>
        <w:t>; </w:t>
      </w:r>
      <w:r>
        <w:rPr>
          <w:rFonts w:ascii="Arial" w:hAnsi="Arial"/>
          <w:i/>
          <w:sz w:val="20"/>
        </w:rPr>
        <w:t>Vantage Navigation Corp. v Suhail and Saud Building Materials LLC (The Alev)</w:t>
      </w:r>
      <w:r>
        <w:rPr>
          <w:rFonts w:ascii="Arial" w:hAnsi="Arial"/>
          <w:i/>
          <w:spacing w:val="40"/>
          <w:sz w:val="20"/>
        </w:rPr>
        <w:t> </w:t>
      </w:r>
      <w:r>
        <w:rPr>
          <w:rFonts w:ascii="Arial" w:hAnsi="Arial"/>
          <w:i/>
          <w:sz w:val="20"/>
        </w:rPr>
        <w:t>[1989]</w:t>
      </w:r>
      <w:r>
        <w:rPr>
          <w:rFonts w:ascii="Arial" w:hAnsi="Arial"/>
          <w:i/>
          <w:spacing w:val="11"/>
          <w:sz w:val="20"/>
        </w:rPr>
        <w:t> </w:t>
      </w:r>
      <w:r>
        <w:rPr>
          <w:rFonts w:ascii="Arial" w:hAnsi="Arial"/>
          <w:i/>
          <w:sz w:val="20"/>
        </w:rPr>
        <w:t>1</w:t>
      </w:r>
      <w:r>
        <w:rPr>
          <w:rFonts w:ascii="Arial" w:hAnsi="Arial"/>
          <w:i/>
          <w:spacing w:val="12"/>
          <w:sz w:val="20"/>
        </w:rPr>
        <w:t> </w:t>
      </w:r>
      <w:r>
        <w:rPr>
          <w:rFonts w:ascii="Arial" w:hAnsi="Arial"/>
          <w:i/>
          <w:sz w:val="20"/>
        </w:rPr>
        <w:t>Lloyd’s</w:t>
      </w:r>
      <w:r>
        <w:rPr>
          <w:rFonts w:ascii="Arial" w:hAnsi="Arial"/>
          <w:i/>
          <w:spacing w:val="12"/>
          <w:sz w:val="20"/>
        </w:rPr>
        <w:t> </w:t>
      </w:r>
      <w:r>
        <w:rPr>
          <w:rFonts w:ascii="Arial" w:hAnsi="Arial"/>
          <w:i/>
          <w:sz w:val="20"/>
        </w:rPr>
        <w:t>Rep.</w:t>
      </w:r>
      <w:r>
        <w:rPr>
          <w:rFonts w:ascii="Arial" w:hAnsi="Arial"/>
          <w:i/>
          <w:spacing w:val="12"/>
          <w:sz w:val="20"/>
        </w:rPr>
        <w:t> </w:t>
      </w:r>
      <w:r>
        <w:rPr>
          <w:rFonts w:ascii="Arial" w:hAnsi="Arial"/>
          <w:i/>
          <w:sz w:val="20"/>
        </w:rPr>
        <w:t>138,</w:t>
      </w:r>
      <w:r>
        <w:rPr>
          <w:rFonts w:ascii="Arial" w:hAnsi="Arial"/>
          <w:i/>
          <w:spacing w:val="12"/>
          <w:sz w:val="20"/>
        </w:rPr>
        <w:t> </w:t>
      </w:r>
      <w:r>
        <w:rPr>
          <w:rFonts w:ascii="Arial" w:hAnsi="Arial"/>
          <w:i/>
          <w:sz w:val="20"/>
        </w:rPr>
        <w:t>147</w:t>
      </w:r>
      <w:r>
        <w:rPr>
          <w:sz w:val="20"/>
        </w:rPr>
        <w:t>;</w:t>
      </w:r>
      <w:r>
        <w:rPr>
          <w:spacing w:val="12"/>
          <w:sz w:val="20"/>
        </w:rPr>
        <w:t> </w:t>
      </w:r>
      <w:r>
        <w:rPr>
          <w:rFonts w:ascii="Arial" w:hAnsi="Arial"/>
          <w:i/>
          <w:sz w:val="20"/>
        </w:rPr>
        <w:t>Hadley</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Kemp</w:t>
      </w:r>
      <w:r>
        <w:rPr>
          <w:rFonts w:ascii="Arial" w:hAnsi="Arial"/>
          <w:i/>
          <w:spacing w:val="11"/>
          <w:sz w:val="20"/>
        </w:rPr>
        <w:t> </w:t>
      </w:r>
      <w:r>
        <w:rPr>
          <w:rFonts w:ascii="Arial" w:hAnsi="Arial"/>
          <w:i/>
          <w:sz w:val="20"/>
        </w:rPr>
        <w:t>[1999]</w:t>
      </w:r>
      <w:r>
        <w:rPr>
          <w:rFonts w:ascii="Arial" w:hAnsi="Arial"/>
          <w:i/>
          <w:spacing w:val="12"/>
          <w:sz w:val="20"/>
        </w:rPr>
        <w:t> </w:t>
      </w:r>
      <w:r>
        <w:rPr>
          <w:rFonts w:ascii="Arial" w:hAnsi="Arial"/>
          <w:i/>
          <w:sz w:val="20"/>
        </w:rPr>
        <w:t>E.M.L.R.</w:t>
      </w:r>
      <w:r>
        <w:rPr>
          <w:rFonts w:ascii="Arial" w:hAnsi="Arial"/>
          <w:i/>
          <w:spacing w:val="12"/>
          <w:sz w:val="20"/>
        </w:rPr>
        <w:t> </w:t>
      </w:r>
      <w:r>
        <w:rPr>
          <w:rFonts w:ascii="Arial" w:hAnsi="Arial"/>
          <w:i/>
          <w:sz w:val="20"/>
        </w:rPr>
        <w:t>586,</w:t>
      </w:r>
      <w:r>
        <w:rPr>
          <w:rFonts w:ascii="Arial" w:hAnsi="Arial"/>
          <w:i/>
          <w:spacing w:val="12"/>
          <w:sz w:val="20"/>
        </w:rPr>
        <w:t> </w:t>
      </w:r>
      <w:r>
        <w:rPr>
          <w:rFonts w:ascii="Arial" w:hAnsi="Arial"/>
          <w:i/>
          <w:sz w:val="20"/>
        </w:rPr>
        <w:t>626</w:t>
      </w:r>
      <w:r>
        <w:rPr>
          <w:sz w:val="20"/>
        </w:rPr>
        <w:t>.</w:t>
      </w:r>
      <w:r>
        <w:rPr>
          <w:spacing w:val="12"/>
          <w:sz w:val="20"/>
        </w:rPr>
        <w:t> </w:t>
      </w:r>
      <w:r>
        <w:rPr>
          <w:sz w:val="20"/>
        </w:rPr>
        <w:t>In</w:t>
      </w:r>
      <w:r>
        <w:rPr>
          <w:spacing w:val="12"/>
          <w:sz w:val="20"/>
        </w:rPr>
        <w:t> </w:t>
      </w:r>
      <w:r>
        <w:rPr>
          <w:rFonts w:ascii="Arial" w:hAnsi="Arial"/>
          <w:i/>
          <w:sz w:val="20"/>
        </w:rPr>
        <w:t>WRN</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pacing w:val="-2"/>
          <w:sz w:val="20"/>
        </w:rPr>
        <w:t>Ayris</w:t>
      </w:r>
    </w:p>
    <w:p>
      <w:pPr>
        <w:pStyle w:val="BodyText"/>
        <w:spacing w:line="235" w:lineRule="auto"/>
        <w:ind w:left="705" w:right="167"/>
        <w:jc w:val="both"/>
      </w:pPr>
      <w:r>
        <w:rPr>
          <w:rFonts w:ascii="Arial" w:hAnsi="Arial"/>
          <w:i/>
        </w:rPr>
        <w:t>[2008] EWHC 1080 (QB), [2008] I.R.L.R. 889 </w:t>
      </w:r>
      <w:r>
        <w:rPr/>
        <w:t>at [46] it was likewise accepted by counsel for both parties that “a promise to perform an earlier contract [between the same parties] … </w:t>
      </w:r>
      <w:r>
        <w:rPr/>
        <w:t>cannot in law constitute consideration.”</w:t>
      </w:r>
    </w:p>
    <w:p>
      <w:pPr>
        <w:pStyle w:val="BodyText"/>
        <w:spacing w:before="6"/>
      </w:pPr>
    </w:p>
    <w:p>
      <w:pPr>
        <w:tabs>
          <w:tab w:pos="705" w:val="left" w:leader="none"/>
        </w:tabs>
        <w:spacing w:line="235" w:lineRule="auto" w:before="1"/>
        <w:ind w:left="705" w:right="168" w:hanging="541"/>
        <w:jc w:val="left"/>
        <w:rPr>
          <w:sz w:val="20"/>
        </w:rPr>
      </w:pPr>
      <w:bookmarkStart w:name="_bookmark715" w:id="717"/>
      <w:bookmarkEnd w:id="717"/>
      <w:r>
        <w:rPr/>
      </w:r>
      <w:hyperlink w:history="true" w:anchor="_bookmark669">
        <w:r>
          <w:rPr>
            <w:color w:val="005DA1"/>
            <w:spacing w:val="-4"/>
            <w:position w:val="5"/>
            <w:sz w:val="14"/>
            <w:u w:val="single" w:color="005DA1"/>
          </w:rPr>
          <w:t>361</w:t>
        </w:r>
      </w:hyperlink>
      <w:r>
        <w:rPr>
          <w:spacing w:val="-4"/>
          <w:position w:val="5"/>
          <w:sz w:val="14"/>
        </w:rPr>
        <w:t>.</w:t>
      </w:r>
      <w:r>
        <w:rPr>
          <w:position w:val="5"/>
          <w:sz w:val="14"/>
        </w:rPr>
        <w:tab/>
      </w:r>
      <w:r>
        <w:rPr>
          <w:rFonts w:ascii="Arial" w:hAnsi="Arial"/>
          <w:i/>
          <w:sz w:val="20"/>
        </w:rPr>
        <w:t>Syros</w:t>
      </w:r>
      <w:r>
        <w:rPr>
          <w:rFonts w:ascii="Arial" w:hAnsi="Arial"/>
          <w:i/>
          <w:spacing w:val="19"/>
          <w:sz w:val="20"/>
        </w:rPr>
        <w:t> </w:t>
      </w:r>
      <w:r>
        <w:rPr>
          <w:rFonts w:ascii="Arial" w:hAnsi="Arial"/>
          <w:i/>
          <w:sz w:val="20"/>
        </w:rPr>
        <w:t>Shipping</w:t>
      </w:r>
      <w:r>
        <w:rPr>
          <w:rFonts w:ascii="Arial" w:hAnsi="Arial"/>
          <w:i/>
          <w:spacing w:val="19"/>
          <w:sz w:val="20"/>
        </w:rPr>
        <w:t> </w:t>
      </w:r>
      <w:r>
        <w:rPr>
          <w:rFonts w:ascii="Arial" w:hAnsi="Arial"/>
          <w:i/>
          <w:sz w:val="20"/>
        </w:rPr>
        <w:t>Co</w:t>
      </w:r>
      <w:r>
        <w:rPr>
          <w:rFonts w:ascii="Arial" w:hAnsi="Arial"/>
          <w:i/>
          <w:spacing w:val="19"/>
          <w:sz w:val="20"/>
        </w:rPr>
        <w:t> </w:t>
      </w:r>
      <w:r>
        <w:rPr>
          <w:rFonts w:ascii="Arial" w:hAnsi="Arial"/>
          <w:i/>
          <w:sz w:val="20"/>
        </w:rPr>
        <w:t>SA</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Elaghill</w:t>
      </w:r>
      <w:r>
        <w:rPr>
          <w:rFonts w:ascii="Arial" w:hAnsi="Arial"/>
          <w:i/>
          <w:spacing w:val="19"/>
          <w:sz w:val="20"/>
        </w:rPr>
        <w:t> </w:t>
      </w:r>
      <w:r>
        <w:rPr>
          <w:rFonts w:ascii="Arial" w:hAnsi="Arial"/>
          <w:i/>
          <w:sz w:val="20"/>
        </w:rPr>
        <w:t>Trading</w:t>
      </w:r>
      <w:r>
        <w:rPr>
          <w:rFonts w:ascii="Arial" w:hAnsi="Arial"/>
          <w:i/>
          <w:spacing w:val="19"/>
          <w:sz w:val="20"/>
        </w:rPr>
        <w:t> </w:t>
      </w:r>
      <w:r>
        <w:rPr>
          <w:rFonts w:ascii="Arial" w:hAnsi="Arial"/>
          <w:i/>
          <w:sz w:val="20"/>
        </w:rPr>
        <w:t>Co</w:t>
      </w:r>
      <w:r>
        <w:rPr>
          <w:rFonts w:ascii="Arial" w:hAnsi="Arial"/>
          <w:i/>
          <w:spacing w:val="19"/>
          <w:sz w:val="20"/>
        </w:rPr>
        <w:t> </w:t>
      </w:r>
      <w:r>
        <w:rPr>
          <w:rFonts w:ascii="Arial" w:hAnsi="Arial"/>
          <w:i/>
          <w:sz w:val="20"/>
        </w:rPr>
        <w:t>Ltd</w:t>
      </w:r>
      <w:r>
        <w:rPr>
          <w:rFonts w:ascii="Arial" w:hAnsi="Arial"/>
          <w:i/>
          <w:spacing w:val="19"/>
          <w:sz w:val="20"/>
        </w:rPr>
        <w:t> </w:t>
      </w:r>
      <w:r>
        <w:rPr>
          <w:rFonts w:ascii="Arial" w:hAnsi="Arial"/>
          <w:i/>
          <w:sz w:val="20"/>
        </w:rPr>
        <w:t>(The</w:t>
      </w:r>
      <w:r>
        <w:rPr>
          <w:rFonts w:ascii="Arial" w:hAnsi="Arial"/>
          <w:i/>
          <w:spacing w:val="19"/>
          <w:sz w:val="20"/>
        </w:rPr>
        <w:t> </w:t>
      </w:r>
      <w:r>
        <w:rPr>
          <w:rFonts w:ascii="Arial" w:hAnsi="Arial"/>
          <w:i/>
          <w:sz w:val="20"/>
        </w:rPr>
        <w:t>Proodos</w:t>
      </w:r>
      <w:r>
        <w:rPr>
          <w:rFonts w:ascii="Arial" w:hAnsi="Arial"/>
          <w:i/>
          <w:spacing w:val="19"/>
          <w:sz w:val="20"/>
        </w:rPr>
        <w:t> </w:t>
      </w:r>
      <w:r>
        <w:rPr>
          <w:rFonts w:ascii="Arial" w:hAnsi="Arial"/>
          <w:i/>
          <w:sz w:val="20"/>
        </w:rPr>
        <w:t>C)</w:t>
      </w:r>
      <w:r>
        <w:rPr>
          <w:rFonts w:ascii="Arial" w:hAnsi="Arial"/>
          <w:i/>
          <w:spacing w:val="19"/>
          <w:sz w:val="20"/>
        </w:rPr>
        <w:t> </w:t>
      </w:r>
      <w:r>
        <w:rPr>
          <w:rFonts w:ascii="Arial" w:hAnsi="Arial"/>
          <w:i/>
          <w:sz w:val="20"/>
        </w:rPr>
        <w:t>[1980]</w:t>
      </w:r>
      <w:r>
        <w:rPr>
          <w:rFonts w:ascii="Arial" w:hAnsi="Arial"/>
          <w:i/>
          <w:spacing w:val="19"/>
          <w:sz w:val="20"/>
        </w:rPr>
        <w:t> </w:t>
      </w:r>
      <w:r>
        <w:rPr>
          <w:rFonts w:ascii="Arial" w:hAnsi="Arial"/>
          <w:i/>
          <w:sz w:val="20"/>
        </w:rPr>
        <w:t>2</w:t>
      </w:r>
      <w:r>
        <w:rPr>
          <w:rFonts w:ascii="Arial" w:hAnsi="Arial"/>
          <w:i/>
          <w:spacing w:val="19"/>
          <w:sz w:val="20"/>
        </w:rPr>
        <w:t> </w:t>
      </w:r>
      <w:r>
        <w:rPr>
          <w:rFonts w:ascii="Arial" w:hAnsi="Arial"/>
          <w:i/>
          <w:sz w:val="20"/>
        </w:rPr>
        <w:t>Lloyd’s</w:t>
      </w:r>
      <w:r>
        <w:rPr>
          <w:rFonts w:ascii="Arial" w:hAnsi="Arial"/>
          <w:i/>
          <w:spacing w:val="19"/>
          <w:sz w:val="20"/>
        </w:rPr>
        <w:t> </w:t>
      </w:r>
      <w:r>
        <w:rPr>
          <w:rFonts w:ascii="Arial" w:hAnsi="Arial"/>
          <w:i/>
          <w:sz w:val="20"/>
        </w:rPr>
        <w:t>Rep.</w:t>
      </w:r>
      <w:r>
        <w:rPr>
          <w:rFonts w:ascii="Arial" w:hAnsi="Arial"/>
          <w:i/>
          <w:spacing w:val="19"/>
          <w:sz w:val="20"/>
        </w:rPr>
        <w:t> </w:t>
      </w:r>
      <w:r>
        <w:rPr>
          <w:rFonts w:ascii="Arial" w:hAnsi="Arial"/>
          <w:i/>
          <w:sz w:val="20"/>
        </w:rPr>
        <w:t>390</w:t>
      </w:r>
      <w:r>
        <w:rPr>
          <w:sz w:val="20"/>
        </w:rPr>
        <w:t>; </w:t>
      </w:r>
      <w:r>
        <w:rPr>
          <w:rFonts w:ascii="Arial" w:hAnsi="Arial"/>
          <w:i/>
          <w:sz w:val="20"/>
        </w:rPr>
        <w:t>Atlas Express Ltd v Kafco (Importers and Distributors) Ltd [1989] 1 Q.B. 833</w:t>
      </w:r>
      <w:r>
        <w:rPr>
          <w:sz w:val="20"/>
        </w:rPr>
        <w:t>.</w:t>
      </w:r>
    </w:p>
    <w:p>
      <w:pPr>
        <w:pStyle w:val="BodyText"/>
        <w:spacing w:before="5"/>
      </w:pPr>
    </w:p>
    <w:p>
      <w:pPr>
        <w:tabs>
          <w:tab w:pos="705" w:val="left" w:leader="none"/>
        </w:tabs>
        <w:spacing w:before="0"/>
        <w:ind w:left="165" w:right="0" w:firstLine="0"/>
        <w:jc w:val="left"/>
        <w:rPr>
          <w:sz w:val="20"/>
        </w:rPr>
      </w:pPr>
      <w:bookmarkStart w:name="_bookmark716" w:id="718"/>
      <w:bookmarkEnd w:id="718"/>
      <w:r>
        <w:rPr/>
      </w:r>
      <w:hyperlink w:history="true" w:anchor="_bookmark670">
        <w:r>
          <w:rPr>
            <w:color w:val="005DA1"/>
            <w:spacing w:val="-4"/>
            <w:position w:val="5"/>
            <w:sz w:val="14"/>
            <w:u w:val="single" w:color="005DA1"/>
          </w:rPr>
          <w:t>362</w:t>
        </w:r>
      </w:hyperlink>
      <w:r>
        <w:rPr>
          <w:spacing w:val="-4"/>
          <w:position w:val="5"/>
          <w:sz w:val="14"/>
        </w:rPr>
        <w:t>.</w:t>
      </w:r>
      <w:r>
        <w:rPr>
          <w:position w:val="5"/>
          <w:sz w:val="14"/>
        </w:rPr>
        <w:tab/>
      </w:r>
      <w:r>
        <w:rPr>
          <w:rFonts w:ascii="Arial"/>
          <w:i/>
          <w:sz w:val="20"/>
        </w:rPr>
        <w:t>Vanbergen v St. Edmunds Properties Ltd [1933] 2 K.B. </w:t>
      </w:r>
      <w:r>
        <w:rPr>
          <w:rFonts w:ascii="Arial"/>
          <w:i/>
          <w:spacing w:val="-4"/>
          <w:sz w:val="20"/>
        </w:rPr>
        <w:t>223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17" w:id="719"/>
      <w:bookmarkEnd w:id="719"/>
      <w:r>
        <w:rPr/>
      </w:r>
      <w:hyperlink w:history="true" w:anchor="_bookmark671">
        <w:r>
          <w:rPr>
            <w:color w:val="005DA1"/>
            <w:spacing w:val="-4"/>
            <w:position w:val="5"/>
            <w:sz w:val="14"/>
            <w:u w:val="single" w:color="005DA1"/>
          </w:rPr>
          <w:t>363</w:t>
        </w:r>
      </w:hyperlink>
      <w:r>
        <w:rPr>
          <w:spacing w:val="-4"/>
          <w:position w:val="5"/>
          <w:sz w:val="14"/>
        </w:rPr>
        <w:t>.</w:t>
      </w:r>
      <w:r>
        <w:rPr>
          <w:position w:val="5"/>
          <w:sz w:val="14"/>
        </w:rPr>
        <w:tab/>
      </w:r>
      <w:r>
        <w:rPr>
          <w:sz w:val="20"/>
        </w:rPr>
        <w:t>At </w:t>
      </w:r>
      <w:r>
        <w:rPr>
          <w:spacing w:val="-2"/>
          <w:sz w:val="20"/>
        </w:rPr>
        <w:t>n.353.</w:t>
      </w:r>
    </w:p>
    <w:p>
      <w:pPr>
        <w:pStyle w:val="BodyText"/>
        <w:spacing w:before="5"/>
      </w:pPr>
    </w:p>
    <w:p>
      <w:pPr>
        <w:pStyle w:val="BodyText"/>
        <w:tabs>
          <w:tab w:pos="705" w:val="left" w:leader="none"/>
        </w:tabs>
        <w:ind w:left="165"/>
      </w:pPr>
      <w:bookmarkStart w:name="_bookmark718" w:id="720"/>
      <w:bookmarkEnd w:id="720"/>
      <w:r>
        <w:rPr/>
      </w:r>
      <w:hyperlink w:history="true" w:anchor="_bookmark672">
        <w:r>
          <w:rPr>
            <w:color w:val="005DA1"/>
            <w:spacing w:val="-4"/>
            <w:position w:val="5"/>
            <w:sz w:val="14"/>
            <w:u w:val="single" w:color="005DA1"/>
          </w:rPr>
          <w:t>364</w:t>
        </w:r>
      </w:hyperlink>
      <w:r>
        <w:rPr>
          <w:spacing w:val="-4"/>
          <w:position w:val="5"/>
          <w:sz w:val="14"/>
        </w:rPr>
        <w:t>.</w:t>
      </w:r>
      <w:r>
        <w:rPr>
          <w:position w:val="5"/>
          <w:sz w:val="14"/>
        </w:rPr>
        <w:tab/>
      </w:r>
      <w:r>
        <w:rPr/>
        <w:t>para.4-067,</w:t>
      </w:r>
      <w:r>
        <w:rPr>
          <w:spacing w:val="-2"/>
        </w:rPr>
        <w:t> </w:t>
      </w:r>
      <w:r>
        <w:rPr/>
        <w:t>at </w:t>
      </w:r>
      <w:r>
        <w:rPr>
          <w:spacing w:val="-2"/>
        </w:rPr>
        <w:t>nn.351–353.</w:t>
      </w:r>
    </w:p>
    <w:p>
      <w:pPr>
        <w:pStyle w:val="BodyText"/>
        <w:spacing w:before="5"/>
      </w:pPr>
    </w:p>
    <w:p>
      <w:pPr>
        <w:tabs>
          <w:tab w:pos="705" w:val="left" w:leader="none"/>
        </w:tabs>
        <w:spacing w:before="0"/>
        <w:ind w:left="165" w:right="0" w:firstLine="0"/>
        <w:jc w:val="left"/>
        <w:rPr>
          <w:sz w:val="20"/>
        </w:rPr>
      </w:pPr>
      <w:bookmarkStart w:name="_bookmark719" w:id="721"/>
      <w:bookmarkEnd w:id="721"/>
      <w:r>
        <w:rPr/>
      </w:r>
      <w:hyperlink w:history="true" w:anchor="_bookmark673">
        <w:r>
          <w:rPr>
            <w:color w:val="005DA1"/>
            <w:spacing w:val="-4"/>
            <w:position w:val="5"/>
            <w:sz w:val="14"/>
            <w:u w:val="single" w:color="005DA1"/>
          </w:rPr>
          <w:t>365</w:t>
        </w:r>
      </w:hyperlink>
      <w:r>
        <w:rPr>
          <w:spacing w:val="-4"/>
          <w:position w:val="5"/>
          <w:sz w:val="14"/>
        </w:rPr>
        <w:t>.</w:t>
      </w:r>
      <w:r>
        <w:rPr>
          <w:position w:val="5"/>
          <w:sz w:val="14"/>
        </w:rPr>
        <w:tab/>
      </w:r>
      <w:r>
        <w:rPr>
          <w:sz w:val="20"/>
        </w:rPr>
        <w:t>Below, Ch.8;</w:t>
      </w:r>
      <w:r>
        <w:rPr>
          <w:spacing w:val="-1"/>
          <w:sz w:val="20"/>
        </w:rPr>
        <w:t> </w:t>
      </w:r>
      <w:r>
        <w:rPr>
          <w:rFonts w:ascii="Arial"/>
          <w:i/>
          <w:sz w:val="20"/>
        </w:rPr>
        <w:t>Atlas Express Ltd v Kafco (Importers and Distributors) Ltd [1989] 1 Q.B. </w:t>
      </w:r>
      <w:r>
        <w:rPr>
          <w:rFonts w:ascii="Arial"/>
          <w:i/>
          <w:spacing w:val="-4"/>
          <w:sz w:val="20"/>
        </w:rPr>
        <w:t>833</w:t>
      </w:r>
      <w:r>
        <w:rPr>
          <w:spacing w:val="-4"/>
          <w:sz w:val="20"/>
        </w:rPr>
        <w:t>.</w:t>
      </w:r>
    </w:p>
    <w:p>
      <w:pPr>
        <w:pStyle w:val="BodyText"/>
        <w:spacing w:before="9"/>
      </w:pPr>
    </w:p>
    <w:p>
      <w:pPr>
        <w:spacing w:line="235" w:lineRule="auto" w:before="0"/>
        <w:ind w:left="705" w:right="167" w:hanging="541"/>
        <w:jc w:val="both"/>
        <w:rPr>
          <w:sz w:val="20"/>
        </w:rPr>
      </w:pPr>
      <w:bookmarkStart w:name="_bookmark720" w:id="722"/>
      <w:bookmarkEnd w:id="722"/>
      <w:r>
        <w:rPr/>
      </w:r>
      <w:hyperlink w:history="true" w:anchor="_bookmark674">
        <w:r>
          <w:rPr>
            <w:color w:val="005DA1"/>
            <w:position w:val="5"/>
            <w:sz w:val="14"/>
            <w:u w:val="single" w:color="005DA1"/>
          </w:rPr>
          <w:t>366</w:t>
        </w:r>
      </w:hyperlink>
      <w:r>
        <w:rPr>
          <w:position w:val="5"/>
          <w:sz w:val="14"/>
        </w:rPr>
        <w:t>.</w:t>
      </w:r>
      <w:r>
        <w:rPr>
          <w:spacing w:val="80"/>
          <w:position w:val="5"/>
          <w:sz w:val="14"/>
        </w:rPr>
        <w:t>  </w:t>
      </w:r>
      <w:r>
        <w:rPr>
          <w:sz w:val="20"/>
        </w:rPr>
        <w:t>This</w:t>
      </w:r>
      <w:r>
        <w:rPr>
          <w:spacing w:val="-2"/>
          <w:sz w:val="20"/>
        </w:rPr>
        <w:t> </w:t>
      </w:r>
      <w:r>
        <w:rPr>
          <w:sz w:val="20"/>
        </w:rPr>
        <w:t>would</w:t>
      </w:r>
      <w:r>
        <w:rPr>
          <w:spacing w:val="-2"/>
          <w:sz w:val="20"/>
        </w:rPr>
        <w:t> </w:t>
      </w:r>
      <w:r>
        <w:rPr>
          <w:sz w:val="20"/>
        </w:rPr>
        <w:t>have</w:t>
      </w:r>
      <w:r>
        <w:rPr>
          <w:spacing w:val="-2"/>
          <w:sz w:val="20"/>
        </w:rPr>
        <w:t> </w:t>
      </w:r>
      <w:r>
        <w:rPr>
          <w:sz w:val="20"/>
        </w:rPr>
        <w:t>been</w:t>
      </w:r>
      <w:r>
        <w:rPr>
          <w:spacing w:val="-2"/>
          <w:sz w:val="20"/>
        </w:rPr>
        <w:t> </w:t>
      </w:r>
      <w:r>
        <w:rPr>
          <w:sz w:val="20"/>
        </w:rPr>
        <w:t>the</w:t>
      </w:r>
      <w:r>
        <w:rPr>
          <w:spacing w:val="-2"/>
          <w:sz w:val="20"/>
        </w:rPr>
        <w:t> </w:t>
      </w:r>
      <w:r>
        <w:rPr>
          <w:sz w:val="20"/>
        </w:rPr>
        <w:t>result</w:t>
      </w:r>
      <w:r>
        <w:rPr>
          <w:spacing w:val="-2"/>
          <w:sz w:val="20"/>
        </w:rPr>
        <w:t> </w:t>
      </w:r>
      <w:r>
        <w:rPr>
          <w:sz w:val="20"/>
        </w:rPr>
        <w:t>in</w:t>
      </w:r>
      <w:r>
        <w:rPr>
          <w:spacing w:val="-3"/>
          <w:sz w:val="20"/>
        </w:rPr>
        <w:t> </w:t>
      </w:r>
      <w:r>
        <w:rPr>
          <w:rFonts w:ascii="Arial" w:hAnsi="Arial"/>
          <w:i/>
          <w:sz w:val="20"/>
        </w:rPr>
        <w:t>North</w:t>
      </w:r>
      <w:r>
        <w:rPr>
          <w:rFonts w:ascii="Arial" w:hAnsi="Arial"/>
          <w:i/>
          <w:spacing w:val="-2"/>
          <w:sz w:val="20"/>
        </w:rPr>
        <w:t> </w:t>
      </w:r>
      <w:r>
        <w:rPr>
          <w:rFonts w:ascii="Arial" w:hAnsi="Arial"/>
          <w:i/>
          <w:sz w:val="20"/>
        </w:rPr>
        <w:t>Ocean</w:t>
      </w:r>
      <w:r>
        <w:rPr>
          <w:rFonts w:ascii="Arial" w:hAnsi="Arial"/>
          <w:i/>
          <w:spacing w:val="-2"/>
          <w:sz w:val="20"/>
        </w:rPr>
        <w:t> </w:t>
      </w:r>
      <w:r>
        <w:rPr>
          <w:rFonts w:ascii="Arial" w:hAnsi="Arial"/>
          <w:i/>
          <w:sz w:val="20"/>
        </w:rPr>
        <w:t>Shipping</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Hyundai</w:t>
      </w:r>
      <w:r>
        <w:rPr>
          <w:rFonts w:ascii="Arial" w:hAnsi="Arial"/>
          <w:i/>
          <w:spacing w:val="-2"/>
          <w:sz w:val="20"/>
        </w:rPr>
        <w:t> </w:t>
      </w:r>
      <w:r>
        <w:rPr>
          <w:rFonts w:ascii="Arial" w:hAnsi="Arial"/>
          <w:i/>
          <w:sz w:val="20"/>
        </w:rPr>
        <w:t>Construction</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 (The Atlantic Baron)</w:t>
      </w:r>
      <w:r>
        <w:rPr>
          <w:sz w:val="20"/>
        </w:rPr>
        <w:t>, above, n.355, if the victim of the duress had not affirmed the contract. For cases</w:t>
      </w:r>
      <w:r>
        <w:rPr>
          <w:spacing w:val="-3"/>
          <w:sz w:val="20"/>
        </w:rPr>
        <w:t> </w:t>
      </w:r>
      <w:r>
        <w:rPr>
          <w:sz w:val="20"/>
        </w:rPr>
        <w:t>in</w:t>
      </w:r>
      <w:r>
        <w:rPr>
          <w:spacing w:val="-3"/>
          <w:sz w:val="20"/>
        </w:rPr>
        <w:t> </w:t>
      </w:r>
      <w:r>
        <w:rPr>
          <w:sz w:val="20"/>
        </w:rPr>
        <w:t>which</w:t>
      </w:r>
      <w:r>
        <w:rPr>
          <w:spacing w:val="-3"/>
          <w:sz w:val="20"/>
        </w:rPr>
        <w:t> </w:t>
      </w:r>
      <w:r>
        <w:rPr>
          <w:sz w:val="20"/>
        </w:rPr>
        <w:t>recovery</w:t>
      </w:r>
      <w:r>
        <w:rPr>
          <w:spacing w:val="-3"/>
          <w:sz w:val="20"/>
        </w:rPr>
        <w:t> </w:t>
      </w:r>
      <w:r>
        <w:rPr>
          <w:sz w:val="20"/>
        </w:rPr>
        <w:t>was</w:t>
      </w:r>
      <w:r>
        <w:rPr>
          <w:spacing w:val="-3"/>
          <w:sz w:val="20"/>
        </w:rPr>
        <w:t> </w:t>
      </w:r>
      <w:r>
        <w:rPr>
          <w:sz w:val="20"/>
        </w:rPr>
        <w:t>allowed</w:t>
      </w:r>
      <w:r>
        <w:rPr>
          <w:spacing w:val="-3"/>
          <w:sz w:val="20"/>
        </w:rPr>
        <w:t> </w:t>
      </w:r>
      <w:r>
        <w:rPr>
          <w:sz w:val="20"/>
        </w:rPr>
        <w:t>on</w:t>
      </w:r>
      <w:r>
        <w:rPr>
          <w:spacing w:val="-3"/>
          <w:sz w:val="20"/>
        </w:rPr>
        <w:t> </w:t>
      </w:r>
      <w:r>
        <w:rPr>
          <w:sz w:val="20"/>
        </w:rPr>
        <w:t>this</w:t>
      </w:r>
      <w:r>
        <w:rPr>
          <w:spacing w:val="-3"/>
          <w:sz w:val="20"/>
        </w:rPr>
        <w:t> </w:t>
      </w:r>
      <w:r>
        <w:rPr>
          <w:sz w:val="20"/>
        </w:rPr>
        <w:t>ground,</w:t>
      </w:r>
      <w:r>
        <w:rPr>
          <w:spacing w:val="-3"/>
          <w:sz w:val="20"/>
        </w:rPr>
        <w:t> </w:t>
      </w:r>
      <w:r>
        <w:rPr>
          <w:sz w:val="20"/>
        </w:rPr>
        <w:t>see</w:t>
      </w:r>
      <w:r>
        <w:rPr>
          <w:spacing w:val="-4"/>
          <w:sz w:val="20"/>
        </w:rPr>
        <w:t> </w:t>
      </w:r>
      <w:r>
        <w:rPr>
          <w:rFonts w:ascii="Arial" w:hAnsi="Arial"/>
          <w:i/>
          <w:sz w:val="20"/>
        </w:rPr>
        <w:t>Universe</w:t>
      </w:r>
      <w:r>
        <w:rPr>
          <w:rFonts w:ascii="Arial" w:hAnsi="Arial"/>
          <w:i/>
          <w:spacing w:val="-3"/>
          <w:sz w:val="20"/>
        </w:rPr>
        <w:t> </w:t>
      </w:r>
      <w:r>
        <w:rPr>
          <w:rFonts w:ascii="Arial" w:hAnsi="Arial"/>
          <w:i/>
          <w:sz w:val="20"/>
        </w:rPr>
        <w:t>Tankships</w:t>
      </w:r>
      <w:r>
        <w:rPr>
          <w:rFonts w:ascii="Arial" w:hAnsi="Arial"/>
          <w:i/>
          <w:spacing w:val="-3"/>
          <w:sz w:val="20"/>
        </w:rPr>
        <w:t> </w:t>
      </w:r>
      <w:r>
        <w:rPr>
          <w:rFonts w:ascii="Arial" w:hAnsi="Arial"/>
          <w:i/>
          <w:sz w:val="20"/>
        </w:rPr>
        <w:t>Inc</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International Transport Workers’ Federation (The Universe Sentinel) [1983] 1 A.C. 366</w:t>
      </w:r>
      <w:r>
        <w:rPr>
          <w:sz w:val="20"/>
        </w:rPr>
        <w:t>; </w:t>
      </w:r>
      <w:r>
        <w:rPr>
          <w:rFonts w:ascii="Arial" w:hAnsi="Arial"/>
          <w:i/>
          <w:sz w:val="20"/>
        </w:rPr>
        <w:t>B. &amp; S. Contracts &amp; Designs v Victor Green Publications Ltd [1984] I.C.R. 449</w:t>
      </w:r>
      <w:r>
        <w:rPr>
          <w:sz w:val="20"/>
        </w:rPr>
        <w:t>; and </w:t>
      </w:r>
      <w:r>
        <w:rPr>
          <w:rFonts w:ascii="Arial" w:hAnsi="Arial"/>
          <w:i/>
          <w:sz w:val="20"/>
        </w:rPr>
        <w:t>T. A. Sundell &amp; Sons Pty Ltd v Emm Yannoulatos (Overseas) Pty Ltd [1956] 56 S.R. (N.S.W.) 323</w:t>
      </w:r>
      <w:r>
        <w:rPr>
          <w:sz w:val="20"/>
        </w:rPr>
        <w:t>. See also </w:t>
      </w:r>
      <w:r>
        <w:rPr>
          <w:rFonts w:ascii="Arial" w:hAnsi="Arial"/>
          <w:i/>
          <w:sz w:val="20"/>
        </w:rPr>
        <w:t>Kolmar Group AG v Traxpo Enterprises Pvt Ltd [2010] EWHC 113 (Comm), [2010] 2 Lloyd’s Rep. 653 </w:t>
      </w:r>
      <w:r>
        <w:rPr>
          <w:sz w:val="20"/>
        </w:rPr>
        <w:t>where a seller</w:t>
      </w:r>
      <w:r>
        <w:rPr>
          <w:spacing w:val="12"/>
          <w:sz w:val="20"/>
        </w:rPr>
        <w:t> </w:t>
      </w:r>
      <w:r>
        <w:rPr>
          <w:sz w:val="20"/>
        </w:rPr>
        <w:t>of</w:t>
      </w:r>
      <w:r>
        <w:rPr>
          <w:spacing w:val="14"/>
          <w:sz w:val="20"/>
        </w:rPr>
        <w:t> </w:t>
      </w:r>
      <w:r>
        <w:rPr>
          <w:sz w:val="20"/>
        </w:rPr>
        <w:t>goods</w:t>
      </w:r>
      <w:r>
        <w:rPr>
          <w:spacing w:val="14"/>
          <w:sz w:val="20"/>
        </w:rPr>
        <w:t> </w:t>
      </w:r>
      <w:r>
        <w:rPr>
          <w:sz w:val="20"/>
        </w:rPr>
        <w:t>refused</w:t>
      </w:r>
      <w:r>
        <w:rPr>
          <w:spacing w:val="14"/>
          <w:sz w:val="20"/>
        </w:rPr>
        <w:t> </w:t>
      </w:r>
      <w:r>
        <w:rPr>
          <w:sz w:val="20"/>
        </w:rPr>
        <w:t>to</w:t>
      </w:r>
      <w:r>
        <w:rPr>
          <w:spacing w:val="14"/>
          <w:sz w:val="20"/>
        </w:rPr>
        <w:t> </w:t>
      </w:r>
      <w:r>
        <w:rPr>
          <w:sz w:val="20"/>
        </w:rPr>
        <w:t>deliver</w:t>
      </w:r>
      <w:r>
        <w:rPr>
          <w:spacing w:val="14"/>
          <w:sz w:val="20"/>
        </w:rPr>
        <w:t> </w:t>
      </w:r>
      <w:r>
        <w:rPr>
          <w:sz w:val="20"/>
        </w:rPr>
        <w:t>the</w:t>
      </w:r>
      <w:r>
        <w:rPr>
          <w:spacing w:val="14"/>
          <w:sz w:val="20"/>
        </w:rPr>
        <w:t> </w:t>
      </w:r>
      <w:r>
        <w:rPr>
          <w:sz w:val="20"/>
        </w:rPr>
        <w:t>full</w:t>
      </w:r>
      <w:r>
        <w:rPr>
          <w:spacing w:val="14"/>
          <w:sz w:val="20"/>
        </w:rPr>
        <w:t> </w:t>
      </w:r>
      <w:r>
        <w:rPr>
          <w:sz w:val="20"/>
        </w:rPr>
        <w:t>agreed</w:t>
      </w:r>
      <w:r>
        <w:rPr>
          <w:spacing w:val="14"/>
          <w:sz w:val="20"/>
        </w:rPr>
        <w:t> </w:t>
      </w:r>
      <w:r>
        <w:rPr>
          <w:sz w:val="20"/>
        </w:rPr>
        <w:t>quantity</w:t>
      </w:r>
      <w:r>
        <w:rPr>
          <w:spacing w:val="14"/>
          <w:sz w:val="20"/>
        </w:rPr>
        <w:t> </w:t>
      </w:r>
      <w:r>
        <w:rPr>
          <w:sz w:val="20"/>
        </w:rPr>
        <w:t>and</w:t>
      </w:r>
      <w:r>
        <w:rPr>
          <w:spacing w:val="14"/>
          <w:sz w:val="20"/>
        </w:rPr>
        <w:t> </w:t>
      </w:r>
      <w:r>
        <w:rPr>
          <w:sz w:val="20"/>
        </w:rPr>
        <w:t>demanded</w:t>
      </w:r>
      <w:r>
        <w:rPr>
          <w:spacing w:val="14"/>
          <w:sz w:val="20"/>
        </w:rPr>
        <w:t> </w:t>
      </w:r>
      <w:r>
        <w:rPr>
          <w:sz w:val="20"/>
        </w:rPr>
        <w:t>an</w:t>
      </w:r>
      <w:r>
        <w:rPr>
          <w:spacing w:val="14"/>
          <w:sz w:val="20"/>
        </w:rPr>
        <w:t> </w:t>
      </w:r>
      <w:r>
        <w:rPr>
          <w:sz w:val="20"/>
        </w:rPr>
        <w:t>increased</w:t>
      </w:r>
      <w:r>
        <w:rPr>
          <w:spacing w:val="14"/>
          <w:sz w:val="20"/>
        </w:rPr>
        <w:t> </w:t>
      </w:r>
      <w:r>
        <w:rPr>
          <w:sz w:val="20"/>
        </w:rPr>
        <w:t>price</w:t>
      </w:r>
      <w:r>
        <w:rPr>
          <w:spacing w:val="14"/>
          <w:sz w:val="20"/>
        </w:rPr>
        <w:t> </w:t>
      </w:r>
      <w:r>
        <w:rPr>
          <w:spacing w:val="-5"/>
          <w:sz w:val="20"/>
        </w:rPr>
        <w:t>in</w:t>
      </w:r>
    </w:p>
    <w:p>
      <w:pPr>
        <w:spacing w:after="0" w:line="235" w:lineRule="auto"/>
        <w:jc w:val="both"/>
        <w:rPr>
          <w:sz w:val="20"/>
        </w:rPr>
        <w:sectPr>
          <w:pgSz w:w="11900" w:h="16840"/>
          <w:pgMar w:header="971" w:footer="0" w:top="1160" w:bottom="280" w:left="1275" w:right="1275"/>
        </w:sectPr>
      </w:pPr>
    </w:p>
    <w:p>
      <w:pPr>
        <w:pStyle w:val="BodyText"/>
        <w:spacing w:before="24"/>
      </w:pPr>
    </w:p>
    <w:p>
      <w:pPr>
        <w:pStyle w:val="BodyText"/>
        <w:spacing w:line="235" w:lineRule="auto" w:before="1"/>
        <w:ind w:left="705" w:right="167"/>
        <w:jc w:val="both"/>
      </w:pPr>
      <w:r>
        <w:rPr/>
        <w:t>circumstances amounting to economic duress (see at [62], [94] and para.8-035 below) and </w:t>
      </w:r>
      <w:r>
        <w:rPr/>
        <w:t>the buyer was held to be entitled to restitution in respect of the extra payment made to the seller, whose “promise to perform a contractual obligation to which it was already subject</w:t>
      </w:r>
      <w:r>
        <w:rPr>
          <w:spacing w:val="40"/>
        </w:rPr>
        <w:t> </w:t>
      </w:r>
      <w:r>
        <w:rPr/>
        <w:t>accompanied by a threat of non-performance which amounted to economic duress” was “not good consideration” (at [118]).</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721" w:id="723"/>
      <w:bookmarkEnd w:id="723"/>
      <w:r>
        <w:rPr/>
      </w:r>
      <w:hyperlink w:history="true" w:anchor="_bookmark675">
        <w:r>
          <w:rPr>
            <w:color w:val="005DA1"/>
            <w:spacing w:val="-4"/>
            <w:position w:val="5"/>
            <w:sz w:val="14"/>
            <w:u w:val="single" w:color="005DA1"/>
          </w:rPr>
          <w:t>367</w:t>
        </w:r>
      </w:hyperlink>
      <w:r>
        <w:rPr>
          <w:spacing w:val="-4"/>
          <w:position w:val="5"/>
          <w:sz w:val="14"/>
        </w:rPr>
        <w:t>.</w:t>
      </w:r>
      <w:r>
        <w:rPr>
          <w:position w:val="5"/>
          <w:sz w:val="14"/>
        </w:rPr>
        <w:tab/>
      </w:r>
      <w:r>
        <w:rPr>
          <w:sz w:val="20"/>
        </w:rPr>
        <w:t>e.g.</w:t>
      </w:r>
      <w:r>
        <w:rPr>
          <w:spacing w:val="18"/>
          <w:sz w:val="20"/>
        </w:rPr>
        <w:t> </w:t>
      </w:r>
      <w:r>
        <w:rPr>
          <w:rFonts w:ascii="Arial"/>
          <w:i/>
          <w:sz w:val="20"/>
        </w:rPr>
        <w:t>North</w:t>
      </w:r>
      <w:r>
        <w:rPr>
          <w:rFonts w:ascii="Arial"/>
          <w:i/>
          <w:spacing w:val="18"/>
          <w:sz w:val="20"/>
        </w:rPr>
        <w:t> </w:t>
      </w:r>
      <w:r>
        <w:rPr>
          <w:rFonts w:ascii="Arial"/>
          <w:i/>
          <w:sz w:val="20"/>
        </w:rPr>
        <w:t>Ocean</w:t>
      </w:r>
      <w:r>
        <w:rPr>
          <w:rFonts w:ascii="Arial"/>
          <w:i/>
          <w:spacing w:val="18"/>
          <w:sz w:val="20"/>
        </w:rPr>
        <w:t> </w:t>
      </w:r>
      <w:r>
        <w:rPr>
          <w:rFonts w:ascii="Arial"/>
          <w:i/>
          <w:sz w:val="20"/>
        </w:rPr>
        <w:t>Shipping</w:t>
      </w:r>
      <w:r>
        <w:rPr>
          <w:rFonts w:ascii="Arial"/>
          <w:i/>
          <w:spacing w:val="18"/>
          <w:sz w:val="20"/>
        </w:rPr>
        <w:t> </w:t>
      </w:r>
      <w:r>
        <w:rPr>
          <w:rFonts w:ascii="Arial"/>
          <w:i/>
          <w:sz w:val="20"/>
        </w:rPr>
        <w:t>Co</w:t>
      </w:r>
      <w:r>
        <w:rPr>
          <w:rFonts w:ascii="Arial"/>
          <w:i/>
          <w:spacing w:val="18"/>
          <w:sz w:val="20"/>
        </w:rPr>
        <w:t> </w:t>
      </w:r>
      <w:r>
        <w:rPr>
          <w:rFonts w:ascii="Arial"/>
          <w:i/>
          <w:sz w:val="20"/>
        </w:rPr>
        <w:t>Ltd</w:t>
      </w:r>
      <w:r>
        <w:rPr>
          <w:rFonts w:ascii="Arial"/>
          <w:i/>
          <w:spacing w:val="18"/>
          <w:sz w:val="20"/>
        </w:rPr>
        <w:t> </w:t>
      </w:r>
      <w:r>
        <w:rPr>
          <w:rFonts w:ascii="Arial"/>
          <w:i/>
          <w:sz w:val="20"/>
        </w:rPr>
        <w:t>v</w:t>
      </w:r>
      <w:r>
        <w:rPr>
          <w:rFonts w:ascii="Arial"/>
          <w:i/>
          <w:spacing w:val="18"/>
          <w:sz w:val="20"/>
        </w:rPr>
        <w:t> </w:t>
      </w:r>
      <w:r>
        <w:rPr>
          <w:rFonts w:ascii="Arial"/>
          <w:i/>
          <w:sz w:val="20"/>
        </w:rPr>
        <w:t>Hyundai</w:t>
      </w:r>
      <w:r>
        <w:rPr>
          <w:rFonts w:ascii="Arial"/>
          <w:i/>
          <w:spacing w:val="18"/>
          <w:sz w:val="20"/>
        </w:rPr>
        <w:t> </w:t>
      </w:r>
      <w:r>
        <w:rPr>
          <w:rFonts w:ascii="Arial"/>
          <w:i/>
          <w:sz w:val="20"/>
        </w:rPr>
        <w:t>Construction</w:t>
      </w:r>
      <w:r>
        <w:rPr>
          <w:rFonts w:ascii="Arial"/>
          <w:i/>
          <w:spacing w:val="18"/>
          <w:sz w:val="20"/>
        </w:rPr>
        <w:t> </w:t>
      </w:r>
      <w:r>
        <w:rPr>
          <w:rFonts w:ascii="Arial"/>
          <w:i/>
          <w:sz w:val="20"/>
        </w:rPr>
        <w:t>Co</w:t>
      </w:r>
      <w:r>
        <w:rPr>
          <w:rFonts w:ascii="Arial"/>
          <w:i/>
          <w:spacing w:val="18"/>
          <w:sz w:val="20"/>
        </w:rPr>
        <w:t> </w:t>
      </w:r>
      <w:r>
        <w:rPr>
          <w:rFonts w:ascii="Arial"/>
          <w:i/>
          <w:sz w:val="20"/>
        </w:rPr>
        <w:t>Ltd</w:t>
      </w:r>
      <w:r>
        <w:rPr>
          <w:rFonts w:ascii="Arial"/>
          <w:i/>
          <w:spacing w:val="18"/>
          <w:sz w:val="20"/>
        </w:rPr>
        <w:t> </w:t>
      </w:r>
      <w:r>
        <w:rPr>
          <w:rFonts w:ascii="Arial"/>
          <w:i/>
          <w:sz w:val="20"/>
        </w:rPr>
        <w:t>(The</w:t>
      </w:r>
      <w:r>
        <w:rPr>
          <w:rFonts w:ascii="Arial"/>
          <w:i/>
          <w:spacing w:val="18"/>
          <w:sz w:val="20"/>
        </w:rPr>
        <w:t> </w:t>
      </w:r>
      <w:r>
        <w:rPr>
          <w:rFonts w:ascii="Arial"/>
          <w:i/>
          <w:sz w:val="20"/>
        </w:rPr>
        <w:t>Atlantic</w:t>
      </w:r>
      <w:r>
        <w:rPr>
          <w:rFonts w:ascii="Arial"/>
          <w:i/>
          <w:spacing w:val="18"/>
          <w:sz w:val="20"/>
        </w:rPr>
        <w:t> </w:t>
      </w:r>
      <w:r>
        <w:rPr>
          <w:rFonts w:ascii="Arial"/>
          <w:i/>
          <w:sz w:val="20"/>
        </w:rPr>
        <w:t>Baron)</w:t>
      </w:r>
      <w:r>
        <w:rPr>
          <w:rFonts w:ascii="Arial"/>
          <w:i/>
          <w:spacing w:val="18"/>
          <w:sz w:val="20"/>
        </w:rPr>
        <w:t> </w:t>
      </w:r>
      <w:r>
        <w:rPr>
          <w:rFonts w:ascii="Arial"/>
          <w:i/>
          <w:spacing w:val="-2"/>
          <w:sz w:val="20"/>
        </w:rPr>
        <w:t>[1979]</w:t>
      </w:r>
    </w:p>
    <w:p>
      <w:pPr>
        <w:spacing w:line="235" w:lineRule="auto" w:before="1"/>
        <w:ind w:left="705" w:right="168" w:firstLine="0"/>
        <w:jc w:val="left"/>
        <w:rPr>
          <w:sz w:val="20"/>
        </w:rPr>
      </w:pPr>
      <w:r>
        <w:rPr>
          <w:rFonts w:ascii="Arial" w:hAnsi="Arial"/>
          <w:i/>
          <w:sz w:val="20"/>
        </w:rPr>
        <w:t>Q.B. 705</w:t>
      </w:r>
      <w:r>
        <w:rPr>
          <w:sz w:val="20"/>
        </w:rPr>
        <w:t>; below, para.4-071; </w:t>
      </w:r>
      <w:r>
        <w:rPr>
          <w:rFonts w:ascii="Arial" w:hAnsi="Arial"/>
          <w:i/>
          <w:sz w:val="20"/>
        </w:rPr>
        <w:t>Vantage Navigation Corp. v Sahail and Saud Building </w:t>
      </w:r>
      <w:r>
        <w:rPr>
          <w:rFonts w:ascii="Arial" w:hAnsi="Arial"/>
          <w:i/>
          <w:sz w:val="20"/>
        </w:rPr>
        <w:t>Materials</w:t>
      </w:r>
      <w:r>
        <w:rPr>
          <w:rFonts w:ascii="Arial" w:hAnsi="Arial"/>
          <w:i/>
          <w:spacing w:val="40"/>
          <w:sz w:val="20"/>
        </w:rPr>
        <w:t> </w:t>
      </w:r>
      <w:r>
        <w:rPr>
          <w:rFonts w:ascii="Arial" w:hAnsi="Arial"/>
          <w:i/>
          <w:sz w:val="20"/>
        </w:rPr>
        <w:t>LLC (The Alev) [1989] 1 Lloyd’s Rep. 138, 147</w:t>
      </w:r>
      <w:r>
        <w:rPr>
          <w:sz w:val="20"/>
        </w:rPr>
        <w:t>.</w:t>
      </w:r>
    </w:p>
    <w:p>
      <w:pPr>
        <w:pStyle w:val="BodyText"/>
        <w:spacing w:before="6"/>
      </w:pPr>
    </w:p>
    <w:p>
      <w:pPr>
        <w:tabs>
          <w:tab w:pos="705" w:val="left" w:leader="none"/>
        </w:tabs>
        <w:spacing w:before="0"/>
        <w:ind w:left="165" w:right="0" w:firstLine="0"/>
        <w:jc w:val="left"/>
        <w:rPr>
          <w:sz w:val="20"/>
        </w:rPr>
      </w:pPr>
      <w:bookmarkStart w:name="_bookmark722" w:id="724"/>
      <w:bookmarkEnd w:id="724"/>
      <w:r>
        <w:rPr/>
      </w:r>
      <w:hyperlink w:history="true" w:anchor="_bookmark676">
        <w:r>
          <w:rPr>
            <w:color w:val="005DA1"/>
            <w:spacing w:val="-4"/>
            <w:position w:val="5"/>
            <w:sz w:val="14"/>
            <w:u w:val="single" w:color="005DA1"/>
          </w:rPr>
          <w:t>368</w:t>
        </w:r>
      </w:hyperlink>
      <w:r>
        <w:rPr>
          <w:spacing w:val="-4"/>
          <w:position w:val="5"/>
          <w:sz w:val="14"/>
        </w:rPr>
        <w:t>.</w:t>
      </w:r>
      <w:r>
        <w:rPr>
          <w:position w:val="5"/>
          <w:sz w:val="14"/>
        </w:rPr>
        <w:tab/>
      </w:r>
      <w:r>
        <w:rPr>
          <w:rFonts w:ascii="Arial"/>
          <w:i/>
          <w:sz w:val="20"/>
        </w:rPr>
        <w:t>Pao On v Lau Yiu Long [1980] A.C. 614, </w:t>
      </w:r>
      <w:r>
        <w:rPr>
          <w:rFonts w:ascii="Arial"/>
          <w:i/>
          <w:spacing w:val="-4"/>
          <w:sz w:val="20"/>
        </w:rPr>
        <w:t>632</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723" w:id="725"/>
      <w:bookmarkEnd w:id="725"/>
      <w:r>
        <w:rPr/>
      </w:r>
      <w:hyperlink w:history="true" w:anchor="_bookmark677">
        <w:r>
          <w:rPr>
            <w:color w:val="005DA1"/>
            <w:spacing w:val="-4"/>
            <w:position w:val="5"/>
            <w:sz w:val="14"/>
            <w:u w:val="single" w:color="005DA1"/>
          </w:rPr>
          <w:t>369</w:t>
        </w:r>
      </w:hyperlink>
      <w:r>
        <w:rPr>
          <w:spacing w:val="-4"/>
          <w:position w:val="5"/>
          <w:sz w:val="14"/>
        </w:rPr>
        <w:t>.</w:t>
      </w:r>
      <w:r>
        <w:rPr>
          <w:position w:val="5"/>
          <w:sz w:val="14"/>
        </w:rPr>
        <w:tab/>
      </w:r>
      <w:r>
        <w:rPr>
          <w:sz w:val="20"/>
        </w:rPr>
        <w:t>ibid.,</w:t>
      </w:r>
      <w:r>
        <w:rPr>
          <w:spacing w:val="38"/>
          <w:sz w:val="20"/>
        </w:rPr>
        <w:t> </w:t>
      </w:r>
      <w:r>
        <w:rPr>
          <w:sz w:val="20"/>
        </w:rPr>
        <w:t>at</w:t>
      </w:r>
      <w:r>
        <w:rPr>
          <w:spacing w:val="38"/>
          <w:sz w:val="20"/>
        </w:rPr>
        <w:t> </w:t>
      </w:r>
      <w:r>
        <w:rPr>
          <w:sz w:val="20"/>
        </w:rPr>
        <w:t>634.</w:t>
      </w:r>
      <w:r>
        <w:rPr>
          <w:spacing w:val="38"/>
          <w:sz w:val="20"/>
        </w:rPr>
        <w:t> </w:t>
      </w:r>
      <w:r>
        <w:rPr>
          <w:sz w:val="20"/>
        </w:rPr>
        <w:t>This</w:t>
      </w:r>
      <w:r>
        <w:rPr>
          <w:spacing w:val="38"/>
          <w:sz w:val="20"/>
        </w:rPr>
        <w:t> </w:t>
      </w:r>
      <w:r>
        <w:rPr>
          <w:sz w:val="20"/>
        </w:rPr>
        <w:t>statement</w:t>
      </w:r>
      <w:r>
        <w:rPr>
          <w:spacing w:val="38"/>
          <w:sz w:val="20"/>
        </w:rPr>
        <w:t> </w:t>
      </w:r>
      <w:r>
        <w:rPr>
          <w:sz w:val="20"/>
        </w:rPr>
        <w:t>was</w:t>
      </w:r>
      <w:r>
        <w:rPr>
          <w:spacing w:val="38"/>
          <w:sz w:val="20"/>
        </w:rPr>
        <w:t> </w:t>
      </w:r>
      <w:r>
        <w:rPr>
          <w:sz w:val="20"/>
        </w:rPr>
        <w:t>made</w:t>
      </w:r>
      <w:r>
        <w:rPr>
          <w:spacing w:val="38"/>
          <w:sz w:val="20"/>
        </w:rPr>
        <w:t> </w:t>
      </w:r>
      <w:r>
        <w:rPr>
          <w:sz w:val="20"/>
        </w:rPr>
        <w:t>in</w:t>
      </w:r>
      <w:r>
        <w:rPr>
          <w:spacing w:val="38"/>
          <w:sz w:val="20"/>
        </w:rPr>
        <w:t> </w:t>
      </w:r>
      <w:r>
        <w:rPr>
          <w:sz w:val="20"/>
        </w:rPr>
        <w:t>a</w:t>
      </w:r>
      <w:r>
        <w:rPr>
          <w:spacing w:val="38"/>
          <w:sz w:val="20"/>
        </w:rPr>
        <w:t> </w:t>
      </w:r>
      <w:r>
        <w:rPr>
          <w:sz w:val="20"/>
        </w:rPr>
        <w:t>case</w:t>
      </w:r>
      <w:r>
        <w:rPr>
          <w:spacing w:val="38"/>
          <w:sz w:val="20"/>
        </w:rPr>
        <w:t> </w:t>
      </w:r>
      <w:r>
        <w:rPr>
          <w:sz w:val="20"/>
        </w:rPr>
        <w:t>involving</w:t>
      </w:r>
      <w:r>
        <w:rPr>
          <w:spacing w:val="38"/>
          <w:sz w:val="20"/>
        </w:rPr>
        <w:t> </w:t>
      </w:r>
      <w:r>
        <w:rPr>
          <w:sz w:val="20"/>
        </w:rPr>
        <w:t>three</w:t>
      </w:r>
      <w:r>
        <w:rPr>
          <w:spacing w:val="38"/>
          <w:sz w:val="20"/>
        </w:rPr>
        <w:t> </w:t>
      </w:r>
      <w:r>
        <w:rPr>
          <w:sz w:val="20"/>
        </w:rPr>
        <w:t>parties,</w:t>
      </w:r>
      <w:r>
        <w:rPr>
          <w:spacing w:val="38"/>
          <w:sz w:val="20"/>
        </w:rPr>
        <w:t> </w:t>
      </w:r>
      <w:r>
        <w:rPr>
          <w:sz w:val="20"/>
        </w:rPr>
        <w:t>but</w:t>
      </w:r>
      <w:r>
        <w:rPr>
          <w:spacing w:val="38"/>
          <w:sz w:val="20"/>
        </w:rPr>
        <w:t> </w:t>
      </w:r>
      <w:r>
        <w:rPr>
          <w:sz w:val="20"/>
        </w:rPr>
        <w:t>is</w:t>
      </w:r>
      <w:r>
        <w:rPr>
          <w:spacing w:val="38"/>
          <w:sz w:val="20"/>
        </w:rPr>
        <w:t> </w:t>
      </w:r>
      <w:r>
        <w:rPr>
          <w:sz w:val="20"/>
        </w:rPr>
        <w:t>of</w:t>
      </w:r>
      <w:r>
        <w:rPr>
          <w:spacing w:val="38"/>
          <w:sz w:val="20"/>
        </w:rPr>
        <w:t> </w:t>
      </w:r>
      <w:r>
        <w:rPr>
          <w:sz w:val="20"/>
        </w:rPr>
        <w:t>general application: </w:t>
      </w:r>
      <w:r>
        <w:rPr>
          <w:rFonts w:ascii="Arial"/>
          <w:i/>
          <w:sz w:val="20"/>
        </w:rPr>
        <w:t>Williams v Roffey Bros. &amp; Nicholls (Contractors) Ltd [1991] 1 Q.B. 1, 15</w:t>
      </w:r>
      <w:r>
        <w:rPr>
          <w:sz w:val="20"/>
        </w:rPr>
        <w:t>.</w:t>
      </w:r>
    </w:p>
    <w:p>
      <w:pPr>
        <w:pStyle w:val="BodyText"/>
        <w:spacing w:before="5"/>
      </w:pPr>
    </w:p>
    <w:p>
      <w:pPr>
        <w:tabs>
          <w:tab w:pos="705" w:val="left" w:leader="none"/>
        </w:tabs>
        <w:spacing w:before="0"/>
        <w:ind w:left="165" w:right="0" w:firstLine="0"/>
        <w:jc w:val="left"/>
        <w:rPr>
          <w:sz w:val="20"/>
        </w:rPr>
      </w:pPr>
      <w:bookmarkStart w:name="_bookmark724" w:id="726"/>
      <w:bookmarkEnd w:id="726"/>
      <w:r>
        <w:rPr/>
      </w:r>
      <w:hyperlink w:history="true" w:anchor="_bookmark678">
        <w:r>
          <w:rPr>
            <w:color w:val="005DA1"/>
            <w:spacing w:val="-4"/>
            <w:position w:val="5"/>
            <w:sz w:val="14"/>
            <w:u w:val="single" w:color="005DA1"/>
          </w:rPr>
          <w:t>370</w:t>
        </w:r>
      </w:hyperlink>
      <w:r>
        <w:rPr>
          <w:spacing w:val="-4"/>
          <w:position w:val="5"/>
          <w:sz w:val="14"/>
        </w:rPr>
        <w:t>.</w:t>
      </w:r>
      <w:r>
        <w:rPr>
          <w:position w:val="5"/>
          <w:sz w:val="14"/>
        </w:rPr>
        <w:tab/>
      </w:r>
      <w:r>
        <w:rPr>
          <w:sz w:val="20"/>
        </w:rPr>
        <w:t>Above, para.4-</w:t>
      </w:r>
      <w:r>
        <w:rPr>
          <w:spacing w:val="-4"/>
          <w:sz w:val="20"/>
        </w:rPr>
        <w:t>006.</w:t>
      </w:r>
    </w:p>
    <w:p>
      <w:pPr>
        <w:pStyle w:val="BodyText"/>
        <w:spacing w:before="5"/>
      </w:pPr>
    </w:p>
    <w:p>
      <w:pPr>
        <w:tabs>
          <w:tab w:pos="705" w:val="left" w:leader="none"/>
        </w:tabs>
        <w:spacing w:line="227" w:lineRule="exact" w:before="0"/>
        <w:ind w:left="165" w:right="0" w:firstLine="0"/>
        <w:jc w:val="left"/>
        <w:rPr>
          <w:sz w:val="20"/>
        </w:rPr>
      </w:pPr>
      <w:bookmarkStart w:name="_bookmark725" w:id="727"/>
      <w:bookmarkEnd w:id="727"/>
      <w:r>
        <w:rPr/>
      </w:r>
      <w:hyperlink w:history="true" w:anchor="_bookmark679">
        <w:r>
          <w:rPr>
            <w:color w:val="005DA1"/>
            <w:spacing w:val="-4"/>
            <w:position w:val="5"/>
            <w:sz w:val="14"/>
            <w:u w:val="single" w:color="005DA1"/>
          </w:rPr>
          <w:t>371</w:t>
        </w:r>
      </w:hyperlink>
      <w:r>
        <w:rPr>
          <w:spacing w:val="-4"/>
          <w:position w:val="5"/>
          <w:sz w:val="14"/>
        </w:rPr>
        <w:t>.</w:t>
      </w:r>
      <w:r>
        <w:rPr>
          <w:position w:val="5"/>
          <w:sz w:val="14"/>
        </w:rPr>
        <w:tab/>
      </w:r>
      <w:r>
        <w:rPr>
          <w:rFonts w:ascii="Arial"/>
          <w:i/>
          <w:sz w:val="20"/>
        </w:rPr>
        <w:t>[1991]</w:t>
      </w:r>
      <w:r>
        <w:rPr>
          <w:rFonts w:ascii="Arial"/>
          <w:i/>
          <w:spacing w:val="49"/>
          <w:sz w:val="20"/>
        </w:rPr>
        <w:t> </w:t>
      </w:r>
      <w:r>
        <w:rPr>
          <w:rFonts w:ascii="Arial"/>
          <w:i/>
          <w:sz w:val="20"/>
        </w:rPr>
        <w:t>1</w:t>
      </w:r>
      <w:r>
        <w:rPr>
          <w:rFonts w:ascii="Arial"/>
          <w:i/>
          <w:spacing w:val="50"/>
          <w:sz w:val="20"/>
        </w:rPr>
        <w:t> </w:t>
      </w:r>
      <w:r>
        <w:rPr>
          <w:rFonts w:ascii="Arial"/>
          <w:i/>
          <w:sz w:val="20"/>
        </w:rPr>
        <w:t>Q.B.</w:t>
      </w:r>
      <w:r>
        <w:rPr>
          <w:rFonts w:ascii="Arial"/>
          <w:i/>
          <w:spacing w:val="50"/>
          <w:sz w:val="20"/>
        </w:rPr>
        <w:t> </w:t>
      </w:r>
      <w:r>
        <w:rPr>
          <w:rFonts w:ascii="Arial"/>
          <w:i/>
          <w:sz w:val="20"/>
        </w:rPr>
        <w:t>1</w:t>
      </w:r>
      <w:r>
        <w:rPr>
          <w:sz w:val="20"/>
        </w:rPr>
        <w:t>;</w:t>
      </w:r>
      <w:r>
        <w:rPr>
          <w:spacing w:val="50"/>
          <w:sz w:val="20"/>
        </w:rPr>
        <w:t> </w:t>
      </w:r>
      <w:r>
        <w:rPr>
          <w:sz w:val="20"/>
        </w:rPr>
        <w:t>Adams</w:t>
      </w:r>
      <w:r>
        <w:rPr>
          <w:spacing w:val="50"/>
          <w:sz w:val="20"/>
        </w:rPr>
        <w:t> </w:t>
      </w:r>
      <w:r>
        <w:rPr>
          <w:sz w:val="20"/>
        </w:rPr>
        <w:t>and</w:t>
      </w:r>
      <w:r>
        <w:rPr>
          <w:spacing w:val="50"/>
          <w:sz w:val="20"/>
        </w:rPr>
        <w:t> </w:t>
      </w:r>
      <w:r>
        <w:rPr>
          <w:sz w:val="20"/>
        </w:rPr>
        <w:t>Brownsword</w:t>
      </w:r>
      <w:r>
        <w:rPr>
          <w:spacing w:val="50"/>
          <w:sz w:val="20"/>
        </w:rPr>
        <w:t> </w:t>
      </w:r>
      <w:r>
        <w:rPr>
          <w:sz w:val="20"/>
        </w:rPr>
        <w:t>(1991)</w:t>
      </w:r>
      <w:r>
        <w:rPr>
          <w:spacing w:val="50"/>
          <w:sz w:val="20"/>
        </w:rPr>
        <w:t> </w:t>
      </w:r>
      <w:r>
        <w:rPr>
          <w:sz w:val="20"/>
        </w:rPr>
        <w:t>53</w:t>
      </w:r>
      <w:r>
        <w:rPr>
          <w:spacing w:val="50"/>
          <w:sz w:val="20"/>
        </w:rPr>
        <w:t> </w:t>
      </w:r>
      <w:r>
        <w:rPr>
          <w:sz w:val="20"/>
        </w:rPr>
        <w:t>M.L.R.</w:t>
      </w:r>
      <w:r>
        <w:rPr>
          <w:spacing w:val="50"/>
          <w:sz w:val="20"/>
        </w:rPr>
        <w:t> </w:t>
      </w:r>
      <w:r>
        <w:rPr>
          <w:sz w:val="20"/>
        </w:rPr>
        <w:t>536;</w:t>
      </w:r>
      <w:r>
        <w:rPr>
          <w:spacing w:val="50"/>
          <w:sz w:val="20"/>
        </w:rPr>
        <w:t> </w:t>
      </w:r>
      <w:r>
        <w:rPr>
          <w:sz w:val="20"/>
        </w:rPr>
        <w:t>Chen-Wishart</w:t>
      </w:r>
      <w:r>
        <w:rPr>
          <w:spacing w:val="50"/>
          <w:sz w:val="20"/>
        </w:rPr>
        <w:t> </w:t>
      </w:r>
      <w:r>
        <w:rPr>
          <w:sz w:val="20"/>
        </w:rPr>
        <w:t>(1991)</w:t>
      </w:r>
      <w:r>
        <w:rPr>
          <w:spacing w:val="50"/>
          <w:sz w:val="20"/>
        </w:rPr>
        <w:t> </w:t>
      </w:r>
      <w:r>
        <w:rPr>
          <w:spacing w:val="-5"/>
          <w:sz w:val="20"/>
        </w:rPr>
        <w:t>14</w:t>
      </w:r>
    </w:p>
    <w:p>
      <w:pPr>
        <w:pStyle w:val="BodyText"/>
        <w:spacing w:line="227" w:lineRule="exact"/>
        <w:ind w:left="705"/>
      </w:pPr>
      <w:r>
        <w:rPr/>
        <w:t>N.Z.U.L.R. 270; Hird and Blair, [1996] J.B.L. </w:t>
      </w:r>
      <w:r>
        <w:rPr>
          <w:spacing w:val="-4"/>
        </w:rPr>
        <w:t>254.</w:t>
      </w:r>
    </w:p>
    <w:p>
      <w:pPr>
        <w:pStyle w:val="BodyText"/>
        <w:spacing w:before="9"/>
      </w:pPr>
    </w:p>
    <w:p>
      <w:pPr>
        <w:pStyle w:val="BodyText"/>
        <w:spacing w:line="235" w:lineRule="auto"/>
        <w:ind w:left="705" w:right="167" w:hanging="541"/>
        <w:jc w:val="both"/>
      </w:pPr>
      <w:bookmarkStart w:name="_bookmark726" w:id="728"/>
      <w:bookmarkEnd w:id="728"/>
      <w:r>
        <w:rPr/>
      </w:r>
      <w:hyperlink w:history="true" w:anchor="_bookmark680">
        <w:r>
          <w:rPr>
            <w:color w:val="005DA1"/>
            <w:position w:val="5"/>
            <w:sz w:val="14"/>
            <w:u w:val="single" w:color="005DA1"/>
          </w:rPr>
          <w:t>372</w:t>
        </w:r>
      </w:hyperlink>
      <w:r>
        <w:rPr>
          <w:position w:val="5"/>
          <w:sz w:val="14"/>
        </w:rPr>
        <w:t>.</w:t>
      </w:r>
      <w:r>
        <w:rPr>
          <w:spacing w:val="40"/>
          <w:position w:val="5"/>
          <w:sz w:val="14"/>
        </w:rPr>
        <w:t>  </w:t>
      </w:r>
      <w:r>
        <w:rPr/>
        <w:t>The payments under the original contract were found to be due in unspecified instalments while those under the new promise were due as each flat was completed, but no attempt was </w:t>
      </w:r>
      <w:r>
        <w:rPr/>
        <w:t>made</w:t>
      </w:r>
      <w:r>
        <w:rPr>
          <w:spacing w:val="40"/>
        </w:rPr>
        <w:t> </w:t>
      </w:r>
      <w:r>
        <w:rPr/>
        <w:t>to argue that this change in the times when payment was due </w:t>
      </w:r>
      <w:r>
        <w:rPr>
          <w:rFonts w:ascii="Arial" w:hAnsi="Arial"/>
          <w:i/>
        </w:rPr>
        <w:t>might </w:t>
      </w:r>
      <w:r>
        <w:rPr/>
        <w:t>have been to A’s disadvantage and therefore provided consideration. There is perhaps a hint to this effect in Russell L.J.’s judgment at 19.</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bookmarkStart w:name="_bookmark727" w:id="729"/>
      <w:bookmarkEnd w:id="729"/>
      <w:r>
        <w:rPr/>
      </w:r>
      <w:hyperlink w:history="true" w:anchor="_bookmark681">
        <w:r>
          <w:rPr>
            <w:color w:val="005DA1"/>
            <w:spacing w:val="-4"/>
            <w:sz w:val="14"/>
            <w:u w:val="single" w:color="005DA1"/>
          </w:rPr>
          <w:t>373</w:t>
        </w:r>
      </w:hyperlink>
      <w:r>
        <w:rPr>
          <w:spacing w:val="-4"/>
          <w:sz w:val="14"/>
        </w:rPr>
        <w:t>.</w:t>
      </w:r>
    </w:p>
    <w:p>
      <w:pPr>
        <w:spacing w:line="235" w:lineRule="auto" w:before="212"/>
        <w:ind w:left="165" w:right="167" w:firstLine="170"/>
        <w:jc w:val="both"/>
        <w:rPr>
          <w:rFonts w:ascii="Arial" w:hAnsi="Arial"/>
          <w:i/>
          <w:sz w:val="20"/>
        </w:rPr>
      </w:pPr>
      <w:r>
        <w:rPr/>
        <w:br w:type="column"/>
      </w:r>
      <w:r>
        <w:rPr>
          <w:rFonts w:ascii="Arial" w:hAnsi="Arial"/>
          <w:i/>
          <w:sz w:val="20"/>
        </w:rPr>
        <w:t>[1991] 1 Q.B. </w:t>
      </w:r>
      <w:r>
        <w:rPr>
          <w:sz w:val="20"/>
        </w:rPr>
        <w:t>at 11; cf. ibid. at 19, 23, followed in </w:t>
      </w:r>
      <w:r>
        <w:rPr>
          <w:rFonts w:ascii="Arial" w:hAnsi="Arial"/>
          <w:i/>
          <w:sz w:val="20"/>
        </w:rPr>
        <w:t>Anangel Atlas Compania Naviera SA v Ishikawajima Harima Heavy Industries Co Ltd (No.2) [1990] 2 Lloyd’s Rep. 526</w:t>
      </w:r>
      <w:r>
        <w:rPr>
          <w:sz w:val="20"/>
        </w:rPr>
        <w:t>, </w:t>
      </w:r>
      <w:r>
        <w:rPr>
          <w:sz w:val="20"/>
        </w:rPr>
        <w:t>where “promisor” and “promisee” appear to have been transposed in a passage at 545; </w:t>
      </w:r>
      <w:r>
        <w:rPr>
          <w:rFonts w:ascii="Arial" w:hAnsi="Arial"/>
          <w:i/>
          <w:sz w:val="20"/>
        </w:rPr>
        <w:t>Lee v GEC Plessey Communications Ltd [1993] I.R.L.R. 383 </w:t>
      </w:r>
      <w:r>
        <w:rPr>
          <w:sz w:val="20"/>
        </w:rPr>
        <w:t>at [118]–[119], below, para.4-072; </w:t>
      </w:r>
      <w:r>
        <w:rPr>
          <w:rFonts w:ascii="Arial" w:hAnsi="Arial"/>
          <w:i/>
          <w:sz w:val="20"/>
        </w:rPr>
        <w:t>Simon Container Machinery Ltd v Emba Machinery Ltd [1998] 2 Lloyd’s Rep. 428 </w:t>
      </w:r>
      <w:r>
        <w:rPr>
          <w:sz w:val="20"/>
        </w:rPr>
        <w:t>at 435;</w:t>
      </w:r>
      <w:r>
        <w:rPr>
          <w:spacing w:val="40"/>
          <w:sz w:val="20"/>
        </w:rPr>
        <w:t> </w:t>
      </w:r>
      <w:r>
        <w:rPr>
          <w:rFonts w:ascii="Arial" w:hAnsi="Arial"/>
          <w:i/>
          <w:sz w:val="20"/>
        </w:rPr>
        <w:t>Stevensdrake Ltd v Hunt [2016] EWHC 1111 (Ch) </w:t>
      </w:r>
      <w:r>
        <w:rPr>
          <w:sz w:val="20"/>
        </w:rPr>
        <w:t>at [61]; </w:t>
      </w:r>
      <w:r>
        <w:rPr>
          <w:rFonts w:ascii="Arial" w:hAnsi="Arial"/>
          <w:i/>
          <w:sz w:val="20"/>
        </w:rPr>
        <w:t>MWB Business Exchange Centres 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Rock</w:t>
      </w:r>
      <w:r>
        <w:rPr>
          <w:rFonts w:ascii="Arial" w:hAnsi="Arial"/>
          <w:i/>
          <w:spacing w:val="40"/>
          <w:sz w:val="20"/>
        </w:rPr>
        <w:t> </w:t>
      </w:r>
      <w:r>
        <w:rPr>
          <w:rFonts w:ascii="Arial" w:hAnsi="Arial"/>
          <w:i/>
          <w:sz w:val="20"/>
        </w:rPr>
        <w:t>Advertising</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[2016]</w:t>
      </w:r>
      <w:r>
        <w:rPr>
          <w:rFonts w:ascii="Arial" w:hAnsi="Arial"/>
          <w:i/>
          <w:spacing w:val="40"/>
          <w:sz w:val="20"/>
        </w:rPr>
        <w:t> </w:t>
      </w:r>
      <w:r>
        <w:rPr>
          <w:rFonts w:ascii="Arial" w:hAnsi="Arial"/>
          <w:i/>
          <w:sz w:val="20"/>
        </w:rPr>
        <w:t>EWCA</w:t>
      </w:r>
      <w:r>
        <w:rPr>
          <w:rFonts w:ascii="Arial" w:hAnsi="Arial"/>
          <w:i/>
          <w:spacing w:val="40"/>
          <w:sz w:val="20"/>
        </w:rPr>
        <w:t> </w:t>
      </w:r>
      <w:r>
        <w:rPr>
          <w:rFonts w:ascii="Arial" w:hAnsi="Arial"/>
          <w:i/>
          <w:sz w:val="20"/>
        </w:rPr>
        <w:t>Civ</w:t>
      </w:r>
      <w:r>
        <w:rPr>
          <w:rFonts w:ascii="Arial" w:hAnsi="Arial"/>
          <w:i/>
          <w:spacing w:val="40"/>
          <w:sz w:val="20"/>
        </w:rPr>
        <w:t> </w:t>
      </w:r>
      <w:r>
        <w:rPr>
          <w:rFonts w:ascii="Arial" w:hAnsi="Arial"/>
          <w:i/>
          <w:sz w:val="20"/>
        </w:rPr>
        <w:t>553,</w:t>
      </w:r>
      <w:r>
        <w:rPr>
          <w:rFonts w:ascii="Arial" w:hAnsi="Arial"/>
          <w:i/>
          <w:spacing w:val="40"/>
          <w:sz w:val="20"/>
        </w:rPr>
        <w:t> </w:t>
      </w:r>
      <w:r>
        <w:rPr>
          <w:rFonts w:ascii="Arial" w:hAnsi="Arial"/>
          <w:i/>
          <w:sz w:val="20"/>
        </w:rPr>
        <w:t>[2017]</w:t>
      </w:r>
      <w:r>
        <w:rPr>
          <w:rFonts w:ascii="Arial" w:hAnsi="Arial"/>
          <w:i/>
          <w:spacing w:val="40"/>
          <w:sz w:val="20"/>
        </w:rPr>
        <w:t> </w:t>
      </w:r>
      <w:r>
        <w:rPr>
          <w:rFonts w:ascii="Arial" w:hAnsi="Arial"/>
          <w:i/>
          <w:sz w:val="20"/>
        </w:rPr>
        <w:t>Q.B.</w:t>
      </w:r>
      <w:r>
        <w:rPr>
          <w:rFonts w:ascii="Arial" w:hAnsi="Arial"/>
          <w:i/>
          <w:spacing w:val="40"/>
          <w:sz w:val="20"/>
        </w:rPr>
        <w:t> </w:t>
      </w:r>
      <w:r>
        <w:rPr>
          <w:rFonts w:ascii="Arial" w:hAnsi="Arial"/>
          <w:i/>
          <w:sz w:val="20"/>
        </w:rPr>
        <w:t>604</w:t>
      </w:r>
      <w:r>
        <w:rPr>
          <w:sz w:val="20"/>
        </w:rPr>
        <w:t>,</w:t>
      </w:r>
      <w:r>
        <w:rPr>
          <w:spacing w:val="40"/>
          <w:sz w:val="20"/>
        </w:rPr>
        <w:t> </w:t>
      </w:r>
      <w:r>
        <w:rPr>
          <w:sz w:val="20"/>
        </w:rPr>
        <w:t>discussed</w:t>
      </w:r>
      <w:r>
        <w:rPr>
          <w:spacing w:val="40"/>
          <w:sz w:val="20"/>
        </w:rPr>
        <w:t> </w:t>
      </w:r>
      <w:r>
        <w:rPr>
          <w:sz w:val="20"/>
        </w:rPr>
        <w:t>below, para.4-119A. The same reasoning may account for the view, expressed in </w:t>
      </w:r>
      <w:r>
        <w:rPr>
          <w:rFonts w:ascii="Arial" w:hAnsi="Arial"/>
          <w:i/>
          <w:sz w:val="20"/>
        </w:rPr>
        <w:t>Attrill v Dresdner Kleinwort Ltd [2011] EWCA Civ 229, [2011] I.R.L.R. 613 </w:t>
      </w:r>
      <w:r>
        <w:rPr>
          <w:sz w:val="20"/>
        </w:rPr>
        <w:t>at [35], that employees had, by continuing to work under their contracts of employment, provided consideration for their employer’s promise to establish a minimum bonus pool. The purpose of this promise was said</w:t>
      </w:r>
      <w:r>
        <w:rPr>
          <w:spacing w:val="40"/>
          <w:sz w:val="20"/>
        </w:rPr>
        <w:t> </w:t>
      </w:r>
      <w:r>
        <w:rPr>
          <w:sz w:val="20"/>
        </w:rPr>
        <w:t>to</w:t>
      </w:r>
      <w:r>
        <w:rPr>
          <w:spacing w:val="-1"/>
          <w:sz w:val="20"/>
        </w:rPr>
        <w:t> </w:t>
      </w:r>
      <w:r>
        <w:rPr>
          <w:sz w:val="20"/>
        </w:rPr>
        <w:t>retain</w:t>
      </w:r>
      <w:r>
        <w:rPr>
          <w:spacing w:val="-1"/>
          <w:sz w:val="20"/>
        </w:rPr>
        <w:t> </w:t>
      </w:r>
      <w:r>
        <w:rPr>
          <w:sz w:val="20"/>
        </w:rPr>
        <w:t>staff</w:t>
      </w:r>
      <w:r>
        <w:rPr>
          <w:spacing w:val="-1"/>
          <w:sz w:val="20"/>
        </w:rPr>
        <w:t> </w:t>
      </w:r>
      <w:r>
        <w:rPr>
          <w:sz w:val="20"/>
        </w:rPr>
        <w:t>and</w:t>
      </w:r>
      <w:r>
        <w:rPr>
          <w:spacing w:val="-1"/>
          <w:sz w:val="20"/>
        </w:rPr>
        <w:t> </w:t>
      </w:r>
      <w:r>
        <w:rPr>
          <w:sz w:val="20"/>
        </w:rPr>
        <w:t>the</w:t>
      </w:r>
      <w:r>
        <w:rPr>
          <w:spacing w:val="-1"/>
          <w:sz w:val="20"/>
        </w:rPr>
        <w:t> </w:t>
      </w:r>
      <w:r>
        <w:rPr>
          <w:sz w:val="20"/>
        </w:rPr>
        <w:t>fact</w:t>
      </w:r>
      <w:r>
        <w:rPr>
          <w:spacing w:val="-1"/>
          <w:sz w:val="20"/>
        </w:rPr>
        <w:t> </w:t>
      </w:r>
      <w:r>
        <w:rPr>
          <w:sz w:val="20"/>
        </w:rPr>
        <w:t>that</w:t>
      </w:r>
      <w:r>
        <w:rPr>
          <w:spacing w:val="-1"/>
          <w:sz w:val="20"/>
        </w:rPr>
        <w:t> </w:t>
      </w:r>
      <w:r>
        <w:rPr>
          <w:sz w:val="20"/>
        </w:rPr>
        <w:t>in</w:t>
      </w:r>
      <w:r>
        <w:rPr>
          <w:spacing w:val="-1"/>
          <w:sz w:val="20"/>
        </w:rPr>
        <w:t> </w:t>
      </w:r>
      <w:r>
        <w:rPr>
          <w:sz w:val="20"/>
        </w:rPr>
        <w:t>this</w:t>
      </w:r>
      <w:r>
        <w:rPr>
          <w:spacing w:val="-1"/>
          <w:sz w:val="20"/>
        </w:rPr>
        <w:t> </w:t>
      </w:r>
      <w:r>
        <w:rPr>
          <w:sz w:val="20"/>
        </w:rPr>
        <w:t>respect</w:t>
      </w:r>
      <w:r>
        <w:rPr>
          <w:spacing w:val="-1"/>
          <w:sz w:val="20"/>
        </w:rPr>
        <w:t> </w:t>
      </w:r>
      <w:r>
        <w:rPr>
          <w:sz w:val="20"/>
        </w:rPr>
        <w:t>the</w:t>
      </w:r>
      <w:r>
        <w:rPr>
          <w:spacing w:val="-1"/>
          <w:sz w:val="20"/>
        </w:rPr>
        <w:t> </w:t>
      </w:r>
      <w:r>
        <w:rPr>
          <w:sz w:val="20"/>
        </w:rPr>
        <w:t>promise</w:t>
      </w:r>
      <w:r>
        <w:rPr>
          <w:spacing w:val="-1"/>
          <w:sz w:val="20"/>
        </w:rPr>
        <w:t> </w:t>
      </w:r>
      <w:r>
        <w:rPr>
          <w:sz w:val="20"/>
        </w:rPr>
        <w:t>had</w:t>
      </w:r>
      <w:r>
        <w:rPr>
          <w:spacing w:val="-1"/>
          <w:sz w:val="20"/>
        </w:rPr>
        <w:t> </w:t>
      </w:r>
      <w:r>
        <w:rPr>
          <w:sz w:val="20"/>
        </w:rPr>
        <w:t>been</w:t>
      </w:r>
      <w:r>
        <w:rPr>
          <w:spacing w:val="-1"/>
          <w:sz w:val="20"/>
        </w:rPr>
        <w:t> </w:t>
      </w:r>
      <w:r>
        <w:rPr>
          <w:sz w:val="20"/>
        </w:rPr>
        <w:t>“largely</w:t>
      </w:r>
      <w:r>
        <w:rPr>
          <w:spacing w:val="-1"/>
          <w:sz w:val="20"/>
        </w:rPr>
        <w:t> </w:t>
      </w:r>
      <w:r>
        <w:rPr>
          <w:sz w:val="20"/>
        </w:rPr>
        <w:t>successful”</w:t>
      </w:r>
      <w:r>
        <w:rPr>
          <w:spacing w:val="-1"/>
          <w:sz w:val="20"/>
        </w:rPr>
        <w:t> </w:t>
      </w:r>
      <w:r>
        <w:rPr>
          <w:sz w:val="20"/>
        </w:rPr>
        <w:t>(at</w:t>
      </w:r>
      <w:r>
        <w:rPr>
          <w:spacing w:val="-1"/>
          <w:sz w:val="20"/>
        </w:rPr>
        <w:t> </w:t>
      </w:r>
      <w:r>
        <w:rPr>
          <w:sz w:val="20"/>
        </w:rPr>
        <w:t>[35]) can be regarded as a “practical benefit” to the employer; for this case, see also para.4-072 below; for similar reasoning in further proceedings in the </w:t>
      </w:r>
      <w:r>
        <w:rPr>
          <w:rFonts w:ascii="Arial" w:hAnsi="Arial"/>
          <w:i/>
          <w:sz w:val="20"/>
        </w:rPr>
        <w:t>Attrill </w:t>
      </w:r>
      <w:r>
        <w:rPr>
          <w:sz w:val="20"/>
        </w:rPr>
        <w:t>case, above, see </w:t>
      </w:r>
      <w:r>
        <w:rPr>
          <w:rFonts w:ascii="Arial" w:hAnsi="Arial"/>
          <w:i/>
          <w:sz w:val="20"/>
        </w:rPr>
        <w:t>[2012] EWHC 1189 (QB)</w:t>
      </w:r>
      <w:r>
        <w:rPr>
          <w:sz w:val="20"/>
        </w:rPr>
        <w:t>, where the requirement of consideration was held to have been satisfied by (1) the practical benefit obtained by the employer (at [180]–[184], following the </w:t>
      </w:r>
      <w:r>
        <w:rPr>
          <w:rFonts w:ascii="Arial" w:hAnsi="Arial"/>
          <w:i/>
          <w:sz w:val="20"/>
        </w:rPr>
        <w:t>Williams </w:t>
      </w:r>
      <w:r>
        <w:rPr>
          <w:sz w:val="20"/>
        </w:rPr>
        <w:t>case); and (2) the fact that the employees had remained in the employment of the employer; affirmed </w:t>
      </w:r>
      <w:r>
        <w:rPr>
          <w:rFonts w:ascii="Arial" w:hAnsi="Arial"/>
          <w:i/>
          <w:sz w:val="20"/>
        </w:rPr>
        <w:t>[2012] EWCA Civ 394 </w:t>
      </w:r>
      <w:r>
        <w:rPr>
          <w:sz w:val="20"/>
        </w:rPr>
        <w:t>where Elias L.J. at [95] referred with evident approval to the reasoning of the court</w:t>
      </w:r>
      <w:r>
        <w:rPr>
          <w:spacing w:val="7"/>
          <w:sz w:val="20"/>
        </w:rPr>
        <w:t> </w:t>
      </w:r>
      <w:r>
        <w:rPr>
          <w:sz w:val="20"/>
        </w:rPr>
        <w:t>below</w:t>
      </w:r>
      <w:r>
        <w:rPr>
          <w:spacing w:val="7"/>
          <w:sz w:val="20"/>
        </w:rPr>
        <w:t> </w:t>
      </w:r>
      <w:r>
        <w:rPr>
          <w:sz w:val="20"/>
        </w:rPr>
        <w:t>on</w:t>
      </w:r>
      <w:r>
        <w:rPr>
          <w:spacing w:val="7"/>
          <w:sz w:val="20"/>
        </w:rPr>
        <w:t> </w:t>
      </w:r>
      <w:r>
        <w:rPr>
          <w:sz w:val="20"/>
        </w:rPr>
        <w:t>the</w:t>
      </w:r>
      <w:r>
        <w:rPr>
          <w:spacing w:val="7"/>
          <w:sz w:val="20"/>
        </w:rPr>
        <w:t> </w:t>
      </w:r>
      <w:r>
        <w:rPr>
          <w:sz w:val="20"/>
        </w:rPr>
        <w:t>issue</w:t>
      </w:r>
      <w:r>
        <w:rPr>
          <w:spacing w:val="7"/>
          <w:sz w:val="20"/>
        </w:rPr>
        <w:t> </w:t>
      </w:r>
      <w:r>
        <w:rPr>
          <w:sz w:val="20"/>
        </w:rPr>
        <w:t>of</w:t>
      </w:r>
      <w:r>
        <w:rPr>
          <w:spacing w:val="7"/>
          <w:sz w:val="20"/>
        </w:rPr>
        <w:t> </w:t>
      </w:r>
      <w:r>
        <w:rPr>
          <w:sz w:val="20"/>
        </w:rPr>
        <w:t>consideration.</w:t>
      </w:r>
      <w:r>
        <w:rPr>
          <w:spacing w:val="7"/>
          <w:sz w:val="20"/>
        </w:rPr>
        <w:t> </w:t>
      </w:r>
      <w:r>
        <w:rPr>
          <w:sz w:val="20"/>
        </w:rPr>
        <w:t>In</w:t>
      </w:r>
      <w:r>
        <w:rPr>
          <w:spacing w:val="7"/>
          <w:sz w:val="20"/>
        </w:rPr>
        <w:t> </w:t>
      </w:r>
      <w:r>
        <w:rPr>
          <w:rFonts w:ascii="Arial" w:hAnsi="Arial"/>
          <w:i/>
          <w:sz w:val="20"/>
        </w:rPr>
        <w:t>WRN</w:t>
      </w:r>
      <w:r>
        <w:rPr>
          <w:rFonts w:ascii="Arial" w:hAnsi="Arial"/>
          <w:i/>
          <w:spacing w:val="7"/>
          <w:sz w:val="20"/>
        </w:rPr>
        <w:t> </w:t>
      </w:r>
      <w:r>
        <w:rPr>
          <w:rFonts w:ascii="Arial" w:hAnsi="Arial"/>
          <w:i/>
          <w:sz w:val="20"/>
        </w:rPr>
        <w:t>Ltd</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Ayris</w:t>
      </w:r>
      <w:r>
        <w:rPr>
          <w:rFonts w:ascii="Arial" w:hAnsi="Arial"/>
          <w:i/>
          <w:spacing w:val="7"/>
          <w:sz w:val="20"/>
        </w:rPr>
        <w:t> </w:t>
      </w:r>
      <w:r>
        <w:rPr>
          <w:rFonts w:ascii="Arial" w:hAnsi="Arial"/>
          <w:i/>
          <w:sz w:val="20"/>
        </w:rPr>
        <w:t>[2008]</w:t>
      </w:r>
      <w:r>
        <w:rPr>
          <w:rFonts w:ascii="Arial" w:hAnsi="Arial"/>
          <w:i/>
          <w:spacing w:val="7"/>
          <w:sz w:val="20"/>
        </w:rPr>
        <w:t> </w:t>
      </w:r>
      <w:r>
        <w:rPr>
          <w:rFonts w:ascii="Arial" w:hAnsi="Arial"/>
          <w:i/>
          <w:sz w:val="20"/>
        </w:rPr>
        <w:t>EWHC</w:t>
      </w:r>
      <w:r>
        <w:rPr>
          <w:rFonts w:ascii="Arial" w:hAnsi="Arial"/>
          <w:i/>
          <w:spacing w:val="7"/>
          <w:sz w:val="20"/>
        </w:rPr>
        <w:t> </w:t>
      </w:r>
      <w:r>
        <w:rPr>
          <w:rFonts w:ascii="Arial" w:hAnsi="Arial"/>
          <w:i/>
          <w:sz w:val="20"/>
        </w:rPr>
        <w:t>1080</w:t>
      </w:r>
      <w:r>
        <w:rPr>
          <w:rFonts w:ascii="Arial" w:hAnsi="Arial"/>
          <w:i/>
          <w:spacing w:val="7"/>
          <w:sz w:val="20"/>
        </w:rPr>
        <w:t> </w:t>
      </w:r>
      <w:r>
        <w:rPr>
          <w:rFonts w:ascii="Arial" w:hAnsi="Arial"/>
          <w:i/>
          <w:sz w:val="20"/>
        </w:rPr>
        <w:t>(QB),</w:t>
      </w:r>
      <w:r>
        <w:rPr>
          <w:rFonts w:ascii="Arial" w:hAnsi="Arial"/>
          <w:i/>
          <w:spacing w:val="7"/>
          <w:sz w:val="20"/>
        </w:rPr>
        <w:t> </w:t>
      </w:r>
      <w:r>
        <w:rPr>
          <w:rFonts w:ascii="Arial" w:hAnsi="Arial"/>
          <w:i/>
          <w:spacing w:val="-2"/>
          <w:sz w:val="20"/>
        </w:rPr>
        <w:t>[2008]</w:t>
      </w:r>
    </w:p>
    <w:p>
      <w:pPr>
        <w:pStyle w:val="BodyText"/>
        <w:spacing w:line="235" w:lineRule="auto"/>
        <w:ind w:left="165" w:right="167"/>
        <w:jc w:val="both"/>
      </w:pPr>
      <w:r>
        <w:rPr/>
        <w:drawing>
          <wp:anchor distT="0" distB="0" distL="0" distR="0" allowOverlap="1" layoutInCell="1" locked="0" behindDoc="0" simplePos="0" relativeHeight="15759872">
            <wp:simplePos x="0" y="0"/>
            <wp:positionH relativeFrom="page">
              <wp:posOffset>1257846</wp:posOffset>
            </wp:positionH>
            <wp:positionV relativeFrom="paragraph">
              <wp:posOffset>-2693440</wp:posOffset>
            </wp:positionV>
            <wp:extent cx="107988" cy="107988"/>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rPr>
        <w:t>I.R.L.R. 889 </w:t>
      </w:r>
      <w:r>
        <w:rPr/>
        <w:t>(above, para.4-067 n.356) no attempt seems to have been made to argue that the promisor had obtained a “practical benefit” so as to satisfy the requirement of consideration on the principle discussed in the text above.</w:t>
      </w:r>
    </w:p>
    <w:p>
      <w:pPr>
        <w:pStyle w:val="BodyText"/>
        <w:spacing w:after="0" w:line="235" w:lineRule="auto"/>
        <w:jc w:val="both"/>
        <w:sectPr>
          <w:type w:val="continuous"/>
          <w:pgSz w:w="11900" w:h="16840"/>
          <w:pgMar w:header="971" w:footer="0" w:top="3760" w:bottom="280" w:left="1275" w:right="1275"/>
          <w:cols w:num="2" w:equalWidth="0">
            <w:col w:w="478" w:space="63"/>
            <w:col w:w="8809"/>
          </w:cols>
        </w:sectPr>
      </w:pPr>
    </w:p>
    <w:p>
      <w:pPr>
        <w:pStyle w:val="BodyText"/>
        <w:spacing w:before="2"/>
      </w:pPr>
    </w:p>
    <w:p>
      <w:pPr>
        <w:pStyle w:val="BodyText"/>
        <w:tabs>
          <w:tab w:pos="705" w:val="left" w:leader="none"/>
        </w:tabs>
        <w:spacing w:line="235" w:lineRule="auto"/>
        <w:ind w:left="705" w:right="168" w:hanging="541"/>
      </w:pPr>
      <w:bookmarkStart w:name="_bookmark728" w:id="730"/>
      <w:bookmarkEnd w:id="730"/>
      <w:r>
        <w:rPr/>
      </w:r>
      <w:hyperlink w:history="true" w:anchor="_bookmark682">
        <w:r>
          <w:rPr>
            <w:color w:val="005DA1"/>
            <w:spacing w:val="-4"/>
            <w:position w:val="5"/>
            <w:sz w:val="14"/>
            <w:u w:val="single" w:color="005DA1"/>
          </w:rPr>
          <w:t>374</w:t>
        </w:r>
      </w:hyperlink>
      <w:r>
        <w:rPr>
          <w:spacing w:val="-4"/>
          <w:position w:val="5"/>
          <w:sz w:val="14"/>
        </w:rPr>
        <w:t>.</w:t>
      </w:r>
      <w:r>
        <w:rPr>
          <w:position w:val="5"/>
          <w:sz w:val="14"/>
        </w:rPr>
        <w:tab/>
      </w:r>
      <w:r>
        <w:rPr/>
        <w:t>In fact, B did not secure the whole of this benefit, but this was because B’s wrongful failure </w:t>
      </w:r>
      <w:r>
        <w:rPr/>
        <w:t>to</w:t>
      </w:r>
      <w:r>
        <w:rPr>
          <w:spacing w:val="40"/>
        </w:rPr>
        <w:t> </w:t>
      </w:r>
      <w:r>
        <w:rPr/>
        <w:t>make the extra payments justified A’s refusal to continue with the work.</w:t>
      </w:r>
    </w:p>
    <w:p>
      <w:pPr>
        <w:pStyle w:val="BodyText"/>
        <w:spacing w:before="5"/>
      </w:pPr>
    </w:p>
    <w:p>
      <w:pPr>
        <w:tabs>
          <w:tab w:pos="705" w:val="left" w:leader="none"/>
        </w:tabs>
        <w:spacing w:before="0"/>
        <w:ind w:left="165" w:right="0" w:firstLine="0"/>
        <w:jc w:val="left"/>
        <w:rPr>
          <w:sz w:val="20"/>
        </w:rPr>
      </w:pPr>
      <w:bookmarkStart w:name="_bookmark729" w:id="731"/>
      <w:bookmarkEnd w:id="731"/>
      <w:r>
        <w:rPr/>
      </w:r>
      <w:hyperlink w:history="true" w:anchor="_bookmark683">
        <w:r>
          <w:rPr>
            <w:color w:val="005DA1"/>
            <w:spacing w:val="-4"/>
            <w:position w:val="5"/>
            <w:sz w:val="14"/>
            <w:u w:val="single" w:color="005DA1"/>
          </w:rPr>
          <w:t>375</w:t>
        </w:r>
      </w:hyperlink>
      <w:r>
        <w:rPr>
          <w:spacing w:val="-4"/>
          <w:position w:val="5"/>
          <w:sz w:val="14"/>
        </w:rPr>
        <w:t>.</w:t>
      </w:r>
      <w:r>
        <w:rPr>
          <w:position w:val="5"/>
          <w:sz w:val="14"/>
        </w:rPr>
        <w:tab/>
      </w:r>
      <w:r>
        <w:rPr>
          <w:sz w:val="20"/>
        </w:rPr>
        <w:t>Below, para.4-</w:t>
      </w:r>
      <w:r>
        <w:rPr>
          <w:spacing w:val="-4"/>
          <w:sz w:val="20"/>
        </w:rPr>
        <w:t>076.</w:t>
      </w:r>
    </w:p>
    <w:p>
      <w:pPr>
        <w:pStyle w:val="BodyText"/>
        <w:spacing w:before="5"/>
      </w:pPr>
    </w:p>
    <w:p>
      <w:pPr>
        <w:pStyle w:val="BodyText"/>
        <w:tabs>
          <w:tab w:pos="705" w:val="left" w:leader="none"/>
        </w:tabs>
        <w:ind w:left="165"/>
      </w:pPr>
      <w:bookmarkStart w:name="_bookmark730" w:id="732"/>
      <w:bookmarkEnd w:id="732"/>
      <w:r>
        <w:rPr/>
      </w:r>
      <w:hyperlink w:history="true" w:anchor="_bookmark684">
        <w:r>
          <w:rPr>
            <w:color w:val="005DA1"/>
            <w:spacing w:val="-4"/>
            <w:position w:val="5"/>
            <w:sz w:val="14"/>
            <w:u w:val="single" w:color="005DA1"/>
          </w:rPr>
          <w:t>376</w:t>
        </w:r>
      </w:hyperlink>
      <w:r>
        <w:rPr>
          <w:spacing w:val="-4"/>
          <w:position w:val="5"/>
          <w:sz w:val="14"/>
        </w:rPr>
        <w:t>.</w:t>
      </w:r>
      <w:r>
        <w:rPr>
          <w:position w:val="5"/>
          <w:sz w:val="14"/>
        </w:rPr>
        <w:tab/>
      </w:r>
      <w:r>
        <w:rPr/>
        <w:t>See</w:t>
      </w:r>
      <w:r>
        <w:rPr>
          <w:spacing w:val="-2"/>
        </w:rPr>
        <w:t> </w:t>
      </w:r>
      <w:r>
        <w:rPr/>
        <w:t>below, para.4-</w:t>
      </w:r>
      <w:r>
        <w:rPr>
          <w:spacing w:val="-4"/>
        </w:rPr>
        <w:t>075.</w:t>
      </w:r>
    </w:p>
    <w:p>
      <w:pPr>
        <w:pStyle w:val="BodyText"/>
        <w:spacing w:before="9"/>
      </w:pPr>
    </w:p>
    <w:p>
      <w:pPr>
        <w:spacing w:line="235" w:lineRule="auto" w:before="0"/>
        <w:ind w:left="705" w:right="167" w:hanging="541"/>
        <w:jc w:val="both"/>
        <w:rPr>
          <w:sz w:val="20"/>
        </w:rPr>
      </w:pPr>
      <w:bookmarkStart w:name="_bookmark731" w:id="733"/>
      <w:bookmarkEnd w:id="733"/>
      <w:r>
        <w:rPr/>
      </w:r>
      <w:hyperlink w:history="true" w:anchor="_bookmark685">
        <w:r>
          <w:rPr>
            <w:color w:val="005DA1"/>
            <w:position w:val="5"/>
            <w:sz w:val="14"/>
            <w:u w:val="single" w:color="005DA1"/>
          </w:rPr>
          <w:t>377</w:t>
        </w:r>
      </w:hyperlink>
      <w:r>
        <w:rPr>
          <w:position w:val="5"/>
          <w:sz w:val="14"/>
        </w:rPr>
        <w:t>.</w:t>
      </w:r>
      <w:r>
        <w:rPr>
          <w:spacing w:val="40"/>
          <w:position w:val="5"/>
          <w:sz w:val="14"/>
        </w:rPr>
        <w:t>  </w:t>
      </w:r>
      <w:r>
        <w:rPr>
          <w:sz w:val="20"/>
        </w:rPr>
        <w:t>Above, para.4-067. The difficulty of reconciling the </w:t>
      </w:r>
      <w:r>
        <w:rPr>
          <w:rFonts w:ascii="Arial" w:hAnsi="Arial"/>
          <w:i/>
          <w:sz w:val="20"/>
        </w:rPr>
        <w:t>Williams </w:t>
      </w:r>
      <w:r>
        <w:rPr>
          <w:sz w:val="20"/>
        </w:rPr>
        <w:t>case with </w:t>
      </w:r>
      <w:r>
        <w:rPr>
          <w:rFonts w:ascii="Arial" w:hAnsi="Arial"/>
          <w:i/>
          <w:sz w:val="20"/>
        </w:rPr>
        <w:t>Stilk v Myrick </w:t>
      </w:r>
      <w:r>
        <w:rPr>
          <w:sz w:val="20"/>
        </w:rPr>
        <w:t>and the cases which have followed it is discussed in </w:t>
      </w:r>
      <w:r>
        <w:rPr>
          <w:rFonts w:ascii="Arial" w:hAnsi="Arial"/>
          <w:i/>
          <w:sz w:val="20"/>
        </w:rPr>
        <w:t>South Caribbean Trading Ltd v Trafigura Beheer BV [2004] EWHC 2676 (Comm), [2005] 1 Lloyd’s Rep. 128 </w:t>
      </w:r>
      <w:r>
        <w:rPr>
          <w:sz w:val="20"/>
        </w:rPr>
        <w:t>at [107]–[109]. Colman J, </w:t>
      </w:r>
      <w:r>
        <w:rPr>
          <w:sz w:val="20"/>
        </w:rPr>
        <w:t>although accepting</w:t>
      </w:r>
      <w:r>
        <w:rPr>
          <w:spacing w:val="1"/>
          <w:sz w:val="20"/>
        </w:rPr>
        <w:t> </w:t>
      </w:r>
      <w:r>
        <w:rPr>
          <w:sz w:val="20"/>
        </w:rPr>
        <w:t>that</w:t>
      </w:r>
      <w:r>
        <w:rPr>
          <w:spacing w:val="3"/>
          <w:sz w:val="20"/>
        </w:rPr>
        <w:t> </w:t>
      </w:r>
      <w:r>
        <w:rPr>
          <w:sz w:val="20"/>
        </w:rPr>
        <w:t>the</w:t>
      </w:r>
      <w:r>
        <w:rPr>
          <w:spacing w:val="3"/>
          <w:sz w:val="20"/>
        </w:rPr>
        <w:t> </w:t>
      </w:r>
      <w:r>
        <w:rPr>
          <w:rFonts w:ascii="Arial" w:hAnsi="Arial"/>
          <w:i/>
          <w:sz w:val="20"/>
        </w:rPr>
        <w:t>Williams</w:t>
      </w:r>
      <w:r>
        <w:rPr>
          <w:rFonts w:ascii="Arial" w:hAnsi="Arial"/>
          <w:i/>
          <w:spacing w:val="3"/>
          <w:sz w:val="20"/>
        </w:rPr>
        <w:t> </w:t>
      </w:r>
      <w:r>
        <w:rPr>
          <w:sz w:val="20"/>
        </w:rPr>
        <w:t>case</w:t>
      </w:r>
      <w:r>
        <w:rPr>
          <w:spacing w:val="3"/>
          <w:sz w:val="20"/>
        </w:rPr>
        <w:t> </w:t>
      </w:r>
      <w:r>
        <w:rPr>
          <w:sz w:val="20"/>
        </w:rPr>
        <w:t>appeared</w:t>
      </w:r>
      <w:r>
        <w:rPr>
          <w:spacing w:val="3"/>
          <w:sz w:val="20"/>
        </w:rPr>
        <w:t> </w:t>
      </w:r>
      <w:r>
        <w:rPr>
          <w:sz w:val="20"/>
        </w:rPr>
        <w:t>to</w:t>
      </w:r>
      <w:r>
        <w:rPr>
          <w:spacing w:val="3"/>
          <w:sz w:val="20"/>
        </w:rPr>
        <w:t> </w:t>
      </w:r>
      <w:r>
        <w:rPr>
          <w:sz w:val="20"/>
        </w:rPr>
        <w:t>have</w:t>
      </w:r>
      <w:r>
        <w:rPr>
          <w:spacing w:val="3"/>
          <w:sz w:val="20"/>
        </w:rPr>
        <w:t> </w:t>
      </w:r>
      <w:r>
        <w:rPr>
          <w:sz w:val="20"/>
        </w:rPr>
        <w:t>introduced</w:t>
      </w:r>
      <w:r>
        <w:rPr>
          <w:spacing w:val="3"/>
          <w:sz w:val="20"/>
        </w:rPr>
        <w:t> </w:t>
      </w:r>
      <w:r>
        <w:rPr>
          <w:sz w:val="20"/>
        </w:rPr>
        <w:t>“some</w:t>
      </w:r>
      <w:r>
        <w:rPr>
          <w:spacing w:val="3"/>
          <w:sz w:val="20"/>
        </w:rPr>
        <w:t> </w:t>
      </w:r>
      <w:r>
        <w:rPr>
          <w:sz w:val="20"/>
        </w:rPr>
        <w:t>amelioration”,</w:t>
      </w:r>
      <w:r>
        <w:rPr>
          <w:spacing w:val="3"/>
          <w:sz w:val="20"/>
        </w:rPr>
        <w:t> </w:t>
      </w:r>
      <w:r>
        <w:rPr>
          <w:sz w:val="20"/>
        </w:rPr>
        <w:t>said</w:t>
      </w:r>
      <w:r>
        <w:rPr>
          <w:spacing w:val="3"/>
          <w:sz w:val="20"/>
        </w:rPr>
        <w:t> </w:t>
      </w:r>
      <w:r>
        <w:rPr>
          <w:sz w:val="20"/>
        </w:rPr>
        <w:t>that</w:t>
      </w:r>
      <w:r>
        <w:rPr>
          <w:spacing w:val="3"/>
          <w:sz w:val="20"/>
        </w:rPr>
        <w:t> </w:t>
      </w:r>
      <w:r>
        <w:rPr>
          <w:spacing w:val="-5"/>
          <w:sz w:val="20"/>
        </w:rPr>
        <w:t>he</w:t>
      </w:r>
    </w:p>
    <w:p>
      <w:pPr>
        <w:spacing w:after="0" w:line="235" w:lineRule="auto"/>
        <w:jc w:val="both"/>
        <w:rPr>
          <w:sz w:val="20"/>
        </w:rPr>
        <w:sectPr>
          <w:type w:val="continuous"/>
          <w:pgSz w:w="11900" w:h="16840"/>
          <w:pgMar w:header="971" w:footer="0" w:top="3760" w:bottom="280" w:left="1275" w:right="1275"/>
        </w:sectPr>
      </w:pPr>
    </w:p>
    <w:p>
      <w:pPr>
        <w:pStyle w:val="BodyText"/>
        <w:spacing w:before="24"/>
      </w:pPr>
    </w:p>
    <w:p>
      <w:pPr>
        <w:pStyle w:val="BodyText"/>
        <w:spacing w:line="235" w:lineRule="auto" w:before="1"/>
        <w:ind w:left="705" w:right="167"/>
        <w:jc w:val="both"/>
        <w:rPr>
          <w:rFonts w:ascii="Arial" w:hAnsi="Arial"/>
          <w:i/>
        </w:rPr>
      </w:pPr>
      <w:r>
        <w:rPr/>
        <w:t>would not have followed it, if it had not been a decision of the Court of Appeal. He regarded </w:t>
      </w:r>
      <w:r>
        <w:rPr/>
        <w:t>the decision as “inconsistent with the … rule that consideration must move from the promisee” (at [108]); but it is respectfully submitted that this requirement can be (and in the </w:t>
      </w:r>
      <w:r>
        <w:rPr>
          <w:rFonts w:ascii="Arial" w:hAnsi="Arial"/>
          <w:i/>
        </w:rPr>
        <w:t>Williams </w:t>
      </w:r>
      <w:r>
        <w:rPr/>
        <w:t>case was)</w:t>
      </w:r>
      <w:r>
        <w:rPr>
          <w:spacing w:val="-3"/>
        </w:rPr>
        <w:t> </w:t>
      </w:r>
      <w:r>
        <w:rPr/>
        <w:t>satisfied</w:t>
      </w:r>
      <w:r>
        <w:rPr>
          <w:spacing w:val="-3"/>
        </w:rPr>
        <w:t> </w:t>
      </w:r>
      <w:r>
        <w:rPr/>
        <w:t>by</w:t>
      </w:r>
      <w:r>
        <w:rPr>
          <w:spacing w:val="-3"/>
        </w:rPr>
        <w:t> </w:t>
      </w:r>
      <w:r>
        <w:rPr/>
        <w:t>the</w:t>
      </w:r>
      <w:r>
        <w:rPr>
          <w:spacing w:val="-3"/>
        </w:rPr>
        <w:t> </w:t>
      </w:r>
      <w:r>
        <w:rPr/>
        <w:t>promisee’s</w:t>
      </w:r>
      <w:r>
        <w:rPr>
          <w:spacing w:val="-3"/>
        </w:rPr>
        <w:t> </w:t>
      </w:r>
      <w:r>
        <w:rPr/>
        <w:t>conferring</w:t>
      </w:r>
      <w:r>
        <w:rPr>
          <w:spacing w:val="-3"/>
        </w:rPr>
        <w:t> </w:t>
      </w:r>
      <w:r>
        <w:rPr/>
        <w:t>a</w:t>
      </w:r>
      <w:r>
        <w:rPr>
          <w:spacing w:val="-3"/>
        </w:rPr>
        <w:t> </w:t>
      </w:r>
      <w:r>
        <w:rPr/>
        <w:t>benefit</w:t>
      </w:r>
      <w:r>
        <w:rPr>
          <w:spacing w:val="-3"/>
        </w:rPr>
        <w:t> </w:t>
      </w:r>
      <w:r>
        <w:rPr/>
        <w:t>on</w:t>
      </w:r>
      <w:r>
        <w:rPr>
          <w:spacing w:val="-3"/>
        </w:rPr>
        <w:t> </w:t>
      </w:r>
      <w:r>
        <w:rPr/>
        <w:t>the</w:t>
      </w:r>
      <w:r>
        <w:rPr>
          <w:spacing w:val="-3"/>
        </w:rPr>
        <w:t> </w:t>
      </w:r>
      <w:r>
        <w:rPr/>
        <w:t>promisor</w:t>
      </w:r>
      <w:r>
        <w:rPr>
          <w:spacing w:val="-3"/>
        </w:rPr>
        <w:t> </w:t>
      </w:r>
      <w:r>
        <w:rPr/>
        <w:t>even</w:t>
      </w:r>
      <w:r>
        <w:rPr>
          <w:spacing w:val="-3"/>
        </w:rPr>
        <w:t> </w:t>
      </w:r>
      <w:r>
        <w:rPr/>
        <w:t>though</w:t>
      </w:r>
      <w:r>
        <w:rPr>
          <w:spacing w:val="-3"/>
        </w:rPr>
        <w:t> </w:t>
      </w:r>
      <w:r>
        <w:rPr/>
        <w:t>the</w:t>
      </w:r>
      <w:r>
        <w:rPr>
          <w:spacing w:val="-3"/>
        </w:rPr>
        <w:t> </w:t>
      </w:r>
      <w:r>
        <w:rPr/>
        <w:t>promisee, in doing so, suffers no detriment (see above, para.4-038). The </w:t>
      </w:r>
      <w:r>
        <w:rPr>
          <w:rFonts w:ascii="Arial" w:hAnsi="Arial"/>
          <w:i/>
        </w:rPr>
        <w:t>Williams </w:t>
      </w:r>
      <w:r>
        <w:rPr/>
        <w:t>case was discussed with</w:t>
      </w:r>
      <w:r>
        <w:rPr>
          <w:spacing w:val="27"/>
        </w:rPr>
        <w:t> </w:t>
      </w:r>
      <w:r>
        <w:rPr/>
        <w:t>apparent</w:t>
      </w:r>
      <w:r>
        <w:rPr>
          <w:spacing w:val="27"/>
        </w:rPr>
        <w:t> </w:t>
      </w:r>
      <w:r>
        <w:rPr/>
        <w:t>approval</w:t>
      </w:r>
      <w:r>
        <w:rPr>
          <w:spacing w:val="27"/>
        </w:rPr>
        <w:t> </w:t>
      </w:r>
      <w:r>
        <w:rPr/>
        <w:t>in</w:t>
      </w:r>
      <w:r>
        <w:rPr>
          <w:spacing w:val="27"/>
        </w:rPr>
        <w:t> </w:t>
      </w:r>
      <w:r>
        <w:rPr>
          <w:rFonts w:ascii="Arial" w:hAnsi="Arial"/>
          <w:i/>
        </w:rPr>
        <w:t>Birmingham</w:t>
      </w:r>
      <w:r>
        <w:rPr>
          <w:rFonts w:ascii="Arial" w:hAnsi="Arial"/>
          <w:i/>
          <w:spacing w:val="27"/>
        </w:rPr>
        <w:t> </w:t>
      </w:r>
      <w:r>
        <w:rPr>
          <w:rFonts w:ascii="Arial" w:hAnsi="Arial"/>
          <w:i/>
        </w:rPr>
        <w:t>City</w:t>
      </w:r>
      <w:r>
        <w:rPr>
          <w:rFonts w:ascii="Arial" w:hAnsi="Arial"/>
          <w:i/>
          <w:spacing w:val="27"/>
        </w:rPr>
        <w:t> </w:t>
      </w:r>
      <w:r>
        <w:rPr>
          <w:rFonts w:ascii="Arial" w:hAnsi="Arial"/>
          <w:i/>
        </w:rPr>
        <w:t>Council</w:t>
      </w:r>
      <w:r>
        <w:rPr>
          <w:rFonts w:ascii="Arial" w:hAnsi="Arial"/>
          <w:i/>
          <w:spacing w:val="27"/>
        </w:rPr>
        <w:t> </w:t>
      </w:r>
      <w:r>
        <w:rPr>
          <w:rFonts w:ascii="Arial" w:hAnsi="Arial"/>
          <w:i/>
        </w:rPr>
        <w:t>v</w:t>
      </w:r>
      <w:r>
        <w:rPr>
          <w:rFonts w:ascii="Arial" w:hAnsi="Arial"/>
          <w:i/>
          <w:spacing w:val="27"/>
        </w:rPr>
        <w:t> </w:t>
      </w:r>
      <w:r>
        <w:rPr>
          <w:rFonts w:ascii="Arial" w:hAnsi="Arial"/>
          <w:i/>
        </w:rPr>
        <w:t>Forde</w:t>
      </w:r>
      <w:r>
        <w:rPr>
          <w:rFonts w:ascii="Arial" w:hAnsi="Arial"/>
          <w:i/>
          <w:spacing w:val="27"/>
        </w:rPr>
        <w:t> </w:t>
      </w:r>
      <w:r>
        <w:rPr>
          <w:rFonts w:ascii="Arial" w:hAnsi="Arial"/>
          <w:i/>
        </w:rPr>
        <w:t>[2009]</w:t>
      </w:r>
      <w:r>
        <w:rPr>
          <w:rFonts w:ascii="Arial" w:hAnsi="Arial"/>
          <w:i/>
          <w:spacing w:val="27"/>
        </w:rPr>
        <w:t> </w:t>
      </w:r>
      <w:r>
        <w:rPr>
          <w:rFonts w:ascii="Arial" w:hAnsi="Arial"/>
          <w:i/>
        </w:rPr>
        <w:t>EWHC</w:t>
      </w:r>
      <w:r>
        <w:rPr>
          <w:rFonts w:ascii="Arial" w:hAnsi="Arial"/>
          <w:i/>
          <w:spacing w:val="27"/>
        </w:rPr>
        <w:t> </w:t>
      </w:r>
      <w:r>
        <w:rPr>
          <w:rFonts w:ascii="Arial" w:hAnsi="Arial"/>
          <w:i/>
        </w:rPr>
        <w:t>12</w:t>
      </w:r>
      <w:r>
        <w:rPr>
          <w:rFonts w:ascii="Arial" w:hAnsi="Arial"/>
          <w:i/>
          <w:spacing w:val="27"/>
        </w:rPr>
        <w:t> </w:t>
      </w:r>
      <w:r>
        <w:rPr>
          <w:rFonts w:ascii="Arial" w:hAnsi="Arial"/>
          <w:i/>
        </w:rPr>
        <w:t>(QB),</w:t>
      </w:r>
      <w:r>
        <w:rPr>
          <w:rFonts w:ascii="Arial" w:hAnsi="Arial"/>
          <w:i/>
          <w:spacing w:val="27"/>
        </w:rPr>
        <w:t> </w:t>
      </w:r>
      <w:r>
        <w:rPr>
          <w:rFonts w:ascii="Arial" w:hAnsi="Arial"/>
          <w:i/>
        </w:rPr>
        <w:t>[2009]</w:t>
      </w:r>
      <w:r>
        <w:rPr>
          <w:rFonts w:ascii="Arial" w:hAnsi="Arial"/>
          <w:i/>
          <w:spacing w:val="27"/>
        </w:rPr>
        <w:t> </w:t>
      </w:r>
      <w:r>
        <w:rPr>
          <w:rFonts w:ascii="Arial" w:hAnsi="Arial"/>
          <w:i/>
          <w:spacing w:val="-10"/>
        </w:rPr>
        <w:t>1</w:t>
      </w:r>
    </w:p>
    <w:p>
      <w:pPr>
        <w:pStyle w:val="BodyText"/>
        <w:spacing w:line="224" w:lineRule="exact"/>
        <w:ind w:left="705"/>
        <w:jc w:val="both"/>
      </w:pPr>
      <w:r>
        <w:rPr>
          <w:rFonts w:ascii="Arial" w:hAnsi="Arial"/>
          <w:i/>
        </w:rPr>
        <w:t>W.L.R. 2732</w:t>
      </w:r>
      <w:r>
        <w:rPr>
          <w:rFonts w:ascii="Arial" w:hAnsi="Arial"/>
          <w:i/>
          <w:spacing w:val="-1"/>
        </w:rPr>
        <w:t> </w:t>
      </w:r>
      <w:r>
        <w:rPr/>
        <w:t>at [86]–[89]; for this case, see above, para.4-018, below para.4-</w:t>
      </w:r>
      <w:r>
        <w:rPr>
          <w:spacing w:val="-4"/>
        </w:rPr>
        <w:t>072.</w:t>
      </w:r>
    </w:p>
    <w:p>
      <w:pPr>
        <w:pStyle w:val="BodyText"/>
        <w:spacing w:before="5"/>
      </w:pPr>
    </w:p>
    <w:p>
      <w:pPr>
        <w:tabs>
          <w:tab w:pos="705" w:val="left" w:leader="none"/>
        </w:tabs>
        <w:spacing w:before="0"/>
        <w:ind w:left="165" w:right="0" w:firstLine="0"/>
        <w:jc w:val="left"/>
        <w:rPr>
          <w:sz w:val="20"/>
        </w:rPr>
      </w:pPr>
      <w:bookmarkStart w:name="_bookmark732" w:id="734"/>
      <w:bookmarkEnd w:id="734"/>
      <w:r>
        <w:rPr/>
      </w:r>
      <w:hyperlink w:history="true" w:anchor="_bookmark686">
        <w:r>
          <w:rPr>
            <w:color w:val="005DA1"/>
            <w:spacing w:val="-4"/>
            <w:position w:val="5"/>
            <w:sz w:val="14"/>
            <w:u w:val="single" w:color="005DA1"/>
          </w:rPr>
          <w:t>378</w:t>
        </w:r>
      </w:hyperlink>
      <w:r>
        <w:rPr>
          <w:spacing w:val="-4"/>
          <w:position w:val="5"/>
          <w:sz w:val="14"/>
        </w:rPr>
        <w:t>.</w:t>
      </w:r>
      <w:r>
        <w:rPr>
          <w:position w:val="5"/>
          <w:sz w:val="14"/>
        </w:rPr>
        <w:tab/>
      </w:r>
      <w:r>
        <w:rPr>
          <w:rFonts w:ascii="Arial"/>
          <w:i/>
          <w:sz w:val="20"/>
        </w:rPr>
        <w:t>[1991] 1 Q.B. 1, </w:t>
      </w:r>
      <w:r>
        <w:rPr>
          <w:rFonts w:ascii="Arial"/>
          <w:i/>
          <w:spacing w:val="-5"/>
          <w:sz w:val="20"/>
        </w:rPr>
        <w:t>20</w:t>
      </w:r>
      <w:r>
        <w:rPr>
          <w:spacing w:val="-5"/>
          <w:sz w:val="20"/>
        </w:rPr>
        <w:t>.</w:t>
      </w:r>
    </w:p>
    <w:p>
      <w:pPr>
        <w:pStyle w:val="BodyText"/>
        <w:spacing w:before="8"/>
      </w:pPr>
    </w:p>
    <w:p>
      <w:pPr>
        <w:spacing w:line="235" w:lineRule="auto" w:before="1"/>
        <w:ind w:left="705" w:right="167" w:hanging="541"/>
        <w:jc w:val="both"/>
        <w:rPr>
          <w:sz w:val="20"/>
        </w:rPr>
      </w:pPr>
      <w:bookmarkStart w:name="_bookmark733" w:id="735"/>
      <w:bookmarkEnd w:id="735"/>
      <w:r>
        <w:rPr/>
      </w:r>
      <w:hyperlink w:history="true" w:anchor="_bookmark687">
        <w:r>
          <w:rPr>
            <w:color w:val="005DA1"/>
            <w:position w:val="5"/>
            <w:sz w:val="14"/>
            <w:u w:val="single" w:color="005DA1"/>
          </w:rPr>
          <w:t>379</w:t>
        </w:r>
      </w:hyperlink>
      <w:r>
        <w:rPr>
          <w:position w:val="5"/>
          <w:sz w:val="14"/>
        </w:rPr>
        <w:t>.</w:t>
      </w:r>
      <w:r>
        <w:rPr>
          <w:spacing w:val="80"/>
          <w:position w:val="5"/>
          <w:sz w:val="14"/>
        </w:rPr>
        <w:t>  </w:t>
      </w:r>
      <w:r>
        <w:rPr>
          <w:sz w:val="20"/>
        </w:rPr>
        <w:t>ibid., at 21. But he was not prepared to accept the American case of </w:t>
      </w:r>
      <w:r>
        <w:rPr>
          <w:rFonts w:ascii="Arial" w:hAnsi="Arial"/>
          <w:i/>
          <w:sz w:val="20"/>
        </w:rPr>
        <w:t>Watkins v Carrig 21 A. </w:t>
      </w:r>
      <w:r>
        <w:rPr>
          <w:rFonts w:ascii="Arial" w:hAnsi="Arial"/>
          <w:i/>
          <w:sz w:val="20"/>
        </w:rPr>
        <w:t>2d 591 (1941)</w:t>
      </w:r>
      <w:r>
        <w:rPr>
          <w:sz w:val="20"/>
        </w:rPr>
        <w:t>, where a contractor who had agreed to do excavating work unexpectedly struck</w:t>
      </w:r>
      <w:r>
        <w:rPr>
          <w:spacing w:val="40"/>
          <w:sz w:val="20"/>
        </w:rPr>
        <w:t> </w:t>
      </w:r>
      <w:r>
        <w:rPr>
          <w:sz w:val="20"/>
        </w:rPr>
        <w:t>hard rock and was held entitled to enforce a promise to pay nine times the originally agreed sum. The case was said not to represent English law in </w:t>
      </w:r>
      <w:r>
        <w:rPr>
          <w:rFonts w:ascii="Arial" w:hAnsi="Arial"/>
          <w:i/>
          <w:sz w:val="20"/>
        </w:rPr>
        <w:t>North Ocean Shipping Co Ltd v</w:t>
      </w:r>
      <w:r>
        <w:rPr>
          <w:rFonts w:ascii="Arial" w:hAnsi="Arial"/>
          <w:i/>
          <w:spacing w:val="40"/>
          <w:sz w:val="20"/>
        </w:rPr>
        <w:t> </w:t>
      </w:r>
      <w:r>
        <w:rPr>
          <w:rFonts w:ascii="Arial" w:hAnsi="Arial"/>
          <w:i/>
          <w:sz w:val="20"/>
        </w:rPr>
        <w:t>Hyundai Construction Co Ltd (The Atlantic Baron) [1979] Q.B. 705, 714</w:t>
      </w:r>
      <w:r>
        <w:rPr>
          <w:sz w:val="20"/>
        </w:rPr>
        <w:t>. It was cited with apparent approval in </w:t>
      </w:r>
      <w:r>
        <w:rPr>
          <w:rFonts w:ascii="Arial" w:hAnsi="Arial"/>
          <w:i/>
          <w:sz w:val="20"/>
        </w:rPr>
        <w:t>Compagnie Noga D’Importation et D’Exportation SA v Abacha [2003] EWCA Civ 1100; [2003] 2 All E.R. (Comm) 915 </w:t>
      </w:r>
      <w:r>
        <w:rPr>
          <w:sz w:val="20"/>
        </w:rPr>
        <w:t>at [54] but on the point that the requirement of consideration was satisfied by rescission of the original contract, followed by the making of a new one: below, paras 4-072, 4-080. No mention was made in the </w:t>
      </w:r>
      <w:r>
        <w:rPr>
          <w:rFonts w:ascii="Arial" w:hAnsi="Arial"/>
          <w:i/>
          <w:sz w:val="20"/>
        </w:rPr>
        <w:t>Compagnie Noga </w:t>
      </w:r>
      <w:r>
        <w:rPr>
          <w:sz w:val="20"/>
        </w:rPr>
        <w:t>case, above, of the more sceptical references to </w:t>
      </w:r>
      <w:r>
        <w:rPr>
          <w:rFonts w:ascii="Arial" w:hAnsi="Arial"/>
          <w:i/>
          <w:sz w:val="20"/>
        </w:rPr>
        <w:t>Watkins v Carrig </w:t>
      </w:r>
      <w:r>
        <w:rPr>
          <w:sz w:val="20"/>
        </w:rPr>
        <w:t>in the </w:t>
      </w:r>
      <w:r>
        <w:rPr>
          <w:rFonts w:ascii="Arial" w:hAnsi="Arial"/>
          <w:i/>
          <w:sz w:val="20"/>
        </w:rPr>
        <w:t>Williams </w:t>
      </w:r>
      <w:r>
        <w:rPr>
          <w:sz w:val="20"/>
        </w:rPr>
        <w:t>case and in </w:t>
      </w:r>
      <w:r>
        <w:rPr>
          <w:rFonts w:ascii="Arial" w:hAnsi="Arial"/>
          <w:i/>
          <w:sz w:val="20"/>
        </w:rPr>
        <w:t>The Atlantic Baron</w:t>
      </w:r>
      <w:r>
        <w:rPr>
          <w:sz w:val="20"/>
        </w:rPr>
        <w:t>, cited earlier in this note.</w:t>
      </w:r>
    </w:p>
    <w:p>
      <w:pPr>
        <w:pStyle w:val="BodyText"/>
        <w:spacing w:before="1"/>
      </w:pPr>
    </w:p>
    <w:p>
      <w:pPr>
        <w:tabs>
          <w:tab w:pos="705" w:val="left" w:leader="none"/>
        </w:tabs>
        <w:spacing w:before="1"/>
        <w:ind w:left="165" w:right="0" w:firstLine="0"/>
        <w:jc w:val="left"/>
        <w:rPr>
          <w:sz w:val="20"/>
        </w:rPr>
      </w:pPr>
      <w:bookmarkStart w:name="_bookmark734" w:id="736"/>
      <w:bookmarkEnd w:id="736"/>
      <w:r>
        <w:rPr/>
      </w:r>
      <w:hyperlink w:history="true" w:anchor="_bookmark688">
        <w:r>
          <w:rPr>
            <w:color w:val="005DA1"/>
            <w:spacing w:val="-4"/>
            <w:position w:val="5"/>
            <w:sz w:val="14"/>
            <w:u w:val="single" w:color="005DA1"/>
          </w:rPr>
          <w:t>380</w:t>
        </w:r>
      </w:hyperlink>
      <w:r>
        <w:rPr>
          <w:spacing w:val="-4"/>
          <w:position w:val="5"/>
          <w:sz w:val="14"/>
        </w:rPr>
        <w:t>.</w:t>
      </w:r>
      <w:r>
        <w:rPr>
          <w:position w:val="5"/>
          <w:sz w:val="14"/>
        </w:rPr>
        <w:tab/>
      </w:r>
      <w:r>
        <w:rPr>
          <w:rFonts w:ascii="Arial"/>
          <w:i/>
          <w:sz w:val="20"/>
        </w:rPr>
        <w:t>[1991] 1 Q.B. 1, </w:t>
      </w:r>
      <w:r>
        <w:rPr>
          <w:rFonts w:ascii="Arial"/>
          <w:i/>
          <w:spacing w:val="-5"/>
          <w:sz w:val="20"/>
        </w:rPr>
        <w:t>16</w:t>
      </w:r>
      <w:r>
        <w:rPr>
          <w:spacing w:val="-5"/>
          <w:sz w:val="20"/>
        </w:rPr>
        <w:t>.</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0384">
            <wp:simplePos x="0" y="0"/>
            <wp:positionH relativeFrom="page">
              <wp:posOffset>1257846</wp:posOffset>
            </wp:positionH>
            <wp:positionV relativeFrom="paragraph">
              <wp:posOffset>160607</wp:posOffset>
            </wp:positionV>
            <wp:extent cx="107988" cy="107988"/>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735" w:id="737"/>
      <w:bookmarkEnd w:id="737"/>
      <w:r>
        <w:rPr/>
      </w:r>
      <w:hyperlink w:history="true" w:anchor="_bookmark689">
        <w:r>
          <w:rPr>
            <w:color w:val="005DA1"/>
            <w:spacing w:val="-4"/>
            <w:sz w:val="14"/>
            <w:u w:val="single" w:color="005DA1"/>
          </w:rPr>
          <w:t>381</w:t>
        </w:r>
      </w:hyperlink>
      <w:r>
        <w:rPr>
          <w:spacing w:val="-4"/>
          <w:sz w:val="14"/>
        </w:rPr>
        <w:t>.</w:t>
      </w:r>
    </w:p>
    <w:p>
      <w:pPr>
        <w:spacing w:line="235" w:lineRule="auto" w:before="212"/>
        <w:ind w:left="165" w:right="167" w:firstLine="170"/>
        <w:jc w:val="both"/>
        <w:rPr>
          <w:sz w:val="20"/>
        </w:rPr>
      </w:pPr>
      <w:r>
        <w:rPr/>
        <w:br w:type="column"/>
      </w:r>
      <w:r>
        <w:rPr>
          <w:sz w:val="20"/>
        </w:rPr>
        <w:t>ibid., at 18. A passage in the judgment of Arden L.J. in </w:t>
      </w:r>
      <w:r>
        <w:rPr>
          <w:rFonts w:ascii="Arial" w:hAnsi="Arial"/>
          <w:i/>
          <w:sz w:val="20"/>
        </w:rPr>
        <w:t>MWB Business Exchange Centres Ltd v Rock Advertising Ltd [2016] EWCA Civ 553, [2017] Q.B. 604 </w:t>
      </w:r>
      <w:r>
        <w:rPr>
          <w:sz w:val="20"/>
        </w:rPr>
        <w:t>at [79] could be said to support the view that the decision in </w:t>
      </w:r>
      <w:r>
        <w:rPr>
          <w:rFonts w:ascii="Arial" w:hAnsi="Arial"/>
          <w:i/>
          <w:sz w:val="20"/>
        </w:rPr>
        <w:t>Stilk v Myrick (1809) 2 Camp. 317</w:t>
      </w:r>
      <w:r>
        <w:rPr>
          <w:sz w:val="20"/>
        </w:rPr>
        <w:t>, para.4-067, might now go the other way on the ground that the master of the ship had obtained a “practical benefit” which would constitute consideration within the reasoning of the </w:t>
      </w:r>
      <w:r>
        <w:rPr>
          <w:rFonts w:ascii="Arial" w:hAnsi="Arial"/>
          <w:i/>
          <w:sz w:val="20"/>
        </w:rPr>
        <w:t>Williams case [1991] 1 Q.B. 1</w:t>
      </w:r>
      <w:r>
        <w:rPr>
          <w:sz w:val="20"/>
        </w:rPr>
        <w:t>, see Vol.I, para.4-069; but there is no express reference to </w:t>
      </w:r>
      <w:r>
        <w:rPr>
          <w:rFonts w:ascii="Arial" w:hAnsi="Arial"/>
          <w:i/>
          <w:sz w:val="20"/>
        </w:rPr>
        <w:t>Stilk v Myrick </w:t>
      </w:r>
      <w:r>
        <w:rPr>
          <w:sz w:val="20"/>
        </w:rPr>
        <w:t>(above) in the </w:t>
      </w:r>
      <w:r>
        <w:rPr>
          <w:rFonts w:ascii="Arial" w:hAnsi="Arial"/>
          <w:i/>
          <w:sz w:val="20"/>
        </w:rPr>
        <w:t>MWB </w:t>
      </w:r>
      <w:r>
        <w:rPr>
          <w:sz w:val="20"/>
        </w:rPr>
        <w:t>case, </w:t>
      </w:r>
      <w:r>
        <w:rPr>
          <w:spacing w:val="-2"/>
          <w:sz w:val="20"/>
        </w:rPr>
        <w:t>above.</w:t>
      </w:r>
    </w:p>
    <w:p>
      <w:pPr>
        <w:spacing w:after="0" w:line="235" w:lineRule="auto"/>
        <w:jc w:val="both"/>
        <w:rPr>
          <w:sz w:val="20"/>
        </w:rPr>
        <w:sectPr>
          <w:type w:val="continuous"/>
          <w:pgSz w:w="11900" w:h="16840"/>
          <w:pgMar w:header="971" w:footer="0" w:top="3760" w:bottom="280" w:left="1275" w:right="1275"/>
          <w:cols w:num="2" w:equalWidth="0">
            <w:col w:w="478" w:space="63"/>
            <w:col w:w="8809"/>
          </w:cols>
        </w:sectPr>
      </w:pPr>
    </w:p>
    <w:p>
      <w:pPr>
        <w:pStyle w:val="BodyText"/>
        <w:spacing w:before="8"/>
      </w:pPr>
    </w:p>
    <w:p>
      <w:pPr>
        <w:pStyle w:val="BodyText"/>
        <w:spacing w:line="235" w:lineRule="auto"/>
        <w:ind w:left="705" w:right="167" w:hanging="541"/>
        <w:jc w:val="both"/>
      </w:pPr>
      <w:bookmarkStart w:name="_bookmark736" w:id="738"/>
      <w:bookmarkEnd w:id="738"/>
      <w:r>
        <w:rPr/>
      </w:r>
      <w:hyperlink w:history="true" w:anchor="_bookmark690">
        <w:r>
          <w:rPr>
            <w:color w:val="005DA1"/>
            <w:position w:val="5"/>
            <w:sz w:val="14"/>
            <w:u w:val="single" w:color="005DA1"/>
          </w:rPr>
          <w:t>382</w:t>
        </w:r>
      </w:hyperlink>
      <w:r>
        <w:rPr>
          <w:position w:val="5"/>
          <w:sz w:val="14"/>
        </w:rPr>
        <w:t>.</w:t>
      </w:r>
      <w:r>
        <w:rPr>
          <w:spacing w:val="80"/>
          <w:w w:val="150"/>
          <w:position w:val="5"/>
          <w:sz w:val="14"/>
        </w:rPr>
        <w:t> </w:t>
      </w:r>
      <w:r>
        <w:rPr/>
        <w:t>The actual decision in the </w:t>
      </w:r>
      <w:r>
        <w:rPr>
          <w:rFonts w:ascii="Arial" w:hAnsi="Arial"/>
          <w:i/>
        </w:rPr>
        <w:t>South Caribbean </w:t>
      </w:r>
      <w:r>
        <w:rPr/>
        <w:t>case (above n.373) seems to be explicable on </w:t>
      </w:r>
      <w:r>
        <w:rPr/>
        <w:t>the ground that the promisee’s “threat of non-compliance” with the original contract was “analogous to economic duress” (at [108]); though the words “analogous to” give rise to some difficulty insofar as they suggest that there was no actual duress: see above, para.4-068 at n.365.</w:t>
      </w:r>
    </w:p>
    <w:p>
      <w:pPr>
        <w:pStyle w:val="BodyText"/>
        <w:spacing w:before="8"/>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0896">
            <wp:simplePos x="0" y="0"/>
            <wp:positionH relativeFrom="page">
              <wp:posOffset>1257846</wp:posOffset>
            </wp:positionH>
            <wp:positionV relativeFrom="paragraph">
              <wp:posOffset>160506</wp:posOffset>
            </wp:positionV>
            <wp:extent cx="107988" cy="107988"/>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737" w:id="739"/>
      <w:bookmarkEnd w:id="739"/>
      <w:r>
        <w:rPr/>
      </w:r>
      <w:hyperlink w:history="true" w:anchor="_bookmark691">
        <w:r>
          <w:rPr>
            <w:color w:val="005DA1"/>
            <w:spacing w:val="-4"/>
            <w:sz w:val="14"/>
            <w:u w:val="single" w:color="005DA1"/>
          </w:rPr>
          <w:t>383</w:t>
        </w:r>
      </w:hyperlink>
      <w:r>
        <w:rPr>
          <w:spacing w:val="-4"/>
          <w:sz w:val="14"/>
        </w:rPr>
        <w:t>.</w:t>
      </w:r>
    </w:p>
    <w:p>
      <w:pPr>
        <w:spacing w:line="235" w:lineRule="auto" w:before="212"/>
        <w:ind w:left="165" w:right="167" w:firstLine="170"/>
        <w:jc w:val="both"/>
        <w:rPr>
          <w:sz w:val="20"/>
        </w:rPr>
      </w:pPr>
      <w:r>
        <w:rPr/>
        <w:br w:type="column"/>
      </w:r>
      <w:r>
        <w:rPr>
          <w:sz w:val="20"/>
        </w:rPr>
        <w:t>The above sentence is cited with apparent approval by Arden L.J. in </w:t>
      </w:r>
      <w:r>
        <w:rPr>
          <w:rFonts w:ascii="Arial"/>
          <w:i/>
          <w:sz w:val="20"/>
        </w:rPr>
        <w:t>MWB Business Exchange Centres Ltd v Rock Advertising Ltd [2016] EWCA Civ 553, [2017] Q.B. 604 </w:t>
      </w:r>
      <w:r>
        <w:rPr>
          <w:sz w:val="20"/>
        </w:rPr>
        <w:t>at [80]. The question whether in that case the requirement of consideration was satisfied is discussed below, para. 4-119A.</w:t>
      </w:r>
    </w:p>
    <w:p>
      <w:pPr>
        <w:spacing w:after="0" w:line="235" w:lineRule="auto"/>
        <w:jc w:val="both"/>
        <w:rPr>
          <w:sz w:val="20"/>
        </w:rPr>
        <w:sectPr>
          <w:type w:val="continuous"/>
          <w:pgSz w:w="11900" w:h="16840"/>
          <w:pgMar w:header="971" w:footer="0" w:top="3760" w:bottom="280" w:left="1275" w:right="1275"/>
          <w:cols w:num="2" w:equalWidth="0">
            <w:col w:w="478" w:space="63"/>
            <w:col w:w="8809"/>
          </w:cols>
        </w:sectPr>
      </w:pPr>
    </w:p>
    <w:p>
      <w:pPr>
        <w:pStyle w:val="BodyText"/>
        <w:spacing w:before="9"/>
      </w:pPr>
    </w:p>
    <w:p>
      <w:pPr>
        <w:spacing w:line="235" w:lineRule="auto" w:before="0"/>
        <w:ind w:left="705" w:right="167" w:hanging="541"/>
        <w:jc w:val="both"/>
        <w:rPr>
          <w:sz w:val="20"/>
        </w:rPr>
      </w:pPr>
      <w:bookmarkStart w:name="_bookmark738" w:id="740"/>
      <w:bookmarkEnd w:id="740"/>
      <w:r>
        <w:rPr/>
      </w:r>
      <w:hyperlink w:history="true" w:anchor="_bookmark692">
        <w:r>
          <w:rPr>
            <w:color w:val="005DA1"/>
            <w:position w:val="5"/>
            <w:sz w:val="14"/>
            <w:u w:val="single" w:color="005DA1"/>
          </w:rPr>
          <w:t>384</w:t>
        </w:r>
      </w:hyperlink>
      <w:r>
        <w:rPr>
          <w:position w:val="5"/>
          <w:sz w:val="14"/>
        </w:rPr>
        <w:t>.</w:t>
      </w:r>
      <w:r>
        <w:rPr>
          <w:spacing w:val="80"/>
          <w:position w:val="5"/>
          <w:sz w:val="14"/>
        </w:rPr>
        <w:t>  </w:t>
      </w:r>
      <w:r>
        <w:rPr>
          <w:rFonts w:ascii="Arial"/>
          <w:i/>
          <w:sz w:val="20"/>
        </w:rPr>
        <w:t>Hanson v Royden (1867) L.R. 3 C.P. 47</w:t>
      </w:r>
      <w:r>
        <w:rPr>
          <w:sz w:val="20"/>
        </w:rPr>
        <w:t>; cf. </w:t>
      </w:r>
      <w:r>
        <w:rPr>
          <w:rFonts w:ascii="Arial"/>
          <w:i/>
          <w:sz w:val="20"/>
        </w:rPr>
        <w:t>Turner v Owen (1862) 3 F. &amp; F. 176</w:t>
      </w:r>
      <w:r>
        <w:rPr>
          <w:sz w:val="20"/>
        </w:rPr>
        <w:t>. Semble, such extra pay is recoverable notwithstanding failure to comply with the formal requirements </w:t>
      </w:r>
      <w:r>
        <w:rPr>
          <w:sz w:val="20"/>
        </w:rPr>
        <w:t>now prescribed by Merchant Shipping Act 1995, s.25.</w:t>
      </w:r>
    </w:p>
    <w:p>
      <w:pPr>
        <w:pStyle w:val="BodyText"/>
        <w:spacing w:before="8"/>
      </w:pPr>
    </w:p>
    <w:p>
      <w:pPr>
        <w:spacing w:line="235" w:lineRule="auto" w:before="1"/>
        <w:ind w:left="705" w:right="167" w:hanging="541"/>
        <w:jc w:val="both"/>
        <w:rPr>
          <w:sz w:val="20"/>
        </w:rPr>
      </w:pPr>
      <w:bookmarkStart w:name="_bookmark739" w:id="741"/>
      <w:bookmarkEnd w:id="741"/>
      <w:r>
        <w:rPr/>
      </w:r>
      <w:hyperlink w:history="true" w:anchor="_bookmark693">
        <w:r>
          <w:rPr>
            <w:color w:val="005DA1"/>
            <w:position w:val="5"/>
            <w:sz w:val="14"/>
            <w:u w:val="single" w:color="005DA1"/>
          </w:rPr>
          <w:t>385</w:t>
        </w:r>
      </w:hyperlink>
      <w:r>
        <w:rPr>
          <w:position w:val="5"/>
          <w:sz w:val="14"/>
        </w:rPr>
        <w:t>.</w:t>
      </w:r>
      <w:r>
        <w:rPr>
          <w:spacing w:val="80"/>
          <w:position w:val="5"/>
          <w:sz w:val="14"/>
        </w:rPr>
        <w:t>  </w:t>
      </w:r>
      <w:r>
        <w:rPr>
          <w:rFonts w:ascii="Arial"/>
          <w:i/>
          <w:sz w:val="20"/>
        </w:rPr>
        <w:t>North Ocean Shipping Co Ltd v Hyundai Construction Co Ltd (The Atlantic Baron) [1979] Q.B. 705</w:t>
      </w:r>
      <w:r>
        <w:rPr>
          <w:sz w:val="20"/>
        </w:rPr>
        <w:t>. See also </w:t>
      </w:r>
      <w:r>
        <w:rPr>
          <w:rFonts w:ascii="Arial"/>
          <w:i/>
          <w:sz w:val="20"/>
        </w:rPr>
        <w:t>Birmingham City Council v Forde [2009] EWHC 12 (QB), [2009] 1 W.L.R. 2732 </w:t>
      </w:r>
      <w:r>
        <w:rPr>
          <w:sz w:val="20"/>
        </w:rPr>
        <w:t>(paras 4-018 above and 4-072 below) where solicitors in their new contract (CFA 2) with a </w:t>
      </w:r>
      <w:r>
        <w:rPr>
          <w:spacing w:val="-2"/>
          <w:sz w:val="20"/>
        </w:rPr>
        <w:t>client</w:t>
      </w:r>
    </w:p>
    <w:p>
      <w:pPr>
        <w:pStyle w:val="BodyText"/>
        <w:spacing w:line="235" w:lineRule="auto"/>
        <w:ind w:left="705" w:right="167"/>
        <w:jc w:val="both"/>
      </w:pPr>
      <w:r>
        <w:rPr/>
        <w:t>(C) undertook a duty to represent C on appeal, when no such undertaking had been </w:t>
      </w:r>
      <w:r>
        <w:rPr/>
        <w:t>contained in their original contract (CFA 1) with C. One reason why the requirement of consideration </w:t>
      </w:r>
      <w:r>
        <w:rPr/>
        <w:t>was satisfied</w:t>
      </w:r>
      <w:r>
        <w:rPr>
          <w:spacing w:val="10"/>
        </w:rPr>
        <w:t> </w:t>
      </w:r>
      <w:r>
        <w:rPr/>
        <w:t>in</w:t>
      </w:r>
      <w:r>
        <w:rPr>
          <w:spacing w:val="10"/>
        </w:rPr>
        <w:t> </w:t>
      </w:r>
      <w:r>
        <w:rPr/>
        <w:t>relation</w:t>
      </w:r>
      <w:r>
        <w:rPr>
          <w:spacing w:val="10"/>
        </w:rPr>
        <w:t> </w:t>
      </w:r>
      <w:r>
        <w:rPr/>
        <w:t>to</w:t>
      </w:r>
      <w:r>
        <w:rPr>
          <w:spacing w:val="10"/>
        </w:rPr>
        <w:t> </w:t>
      </w:r>
      <w:r>
        <w:rPr/>
        <w:t>C’s</w:t>
      </w:r>
      <w:r>
        <w:rPr>
          <w:spacing w:val="10"/>
        </w:rPr>
        <w:t> </w:t>
      </w:r>
      <w:r>
        <w:rPr/>
        <w:t>promises</w:t>
      </w:r>
      <w:r>
        <w:rPr>
          <w:spacing w:val="10"/>
        </w:rPr>
        <w:t> </w:t>
      </w:r>
      <w:r>
        <w:rPr/>
        <w:t>in</w:t>
      </w:r>
      <w:r>
        <w:rPr>
          <w:spacing w:val="10"/>
        </w:rPr>
        <w:t> </w:t>
      </w:r>
      <w:r>
        <w:rPr/>
        <w:t>CFA</w:t>
      </w:r>
      <w:r>
        <w:rPr>
          <w:spacing w:val="10"/>
        </w:rPr>
        <w:t> </w:t>
      </w:r>
      <w:r>
        <w:rPr/>
        <w:t>2</w:t>
      </w:r>
      <w:r>
        <w:rPr>
          <w:spacing w:val="10"/>
        </w:rPr>
        <w:t> </w:t>
      </w:r>
      <w:r>
        <w:rPr/>
        <w:t>was</w:t>
      </w:r>
      <w:r>
        <w:rPr>
          <w:spacing w:val="10"/>
        </w:rPr>
        <w:t> </w:t>
      </w:r>
      <w:r>
        <w:rPr/>
        <w:t>that</w:t>
      </w:r>
      <w:r>
        <w:rPr>
          <w:spacing w:val="10"/>
        </w:rPr>
        <w:t> </w:t>
      </w:r>
      <w:r>
        <w:rPr/>
        <w:t>“CFA</w:t>
      </w:r>
      <w:r>
        <w:rPr>
          <w:spacing w:val="10"/>
        </w:rPr>
        <w:t> </w:t>
      </w:r>
      <w:r>
        <w:rPr/>
        <w:t>2</w:t>
      </w:r>
      <w:r>
        <w:rPr>
          <w:spacing w:val="10"/>
        </w:rPr>
        <w:t> </w:t>
      </w:r>
      <w:r>
        <w:rPr/>
        <w:t>provided</w:t>
      </w:r>
      <w:r>
        <w:rPr>
          <w:spacing w:val="10"/>
        </w:rPr>
        <w:t> </w:t>
      </w:r>
      <w:r>
        <w:rPr/>
        <w:t>an</w:t>
      </w:r>
      <w:r>
        <w:rPr>
          <w:spacing w:val="10"/>
        </w:rPr>
        <w:t> </w:t>
      </w:r>
      <w:r>
        <w:rPr/>
        <w:t>additional</w:t>
      </w:r>
      <w:r>
        <w:rPr>
          <w:spacing w:val="10"/>
        </w:rPr>
        <w:t> </w:t>
      </w:r>
      <w:r>
        <w:rPr/>
        <w:t>benefit</w:t>
      </w:r>
      <w:r>
        <w:rPr>
          <w:spacing w:val="10"/>
        </w:rPr>
        <w:t> </w:t>
      </w:r>
      <w:r>
        <w:rPr>
          <w:spacing w:val="-5"/>
        </w:rPr>
        <w:t>t</w:t>
      </w:r>
      <w:r>
        <w:rPr>
          <w:spacing w:val="-5"/>
        </w:rPr>
        <w:t>o</w:t>
      </w:r>
    </w:p>
    <w:p>
      <w:pPr>
        <w:pStyle w:val="BodyText"/>
        <w:spacing w:line="225" w:lineRule="exact"/>
        <w:ind w:left="705"/>
        <w:jc w:val="both"/>
      </w:pPr>
      <w:r>
        <w:rPr/>
        <w:t>[C] which CFA 1 did not” (at </w:t>
      </w:r>
      <w:r>
        <w:rPr>
          <w:spacing w:val="-2"/>
        </w:rPr>
        <w:t>[83]).</w:t>
      </w:r>
    </w:p>
    <w:p>
      <w:pPr>
        <w:pStyle w:val="BodyText"/>
        <w:spacing w:before="3"/>
      </w:pPr>
    </w:p>
    <w:p>
      <w:pPr>
        <w:tabs>
          <w:tab w:pos="705" w:val="left" w:leader="none"/>
        </w:tabs>
        <w:spacing w:line="227" w:lineRule="exact" w:before="0"/>
        <w:ind w:left="165" w:right="0" w:firstLine="0"/>
        <w:jc w:val="left"/>
        <w:rPr>
          <w:rFonts w:ascii="Arial" w:hAnsi="Arial"/>
          <w:i/>
          <w:sz w:val="20"/>
        </w:rPr>
      </w:pPr>
      <w:bookmarkStart w:name="_bookmark740" w:id="742"/>
      <w:bookmarkEnd w:id="742"/>
      <w:r>
        <w:rPr/>
      </w:r>
      <w:hyperlink w:history="true" w:anchor="_bookmark694">
        <w:r>
          <w:rPr>
            <w:color w:val="005DA1"/>
            <w:spacing w:val="-4"/>
            <w:position w:val="5"/>
            <w:sz w:val="14"/>
            <w:u w:val="single" w:color="005DA1"/>
          </w:rPr>
          <w:t>386</w:t>
        </w:r>
      </w:hyperlink>
      <w:r>
        <w:rPr>
          <w:spacing w:val="-4"/>
          <w:position w:val="5"/>
          <w:sz w:val="14"/>
        </w:rPr>
        <w:t>.</w:t>
      </w:r>
      <w:r>
        <w:rPr>
          <w:position w:val="5"/>
          <w:sz w:val="14"/>
        </w:rPr>
        <w:tab/>
      </w:r>
      <w:r>
        <w:rPr>
          <w:rFonts w:ascii="Arial" w:hAnsi="Arial"/>
          <w:i/>
          <w:sz w:val="20"/>
        </w:rPr>
        <w:t>Hartley</w:t>
      </w:r>
      <w:r>
        <w:rPr>
          <w:rFonts w:ascii="Arial" w:hAnsi="Arial"/>
          <w:i/>
          <w:spacing w:val="12"/>
          <w:sz w:val="20"/>
        </w:rPr>
        <w:t> </w:t>
      </w:r>
      <w:r>
        <w:rPr>
          <w:rFonts w:ascii="Arial" w:hAnsi="Arial"/>
          <w:i/>
          <w:sz w:val="20"/>
        </w:rPr>
        <w:t>v</w:t>
      </w:r>
      <w:r>
        <w:rPr>
          <w:rFonts w:ascii="Arial" w:hAnsi="Arial"/>
          <w:i/>
          <w:spacing w:val="13"/>
          <w:sz w:val="20"/>
        </w:rPr>
        <w:t> </w:t>
      </w:r>
      <w:r>
        <w:rPr>
          <w:rFonts w:ascii="Arial" w:hAnsi="Arial"/>
          <w:i/>
          <w:sz w:val="20"/>
        </w:rPr>
        <w:t>Ponsonby</w:t>
      </w:r>
      <w:r>
        <w:rPr>
          <w:rFonts w:ascii="Arial" w:hAnsi="Arial"/>
          <w:i/>
          <w:spacing w:val="13"/>
          <w:sz w:val="20"/>
        </w:rPr>
        <w:t> </w:t>
      </w:r>
      <w:r>
        <w:rPr>
          <w:rFonts w:ascii="Arial" w:hAnsi="Arial"/>
          <w:i/>
          <w:sz w:val="20"/>
        </w:rPr>
        <w:t>(1857)</w:t>
      </w:r>
      <w:r>
        <w:rPr>
          <w:rFonts w:ascii="Arial" w:hAnsi="Arial"/>
          <w:i/>
          <w:spacing w:val="13"/>
          <w:sz w:val="20"/>
        </w:rPr>
        <w:t> </w:t>
      </w:r>
      <w:r>
        <w:rPr>
          <w:rFonts w:ascii="Arial" w:hAnsi="Arial"/>
          <w:i/>
          <w:sz w:val="20"/>
        </w:rPr>
        <w:t>7</w:t>
      </w:r>
      <w:r>
        <w:rPr>
          <w:rFonts w:ascii="Arial" w:hAnsi="Arial"/>
          <w:i/>
          <w:spacing w:val="13"/>
          <w:sz w:val="20"/>
        </w:rPr>
        <w:t> </w:t>
      </w:r>
      <w:r>
        <w:rPr>
          <w:rFonts w:ascii="Arial" w:hAnsi="Arial"/>
          <w:i/>
          <w:sz w:val="20"/>
        </w:rPr>
        <w:t>E.</w:t>
      </w:r>
      <w:r>
        <w:rPr>
          <w:rFonts w:ascii="Arial" w:hAnsi="Arial"/>
          <w:i/>
          <w:spacing w:val="13"/>
          <w:sz w:val="20"/>
        </w:rPr>
        <w:t> </w:t>
      </w:r>
      <w:r>
        <w:rPr>
          <w:rFonts w:ascii="Arial" w:hAnsi="Arial"/>
          <w:i/>
          <w:sz w:val="20"/>
        </w:rPr>
        <w:t>&amp;</w:t>
      </w:r>
      <w:r>
        <w:rPr>
          <w:rFonts w:ascii="Arial" w:hAnsi="Arial"/>
          <w:i/>
          <w:spacing w:val="13"/>
          <w:sz w:val="20"/>
        </w:rPr>
        <w:t> </w:t>
      </w:r>
      <w:r>
        <w:rPr>
          <w:rFonts w:ascii="Arial" w:hAnsi="Arial"/>
          <w:i/>
          <w:sz w:val="20"/>
        </w:rPr>
        <w:t>B.</w:t>
      </w:r>
      <w:r>
        <w:rPr>
          <w:rFonts w:ascii="Arial" w:hAnsi="Arial"/>
          <w:i/>
          <w:spacing w:val="13"/>
          <w:sz w:val="20"/>
        </w:rPr>
        <w:t> </w:t>
      </w:r>
      <w:r>
        <w:rPr>
          <w:rFonts w:ascii="Arial" w:hAnsi="Arial"/>
          <w:i/>
          <w:sz w:val="20"/>
        </w:rPr>
        <w:t>872</w:t>
      </w:r>
      <w:r>
        <w:rPr>
          <w:sz w:val="20"/>
        </w:rPr>
        <w:t>.</w:t>
      </w:r>
      <w:r>
        <w:rPr>
          <w:spacing w:val="13"/>
          <w:sz w:val="20"/>
        </w:rPr>
        <w:t> </w:t>
      </w:r>
      <w:r>
        <w:rPr>
          <w:sz w:val="20"/>
        </w:rPr>
        <w:t>See</w:t>
      </w:r>
      <w:r>
        <w:rPr>
          <w:spacing w:val="13"/>
          <w:sz w:val="20"/>
        </w:rPr>
        <w:t> </w:t>
      </w:r>
      <w:r>
        <w:rPr>
          <w:sz w:val="20"/>
        </w:rPr>
        <w:t>also</w:t>
      </w:r>
      <w:r>
        <w:rPr>
          <w:spacing w:val="13"/>
          <w:sz w:val="20"/>
        </w:rPr>
        <w:t> </w:t>
      </w:r>
      <w:r>
        <w:rPr>
          <w:rFonts w:ascii="Arial" w:hAnsi="Arial"/>
          <w:i/>
          <w:sz w:val="20"/>
        </w:rPr>
        <w:t>O’Neil</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Armstrong</w:t>
      </w:r>
      <w:r>
        <w:rPr>
          <w:rFonts w:ascii="Arial" w:hAnsi="Arial"/>
          <w:i/>
          <w:spacing w:val="13"/>
          <w:sz w:val="20"/>
        </w:rPr>
        <w:t> </w:t>
      </w:r>
      <w:r>
        <w:rPr>
          <w:rFonts w:ascii="Arial" w:hAnsi="Arial"/>
          <w:i/>
          <w:sz w:val="20"/>
        </w:rPr>
        <w:t>Mitchell</w:t>
      </w:r>
      <w:r>
        <w:rPr>
          <w:rFonts w:ascii="Arial" w:hAnsi="Arial"/>
          <w:i/>
          <w:spacing w:val="13"/>
          <w:sz w:val="20"/>
        </w:rPr>
        <w:t> </w:t>
      </w:r>
      <w:r>
        <w:rPr>
          <w:rFonts w:ascii="Arial" w:hAnsi="Arial"/>
          <w:i/>
          <w:sz w:val="20"/>
        </w:rPr>
        <w:t>&amp;</w:t>
      </w:r>
      <w:r>
        <w:rPr>
          <w:rFonts w:ascii="Arial" w:hAnsi="Arial"/>
          <w:i/>
          <w:spacing w:val="13"/>
          <w:sz w:val="20"/>
        </w:rPr>
        <w:t> </w:t>
      </w:r>
      <w:r>
        <w:rPr>
          <w:rFonts w:ascii="Arial" w:hAnsi="Arial"/>
          <w:i/>
          <w:sz w:val="20"/>
        </w:rPr>
        <w:t>Co</w:t>
      </w:r>
      <w:r>
        <w:rPr>
          <w:rFonts w:ascii="Arial" w:hAnsi="Arial"/>
          <w:i/>
          <w:spacing w:val="13"/>
          <w:sz w:val="20"/>
        </w:rPr>
        <w:t> </w:t>
      </w:r>
      <w:r>
        <w:rPr>
          <w:rFonts w:ascii="Arial" w:hAnsi="Arial"/>
          <w:i/>
          <w:sz w:val="20"/>
        </w:rPr>
        <w:t>[1895]</w:t>
      </w:r>
      <w:r>
        <w:rPr>
          <w:rFonts w:ascii="Arial" w:hAnsi="Arial"/>
          <w:i/>
          <w:spacing w:val="13"/>
          <w:sz w:val="20"/>
        </w:rPr>
        <w:t> </w:t>
      </w:r>
      <w:r>
        <w:rPr>
          <w:rFonts w:ascii="Arial" w:hAnsi="Arial"/>
          <w:i/>
          <w:spacing w:val="-12"/>
          <w:sz w:val="20"/>
        </w:rPr>
        <w:t>2</w:t>
      </w:r>
    </w:p>
    <w:p>
      <w:pPr>
        <w:spacing w:line="235" w:lineRule="auto" w:before="2"/>
        <w:ind w:left="705" w:right="0" w:firstLine="0"/>
        <w:jc w:val="left"/>
        <w:rPr>
          <w:sz w:val="20"/>
        </w:rPr>
      </w:pPr>
      <w:r>
        <w:rPr>
          <w:rFonts w:ascii="Arial"/>
          <w:i/>
          <w:sz w:val="20"/>
        </w:rPr>
        <w:t>Q.B.</w:t>
      </w:r>
      <w:r>
        <w:rPr>
          <w:rFonts w:ascii="Arial"/>
          <w:i/>
          <w:spacing w:val="36"/>
          <w:sz w:val="20"/>
        </w:rPr>
        <w:t> </w:t>
      </w:r>
      <w:r>
        <w:rPr>
          <w:rFonts w:ascii="Arial"/>
          <w:i/>
          <w:sz w:val="20"/>
        </w:rPr>
        <w:t>418</w:t>
      </w:r>
      <w:r>
        <w:rPr>
          <w:sz w:val="20"/>
        </w:rPr>
        <w:t>;</w:t>
      </w:r>
      <w:r>
        <w:rPr>
          <w:spacing w:val="36"/>
          <w:sz w:val="20"/>
        </w:rPr>
        <w:t> </w:t>
      </w:r>
      <w:r>
        <w:rPr>
          <w:rFonts w:ascii="Arial"/>
          <w:i/>
          <w:sz w:val="20"/>
        </w:rPr>
        <w:t>Palace</w:t>
      </w:r>
      <w:r>
        <w:rPr>
          <w:rFonts w:ascii="Arial"/>
          <w:i/>
          <w:spacing w:val="36"/>
          <w:sz w:val="20"/>
        </w:rPr>
        <w:t> </w:t>
      </w:r>
      <w:r>
        <w:rPr>
          <w:rFonts w:ascii="Arial"/>
          <w:i/>
          <w:sz w:val="20"/>
        </w:rPr>
        <w:t>Shipping</w:t>
      </w:r>
      <w:r>
        <w:rPr>
          <w:rFonts w:ascii="Arial"/>
          <w:i/>
          <w:spacing w:val="36"/>
          <w:sz w:val="20"/>
        </w:rPr>
        <w:t> </w:t>
      </w:r>
      <w:r>
        <w:rPr>
          <w:rFonts w:ascii="Arial"/>
          <w:i/>
          <w:sz w:val="20"/>
        </w:rPr>
        <w:t>Co</w:t>
      </w:r>
      <w:r>
        <w:rPr>
          <w:rFonts w:ascii="Arial"/>
          <w:i/>
          <w:spacing w:val="36"/>
          <w:sz w:val="20"/>
        </w:rPr>
        <w:t> </w:t>
      </w:r>
      <w:r>
        <w:rPr>
          <w:rFonts w:ascii="Arial"/>
          <w:i/>
          <w:sz w:val="20"/>
        </w:rPr>
        <w:t>v</w:t>
      </w:r>
      <w:r>
        <w:rPr>
          <w:rFonts w:ascii="Arial"/>
          <w:i/>
          <w:spacing w:val="36"/>
          <w:sz w:val="20"/>
        </w:rPr>
        <w:t> </w:t>
      </w:r>
      <w:r>
        <w:rPr>
          <w:rFonts w:ascii="Arial"/>
          <w:i/>
          <w:sz w:val="20"/>
        </w:rPr>
        <w:t>Caine</w:t>
      </w:r>
      <w:r>
        <w:rPr>
          <w:rFonts w:ascii="Arial"/>
          <w:i/>
          <w:spacing w:val="36"/>
          <w:sz w:val="20"/>
        </w:rPr>
        <w:t> </w:t>
      </w:r>
      <w:r>
        <w:rPr>
          <w:rFonts w:ascii="Arial"/>
          <w:i/>
          <w:sz w:val="20"/>
        </w:rPr>
        <w:t>[1907]</w:t>
      </w:r>
      <w:r>
        <w:rPr>
          <w:rFonts w:ascii="Arial"/>
          <w:i/>
          <w:spacing w:val="36"/>
          <w:sz w:val="20"/>
        </w:rPr>
        <w:t> </w:t>
      </w:r>
      <w:r>
        <w:rPr>
          <w:rFonts w:ascii="Arial"/>
          <w:i/>
          <w:sz w:val="20"/>
        </w:rPr>
        <w:t>A.C.</w:t>
      </w:r>
      <w:r>
        <w:rPr>
          <w:rFonts w:ascii="Arial"/>
          <w:i/>
          <w:spacing w:val="36"/>
          <w:sz w:val="20"/>
        </w:rPr>
        <w:t> </w:t>
      </w:r>
      <w:r>
        <w:rPr>
          <w:rFonts w:ascii="Arial"/>
          <w:i/>
          <w:sz w:val="20"/>
        </w:rPr>
        <w:t>386</w:t>
      </w:r>
      <w:r>
        <w:rPr>
          <w:sz w:val="20"/>
        </w:rPr>
        <w:t>;</w:t>
      </w:r>
      <w:r>
        <w:rPr>
          <w:spacing w:val="36"/>
          <w:sz w:val="20"/>
        </w:rPr>
        <w:t> </w:t>
      </w:r>
      <w:r>
        <w:rPr>
          <w:rFonts w:ascii="Arial"/>
          <w:i/>
          <w:sz w:val="20"/>
        </w:rPr>
        <w:t>Liston</w:t>
      </w:r>
      <w:r>
        <w:rPr>
          <w:rFonts w:ascii="Arial"/>
          <w:i/>
          <w:spacing w:val="36"/>
          <w:sz w:val="20"/>
        </w:rPr>
        <w:t> </w:t>
      </w:r>
      <w:r>
        <w:rPr>
          <w:rFonts w:ascii="Arial"/>
          <w:i/>
          <w:sz w:val="20"/>
        </w:rPr>
        <w:t>v</w:t>
      </w:r>
      <w:r>
        <w:rPr>
          <w:rFonts w:ascii="Arial"/>
          <w:i/>
          <w:spacing w:val="36"/>
          <w:sz w:val="20"/>
        </w:rPr>
        <w:t> </w:t>
      </w:r>
      <w:r>
        <w:rPr>
          <w:rFonts w:ascii="Arial"/>
          <w:i/>
          <w:sz w:val="20"/>
        </w:rPr>
        <w:t>SS.</w:t>
      </w:r>
      <w:r>
        <w:rPr>
          <w:rFonts w:ascii="Arial"/>
          <w:i/>
          <w:spacing w:val="36"/>
          <w:sz w:val="20"/>
        </w:rPr>
        <w:t> </w:t>
      </w:r>
      <w:r>
        <w:rPr>
          <w:rFonts w:ascii="Arial"/>
          <w:i/>
          <w:sz w:val="20"/>
        </w:rPr>
        <w:t>Carpathian</w:t>
      </w:r>
      <w:r>
        <w:rPr>
          <w:rFonts w:ascii="Arial"/>
          <w:i/>
          <w:spacing w:val="36"/>
          <w:sz w:val="20"/>
        </w:rPr>
        <w:t> </w:t>
      </w:r>
      <w:r>
        <w:rPr>
          <w:rFonts w:ascii="Arial"/>
          <w:i/>
          <w:sz w:val="20"/>
        </w:rPr>
        <w:t>(Owners) [1915] 2 K.B. 42</w:t>
      </w:r>
      <w:r>
        <w:rPr>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741" w:id="743"/>
      <w:bookmarkEnd w:id="743"/>
      <w:r>
        <w:rPr/>
      </w:r>
      <w:hyperlink w:history="true" w:anchor="_bookmark695">
        <w:r>
          <w:rPr>
            <w:color w:val="005DA1"/>
            <w:spacing w:val="-4"/>
            <w:position w:val="5"/>
            <w:sz w:val="14"/>
            <w:u w:val="single" w:color="005DA1"/>
          </w:rPr>
          <w:t>387</w:t>
        </w:r>
      </w:hyperlink>
      <w:r>
        <w:rPr>
          <w:spacing w:val="-4"/>
          <w:position w:val="5"/>
          <w:sz w:val="14"/>
        </w:rPr>
        <w:t>.</w:t>
      </w:r>
      <w:r>
        <w:rPr>
          <w:position w:val="5"/>
          <w:sz w:val="14"/>
        </w:rPr>
        <w:tab/>
      </w:r>
      <w:r>
        <w:rPr>
          <w:rFonts w:ascii="Arial" w:hAnsi="Arial"/>
          <w:i/>
          <w:sz w:val="20"/>
        </w:rPr>
        <w:t>Compagnie</w:t>
      </w:r>
      <w:r>
        <w:rPr>
          <w:rFonts w:ascii="Arial" w:hAnsi="Arial"/>
          <w:i/>
          <w:spacing w:val="2"/>
          <w:sz w:val="20"/>
        </w:rPr>
        <w:t> </w:t>
      </w:r>
      <w:r>
        <w:rPr>
          <w:rFonts w:ascii="Arial" w:hAnsi="Arial"/>
          <w:i/>
          <w:sz w:val="20"/>
        </w:rPr>
        <w:t>Noga</w:t>
      </w:r>
      <w:r>
        <w:rPr>
          <w:rFonts w:ascii="Arial" w:hAnsi="Arial"/>
          <w:i/>
          <w:spacing w:val="2"/>
          <w:sz w:val="20"/>
        </w:rPr>
        <w:t> </w:t>
      </w:r>
      <w:r>
        <w:rPr>
          <w:rFonts w:ascii="Arial" w:hAnsi="Arial"/>
          <w:i/>
          <w:sz w:val="20"/>
        </w:rPr>
        <w:t>D’Importation</w:t>
      </w:r>
      <w:r>
        <w:rPr>
          <w:rFonts w:ascii="Arial" w:hAnsi="Arial"/>
          <w:i/>
          <w:spacing w:val="2"/>
          <w:sz w:val="20"/>
        </w:rPr>
        <w:t> </w:t>
      </w:r>
      <w:r>
        <w:rPr>
          <w:rFonts w:ascii="Arial" w:hAnsi="Arial"/>
          <w:i/>
          <w:sz w:val="20"/>
        </w:rPr>
        <w:t>et</w:t>
      </w:r>
      <w:r>
        <w:rPr>
          <w:rFonts w:ascii="Arial" w:hAnsi="Arial"/>
          <w:i/>
          <w:spacing w:val="2"/>
          <w:sz w:val="20"/>
        </w:rPr>
        <w:t> </w:t>
      </w:r>
      <w:r>
        <w:rPr>
          <w:rFonts w:ascii="Arial" w:hAnsi="Arial"/>
          <w:i/>
          <w:sz w:val="20"/>
        </w:rPr>
        <w:t>D’Exportation</w:t>
      </w:r>
      <w:r>
        <w:rPr>
          <w:rFonts w:ascii="Arial" w:hAnsi="Arial"/>
          <w:i/>
          <w:spacing w:val="2"/>
          <w:sz w:val="20"/>
        </w:rPr>
        <w:t> </w:t>
      </w:r>
      <w:r>
        <w:rPr>
          <w:rFonts w:ascii="Arial" w:hAnsi="Arial"/>
          <w:i/>
          <w:sz w:val="20"/>
        </w:rPr>
        <w:t>SA</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Abacha</w:t>
      </w:r>
      <w:r>
        <w:rPr>
          <w:rFonts w:ascii="Arial" w:hAnsi="Arial"/>
          <w:i/>
          <w:spacing w:val="2"/>
          <w:sz w:val="20"/>
        </w:rPr>
        <w:t> </w:t>
      </w:r>
      <w:r>
        <w:rPr>
          <w:rFonts w:ascii="Arial" w:hAnsi="Arial"/>
          <w:i/>
          <w:sz w:val="20"/>
        </w:rPr>
        <w:t>[2003]</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1100;</w:t>
      </w:r>
      <w:r>
        <w:rPr>
          <w:rFonts w:ascii="Arial" w:hAnsi="Arial"/>
          <w:i/>
          <w:spacing w:val="2"/>
          <w:sz w:val="20"/>
        </w:rPr>
        <w:t> </w:t>
      </w:r>
      <w:r>
        <w:rPr>
          <w:rFonts w:ascii="Arial" w:hAnsi="Arial"/>
          <w:i/>
          <w:sz w:val="20"/>
        </w:rPr>
        <w:t>[2003]</w:t>
      </w:r>
      <w:r>
        <w:rPr>
          <w:rFonts w:ascii="Arial" w:hAnsi="Arial"/>
          <w:i/>
          <w:spacing w:val="2"/>
          <w:sz w:val="20"/>
        </w:rPr>
        <w:t> </w:t>
      </w:r>
      <w:r>
        <w:rPr>
          <w:rFonts w:ascii="Arial" w:hAnsi="Arial"/>
          <w:i/>
          <w:spacing w:val="-10"/>
          <w:sz w:val="20"/>
        </w:rPr>
        <w:t>2</w:t>
      </w:r>
    </w:p>
    <w:p>
      <w:pPr>
        <w:spacing w:line="227" w:lineRule="exact" w:before="0"/>
        <w:ind w:left="705" w:right="0" w:firstLine="0"/>
        <w:jc w:val="left"/>
        <w:rPr>
          <w:sz w:val="20"/>
        </w:rPr>
      </w:pPr>
      <w:r>
        <w:rPr>
          <w:rFonts w:ascii="Arial"/>
          <w:i/>
          <w:sz w:val="20"/>
        </w:rPr>
        <w:t>All E.R. (Comm) 915</w:t>
      </w:r>
      <w:r>
        <w:rPr>
          <w:rFonts w:ascii="Arial"/>
          <w:i/>
          <w:spacing w:val="-1"/>
          <w:sz w:val="20"/>
        </w:rPr>
        <w:t> </w:t>
      </w:r>
      <w:r>
        <w:rPr>
          <w:sz w:val="20"/>
        </w:rPr>
        <w:t>at </w:t>
      </w:r>
      <w:r>
        <w:rPr>
          <w:spacing w:val="-2"/>
          <w:sz w:val="20"/>
        </w:rPr>
        <w:t>[57].</w:t>
      </w:r>
    </w:p>
    <w:p>
      <w:pPr>
        <w:spacing w:after="0" w:line="227" w:lineRule="exact"/>
        <w:jc w:val="left"/>
        <w:rPr>
          <w:sz w:val="20"/>
        </w:rPr>
        <w:sectPr>
          <w:type w:val="continuous"/>
          <w:pgSz w:w="11900" w:h="16840"/>
          <w:pgMar w:header="971" w:footer="0" w:top="3760" w:bottom="280" w:left="1275" w:right="1275"/>
        </w:sectPr>
      </w:pPr>
    </w:p>
    <w:p>
      <w:pPr>
        <w:pStyle w:val="BodyText"/>
        <w:spacing w:before="81"/>
      </w:pPr>
    </w:p>
    <w:p>
      <w:pPr>
        <w:pStyle w:val="BodyText"/>
        <w:tabs>
          <w:tab w:pos="705" w:val="left" w:leader="none"/>
        </w:tabs>
        <w:ind w:left="165"/>
      </w:pPr>
      <w:hyperlink w:history="true" w:anchor="_bookmark696">
        <w:r>
          <w:rPr>
            <w:color w:val="005DA1"/>
            <w:spacing w:val="-4"/>
            <w:position w:val="5"/>
            <w:sz w:val="14"/>
            <w:u w:val="single" w:color="005DA1"/>
          </w:rPr>
          <w:t>388</w:t>
        </w:r>
      </w:hyperlink>
      <w:r>
        <w:rPr>
          <w:spacing w:val="-4"/>
          <w:position w:val="5"/>
          <w:sz w:val="14"/>
        </w:rPr>
        <w:t>.</w:t>
      </w:r>
      <w:r>
        <w:rPr>
          <w:position w:val="5"/>
          <w:sz w:val="14"/>
        </w:rPr>
        <w:tab/>
      </w:r>
      <w:r>
        <w:rPr/>
        <w:t>ibid., at [44–61]; below, para.4-</w:t>
      </w:r>
      <w:r>
        <w:rPr>
          <w:spacing w:val="-4"/>
        </w:rPr>
        <w:t>080.</w:t>
      </w:r>
    </w:p>
    <w:p>
      <w:pPr>
        <w:pStyle w:val="BodyText"/>
        <w:spacing w:before="5"/>
      </w:pPr>
    </w:p>
    <w:p>
      <w:pPr>
        <w:tabs>
          <w:tab w:pos="705" w:val="left" w:leader="none"/>
        </w:tabs>
        <w:spacing w:before="0"/>
        <w:ind w:left="165" w:right="0" w:firstLine="0"/>
        <w:jc w:val="left"/>
        <w:rPr>
          <w:sz w:val="20"/>
        </w:rPr>
      </w:pPr>
      <w:bookmarkStart w:name="_bookmark742" w:id="744"/>
      <w:bookmarkEnd w:id="744"/>
      <w:r>
        <w:rPr/>
      </w:r>
      <w:hyperlink w:history="true" w:anchor="_bookmark697">
        <w:r>
          <w:rPr>
            <w:color w:val="005DA1"/>
            <w:spacing w:val="-4"/>
            <w:position w:val="5"/>
            <w:sz w:val="14"/>
            <w:u w:val="single" w:color="005DA1"/>
          </w:rPr>
          <w:t>389</w:t>
        </w:r>
      </w:hyperlink>
      <w:r>
        <w:rPr>
          <w:spacing w:val="-4"/>
          <w:position w:val="5"/>
          <w:sz w:val="14"/>
        </w:rPr>
        <w:t>.</w:t>
      </w:r>
      <w:r>
        <w:rPr>
          <w:position w:val="5"/>
          <w:sz w:val="14"/>
        </w:rPr>
        <w:tab/>
      </w:r>
      <w:r>
        <w:rPr>
          <w:sz w:val="20"/>
        </w:rPr>
        <w:t>Below, para.4-080; this was the reasoning of</w:t>
      </w:r>
      <w:r>
        <w:rPr>
          <w:spacing w:val="-1"/>
          <w:sz w:val="20"/>
        </w:rPr>
        <w:t> </w:t>
      </w:r>
      <w:r>
        <w:rPr>
          <w:rFonts w:ascii="Arial"/>
          <w:i/>
          <w:sz w:val="20"/>
        </w:rPr>
        <w:t>Stilk v Myrick in (1809) 2 Camp. </w:t>
      </w:r>
      <w:r>
        <w:rPr>
          <w:rFonts w:ascii="Arial"/>
          <w:i/>
          <w:spacing w:val="-4"/>
          <w:sz w:val="20"/>
        </w:rPr>
        <w:t>317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43" w:id="745"/>
      <w:bookmarkEnd w:id="745"/>
      <w:r>
        <w:rPr/>
      </w:r>
      <w:hyperlink w:history="true" w:anchor="_bookmark698">
        <w:r>
          <w:rPr>
            <w:color w:val="005DA1"/>
            <w:spacing w:val="-4"/>
            <w:position w:val="5"/>
            <w:sz w:val="14"/>
            <w:u w:val="single" w:color="005DA1"/>
          </w:rPr>
          <w:t>390</w:t>
        </w:r>
      </w:hyperlink>
      <w:r>
        <w:rPr>
          <w:spacing w:val="-4"/>
          <w:position w:val="5"/>
          <w:sz w:val="14"/>
        </w:rPr>
        <w:t>.</w:t>
      </w:r>
      <w:r>
        <w:rPr>
          <w:position w:val="5"/>
          <w:sz w:val="14"/>
        </w:rPr>
        <w:tab/>
      </w:r>
      <w:r>
        <w:rPr>
          <w:sz w:val="20"/>
        </w:rPr>
        <w:t>Above, para.4-053;</w:t>
      </w:r>
      <w:r>
        <w:rPr>
          <w:spacing w:val="-1"/>
          <w:sz w:val="20"/>
        </w:rPr>
        <w:t> </w:t>
      </w:r>
      <w:r>
        <w:rPr>
          <w:rFonts w:ascii="Arial"/>
          <w:i/>
          <w:sz w:val="20"/>
        </w:rPr>
        <w:t>E. Hulton &amp; Co v Chadwick Taylor Ltd (1918) 34 T.L.R. 230, </w:t>
      </w:r>
      <w:r>
        <w:rPr>
          <w:rFonts w:ascii="Arial"/>
          <w:i/>
          <w:spacing w:val="-4"/>
          <w:sz w:val="20"/>
        </w:rPr>
        <w:t>231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44" w:id="746"/>
      <w:bookmarkEnd w:id="746"/>
      <w:r>
        <w:rPr/>
      </w:r>
      <w:hyperlink w:history="true" w:anchor="_bookmark699">
        <w:r>
          <w:rPr>
            <w:color w:val="005DA1"/>
            <w:spacing w:val="-4"/>
            <w:position w:val="5"/>
            <w:sz w:val="14"/>
            <w:u w:val="single" w:color="005DA1"/>
          </w:rPr>
          <w:t>391</w:t>
        </w:r>
      </w:hyperlink>
      <w:r>
        <w:rPr>
          <w:spacing w:val="-4"/>
          <w:position w:val="5"/>
          <w:sz w:val="14"/>
        </w:rPr>
        <w:t>.</w:t>
      </w:r>
      <w:r>
        <w:rPr>
          <w:position w:val="5"/>
          <w:sz w:val="14"/>
        </w:rPr>
        <w:tab/>
      </w:r>
      <w:r>
        <w:rPr>
          <w:rFonts w:ascii="Arial"/>
          <w:i/>
          <w:sz w:val="20"/>
        </w:rPr>
        <w:t>Birmingham</w:t>
      </w:r>
      <w:r>
        <w:rPr>
          <w:rFonts w:ascii="Arial"/>
          <w:i/>
          <w:spacing w:val="-2"/>
          <w:sz w:val="20"/>
        </w:rPr>
        <w:t> </w:t>
      </w:r>
      <w:r>
        <w:rPr>
          <w:rFonts w:ascii="Arial"/>
          <w:i/>
          <w:sz w:val="20"/>
        </w:rPr>
        <w:t>City Council v Forde [2009] EWHC 12 (QB), [2009] 1 W.L.R. </w:t>
      </w:r>
      <w:r>
        <w:rPr>
          <w:rFonts w:ascii="Arial"/>
          <w:i/>
          <w:spacing w:val="-2"/>
          <w:sz w:val="20"/>
        </w:rPr>
        <w:t>2732</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745" w:id="747"/>
      <w:bookmarkEnd w:id="747"/>
      <w:r>
        <w:rPr/>
      </w:r>
      <w:hyperlink w:history="true" w:anchor="_bookmark700">
        <w:r>
          <w:rPr>
            <w:color w:val="005DA1"/>
            <w:spacing w:val="-4"/>
            <w:position w:val="5"/>
            <w:sz w:val="14"/>
            <w:u w:val="single" w:color="005DA1"/>
          </w:rPr>
          <w:t>392</w:t>
        </w:r>
      </w:hyperlink>
      <w:r>
        <w:rPr>
          <w:spacing w:val="-4"/>
          <w:position w:val="5"/>
          <w:sz w:val="14"/>
        </w:rPr>
        <w:t>.</w:t>
      </w:r>
      <w:r>
        <w:rPr>
          <w:position w:val="5"/>
          <w:sz w:val="14"/>
        </w:rPr>
        <w:tab/>
      </w:r>
      <w:r>
        <w:rPr>
          <w:sz w:val="20"/>
        </w:rPr>
        <w:t>ibid., at </w:t>
      </w:r>
      <w:r>
        <w:rPr>
          <w:spacing w:val="-2"/>
          <w:sz w:val="20"/>
        </w:rPr>
        <w:t>[59].</w:t>
      </w:r>
    </w:p>
    <w:p>
      <w:pPr>
        <w:pStyle w:val="BodyText"/>
        <w:spacing w:before="9"/>
      </w:pPr>
    </w:p>
    <w:p>
      <w:pPr>
        <w:pStyle w:val="BodyText"/>
        <w:tabs>
          <w:tab w:pos="705" w:val="left" w:leader="none"/>
        </w:tabs>
        <w:spacing w:line="235" w:lineRule="auto"/>
        <w:ind w:left="705" w:right="168" w:hanging="541"/>
      </w:pPr>
      <w:bookmarkStart w:name="_bookmark746" w:id="748"/>
      <w:bookmarkEnd w:id="748"/>
      <w:r>
        <w:rPr/>
      </w:r>
      <w:hyperlink w:history="true" w:anchor="_bookmark701">
        <w:r>
          <w:rPr>
            <w:color w:val="005DA1"/>
            <w:spacing w:val="-4"/>
            <w:position w:val="5"/>
            <w:sz w:val="14"/>
            <w:u w:val="single" w:color="005DA1"/>
          </w:rPr>
          <w:t>393</w:t>
        </w:r>
      </w:hyperlink>
      <w:r>
        <w:rPr>
          <w:spacing w:val="-4"/>
          <w:position w:val="5"/>
          <w:sz w:val="14"/>
        </w:rPr>
        <w:t>.</w:t>
      </w:r>
      <w:r>
        <w:rPr>
          <w:position w:val="5"/>
          <w:sz w:val="14"/>
        </w:rPr>
        <w:tab/>
      </w:r>
      <w:r>
        <w:rPr/>
        <w:t>For the further point that the requirement of consideration was satisfied by M’s undertaking to</w:t>
      </w:r>
      <w:r>
        <w:rPr>
          <w:spacing w:val="40"/>
        </w:rPr>
        <w:t> </w:t>
      </w:r>
      <w:r>
        <w:rPr/>
        <w:t>provide </w:t>
      </w:r>
      <w:r>
        <w:rPr>
          <w:rFonts w:ascii="Arial" w:hAnsi="Arial"/>
          <w:i/>
        </w:rPr>
        <w:t>additional </w:t>
      </w:r>
      <w:r>
        <w:rPr/>
        <w:t>services see above, para.4-071 n.380.</w:t>
      </w:r>
    </w:p>
    <w:p>
      <w:pPr>
        <w:pStyle w:val="BodyText"/>
        <w:spacing w:before="9"/>
      </w:pPr>
    </w:p>
    <w:p>
      <w:pPr>
        <w:pStyle w:val="BodyText"/>
        <w:tabs>
          <w:tab w:pos="705" w:val="left" w:leader="none"/>
        </w:tabs>
        <w:spacing w:line="235" w:lineRule="auto"/>
        <w:ind w:left="705" w:right="168" w:hanging="541"/>
      </w:pPr>
      <w:bookmarkStart w:name="_bookmark747" w:id="749"/>
      <w:bookmarkEnd w:id="749"/>
      <w:r>
        <w:rPr/>
      </w:r>
      <w:hyperlink w:history="true" w:anchor="_bookmark702">
        <w:r>
          <w:rPr>
            <w:color w:val="005DA1"/>
            <w:spacing w:val="-4"/>
            <w:position w:val="5"/>
            <w:sz w:val="14"/>
            <w:u w:val="single" w:color="005DA1"/>
          </w:rPr>
          <w:t>394</w:t>
        </w:r>
      </w:hyperlink>
      <w:r>
        <w:rPr>
          <w:spacing w:val="-4"/>
          <w:position w:val="5"/>
          <w:sz w:val="14"/>
        </w:rPr>
        <w:t>.</w:t>
      </w:r>
      <w:r>
        <w:rPr>
          <w:position w:val="5"/>
          <w:sz w:val="14"/>
        </w:rPr>
        <w:tab/>
      </w:r>
      <w:r>
        <w:rPr>
          <w:rFonts w:ascii="Arial" w:hAnsi="Arial"/>
          <w:i/>
        </w:rPr>
        <w:t>[2009] EWHC 12 (QB) </w:t>
      </w:r>
      <w:r>
        <w:rPr/>
        <w:t>at [82]. For rejection of challenges to the validity of CFA 2 on grounds</w:t>
      </w:r>
      <w:r>
        <w:rPr>
          <w:spacing w:val="80"/>
        </w:rPr>
        <w:t> </w:t>
      </w:r>
      <w:r>
        <w:rPr/>
        <w:t>other than want of consideration, see [98]–[163].</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1408">
            <wp:simplePos x="0" y="0"/>
            <wp:positionH relativeFrom="page">
              <wp:posOffset>1257846</wp:posOffset>
            </wp:positionH>
            <wp:positionV relativeFrom="paragraph">
              <wp:posOffset>160614</wp:posOffset>
            </wp:positionV>
            <wp:extent cx="107988" cy="107988"/>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748" w:id="750"/>
      <w:bookmarkEnd w:id="750"/>
      <w:r>
        <w:rPr/>
      </w:r>
      <w:hyperlink w:history="true" w:anchor="_bookmark703">
        <w:r>
          <w:rPr>
            <w:color w:val="005DA1"/>
            <w:spacing w:val="-4"/>
            <w:sz w:val="14"/>
            <w:u w:val="single" w:color="005DA1"/>
          </w:rPr>
          <w:t>395</w:t>
        </w:r>
      </w:hyperlink>
      <w:r>
        <w:rPr>
          <w:spacing w:val="-4"/>
          <w:sz w:val="14"/>
        </w:rPr>
        <w:t>.</w:t>
      </w:r>
    </w:p>
    <w:p>
      <w:pPr>
        <w:spacing w:line="235" w:lineRule="auto" w:before="212"/>
        <w:ind w:left="165" w:right="167" w:firstLine="170"/>
        <w:jc w:val="both"/>
        <w:rPr>
          <w:sz w:val="20"/>
        </w:rPr>
      </w:pPr>
      <w:r>
        <w:rPr/>
        <w:br w:type="column"/>
      </w:r>
      <w:r>
        <w:rPr>
          <w:sz w:val="20"/>
        </w:rPr>
        <w:t>cf. </w:t>
      </w:r>
      <w:r>
        <w:rPr>
          <w:rFonts w:ascii="Arial" w:hAnsi="Arial"/>
          <w:i/>
          <w:sz w:val="20"/>
        </w:rPr>
        <w:t>Finland SS Co Ltd v Felixstowe Dock &amp; Railway Co [1980] 2 Lloyd’s Rep 287</w:t>
      </w:r>
      <w:r>
        <w:rPr>
          <w:sz w:val="20"/>
        </w:rPr>
        <w:t>; </w:t>
      </w:r>
      <w:r>
        <w:rPr>
          <w:rFonts w:ascii="Arial" w:hAnsi="Arial"/>
          <w:i/>
          <w:sz w:val="20"/>
        </w:rPr>
        <w:t>Lombard Tricity Finance Ltd v Paton [1989] 1 All E.R. 918 </w:t>
      </w:r>
      <w:r>
        <w:rPr>
          <w:sz w:val="20"/>
        </w:rPr>
        <w:t>(contract providing for increase in interest</w:t>
      </w:r>
      <w:r>
        <w:rPr>
          <w:spacing w:val="40"/>
          <w:sz w:val="20"/>
        </w:rPr>
        <w:t> </w:t>
      </w:r>
      <w:r>
        <w:rPr>
          <w:sz w:val="20"/>
        </w:rPr>
        <w:t>rates to be made by lender). See also </w:t>
      </w:r>
      <w:r>
        <w:rPr>
          <w:rFonts w:ascii="Arial" w:hAnsi="Arial"/>
          <w:i/>
          <w:sz w:val="20"/>
        </w:rPr>
        <w:t>Amey Wye Valley Ltd v Hertfordshire DC [2016] EWHC 2368 (TCC), [2016] B.L.R. 698 </w:t>
      </w:r>
      <w:r>
        <w:rPr>
          <w:sz w:val="20"/>
        </w:rPr>
        <w:t>(contract for highway maintenance providing for inflationlinked increases in contractor’s charges. The case was concerned with the interpretation of this provision; there was no reference in the judgment to the requirement of consideration).</w:t>
      </w:r>
    </w:p>
    <w:p>
      <w:pPr>
        <w:spacing w:after="0" w:line="235" w:lineRule="auto"/>
        <w:jc w:val="both"/>
        <w:rPr>
          <w:sz w:val="20"/>
        </w:rPr>
        <w:sectPr>
          <w:type w:val="continuous"/>
          <w:pgSz w:w="11900" w:h="16840"/>
          <w:pgMar w:header="971" w:footer="0" w:top="3760" w:bottom="280" w:left="1275" w:right="1275"/>
          <w:cols w:num="2" w:equalWidth="0">
            <w:col w:w="478" w:space="63"/>
            <w:col w:w="8809"/>
          </w:cols>
        </w:sectPr>
      </w:pPr>
    </w:p>
    <w:p>
      <w:pPr>
        <w:pStyle w:val="BodyText"/>
        <w:spacing w:before="8"/>
      </w:pPr>
    </w:p>
    <w:p>
      <w:pPr>
        <w:tabs>
          <w:tab w:pos="705" w:val="left" w:leader="none"/>
        </w:tabs>
        <w:spacing w:line="235" w:lineRule="auto" w:before="0"/>
        <w:ind w:left="705" w:right="168" w:hanging="541"/>
        <w:jc w:val="left"/>
        <w:rPr>
          <w:rFonts w:ascii="Arial"/>
          <w:i/>
          <w:sz w:val="20"/>
        </w:rPr>
      </w:pPr>
      <w:bookmarkStart w:name="_bookmark749" w:id="751"/>
      <w:bookmarkEnd w:id="751"/>
      <w:r>
        <w:rPr/>
      </w:r>
      <w:hyperlink w:history="true" w:anchor="_bookmark704">
        <w:r>
          <w:rPr>
            <w:color w:val="005DA1"/>
            <w:spacing w:val="-4"/>
            <w:position w:val="5"/>
            <w:sz w:val="14"/>
            <w:u w:val="single" w:color="005DA1"/>
          </w:rPr>
          <w:t>396</w:t>
        </w:r>
      </w:hyperlink>
      <w:r>
        <w:rPr>
          <w:spacing w:val="-4"/>
          <w:position w:val="5"/>
          <w:sz w:val="14"/>
        </w:rPr>
        <w:t>.</w:t>
      </w:r>
      <w:r>
        <w:rPr>
          <w:position w:val="5"/>
          <w:sz w:val="14"/>
        </w:rPr>
        <w:tab/>
      </w:r>
      <w:r>
        <w:rPr>
          <w:rFonts w:ascii="Arial"/>
          <w:i/>
          <w:sz w:val="20"/>
        </w:rPr>
        <w:t>Lee</w:t>
      </w:r>
      <w:r>
        <w:rPr>
          <w:rFonts w:ascii="Arial"/>
          <w:i/>
          <w:spacing w:val="28"/>
          <w:sz w:val="20"/>
        </w:rPr>
        <w:t> </w:t>
      </w:r>
      <w:r>
        <w:rPr>
          <w:rFonts w:ascii="Arial"/>
          <w:i/>
          <w:sz w:val="20"/>
        </w:rPr>
        <w:t>v</w:t>
      </w:r>
      <w:r>
        <w:rPr>
          <w:rFonts w:ascii="Arial"/>
          <w:i/>
          <w:spacing w:val="28"/>
          <w:sz w:val="20"/>
        </w:rPr>
        <w:t> </w:t>
      </w:r>
      <w:r>
        <w:rPr>
          <w:rFonts w:ascii="Arial"/>
          <w:i/>
          <w:sz w:val="20"/>
        </w:rPr>
        <w:t>GEC</w:t>
      </w:r>
      <w:r>
        <w:rPr>
          <w:rFonts w:ascii="Arial"/>
          <w:i/>
          <w:spacing w:val="28"/>
          <w:sz w:val="20"/>
        </w:rPr>
        <w:t> </w:t>
      </w:r>
      <w:r>
        <w:rPr>
          <w:rFonts w:ascii="Arial"/>
          <w:i/>
          <w:sz w:val="20"/>
        </w:rPr>
        <w:t>Plessey</w:t>
      </w:r>
      <w:r>
        <w:rPr>
          <w:rFonts w:ascii="Arial"/>
          <w:i/>
          <w:spacing w:val="28"/>
          <w:sz w:val="20"/>
        </w:rPr>
        <w:t> </w:t>
      </w:r>
      <w:r>
        <w:rPr>
          <w:rFonts w:ascii="Arial"/>
          <w:i/>
          <w:sz w:val="20"/>
        </w:rPr>
        <w:t>Communications</w:t>
      </w:r>
      <w:r>
        <w:rPr>
          <w:rFonts w:ascii="Arial"/>
          <w:i/>
          <w:spacing w:val="28"/>
          <w:sz w:val="20"/>
        </w:rPr>
        <w:t> </w:t>
      </w:r>
      <w:r>
        <w:rPr>
          <w:rFonts w:ascii="Arial"/>
          <w:i/>
          <w:sz w:val="20"/>
        </w:rPr>
        <w:t>Ltd</w:t>
      </w:r>
      <w:r>
        <w:rPr>
          <w:rFonts w:ascii="Arial"/>
          <w:i/>
          <w:spacing w:val="28"/>
          <w:sz w:val="20"/>
        </w:rPr>
        <w:t> </w:t>
      </w:r>
      <w:r>
        <w:rPr>
          <w:rFonts w:ascii="Arial"/>
          <w:i/>
          <w:sz w:val="20"/>
        </w:rPr>
        <w:t>[1993]</w:t>
      </w:r>
      <w:r>
        <w:rPr>
          <w:rFonts w:ascii="Arial"/>
          <w:i/>
          <w:spacing w:val="28"/>
          <w:sz w:val="20"/>
        </w:rPr>
        <w:t> </w:t>
      </w:r>
      <w:r>
        <w:rPr>
          <w:rFonts w:ascii="Arial"/>
          <w:i/>
          <w:sz w:val="20"/>
        </w:rPr>
        <w:t>I.R.L.R.</w:t>
      </w:r>
      <w:r>
        <w:rPr>
          <w:rFonts w:ascii="Arial"/>
          <w:i/>
          <w:spacing w:val="28"/>
          <w:sz w:val="20"/>
        </w:rPr>
        <w:t> </w:t>
      </w:r>
      <w:r>
        <w:rPr>
          <w:rFonts w:ascii="Arial"/>
          <w:i/>
          <w:sz w:val="20"/>
        </w:rPr>
        <w:t>383</w:t>
      </w:r>
      <w:r>
        <w:rPr>
          <w:rFonts w:ascii="Arial"/>
          <w:i/>
          <w:spacing w:val="28"/>
          <w:sz w:val="20"/>
        </w:rPr>
        <w:t> </w:t>
      </w:r>
      <w:r>
        <w:rPr>
          <w:sz w:val="20"/>
        </w:rPr>
        <w:t>at</w:t>
      </w:r>
      <w:r>
        <w:rPr>
          <w:spacing w:val="28"/>
          <w:sz w:val="20"/>
        </w:rPr>
        <w:t> </w:t>
      </w:r>
      <w:r>
        <w:rPr>
          <w:sz w:val="20"/>
        </w:rPr>
        <w:t>[118],</w:t>
      </w:r>
      <w:r>
        <w:rPr>
          <w:spacing w:val="28"/>
          <w:sz w:val="20"/>
        </w:rPr>
        <w:t> </w:t>
      </w:r>
      <w:r>
        <w:rPr>
          <w:sz w:val="20"/>
        </w:rPr>
        <w:t>applied</w:t>
      </w:r>
      <w:r>
        <w:rPr>
          <w:spacing w:val="28"/>
          <w:sz w:val="20"/>
        </w:rPr>
        <w:t> </w:t>
      </w:r>
      <w:r>
        <w:rPr>
          <w:sz w:val="20"/>
        </w:rPr>
        <w:t>in</w:t>
      </w:r>
      <w:r>
        <w:rPr>
          <w:spacing w:val="28"/>
          <w:sz w:val="20"/>
        </w:rPr>
        <w:t> </w:t>
      </w:r>
      <w:r>
        <w:rPr>
          <w:rFonts w:ascii="Arial"/>
          <w:i/>
          <w:sz w:val="20"/>
        </w:rPr>
        <w:t>Hershaw</w:t>
      </w:r>
      <w:r>
        <w:rPr>
          <w:rFonts w:ascii="Arial"/>
          <w:i/>
          <w:spacing w:val="28"/>
          <w:sz w:val="20"/>
        </w:rPr>
        <w:t> </w:t>
      </w:r>
      <w:r>
        <w:rPr>
          <w:rFonts w:ascii="Arial"/>
          <w:i/>
          <w:sz w:val="20"/>
        </w:rPr>
        <w:t>v Sheffield</w:t>
      </w:r>
      <w:r>
        <w:rPr>
          <w:rFonts w:ascii="Arial"/>
          <w:i/>
          <w:spacing w:val="1"/>
          <w:sz w:val="20"/>
        </w:rPr>
        <w:t> </w:t>
      </w:r>
      <w:r>
        <w:rPr>
          <w:rFonts w:ascii="Arial"/>
          <w:i/>
          <w:sz w:val="20"/>
        </w:rPr>
        <w:t>City</w:t>
      </w:r>
      <w:r>
        <w:rPr>
          <w:rFonts w:ascii="Arial"/>
          <w:i/>
          <w:spacing w:val="1"/>
          <w:sz w:val="20"/>
        </w:rPr>
        <w:t> </w:t>
      </w:r>
      <w:r>
        <w:rPr>
          <w:rFonts w:ascii="Arial"/>
          <w:i/>
          <w:sz w:val="20"/>
        </w:rPr>
        <w:t>Council</w:t>
      </w:r>
      <w:r>
        <w:rPr>
          <w:rFonts w:ascii="Arial"/>
          <w:i/>
          <w:spacing w:val="1"/>
          <w:sz w:val="20"/>
        </w:rPr>
        <w:t> </w:t>
      </w:r>
      <w:r>
        <w:rPr>
          <w:rFonts w:ascii="Arial"/>
          <w:i/>
          <w:sz w:val="20"/>
        </w:rPr>
        <w:t>[2014]</w:t>
      </w:r>
      <w:r>
        <w:rPr>
          <w:rFonts w:ascii="Arial"/>
          <w:i/>
          <w:spacing w:val="1"/>
          <w:sz w:val="20"/>
        </w:rPr>
        <w:t> </w:t>
      </w:r>
      <w:r>
        <w:rPr>
          <w:rFonts w:ascii="Arial"/>
          <w:i/>
          <w:sz w:val="20"/>
        </w:rPr>
        <w:t>UK</w:t>
      </w:r>
      <w:r>
        <w:rPr>
          <w:rFonts w:ascii="Arial"/>
          <w:i/>
          <w:spacing w:val="1"/>
          <w:sz w:val="20"/>
        </w:rPr>
        <w:t> </w:t>
      </w:r>
      <w:r>
        <w:rPr>
          <w:rFonts w:ascii="Arial"/>
          <w:i/>
          <w:sz w:val="20"/>
        </w:rPr>
        <w:t>EAT</w:t>
      </w:r>
      <w:r>
        <w:rPr>
          <w:rFonts w:ascii="Arial"/>
          <w:i/>
          <w:spacing w:val="1"/>
          <w:sz w:val="20"/>
        </w:rPr>
        <w:t> </w:t>
      </w:r>
      <w:r>
        <w:rPr>
          <w:rFonts w:ascii="Arial"/>
          <w:i/>
          <w:sz w:val="20"/>
        </w:rPr>
        <w:t>00333,</w:t>
      </w:r>
      <w:r>
        <w:rPr>
          <w:rFonts w:ascii="Arial"/>
          <w:i/>
          <w:spacing w:val="1"/>
          <w:sz w:val="20"/>
        </w:rPr>
        <w:t> </w:t>
      </w:r>
      <w:r>
        <w:rPr>
          <w:rFonts w:ascii="Arial"/>
          <w:i/>
          <w:sz w:val="20"/>
        </w:rPr>
        <w:t>[2014]</w:t>
      </w:r>
      <w:r>
        <w:rPr>
          <w:rFonts w:ascii="Arial"/>
          <w:i/>
          <w:spacing w:val="1"/>
          <w:sz w:val="20"/>
        </w:rPr>
        <w:t> </w:t>
      </w:r>
      <w:r>
        <w:rPr>
          <w:rFonts w:ascii="Arial"/>
          <w:i/>
          <w:sz w:val="20"/>
        </w:rPr>
        <w:t>I.C.R.</w:t>
      </w:r>
      <w:r>
        <w:rPr>
          <w:rFonts w:ascii="Arial"/>
          <w:i/>
          <w:spacing w:val="1"/>
          <w:sz w:val="20"/>
        </w:rPr>
        <w:t> </w:t>
      </w:r>
      <w:r>
        <w:rPr>
          <w:rFonts w:ascii="Arial"/>
          <w:i/>
          <w:sz w:val="20"/>
        </w:rPr>
        <w:t>112</w:t>
      </w:r>
      <w:r>
        <w:rPr>
          <w:rFonts w:ascii="Arial"/>
          <w:i/>
          <w:spacing w:val="1"/>
          <w:sz w:val="20"/>
        </w:rPr>
        <w:t> </w:t>
      </w:r>
      <w:r>
        <w:rPr>
          <w:sz w:val="20"/>
        </w:rPr>
        <w:t>at</w:t>
      </w:r>
      <w:r>
        <w:rPr>
          <w:spacing w:val="1"/>
          <w:sz w:val="20"/>
        </w:rPr>
        <w:t> </w:t>
      </w:r>
      <w:r>
        <w:rPr>
          <w:sz w:val="20"/>
        </w:rPr>
        <w:t>[13];</w:t>
      </w:r>
      <w:r>
        <w:rPr>
          <w:spacing w:val="1"/>
          <w:sz w:val="20"/>
        </w:rPr>
        <w:t> </w:t>
      </w:r>
      <w:r>
        <w:rPr>
          <w:sz w:val="20"/>
        </w:rPr>
        <w:t>Freedland,</w:t>
      </w:r>
      <w:r>
        <w:rPr>
          <w:spacing w:val="1"/>
          <w:sz w:val="20"/>
        </w:rPr>
        <w:t> </w:t>
      </w:r>
      <w:r>
        <w:rPr>
          <w:rFonts w:ascii="Arial"/>
          <w:i/>
          <w:sz w:val="20"/>
        </w:rPr>
        <w:t>The</w:t>
      </w:r>
      <w:r>
        <w:rPr>
          <w:rFonts w:ascii="Arial"/>
          <w:i/>
          <w:spacing w:val="1"/>
          <w:sz w:val="20"/>
        </w:rPr>
        <w:t> </w:t>
      </w:r>
      <w:r>
        <w:rPr>
          <w:rFonts w:ascii="Arial"/>
          <w:i/>
          <w:spacing w:val="-2"/>
          <w:sz w:val="20"/>
        </w:rPr>
        <w:t>Personal</w:t>
      </w:r>
    </w:p>
    <w:p>
      <w:pPr>
        <w:spacing w:line="225" w:lineRule="exact" w:before="0"/>
        <w:ind w:left="705" w:right="0" w:firstLine="0"/>
        <w:jc w:val="left"/>
        <w:rPr>
          <w:sz w:val="20"/>
        </w:rPr>
      </w:pPr>
      <w:r>
        <w:rPr>
          <w:rFonts w:ascii="Arial" w:hAnsi="Arial"/>
          <w:i/>
          <w:sz w:val="20"/>
        </w:rPr>
        <w:t>Employment Contract</w:t>
      </w:r>
      <w:r>
        <w:rPr>
          <w:rFonts w:ascii="Arial" w:hAnsi="Arial"/>
          <w:i/>
          <w:spacing w:val="-1"/>
          <w:sz w:val="20"/>
        </w:rPr>
        <w:t> </w:t>
      </w:r>
      <w:r>
        <w:rPr>
          <w:sz w:val="20"/>
        </w:rPr>
        <w:t>(2003) </w:t>
      </w:r>
      <w:r>
        <w:rPr>
          <w:spacing w:val="-2"/>
          <w:sz w:val="20"/>
        </w:rPr>
        <w:t>254–255.</w:t>
      </w:r>
    </w:p>
    <w:p>
      <w:pPr>
        <w:pStyle w:val="BodyText"/>
        <w:spacing w:before="9"/>
      </w:pPr>
    </w:p>
    <w:p>
      <w:pPr>
        <w:pStyle w:val="BodyText"/>
        <w:tabs>
          <w:tab w:pos="705" w:val="left" w:leader="none"/>
        </w:tabs>
        <w:spacing w:line="235" w:lineRule="auto"/>
        <w:ind w:left="705" w:right="168" w:hanging="541"/>
      </w:pPr>
      <w:bookmarkStart w:name="_bookmark750" w:id="752"/>
      <w:bookmarkEnd w:id="752"/>
      <w:r>
        <w:rPr/>
      </w:r>
      <w:hyperlink w:history="true" w:anchor="_bookmark705">
        <w:r>
          <w:rPr>
            <w:color w:val="005DA1"/>
            <w:spacing w:val="-4"/>
            <w:position w:val="5"/>
            <w:sz w:val="14"/>
            <w:u w:val="single" w:color="005DA1"/>
          </w:rPr>
          <w:t>397</w:t>
        </w:r>
      </w:hyperlink>
      <w:r>
        <w:rPr>
          <w:spacing w:val="-4"/>
          <w:position w:val="5"/>
          <w:sz w:val="14"/>
        </w:rPr>
        <w:t>.</w:t>
      </w:r>
      <w:r>
        <w:rPr>
          <w:position w:val="5"/>
          <w:sz w:val="14"/>
        </w:rPr>
        <w:tab/>
      </w:r>
      <w:r>
        <w:rPr/>
        <w:t>The principle referred to in these words appears to be analogous to that stated in para.4-</w:t>
      </w:r>
      <w:r>
        <w:rPr/>
        <w:t>048</w:t>
      </w:r>
      <w:r>
        <w:rPr>
          <w:spacing w:val="80"/>
        </w:rPr>
        <w:t> </w:t>
      </w:r>
      <w:r>
        <w:rPr>
          <w:spacing w:val="-2"/>
        </w:rPr>
        <w:t>above.</w:t>
      </w:r>
    </w:p>
    <w:p>
      <w:pPr>
        <w:pStyle w:val="BodyText"/>
        <w:spacing w:before="9"/>
      </w:pPr>
    </w:p>
    <w:p>
      <w:pPr>
        <w:spacing w:line="235" w:lineRule="auto" w:before="0"/>
        <w:ind w:left="705" w:right="167" w:hanging="541"/>
        <w:jc w:val="both"/>
        <w:rPr>
          <w:sz w:val="20"/>
        </w:rPr>
      </w:pPr>
      <w:bookmarkStart w:name="_bookmark751" w:id="753"/>
      <w:bookmarkEnd w:id="753"/>
      <w:r>
        <w:rPr/>
      </w:r>
      <w:hyperlink w:history="true" w:anchor="_bookmark705">
        <w:r>
          <w:rPr>
            <w:color w:val="005DA1"/>
            <w:position w:val="5"/>
            <w:sz w:val="14"/>
            <w:u w:val="single" w:color="005DA1"/>
          </w:rPr>
          <w:t>398</w:t>
        </w:r>
      </w:hyperlink>
      <w:r>
        <w:rPr>
          <w:position w:val="5"/>
          <w:sz w:val="14"/>
        </w:rPr>
        <w:t>.</w:t>
      </w:r>
      <w:r>
        <w:rPr>
          <w:spacing w:val="80"/>
          <w:position w:val="5"/>
          <w:sz w:val="14"/>
        </w:rPr>
        <w:t>  </w:t>
      </w:r>
      <w:r>
        <w:rPr>
          <w:sz w:val="20"/>
        </w:rPr>
        <w:t>The</w:t>
      </w:r>
      <w:r>
        <w:rPr>
          <w:spacing w:val="34"/>
          <w:sz w:val="20"/>
        </w:rPr>
        <w:t> </w:t>
      </w:r>
      <w:r>
        <w:rPr>
          <w:sz w:val="20"/>
        </w:rPr>
        <w:t>words</w:t>
      </w:r>
      <w:r>
        <w:rPr>
          <w:spacing w:val="34"/>
          <w:sz w:val="20"/>
        </w:rPr>
        <w:t> </w:t>
      </w:r>
      <w:r>
        <w:rPr>
          <w:sz w:val="20"/>
        </w:rPr>
        <w:t>quoted</w:t>
      </w:r>
      <w:r>
        <w:rPr>
          <w:spacing w:val="34"/>
          <w:sz w:val="20"/>
        </w:rPr>
        <w:t> </w:t>
      </w:r>
      <w:r>
        <w:rPr>
          <w:sz w:val="20"/>
        </w:rPr>
        <w:t>above</w:t>
      </w:r>
      <w:r>
        <w:rPr>
          <w:spacing w:val="34"/>
          <w:sz w:val="20"/>
        </w:rPr>
        <w:t> </w:t>
      </w:r>
      <w:r>
        <w:rPr>
          <w:sz w:val="20"/>
        </w:rPr>
        <w:t>after</w:t>
      </w:r>
      <w:r>
        <w:rPr>
          <w:spacing w:val="34"/>
          <w:sz w:val="20"/>
        </w:rPr>
        <w:t> </w:t>
      </w:r>
      <w:r>
        <w:rPr>
          <w:sz w:val="20"/>
        </w:rPr>
        <w:t>n.392</w:t>
      </w:r>
      <w:r>
        <w:rPr>
          <w:spacing w:val="34"/>
          <w:sz w:val="20"/>
        </w:rPr>
        <w:t> </w:t>
      </w:r>
      <w:r>
        <w:rPr>
          <w:sz w:val="20"/>
        </w:rPr>
        <w:t>may</w:t>
      </w:r>
      <w:r>
        <w:rPr>
          <w:spacing w:val="34"/>
          <w:sz w:val="20"/>
        </w:rPr>
        <w:t> </w:t>
      </w:r>
      <w:r>
        <w:rPr>
          <w:sz w:val="20"/>
        </w:rPr>
        <w:t>be</w:t>
      </w:r>
      <w:r>
        <w:rPr>
          <w:spacing w:val="34"/>
          <w:sz w:val="20"/>
        </w:rPr>
        <w:t> </w:t>
      </w:r>
      <w:r>
        <w:rPr>
          <w:sz w:val="20"/>
        </w:rPr>
        <w:t>hard</w:t>
      </w:r>
      <w:r>
        <w:rPr>
          <w:spacing w:val="34"/>
          <w:sz w:val="20"/>
        </w:rPr>
        <w:t> </w:t>
      </w:r>
      <w:r>
        <w:rPr>
          <w:sz w:val="20"/>
        </w:rPr>
        <w:t>to</w:t>
      </w:r>
      <w:r>
        <w:rPr>
          <w:spacing w:val="34"/>
          <w:sz w:val="20"/>
        </w:rPr>
        <w:t> </w:t>
      </w:r>
      <w:r>
        <w:rPr>
          <w:sz w:val="20"/>
        </w:rPr>
        <w:t>reconcile</w:t>
      </w:r>
      <w:r>
        <w:rPr>
          <w:spacing w:val="34"/>
          <w:sz w:val="20"/>
        </w:rPr>
        <w:t> </w:t>
      </w:r>
      <w:r>
        <w:rPr>
          <w:sz w:val="20"/>
        </w:rPr>
        <w:t>with </w:t>
      </w:r>
      <w:r>
        <w:rPr>
          <w:rFonts w:ascii="Arial" w:hAnsi="Arial"/>
          <w:i/>
          <w:sz w:val="20"/>
        </w:rPr>
        <w:t>Stilk</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Myrick</w:t>
      </w:r>
      <w:r>
        <w:rPr>
          <w:rFonts w:ascii="Arial" w:hAnsi="Arial"/>
          <w:i/>
          <w:spacing w:val="34"/>
          <w:sz w:val="20"/>
        </w:rPr>
        <w:t> </w:t>
      </w:r>
      <w:r>
        <w:rPr>
          <w:rFonts w:ascii="Arial" w:hAnsi="Arial"/>
          <w:i/>
          <w:sz w:val="20"/>
        </w:rPr>
        <w:t>(1809)</w:t>
      </w:r>
      <w:r>
        <w:rPr>
          <w:rFonts w:ascii="Arial" w:hAnsi="Arial"/>
          <w:i/>
          <w:spacing w:val="34"/>
          <w:sz w:val="20"/>
        </w:rPr>
        <w:t> </w:t>
      </w:r>
      <w:r>
        <w:rPr>
          <w:rFonts w:ascii="Arial" w:hAnsi="Arial"/>
          <w:i/>
          <w:sz w:val="20"/>
        </w:rPr>
        <w:t>2 Camp. 317</w:t>
      </w:r>
      <w:r>
        <w:rPr>
          <w:sz w:val="20"/>
        </w:rPr>
        <w:t>, above para.4-067, but they are consistent with </w:t>
      </w:r>
      <w:r>
        <w:rPr>
          <w:rFonts w:ascii="Arial" w:hAnsi="Arial"/>
          <w:i/>
          <w:sz w:val="20"/>
        </w:rPr>
        <w:t>Williams v Roffey Bros &amp; </w:t>
      </w:r>
      <w:r>
        <w:rPr>
          <w:rFonts w:ascii="Arial" w:hAnsi="Arial"/>
          <w:i/>
          <w:sz w:val="20"/>
        </w:rPr>
        <w:t>Nicholls (Contractors) Ltd [1991] 1 Q.B. 1</w:t>
      </w:r>
      <w:r>
        <w:rPr>
          <w:sz w:val="20"/>
        </w:rPr>
        <w:t>, above, paras 4-069 to 4-070, which is the authority cited in the</w:t>
      </w:r>
      <w:r>
        <w:rPr>
          <w:spacing w:val="-1"/>
          <w:sz w:val="20"/>
        </w:rPr>
        <w:t> </w:t>
      </w:r>
      <w:r>
        <w:rPr>
          <w:rFonts w:ascii="Arial" w:hAnsi="Arial"/>
          <w:i/>
          <w:sz w:val="20"/>
        </w:rPr>
        <w:t>Lee</w:t>
      </w:r>
      <w:r>
        <w:rPr>
          <w:rFonts w:ascii="Arial" w:hAnsi="Arial"/>
          <w:i/>
          <w:spacing w:val="-1"/>
          <w:sz w:val="20"/>
        </w:rPr>
        <w:t> </w:t>
      </w:r>
      <w:r>
        <w:rPr>
          <w:sz w:val="20"/>
        </w:rPr>
        <w:t>case,</w:t>
      </w:r>
      <w:r>
        <w:rPr>
          <w:spacing w:val="-1"/>
          <w:sz w:val="20"/>
        </w:rPr>
        <w:t> </w:t>
      </w:r>
      <w:r>
        <w:rPr>
          <w:sz w:val="20"/>
        </w:rPr>
        <w:t>above,</w:t>
      </w:r>
      <w:r>
        <w:rPr>
          <w:spacing w:val="-1"/>
          <w:sz w:val="20"/>
        </w:rPr>
        <w:t> </w:t>
      </w:r>
      <w:r>
        <w:rPr>
          <w:sz w:val="20"/>
        </w:rPr>
        <w:t>n.391,</w:t>
      </w:r>
      <w:r>
        <w:rPr>
          <w:spacing w:val="-1"/>
          <w:sz w:val="20"/>
        </w:rPr>
        <w:t> </w:t>
      </w:r>
      <w:r>
        <w:rPr>
          <w:sz w:val="20"/>
        </w:rPr>
        <w:t>at</w:t>
      </w:r>
      <w:r>
        <w:rPr>
          <w:spacing w:val="-1"/>
          <w:sz w:val="20"/>
        </w:rPr>
        <w:t> </w:t>
      </w:r>
      <w:r>
        <w:rPr>
          <w:sz w:val="20"/>
        </w:rPr>
        <w:t>[119]</w:t>
      </w:r>
      <w:r>
        <w:rPr>
          <w:spacing w:val="-1"/>
          <w:sz w:val="20"/>
        </w:rPr>
        <w:t> </w:t>
      </w:r>
      <w:r>
        <w:rPr>
          <w:sz w:val="20"/>
        </w:rPr>
        <w:t>in</w:t>
      </w:r>
      <w:r>
        <w:rPr>
          <w:spacing w:val="-1"/>
          <w:sz w:val="20"/>
        </w:rPr>
        <w:t> </w:t>
      </w:r>
      <w:r>
        <w:rPr>
          <w:sz w:val="20"/>
        </w:rPr>
        <w:t>support</w:t>
      </w:r>
      <w:r>
        <w:rPr>
          <w:spacing w:val="-1"/>
          <w:sz w:val="20"/>
        </w:rPr>
        <w:t> </w:t>
      </w:r>
      <w:r>
        <w:rPr>
          <w:sz w:val="20"/>
        </w:rPr>
        <w:t>of</w:t>
      </w:r>
      <w:r>
        <w:rPr>
          <w:spacing w:val="-1"/>
          <w:sz w:val="20"/>
        </w:rPr>
        <w:t> </w:t>
      </w:r>
      <w:r>
        <w:rPr>
          <w:sz w:val="20"/>
        </w:rPr>
        <w:t>the</w:t>
      </w:r>
      <w:r>
        <w:rPr>
          <w:spacing w:val="-1"/>
          <w:sz w:val="20"/>
        </w:rPr>
        <w:t> </w:t>
      </w:r>
      <w:r>
        <w:rPr>
          <w:sz w:val="20"/>
        </w:rPr>
        <w:t>view</w:t>
      </w:r>
      <w:r>
        <w:rPr>
          <w:spacing w:val="-1"/>
          <w:sz w:val="20"/>
        </w:rPr>
        <w:t> </w:t>
      </w:r>
      <w:r>
        <w:rPr>
          <w:sz w:val="20"/>
        </w:rPr>
        <w:t>that</w:t>
      </w:r>
      <w:r>
        <w:rPr>
          <w:spacing w:val="-1"/>
          <w:sz w:val="20"/>
        </w:rPr>
        <w:t> </w:t>
      </w:r>
      <w:r>
        <w:rPr>
          <w:sz w:val="20"/>
        </w:rPr>
        <w:t>the</w:t>
      </w:r>
      <w:r>
        <w:rPr>
          <w:spacing w:val="-1"/>
          <w:sz w:val="20"/>
        </w:rPr>
        <w:t> </w:t>
      </w:r>
      <w:r>
        <w:rPr>
          <w:sz w:val="20"/>
        </w:rPr>
        <w:t>requirement</w:t>
      </w:r>
      <w:r>
        <w:rPr>
          <w:spacing w:val="-1"/>
          <w:sz w:val="20"/>
        </w:rPr>
        <w:t> </w:t>
      </w:r>
      <w:r>
        <w:rPr>
          <w:sz w:val="20"/>
        </w:rPr>
        <w:t>of</w:t>
      </w:r>
      <w:r>
        <w:rPr>
          <w:spacing w:val="-1"/>
          <w:sz w:val="20"/>
        </w:rPr>
        <w:t> </w:t>
      </w:r>
      <w:r>
        <w:rPr>
          <w:sz w:val="20"/>
        </w:rPr>
        <w:t>consideration was satisfied in that case as the “employer had both secured a benefit and avoided a</w:t>
      </w:r>
      <w:r>
        <w:rPr>
          <w:spacing w:val="40"/>
          <w:sz w:val="20"/>
        </w:rPr>
        <w:t> </w:t>
      </w:r>
      <w:r>
        <w:rPr>
          <w:spacing w:val="-2"/>
          <w:sz w:val="20"/>
        </w:rPr>
        <w:t>detriment”.</w:t>
      </w:r>
    </w:p>
    <w:p>
      <w:pPr>
        <w:pStyle w:val="BodyText"/>
        <w:spacing w:before="8"/>
      </w:pPr>
    </w:p>
    <w:p>
      <w:pPr>
        <w:spacing w:line="235" w:lineRule="auto" w:before="0"/>
        <w:ind w:left="705" w:right="168" w:hanging="541"/>
        <w:jc w:val="both"/>
        <w:rPr>
          <w:sz w:val="20"/>
        </w:rPr>
      </w:pPr>
      <w:bookmarkStart w:name="_bookmark752" w:id="754"/>
      <w:bookmarkEnd w:id="754"/>
      <w:r>
        <w:rPr/>
      </w:r>
      <w:hyperlink w:history="true" w:anchor="_bookmark706">
        <w:r>
          <w:rPr>
            <w:color w:val="005DA1"/>
            <w:position w:val="5"/>
            <w:sz w:val="14"/>
            <w:u w:val="single" w:color="005DA1"/>
          </w:rPr>
          <w:t>399</w:t>
        </w:r>
      </w:hyperlink>
      <w:r>
        <w:rPr>
          <w:position w:val="5"/>
          <w:sz w:val="14"/>
        </w:rPr>
        <w:t>.</w:t>
      </w:r>
      <w:r>
        <w:rPr>
          <w:spacing w:val="80"/>
          <w:position w:val="5"/>
          <w:sz w:val="14"/>
        </w:rPr>
        <w:t>  </w:t>
      </w:r>
      <w:r>
        <w:rPr>
          <w:sz w:val="20"/>
        </w:rPr>
        <w:t>e.g.</w:t>
      </w:r>
      <w:r>
        <w:rPr>
          <w:spacing w:val="-2"/>
          <w:sz w:val="20"/>
        </w:rPr>
        <w:t> </w:t>
      </w:r>
      <w:r>
        <w:rPr>
          <w:rFonts w:ascii="Arial" w:hAnsi="Arial"/>
          <w:i/>
          <w:sz w:val="20"/>
        </w:rPr>
        <w:t>Pepper</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Hope</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Daish</w:t>
      </w:r>
      <w:r>
        <w:rPr>
          <w:rFonts w:ascii="Arial" w:hAnsi="Arial"/>
          <w:i/>
          <w:spacing w:val="-2"/>
          <w:sz w:val="20"/>
        </w:rPr>
        <w:t> </w:t>
      </w:r>
      <w:r>
        <w:rPr>
          <w:rFonts w:ascii="Arial" w:hAnsi="Arial"/>
          <w:i/>
          <w:sz w:val="20"/>
        </w:rPr>
        <w:t>[1980]</w:t>
      </w:r>
      <w:r>
        <w:rPr>
          <w:rFonts w:ascii="Arial" w:hAnsi="Arial"/>
          <w:i/>
          <w:spacing w:val="-2"/>
          <w:sz w:val="20"/>
        </w:rPr>
        <w:t> </w:t>
      </w:r>
      <w:r>
        <w:rPr>
          <w:rFonts w:ascii="Arial" w:hAnsi="Arial"/>
          <w:i/>
          <w:sz w:val="20"/>
        </w:rPr>
        <w:t>I.R.L.R.</w:t>
      </w:r>
      <w:r>
        <w:rPr>
          <w:rFonts w:ascii="Arial" w:hAnsi="Arial"/>
          <w:i/>
          <w:spacing w:val="-2"/>
          <w:sz w:val="20"/>
        </w:rPr>
        <w:t> </w:t>
      </w:r>
      <w:r>
        <w:rPr>
          <w:rFonts w:ascii="Arial" w:hAnsi="Arial"/>
          <w:i/>
          <w:sz w:val="20"/>
        </w:rPr>
        <w:t>13</w:t>
      </w:r>
      <w:r>
        <w:rPr>
          <w:sz w:val="20"/>
        </w:rPr>
        <w:t>.</w:t>
      </w:r>
      <w:r>
        <w:rPr>
          <w:spacing w:val="-2"/>
          <w:sz w:val="20"/>
        </w:rPr>
        <w:t> </w:t>
      </w:r>
      <w:r>
        <w:rPr>
          <w:sz w:val="20"/>
        </w:rPr>
        <w:t>Perhaps</w:t>
      </w:r>
      <w:r>
        <w:rPr>
          <w:spacing w:val="-2"/>
          <w:sz w:val="20"/>
        </w:rPr>
        <w:t> </w:t>
      </w:r>
      <w:r>
        <w:rPr>
          <w:sz w:val="20"/>
        </w:rPr>
        <w:t>it</w:t>
      </w:r>
      <w:r>
        <w:rPr>
          <w:spacing w:val="-2"/>
          <w:sz w:val="20"/>
        </w:rPr>
        <w:t> </w:t>
      </w:r>
      <w:r>
        <w:rPr>
          <w:sz w:val="20"/>
        </w:rPr>
        <w:t>was</w:t>
      </w:r>
      <w:r>
        <w:rPr>
          <w:spacing w:val="-2"/>
          <w:sz w:val="20"/>
        </w:rPr>
        <w:t> </w:t>
      </w:r>
      <w:r>
        <w:rPr>
          <w:sz w:val="20"/>
        </w:rPr>
        <w:t>for</w:t>
      </w:r>
      <w:r>
        <w:rPr>
          <w:spacing w:val="-2"/>
          <w:sz w:val="20"/>
        </w:rPr>
        <w:t> </w:t>
      </w:r>
      <w:r>
        <w:rPr>
          <w:sz w:val="20"/>
        </w:rPr>
        <w:t>this</w:t>
      </w:r>
      <w:r>
        <w:rPr>
          <w:spacing w:val="-2"/>
          <w:sz w:val="20"/>
        </w:rPr>
        <w:t> </w:t>
      </w:r>
      <w:r>
        <w:rPr>
          <w:sz w:val="20"/>
        </w:rPr>
        <w:t>reason</w:t>
      </w:r>
      <w:r>
        <w:rPr>
          <w:spacing w:val="-2"/>
          <w:sz w:val="20"/>
        </w:rPr>
        <w:t> </w:t>
      </w:r>
      <w:r>
        <w:rPr>
          <w:sz w:val="20"/>
        </w:rPr>
        <w:t>that</w:t>
      </w:r>
      <w:r>
        <w:rPr>
          <w:spacing w:val="-2"/>
          <w:sz w:val="20"/>
        </w:rPr>
        <w:t> </w:t>
      </w:r>
      <w:r>
        <w:rPr>
          <w:sz w:val="20"/>
        </w:rPr>
        <w:t>the</w:t>
      </w:r>
      <w:r>
        <w:rPr>
          <w:spacing w:val="-2"/>
          <w:sz w:val="20"/>
        </w:rPr>
        <w:t> </w:t>
      </w:r>
      <w:r>
        <w:rPr>
          <w:sz w:val="20"/>
        </w:rPr>
        <w:t>argument of want of consideration was not raised in </w:t>
      </w:r>
      <w:r>
        <w:rPr>
          <w:rFonts w:ascii="Arial" w:hAnsi="Arial"/>
          <w:i/>
          <w:sz w:val="20"/>
        </w:rPr>
        <w:t>Universe Tankships Inc v International Transport Workers’ Federation (The Universe Sentinel) [1983] 1 A.C. 366</w:t>
      </w:r>
      <w:r>
        <w:rPr>
          <w:sz w:val="20"/>
        </w:rPr>
        <w:t>.</w:t>
      </w:r>
    </w:p>
    <w:p>
      <w:pPr>
        <w:pStyle w:val="BodyText"/>
        <w:spacing w:before="9"/>
      </w:pPr>
    </w:p>
    <w:p>
      <w:pPr>
        <w:spacing w:line="235" w:lineRule="auto" w:before="0"/>
        <w:ind w:left="705" w:right="167" w:hanging="541"/>
        <w:jc w:val="both"/>
        <w:rPr>
          <w:sz w:val="20"/>
        </w:rPr>
      </w:pPr>
      <w:bookmarkStart w:name="_bookmark753" w:id="755"/>
      <w:bookmarkEnd w:id="755"/>
      <w:r>
        <w:rPr/>
      </w:r>
      <w:hyperlink w:history="true" w:anchor="_bookmark707">
        <w:r>
          <w:rPr>
            <w:color w:val="005DA1"/>
            <w:position w:val="5"/>
            <w:sz w:val="14"/>
            <w:u w:val="single" w:color="005DA1"/>
          </w:rPr>
          <w:t>400</w:t>
        </w:r>
      </w:hyperlink>
      <w:r>
        <w:rPr>
          <w:position w:val="5"/>
          <w:sz w:val="14"/>
        </w:rPr>
        <w:t>.</w:t>
      </w:r>
      <w:r>
        <w:rPr>
          <w:spacing w:val="80"/>
          <w:position w:val="5"/>
          <w:sz w:val="14"/>
        </w:rPr>
        <w:t>  </w:t>
      </w:r>
      <w:r>
        <w:rPr>
          <w:sz w:val="20"/>
        </w:rPr>
        <w:t>This</w:t>
      </w:r>
      <w:r>
        <w:rPr>
          <w:spacing w:val="-2"/>
          <w:sz w:val="20"/>
        </w:rPr>
        <w:t> </w:t>
      </w:r>
      <w:r>
        <w:rPr>
          <w:sz w:val="20"/>
        </w:rPr>
        <w:t>is</w:t>
      </w:r>
      <w:r>
        <w:rPr>
          <w:spacing w:val="-2"/>
          <w:sz w:val="20"/>
        </w:rPr>
        <w:t> </w:t>
      </w:r>
      <w:r>
        <w:rPr>
          <w:sz w:val="20"/>
        </w:rPr>
        <w:t>a</w:t>
      </w:r>
      <w:r>
        <w:rPr>
          <w:spacing w:val="-2"/>
          <w:sz w:val="20"/>
        </w:rPr>
        <w:t> </w:t>
      </w:r>
      <w:r>
        <w:rPr>
          <w:sz w:val="20"/>
        </w:rPr>
        <w:t>possible</w:t>
      </w:r>
      <w:r>
        <w:rPr>
          <w:spacing w:val="-2"/>
          <w:sz w:val="20"/>
        </w:rPr>
        <w:t> </w:t>
      </w:r>
      <w:r>
        <w:rPr>
          <w:sz w:val="20"/>
        </w:rPr>
        <w:t>reason</w:t>
      </w:r>
      <w:r>
        <w:rPr>
          <w:spacing w:val="-2"/>
          <w:sz w:val="20"/>
        </w:rPr>
        <w:t> </w:t>
      </w:r>
      <w:r>
        <w:rPr>
          <w:sz w:val="20"/>
        </w:rPr>
        <w:t>(in</w:t>
      </w:r>
      <w:r>
        <w:rPr>
          <w:spacing w:val="-2"/>
          <w:sz w:val="20"/>
        </w:rPr>
        <w:t> </w:t>
      </w:r>
      <w:r>
        <w:rPr>
          <w:sz w:val="20"/>
        </w:rPr>
        <w:t>addition</w:t>
      </w:r>
      <w:r>
        <w:rPr>
          <w:spacing w:val="-2"/>
          <w:sz w:val="20"/>
        </w:rPr>
        <w:t> </w:t>
      </w:r>
      <w:r>
        <w:rPr>
          <w:sz w:val="20"/>
        </w:rPr>
        <w:t>to</w:t>
      </w:r>
      <w:r>
        <w:rPr>
          <w:spacing w:val="-2"/>
          <w:sz w:val="20"/>
        </w:rPr>
        <w:t> </w:t>
      </w:r>
      <w:r>
        <w:rPr>
          <w:sz w:val="20"/>
        </w:rPr>
        <w:t>that</w:t>
      </w:r>
      <w:r>
        <w:rPr>
          <w:spacing w:val="-2"/>
          <w:sz w:val="20"/>
        </w:rPr>
        <w:t> </w:t>
      </w:r>
      <w:r>
        <w:rPr>
          <w:sz w:val="20"/>
        </w:rPr>
        <w:t>given</w:t>
      </w:r>
      <w:r>
        <w:rPr>
          <w:spacing w:val="-2"/>
          <w:sz w:val="20"/>
        </w:rPr>
        <w:t> </w:t>
      </w:r>
      <w:r>
        <w:rPr>
          <w:sz w:val="20"/>
        </w:rPr>
        <w:t>in</w:t>
      </w:r>
      <w:r>
        <w:rPr>
          <w:spacing w:val="-2"/>
          <w:sz w:val="20"/>
        </w:rPr>
        <w:t> </w:t>
      </w:r>
      <w:r>
        <w:rPr>
          <w:sz w:val="20"/>
        </w:rPr>
        <w:t>para.4-069</w:t>
      </w:r>
      <w:r>
        <w:rPr>
          <w:spacing w:val="-2"/>
          <w:sz w:val="20"/>
        </w:rPr>
        <w:t> </w:t>
      </w:r>
      <w:r>
        <w:rPr>
          <w:sz w:val="20"/>
        </w:rPr>
        <w:t>n.369</w:t>
      </w:r>
      <w:r>
        <w:rPr>
          <w:spacing w:val="-2"/>
          <w:sz w:val="20"/>
        </w:rPr>
        <w:t> </w:t>
      </w:r>
      <w:r>
        <w:rPr>
          <w:sz w:val="20"/>
        </w:rPr>
        <w:t>above)</w:t>
      </w:r>
      <w:r>
        <w:rPr>
          <w:spacing w:val="-2"/>
          <w:sz w:val="20"/>
        </w:rPr>
        <w:t> </w:t>
      </w:r>
      <w:r>
        <w:rPr>
          <w:sz w:val="20"/>
        </w:rPr>
        <w:t>for</w:t>
      </w:r>
      <w:r>
        <w:rPr>
          <w:spacing w:val="-2"/>
          <w:sz w:val="20"/>
        </w:rPr>
        <w:t> </w:t>
      </w:r>
      <w:r>
        <w:rPr>
          <w:sz w:val="20"/>
        </w:rPr>
        <w:t>the</w:t>
      </w:r>
      <w:r>
        <w:rPr>
          <w:spacing w:val="-2"/>
          <w:sz w:val="20"/>
        </w:rPr>
        <w:t> </w:t>
      </w:r>
      <w:r>
        <w:rPr>
          <w:sz w:val="20"/>
        </w:rPr>
        <w:t>decision</w:t>
      </w:r>
      <w:r>
        <w:rPr>
          <w:spacing w:val="-2"/>
          <w:sz w:val="20"/>
        </w:rPr>
        <w:t> </w:t>
      </w:r>
      <w:r>
        <w:rPr>
          <w:sz w:val="20"/>
        </w:rPr>
        <w:t>in </w:t>
      </w:r>
      <w:r>
        <w:rPr>
          <w:rFonts w:ascii="Arial"/>
          <w:i/>
          <w:sz w:val="20"/>
        </w:rPr>
        <w:t>Attrill v Dresdner Kleinwort Ltd [2011] EWCA Civ 229, [2011] I.R.L.R. 613</w:t>
      </w:r>
      <w:r>
        <w:rPr>
          <w:sz w:val="20"/>
        </w:rPr>
        <w:t>, above, para.4-069. For reference to the requirement of consideration in later proceedings in the </w:t>
      </w:r>
      <w:r>
        <w:rPr>
          <w:rFonts w:ascii="Arial"/>
          <w:i/>
          <w:sz w:val="20"/>
        </w:rPr>
        <w:t>Attrill </w:t>
      </w:r>
      <w:r>
        <w:rPr>
          <w:sz w:val="20"/>
        </w:rPr>
        <w:t>case, see </w:t>
      </w:r>
      <w:r>
        <w:rPr>
          <w:rFonts w:ascii="Arial"/>
          <w:i/>
          <w:sz w:val="20"/>
        </w:rPr>
        <w:t>[2012] EWHC 1189 (QB), affirmed [2013] EWCA Civ 394, [2013] 3 All E.R. 607 </w:t>
      </w:r>
      <w:r>
        <w:rPr>
          <w:sz w:val="20"/>
        </w:rPr>
        <w:t>at [95].</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37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727" w:right="2730"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87776">
                <wp:simplePos x="0" y="0"/>
                <wp:positionH relativeFrom="page">
                  <wp:posOffset>4707940</wp:posOffset>
                </wp:positionH>
                <wp:positionV relativeFrom="paragraph">
                  <wp:posOffset>377436</wp:posOffset>
                </wp:positionV>
                <wp:extent cx="4254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28704" from="370.70401pt,29.719406pt" to="374.04001pt,29.719406pt" stroked="true" strokeweight=".428pt" strokecolor="#005da1">
                <v:stroke dashstyle="solid"/>
                <w10:wrap type="none"/>
              </v:line>
            </w:pict>
          </mc:Fallback>
        </mc:AlternateContent>
      </w: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4 - Consideration </w:t>
      </w:r>
      <w:r>
        <w:rPr>
          <w:rFonts w:ascii="Arial"/>
          <w:b/>
          <w:color w:val="005DA1"/>
          <w:position w:val="11"/>
          <w:sz w:val="12"/>
        </w:rPr>
        <w:t>1</w:t>
      </w:r>
    </w:p>
    <w:p>
      <w:pPr>
        <w:spacing w:before="2"/>
        <w:ind w:left="940" w:right="943" w:firstLine="0"/>
        <w:jc w:val="center"/>
        <w:rPr>
          <w:rFonts w:ascii="Arial"/>
          <w:b/>
          <w:position w:val="11"/>
          <w:sz w:val="12"/>
        </w:rPr>
      </w:pPr>
      <w:bookmarkStart w:name="_bookmark754" w:id="756"/>
      <w:bookmarkEnd w:id="756"/>
      <w:r>
        <w:rPr/>
      </w:r>
      <w:r>
        <w:rPr>
          <w:rFonts w:ascii="Arial"/>
          <w:b/>
          <w:sz w:val="24"/>
        </w:rPr>
        <w:t>Section 8. - Existing Duties as Consideration </w:t>
      </w:r>
      <w:r>
        <w:rPr>
          <w:rFonts w:ascii="Arial"/>
          <w:b/>
          <w:color w:val="005DA1"/>
          <w:spacing w:val="-5"/>
          <w:position w:val="11"/>
          <w:sz w:val="12"/>
          <w:u w:val="single" w:color="005DA1"/>
        </w:rPr>
        <w:t>333</w:t>
      </w:r>
    </w:p>
    <w:p>
      <w:pPr>
        <w:spacing w:before="194"/>
        <w:ind w:left="1885" w:right="0" w:firstLine="0"/>
        <w:jc w:val="left"/>
        <w:rPr>
          <w:rFonts w:ascii="Arial"/>
          <w:b/>
          <w:sz w:val="24"/>
        </w:rPr>
      </w:pPr>
      <w:r>
        <w:rPr>
          <w:rFonts w:ascii="Arial"/>
          <w:b/>
          <w:sz w:val="24"/>
        </w:rPr>
        <w:t>(c) - Duty imposed by Contract with a Third </w:t>
      </w:r>
      <w:r>
        <w:rPr>
          <w:rFonts w:ascii="Arial"/>
          <w:b/>
          <w:spacing w:val="-2"/>
          <w:sz w:val="24"/>
        </w:rPr>
        <w:t>Party</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bookmarkStart w:name="_bookmark755" w:id="757"/>
      <w:bookmarkEnd w:id="757"/>
      <w:r>
        <w:rPr/>
      </w:r>
      <w:r>
        <w:rPr>
          <w:rFonts w:ascii="Arial"/>
          <w:b/>
          <w:sz w:val="18"/>
        </w:rPr>
        <w:t>Introductory </w:t>
      </w:r>
      <w:r>
        <w:rPr>
          <w:rFonts w:ascii="Arial"/>
          <w:b/>
          <w:color w:val="005DA1"/>
          <w:spacing w:val="-5"/>
          <w:sz w:val="18"/>
          <w:u w:val="single" w:color="005DA1"/>
          <w:vertAlign w:val="superscript"/>
        </w:rPr>
        <w:t>401</w:t>
      </w:r>
    </w:p>
    <w:p>
      <w:pPr>
        <w:pStyle w:val="BodyText"/>
        <w:spacing w:before="41"/>
        <w:rPr>
          <w:rFonts w:ascii="Arial"/>
          <w:b/>
          <w:sz w:val="18"/>
        </w:rPr>
      </w:pPr>
    </w:p>
    <w:p>
      <w:pPr>
        <w:pStyle w:val="Heading2"/>
      </w:pPr>
      <w:r>
        <w:rPr/>
        <w:t>4-</w:t>
      </w:r>
      <w:r>
        <w:rPr>
          <w:spacing w:val="-5"/>
        </w:rPr>
        <w:t>073</w:t>
      </w:r>
    </w:p>
    <w:p>
      <w:pPr>
        <w:pStyle w:val="BodyText"/>
        <w:spacing w:line="235" w:lineRule="auto" w:before="203"/>
        <w:ind w:left="165" w:right="167"/>
        <w:jc w:val="both"/>
      </w:pPr>
      <w:r>
        <w:rPr/>
        <w:t>Two problems arise under this heading. The first is whether, if A is under a contractual duty to B, the </w:t>
      </w:r>
      <w:r>
        <w:rPr>
          <w:rFonts w:ascii="Arial" w:hAnsi="Arial"/>
          <w:i/>
        </w:rPr>
        <w:t>performance </w:t>
      </w:r>
      <w:r>
        <w:rPr/>
        <w:t>of this duty can constitute consideration for a promise made to A by C. The second is whether A’s </w:t>
      </w:r>
      <w:r>
        <w:rPr>
          <w:rFonts w:ascii="Arial" w:hAnsi="Arial"/>
          <w:i/>
        </w:rPr>
        <w:t>promise </w:t>
      </w:r>
      <w:r>
        <w:rPr/>
        <w:t>to perform his contractual duty to B can constitute consideration for a counterpromise made to A by C.</w:t>
      </w:r>
    </w:p>
    <w:p>
      <w:pPr>
        <w:pStyle w:val="BodyText"/>
      </w:pPr>
    </w:p>
    <w:p>
      <w:pPr>
        <w:pStyle w:val="BodyText"/>
        <w:spacing w:before="37"/>
      </w:pPr>
    </w:p>
    <w:p>
      <w:pPr>
        <w:spacing w:before="0"/>
        <w:ind w:left="165" w:right="0" w:firstLine="0"/>
        <w:jc w:val="both"/>
        <w:rPr>
          <w:rFonts w:ascii="Arial"/>
          <w:b/>
          <w:sz w:val="18"/>
        </w:rPr>
      </w:pPr>
      <w:r>
        <w:rPr>
          <w:rFonts w:ascii="Arial"/>
          <w:b/>
          <w:sz w:val="18"/>
        </w:rPr>
        <w:t>Performance of the </w:t>
      </w:r>
      <w:r>
        <w:rPr>
          <w:rFonts w:ascii="Arial"/>
          <w:b/>
          <w:spacing w:val="-4"/>
          <w:sz w:val="18"/>
        </w:rPr>
        <w:t>duty</w:t>
      </w:r>
    </w:p>
    <w:p>
      <w:pPr>
        <w:pStyle w:val="BodyText"/>
        <w:spacing w:before="41"/>
        <w:rPr>
          <w:rFonts w:ascii="Arial"/>
          <w:b/>
          <w:sz w:val="18"/>
        </w:rPr>
      </w:pPr>
    </w:p>
    <w:p>
      <w:pPr>
        <w:pStyle w:val="Heading2"/>
      </w:pPr>
      <w:r>
        <w:rPr/>
        <w:t>4-</w:t>
      </w:r>
      <w:r>
        <w:rPr>
          <w:spacing w:val="-5"/>
        </w:rPr>
        <w:t>074</w:t>
      </w:r>
    </w:p>
    <w:p>
      <w:pPr>
        <w:pStyle w:val="BodyText"/>
        <w:spacing w:line="235" w:lineRule="auto" w:before="203"/>
        <w:ind w:left="164" w:right="167"/>
        <w:jc w:val="both"/>
      </w:pPr>
      <w:bookmarkStart w:name="_bookmark756" w:id="758"/>
      <w:bookmarkEnd w:id="758"/>
      <w:r>
        <w:rPr/>
      </w:r>
      <w:r>
        <w:rPr/>
        <w:t>It is now generally accepted that actual perform- ance of a contractual duty owed to a third party </w:t>
      </w:r>
      <w:r>
        <w:rPr/>
        <w:t>can constitute consideration. </w:t>
      </w:r>
      <w:r>
        <w:rPr>
          <w:color w:val="005DA1"/>
          <w:u w:val="single" w:color="005DA1"/>
          <w:vertAlign w:val="superscript"/>
        </w:rPr>
        <w:t>402</w:t>
      </w:r>
      <w:r>
        <w:rPr>
          <w:color w:val="005DA1"/>
          <w:vertAlign w:val="baseline"/>
        </w:rPr>
        <w:t> </w:t>
      </w:r>
      <w:r>
        <w:rPr>
          <w:vertAlign w:val="baseline"/>
        </w:rPr>
        <w:t>Two mid-nineteenth century cases which support this view are not wholly </w:t>
      </w:r>
      <w:bookmarkStart w:name="_bookmark757" w:id="759"/>
      <w:bookmarkEnd w:id="759"/>
      <w:r>
        <w:rPr>
          <w:vertAlign w:val="baseline"/>
        </w:rPr>
        <w:t>conclusive,</w:t>
      </w:r>
      <w:r>
        <w:rPr>
          <w:vertAlign w:val="baseline"/>
        </w:rPr>
        <w:t> since in each of them the promisee did, or may have done, more than he was bound </w:t>
      </w:r>
      <w:bookmarkStart w:name="_bookmark758" w:id="760"/>
      <w:bookmarkEnd w:id="760"/>
      <w:r>
        <w:rPr>
          <w:vertAlign w:val="baseline"/>
        </w:rPr>
        <w:t>under</w:t>
      </w:r>
      <w:r>
        <w:rPr>
          <w:vertAlign w:val="baseline"/>
        </w:rPr>
        <w:t> the earlier contract to do, and so have provided additional consideration. </w:t>
      </w:r>
      <w:r>
        <w:rPr>
          <w:color w:val="005DA1"/>
          <w:u w:val="single" w:color="005DA1"/>
          <w:vertAlign w:val="superscript"/>
        </w:rPr>
        <w:t>403</w:t>
      </w:r>
      <w:r>
        <w:rPr>
          <w:color w:val="005DA1"/>
          <w:vertAlign w:val="baseline"/>
        </w:rPr>
        <w:t> </w:t>
      </w:r>
      <w:r>
        <w:rPr>
          <w:vertAlign w:val="baseline"/>
        </w:rPr>
        <w:t>But it is harder to find</w:t>
      </w:r>
      <w:r>
        <w:rPr>
          <w:spacing w:val="-2"/>
          <w:vertAlign w:val="baseline"/>
        </w:rPr>
        <w:t> </w:t>
      </w:r>
      <w:r>
        <w:rPr>
          <w:vertAlign w:val="baseline"/>
        </w:rPr>
        <w:t>any</w:t>
      </w:r>
      <w:r>
        <w:rPr>
          <w:spacing w:val="-2"/>
          <w:vertAlign w:val="baseline"/>
        </w:rPr>
        <w:t> </w:t>
      </w:r>
      <w:r>
        <w:rPr>
          <w:vertAlign w:val="baseline"/>
        </w:rPr>
        <w:t>such</w:t>
      </w:r>
      <w:r>
        <w:rPr>
          <w:spacing w:val="-2"/>
          <w:vertAlign w:val="baseline"/>
        </w:rPr>
        <w:t> </w:t>
      </w:r>
      <w:r>
        <w:rPr>
          <w:vertAlign w:val="baseline"/>
        </w:rPr>
        <w:t>additional</w:t>
      </w:r>
      <w:r>
        <w:rPr>
          <w:spacing w:val="-2"/>
          <w:vertAlign w:val="baseline"/>
        </w:rPr>
        <w:t> </w:t>
      </w:r>
      <w:r>
        <w:rPr>
          <w:vertAlign w:val="baseline"/>
        </w:rPr>
        <w:t>consideration</w:t>
      </w:r>
      <w:r>
        <w:rPr>
          <w:spacing w:val="-2"/>
          <w:vertAlign w:val="baseline"/>
        </w:rPr>
        <w:t> </w:t>
      </w:r>
      <w:r>
        <w:rPr>
          <w:vertAlign w:val="baseline"/>
        </w:rPr>
        <w:t>in</w:t>
      </w:r>
      <w:r>
        <w:rPr>
          <w:spacing w:val="-2"/>
          <w:vertAlign w:val="baseline"/>
        </w:rPr>
        <w:t> </w:t>
      </w:r>
      <w:r>
        <w:rPr>
          <w:rFonts w:ascii="Arial" w:hAnsi="Arial"/>
          <w:i/>
          <w:vertAlign w:val="baseline"/>
        </w:rPr>
        <w:t>Shadwell</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Shadwell</w:t>
      </w:r>
      <w:r>
        <w:rPr>
          <w:vertAlign w:val="baseline"/>
        </w:rPr>
        <w:t>.</w:t>
      </w:r>
      <w:r>
        <w:rPr>
          <w:spacing w:val="-2"/>
          <w:vertAlign w:val="baseline"/>
        </w:rPr>
        <w:t> </w:t>
      </w:r>
      <w:r>
        <w:rPr>
          <w:color w:val="005DA1"/>
          <w:u w:val="single" w:color="005DA1"/>
          <w:vertAlign w:val="superscript"/>
        </w:rPr>
        <w:t>404</w:t>
      </w:r>
      <w:r>
        <w:rPr>
          <w:color w:val="005DA1"/>
          <w:spacing w:val="-2"/>
          <w:vertAlign w:val="baseline"/>
        </w:rPr>
        <w:t> </w:t>
      </w:r>
      <w:r>
        <w:rPr>
          <w:vertAlign w:val="baseline"/>
        </w:rPr>
        <w:t>An</w:t>
      </w:r>
      <w:r>
        <w:rPr>
          <w:spacing w:val="-2"/>
          <w:vertAlign w:val="baseline"/>
        </w:rPr>
        <w:t> </w:t>
      </w:r>
      <w:r>
        <w:rPr>
          <w:vertAlign w:val="baseline"/>
        </w:rPr>
        <w:t>uncle</w:t>
      </w:r>
      <w:r>
        <w:rPr>
          <w:spacing w:val="-2"/>
          <w:vertAlign w:val="baseline"/>
        </w:rPr>
        <w:t> </w:t>
      </w:r>
      <w:r>
        <w:rPr>
          <w:vertAlign w:val="baseline"/>
        </w:rPr>
        <w:t>wrote</w:t>
      </w:r>
      <w:r>
        <w:rPr>
          <w:spacing w:val="-2"/>
          <w:vertAlign w:val="baseline"/>
        </w:rPr>
        <w:t> </w:t>
      </w:r>
      <w:r>
        <w:rPr>
          <w:vertAlign w:val="baseline"/>
        </w:rPr>
        <w:t>to</w:t>
      </w:r>
      <w:r>
        <w:rPr>
          <w:spacing w:val="-2"/>
          <w:vertAlign w:val="baseline"/>
        </w:rPr>
        <w:t> </w:t>
      </w:r>
      <w:r>
        <w:rPr>
          <w:vertAlign w:val="baseline"/>
        </w:rPr>
        <w:t>his</w:t>
      </w:r>
      <w:r>
        <w:rPr>
          <w:spacing w:val="-2"/>
          <w:vertAlign w:val="baseline"/>
        </w:rPr>
        <w:t> </w:t>
      </w:r>
      <w:r>
        <w:rPr>
          <w:vertAlign w:val="baseline"/>
        </w:rPr>
        <w:t>nephew:</w:t>
      </w:r>
      <w:r>
        <w:rPr>
          <w:spacing w:val="-2"/>
          <w:vertAlign w:val="baseline"/>
        </w:rPr>
        <w:t> </w:t>
      </w:r>
      <w:r>
        <w:rPr>
          <w:vertAlign w:val="baseline"/>
        </w:rPr>
        <w:t>“I</w:t>
      </w:r>
      <w:r>
        <w:rPr>
          <w:spacing w:val="-2"/>
          <w:vertAlign w:val="baseline"/>
        </w:rPr>
        <w:t> </w:t>
      </w:r>
      <w:r>
        <w:rPr>
          <w:vertAlign w:val="baseline"/>
        </w:rPr>
        <w:t>am glad to hear of your intended marriage with Ellen Nicholl; and as I promised to assist you at starting, I am happy to tell you that I will pay you £150 yearly during my life …” A majority of the Court of Common Pleas held that the nephew had provided consideration for the uncle’s promise by marrying Ellen Nicholl. It was said that there was a detriment to the nephew in that he “may have made a most </w:t>
      </w:r>
      <w:bookmarkStart w:name="_bookmark759" w:id="761"/>
      <w:bookmarkEnd w:id="761"/>
      <w:r>
        <w:rPr>
          <w:vertAlign w:val="baseline"/>
        </w:rPr>
        <w:t>material</w:t>
      </w:r>
      <w:r>
        <w:rPr>
          <w:vertAlign w:val="baseline"/>
        </w:rPr>
        <w:t> change in his position, and induced the object of his affection to do the same, and may have </w:t>
      </w:r>
      <w:bookmarkStart w:name="_bookmark760" w:id="762"/>
      <w:bookmarkEnd w:id="762"/>
      <w:r>
        <w:rPr>
          <w:vertAlign w:val="baseline"/>
        </w:rPr>
        <w:t>incurred</w:t>
      </w:r>
      <w:r>
        <w:rPr>
          <w:vertAlign w:val="baseline"/>
        </w:rPr>
        <w:t> pecuniary liabilities resulting in embarrassments” </w:t>
      </w:r>
      <w:r>
        <w:rPr>
          <w:color w:val="005DA1"/>
          <w:u w:val="single" w:color="005DA1"/>
          <w:vertAlign w:val="superscript"/>
        </w:rPr>
        <w:t>405</w:t>
      </w:r>
      <w:r>
        <w:rPr>
          <w:vertAlign w:val="baseline"/>
        </w:rPr>
        <w:t>; and that there was a benefit to the</w:t>
      </w:r>
      <w:r>
        <w:rPr>
          <w:spacing w:val="40"/>
          <w:vertAlign w:val="baseline"/>
        </w:rPr>
        <w:t> </w:t>
      </w:r>
      <w:bookmarkStart w:name="_bookmark761" w:id="763"/>
      <w:bookmarkEnd w:id="763"/>
      <w:r>
        <w:rPr>
          <w:vertAlign w:val="baseline"/>
        </w:rPr>
        <w:t>uncle</w:t>
      </w:r>
      <w:r>
        <w:rPr>
          <w:vertAlign w:val="baseline"/>
        </w:rPr>
        <w:t> in that the marriage was “an object of interest to a near relative.” </w:t>
      </w:r>
      <w:r>
        <w:rPr>
          <w:color w:val="005DA1"/>
          <w:u w:val="single" w:color="005DA1"/>
          <w:vertAlign w:val="superscript"/>
        </w:rPr>
        <w:t>406</w:t>
      </w:r>
      <w:r>
        <w:rPr>
          <w:color w:val="005DA1"/>
          <w:vertAlign w:val="baseline"/>
        </w:rPr>
        <w:t> </w:t>
      </w:r>
      <w:r>
        <w:rPr>
          <w:vertAlign w:val="baseline"/>
        </w:rPr>
        <w:t>This reasoning simply ignores the nephew’s previous contractual obligation to marry Ellen Nicholl, </w:t>
      </w:r>
      <w:r>
        <w:rPr>
          <w:color w:val="005DA1"/>
          <w:u w:val="single" w:color="005DA1"/>
          <w:vertAlign w:val="superscript"/>
        </w:rPr>
        <w:t>407</w:t>
      </w:r>
      <w:r>
        <w:rPr>
          <w:color w:val="005DA1"/>
          <w:vertAlign w:val="baseline"/>
        </w:rPr>
        <w:t> </w:t>
      </w:r>
      <w:r>
        <w:rPr>
          <w:vertAlign w:val="baseline"/>
        </w:rPr>
        <w:t>under which he was </w:t>
      </w:r>
      <w:bookmarkStart w:name="_bookmark762" w:id="764"/>
      <w:bookmarkEnd w:id="764"/>
      <w:r>
        <w:rPr>
          <w:vertAlign w:val="baseline"/>
        </w:rPr>
        <w:t>legally</w:t>
      </w:r>
      <w:r>
        <w:rPr>
          <w:vertAlign w:val="baseline"/>
        </w:rPr>
        <w:t> bound to suffer the alleged detriment. It could perhaps be argued that he forbore from trying to persuade his fiancée to postpone the wedding or to put an end to the engagement </w:t>
      </w:r>
      <w:r>
        <w:rPr>
          <w:color w:val="005DA1"/>
          <w:u w:val="single" w:color="005DA1"/>
          <w:vertAlign w:val="superscript"/>
        </w:rPr>
        <w:t>408</w:t>
      </w:r>
      <w:r>
        <w:rPr>
          <w:vertAlign w:val="baseline"/>
        </w:rPr>
        <w:t>; but it is</w:t>
      </w:r>
      <w:r>
        <w:rPr>
          <w:spacing w:val="40"/>
          <w:vertAlign w:val="baseline"/>
        </w:rPr>
        <w:t> </w:t>
      </w:r>
      <w:bookmarkStart w:name="_bookmark763" w:id="765"/>
      <w:bookmarkEnd w:id="765"/>
      <w:r>
        <w:rPr>
          <w:vertAlign w:val="baseline"/>
        </w:rPr>
        <w:t>doubtful</w:t>
      </w:r>
      <w:r>
        <w:rPr>
          <w:vertAlign w:val="baseline"/>
        </w:rPr>
        <w:t> whether his forbearance to attempt to persuade her to do this can be regarded as consideration in the absence of any suggestion that he contemplated the possibility.</w:t>
      </w:r>
      <w:r>
        <w:rPr>
          <w:spacing w:val="-1"/>
          <w:vertAlign w:val="baseline"/>
        </w:rPr>
        <w:t> </w:t>
      </w:r>
      <w:r>
        <w:rPr>
          <w:color w:val="005DA1"/>
          <w:u w:val="single" w:color="005DA1"/>
          <w:vertAlign w:val="superscript"/>
        </w:rPr>
        <w:t>409</w:t>
      </w:r>
      <w:r>
        <w:rPr>
          <w:color w:val="005DA1"/>
          <w:vertAlign w:val="baseline"/>
        </w:rPr>
        <w:t> </w:t>
      </w:r>
      <w:r>
        <w:rPr>
          <w:vertAlign w:val="baseline"/>
        </w:rPr>
        <w:t>The argument that the uncle benefited fares little better, for the benefit described by the court was a purely sentimental one. It is, moreover, very doubtful whether, on the true construction of the uncle’s letter, </w:t>
      </w:r>
      <w:bookmarkStart w:name="_bookmark764" w:id="766"/>
      <w:bookmarkEnd w:id="766"/>
      <w:r>
        <w:rPr>
          <w:vertAlign w:val="baseline"/>
        </w:rPr>
        <w:t>the</w:t>
      </w:r>
      <w:r>
        <w:rPr>
          <w:vertAlign w:val="baseline"/>
        </w:rPr>
        <w:t> nephew’s marriage to Ellen Nicholl was intended to be the consideration for the uncle’s promise, </w:t>
      </w:r>
      <w:bookmarkStart w:name="_bookmark765" w:id="767"/>
      <w:bookmarkEnd w:id="767"/>
      <w:r>
        <w:rPr>
          <w:vertAlign w:val="baseline"/>
        </w:rPr>
        <w:t>or</w:t>
      </w:r>
      <w:r>
        <w:rPr>
          <w:vertAlign w:val="baseline"/>
        </w:rPr>
        <w:t> only a condition. </w:t>
      </w:r>
      <w:r>
        <w:rPr>
          <w:color w:val="005DA1"/>
          <w:u w:val="single" w:color="005DA1"/>
          <w:vertAlign w:val="superscript"/>
        </w:rPr>
        <w:t>410</w:t>
      </w:r>
      <w:r>
        <w:rPr>
          <w:color w:val="005DA1"/>
          <w:vertAlign w:val="baseline"/>
        </w:rPr>
        <w:t> </w:t>
      </w:r>
      <w:r>
        <w:rPr>
          <w:vertAlign w:val="baseline"/>
        </w:rPr>
        <w:t>Byles J., who dissented, treated it as a condition and also thought that the uncle’s promise was not made with any contractual intent. His view was subsequently approved, </w:t>
      </w:r>
      <w:r>
        <w:rPr>
          <w:color w:val="005DA1"/>
          <w:u w:val="single" w:color="005DA1"/>
          <w:vertAlign w:val="superscript"/>
        </w:rPr>
        <w:t>411</w:t>
      </w:r>
      <w:r>
        <w:rPr>
          <w:color w:val="005DA1"/>
          <w:spacing w:val="40"/>
          <w:vertAlign w:val="baseline"/>
        </w:rPr>
        <w:t> </w:t>
      </w:r>
      <w:r>
        <w:rPr>
          <w:vertAlign w:val="baseline"/>
        </w:rPr>
        <w:t>so that the correctness of the actual decision in </w:t>
      </w:r>
      <w:r>
        <w:rPr>
          <w:rFonts w:ascii="Arial" w:hAnsi="Arial"/>
          <w:i/>
          <w:vertAlign w:val="baseline"/>
        </w:rPr>
        <w:t>Shadwell v Shadwell </w:t>
      </w:r>
      <w:r>
        <w:rPr>
          <w:vertAlign w:val="baseline"/>
        </w:rPr>
        <w:t>is very much in doubt. But for what the decision is worth, it does support the view that the performance of a contractual duty owed</w:t>
      </w:r>
      <w:r>
        <w:rPr>
          <w:spacing w:val="80"/>
          <w:vertAlign w:val="baseline"/>
        </w:rPr>
        <w:t> </w:t>
      </w:r>
      <w:bookmarkStart w:name="_bookmark766" w:id="768"/>
      <w:bookmarkEnd w:id="768"/>
      <w:r>
        <w:rPr>
          <w:vertAlign w:val="baseline"/>
        </w:rPr>
        <w:t>to</w:t>
      </w:r>
      <w:r>
        <w:rPr>
          <w:vertAlign w:val="baseline"/>
        </w:rPr>
        <w:t> a third party can be good consideration for a promise. More recent authorities also support that view. </w:t>
      </w:r>
      <w:r>
        <w:rPr>
          <w:color w:val="005DA1"/>
          <w:u w:val="single" w:color="005DA1"/>
          <w:vertAlign w:val="superscript"/>
        </w:rPr>
        <w:t>412</w:t>
      </w:r>
    </w:p>
    <w:p>
      <w:pPr>
        <w:pStyle w:val="BodyText"/>
        <w:spacing w:before="71"/>
      </w:pPr>
    </w:p>
    <w:p>
      <w:pPr>
        <w:pStyle w:val="Heading2"/>
      </w:pPr>
      <w:r>
        <w:rPr/>
        <w:t>4-</w:t>
      </w:r>
      <w:r>
        <w:rPr>
          <w:spacing w:val="-5"/>
        </w:rPr>
        <w:t>075</w:t>
      </w:r>
    </w:p>
    <w:p>
      <w:pPr>
        <w:pStyle w:val="Heading2"/>
        <w:spacing w:after="0"/>
        <w:sectPr>
          <w:headerReference w:type="default" r:id="rId32"/>
          <w:headerReference w:type="even" r:id="rId33"/>
          <w:pgSz w:w="11900" w:h="16840"/>
          <w:pgMar w:header="971" w:footer="0" w:top="1160" w:bottom="280" w:left="1275" w:right="1275"/>
          <w:pgNumType w:start="1"/>
        </w:sectPr>
      </w:pPr>
    </w:p>
    <w:p>
      <w:pPr>
        <w:pStyle w:val="BodyText"/>
        <w:spacing w:before="124"/>
        <w:rPr>
          <w:rFonts w:ascii="Arial"/>
          <w:b/>
        </w:rPr>
      </w:pPr>
    </w:p>
    <w:p>
      <w:pPr>
        <w:pStyle w:val="BodyText"/>
        <w:spacing w:line="235" w:lineRule="auto" w:before="1"/>
        <w:ind w:left="164" w:right="167"/>
        <w:jc w:val="both"/>
      </w:pPr>
      <w:bookmarkStart w:name="_bookmark767" w:id="769"/>
      <w:bookmarkEnd w:id="769"/>
      <w:r>
        <w:rPr/>
      </w:r>
      <w:bookmarkStart w:name="_bookmark768" w:id="770"/>
      <w:bookmarkEnd w:id="770"/>
      <w:r>
        <w:rPr/>
      </w:r>
      <w:r>
        <w:rPr/>
        <w:t>In </w:t>
      </w:r>
      <w:r>
        <w:rPr>
          <w:rFonts w:ascii="Arial" w:hAnsi="Arial"/>
          <w:i/>
        </w:rPr>
        <w:t>The Eurymedon</w:t>
      </w:r>
      <w:r>
        <w:rPr/>
        <w:t>, </w:t>
      </w:r>
      <w:r>
        <w:rPr>
          <w:color w:val="005DA1"/>
          <w:u w:val="single" w:color="005DA1"/>
          <w:vertAlign w:val="superscript"/>
        </w:rPr>
        <w:t>413</w:t>
      </w:r>
      <w:r>
        <w:rPr>
          <w:color w:val="005DA1"/>
          <w:vertAlign w:val="baseline"/>
        </w:rPr>
        <w:t> </w:t>
      </w:r>
      <w:r>
        <w:rPr>
          <w:vertAlign w:val="baseline"/>
        </w:rPr>
        <w:t>A (a firm of stevedores) had unloaded goods from B’s ship. Some of </w:t>
      </w:r>
      <w:r>
        <w:rPr>
          <w:vertAlign w:val="baseline"/>
        </w:rPr>
        <w:t>these belonged to C who, for present purposes, </w:t>
      </w:r>
      <w:r>
        <w:rPr>
          <w:color w:val="005DA1"/>
          <w:u w:val="single" w:color="005DA1"/>
          <w:vertAlign w:val="superscript"/>
        </w:rPr>
        <w:t>414</w:t>
      </w:r>
      <w:r>
        <w:rPr>
          <w:color w:val="005DA1"/>
          <w:vertAlign w:val="baseline"/>
        </w:rPr>
        <w:t> </w:t>
      </w:r>
      <w:r>
        <w:rPr>
          <w:vertAlign w:val="baseline"/>
        </w:rPr>
        <w:t>may be taken to have promised A not to sue him for </w:t>
      </w:r>
      <w:bookmarkStart w:name="_bookmark769" w:id="771"/>
      <w:bookmarkEnd w:id="771"/>
      <w:r>
        <w:rPr>
          <w:vertAlign w:val="baseline"/>
        </w:rPr>
        <w:t>damaging</w:t>
      </w:r>
      <w:r>
        <w:rPr>
          <w:vertAlign w:val="baseline"/>
        </w:rPr>
        <w:t> the goods. It was held that A had provided consideration for this promise by unloading the </w:t>
      </w:r>
      <w:bookmarkStart w:name="_bookmark770" w:id="772"/>
      <w:bookmarkEnd w:id="772"/>
      <w:r>
        <w:rPr>
          <w:vertAlign w:val="baseline"/>
        </w:rPr>
        <w:t>goods</w:t>
      </w:r>
      <w:r>
        <w:rPr>
          <w:spacing w:val="-2"/>
          <w:vertAlign w:val="baseline"/>
        </w:rPr>
        <w:t> </w:t>
      </w:r>
      <w:r>
        <w:rPr>
          <w:color w:val="005DA1"/>
          <w:u w:val="single" w:color="005DA1"/>
          <w:vertAlign w:val="superscript"/>
        </w:rPr>
        <w:t>415</w:t>
      </w:r>
      <w:r>
        <w:rPr>
          <w:color w:val="005DA1"/>
          <w:spacing w:val="-2"/>
          <w:vertAlign w:val="baseline"/>
        </w:rPr>
        <w:t> </w:t>
      </w:r>
      <w:r>
        <w:rPr>
          <w:vertAlign w:val="baseline"/>
        </w:rPr>
        <w:t>even</w:t>
      </w:r>
      <w:r>
        <w:rPr>
          <w:spacing w:val="-2"/>
          <w:vertAlign w:val="baseline"/>
        </w:rPr>
        <w:t> </w:t>
      </w:r>
      <w:r>
        <w:rPr>
          <w:vertAlign w:val="baseline"/>
        </w:rPr>
        <w:t>if</w:t>
      </w:r>
      <w:r>
        <w:rPr>
          <w:spacing w:val="-2"/>
          <w:vertAlign w:val="baseline"/>
        </w:rPr>
        <w:t> </w:t>
      </w:r>
      <w:r>
        <w:rPr>
          <w:vertAlign w:val="baseline"/>
        </w:rPr>
        <w:t>he</w:t>
      </w:r>
      <w:r>
        <w:rPr>
          <w:spacing w:val="-2"/>
          <w:vertAlign w:val="baseline"/>
        </w:rPr>
        <w:t> </w:t>
      </w:r>
      <w:r>
        <w:rPr>
          <w:vertAlign w:val="baseline"/>
        </w:rPr>
        <w:t>was</w:t>
      </w:r>
      <w:r>
        <w:rPr>
          <w:spacing w:val="-2"/>
          <w:vertAlign w:val="baseline"/>
        </w:rPr>
        <w:t> </w:t>
      </w:r>
      <w:r>
        <w:rPr>
          <w:vertAlign w:val="baseline"/>
        </w:rPr>
        <w:t>already</w:t>
      </w:r>
      <w:r>
        <w:rPr>
          <w:spacing w:val="-2"/>
          <w:vertAlign w:val="baseline"/>
        </w:rPr>
        <w:t> </w:t>
      </w:r>
      <w:r>
        <w:rPr>
          <w:vertAlign w:val="baseline"/>
        </w:rPr>
        <w:t>bound</w:t>
      </w:r>
      <w:r>
        <w:rPr>
          <w:spacing w:val="-2"/>
          <w:vertAlign w:val="baseline"/>
        </w:rPr>
        <w:t> </w:t>
      </w:r>
      <w:r>
        <w:rPr>
          <w:vertAlign w:val="baseline"/>
        </w:rPr>
        <w:t>by</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with</w:t>
      </w:r>
      <w:r>
        <w:rPr>
          <w:spacing w:val="-2"/>
          <w:vertAlign w:val="baseline"/>
        </w:rPr>
        <w:t> </w:t>
      </w:r>
      <w:r>
        <w:rPr>
          <w:vertAlign w:val="baseline"/>
        </w:rPr>
        <w:t>B</w:t>
      </w:r>
      <w:r>
        <w:rPr>
          <w:spacing w:val="-2"/>
          <w:vertAlign w:val="baseline"/>
        </w:rPr>
        <w:t> </w:t>
      </w:r>
      <w:r>
        <w:rPr>
          <w:vertAlign w:val="baseline"/>
        </w:rPr>
        <w:t>to</w:t>
      </w:r>
      <w:r>
        <w:rPr>
          <w:spacing w:val="-2"/>
          <w:vertAlign w:val="baseline"/>
        </w:rPr>
        <w:t> </w:t>
      </w:r>
      <w:r>
        <w:rPr>
          <w:vertAlign w:val="baseline"/>
        </w:rPr>
        <w:t>unload</w:t>
      </w:r>
      <w:r>
        <w:rPr>
          <w:spacing w:val="-2"/>
          <w:vertAlign w:val="baseline"/>
        </w:rPr>
        <w:t> </w:t>
      </w:r>
      <w:r>
        <w:rPr>
          <w:vertAlign w:val="baseline"/>
        </w:rPr>
        <w:t>them.</w:t>
      </w:r>
      <w:r>
        <w:rPr>
          <w:spacing w:val="-2"/>
          <w:vertAlign w:val="baseline"/>
        </w:rPr>
        <w:t> </w:t>
      </w:r>
      <w:r>
        <w:rPr>
          <w:vertAlign w:val="baseline"/>
        </w:rPr>
        <w:t>This</w:t>
      </w:r>
      <w:r>
        <w:rPr>
          <w:spacing w:val="-2"/>
          <w:vertAlign w:val="baseline"/>
        </w:rPr>
        <w:t> </w:t>
      </w:r>
      <w:r>
        <w:rPr>
          <w:vertAlign w:val="baseline"/>
        </w:rPr>
        <w:t>conclusion</w:t>
      </w:r>
      <w:r>
        <w:rPr>
          <w:spacing w:val="-2"/>
          <w:vertAlign w:val="baseline"/>
        </w:rPr>
        <w:t> </w:t>
      </w:r>
      <w:r>
        <w:rPr>
          <w:vertAlign w:val="baseline"/>
        </w:rPr>
        <w:t>seems</w:t>
      </w:r>
      <w:r>
        <w:rPr>
          <w:spacing w:val="-2"/>
          <w:vertAlign w:val="baseline"/>
        </w:rPr>
        <w:t> </w:t>
      </w:r>
      <w:r>
        <w:rPr>
          <w:vertAlign w:val="baseline"/>
        </w:rPr>
        <w:t>to </w:t>
      </w:r>
      <w:bookmarkStart w:name="_bookmark771" w:id="773"/>
      <w:bookmarkEnd w:id="773"/>
      <w:r>
        <w:rPr>
          <w:vertAlign w:val="baseline"/>
        </w:rPr>
        <w:t>be</w:t>
      </w:r>
      <w:r>
        <w:rPr>
          <w:vertAlign w:val="baseline"/>
        </w:rPr>
        <w:t> based on the fact that such performance conferred a benefit on C </w:t>
      </w:r>
      <w:r>
        <w:rPr>
          <w:color w:val="005DA1"/>
          <w:u w:val="single" w:color="005DA1"/>
          <w:vertAlign w:val="superscript"/>
        </w:rPr>
        <w:t>416</w:t>
      </w:r>
      <w:r>
        <w:rPr>
          <w:vertAlign w:val="baseline"/>
        </w:rPr>
        <w:t>; and the benefit may be regarded either as factual (in the sense that C secured the actual delivery of his goods) or as legal </w:t>
      </w:r>
      <w:r>
        <w:rPr>
          <w:color w:val="005DA1"/>
          <w:u w:val="single" w:color="005DA1"/>
          <w:vertAlign w:val="superscript"/>
        </w:rPr>
        <w:t>417</w:t>
      </w:r>
      <w:r>
        <w:rPr>
          <w:color w:val="005DA1"/>
          <w:vertAlign w:val="baseline"/>
        </w:rPr>
        <w:t> </w:t>
      </w:r>
      <w:r>
        <w:rPr>
          <w:vertAlign w:val="baseline"/>
        </w:rPr>
        <w:t>(in the sense that C was not legally entitled to the performance of A’s duty to unload, this duty being </w:t>
      </w:r>
      <w:bookmarkStart w:name="_bookmark772" w:id="774"/>
      <w:bookmarkEnd w:id="774"/>
      <w:r>
        <w:rPr>
          <w:vertAlign w:val="baseline"/>
        </w:rPr>
        <w:t>owed</w:t>
      </w:r>
      <w:r>
        <w:rPr>
          <w:vertAlign w:val="baseline"/>
        </w:rPr>
        <w:t> only to B). It would, of course, be open to C to avoid liability if he could show that his promise </w:t>
      </w:r>
      <w:bookmarkStart w:name="_bookmark773" w:id="775"/>
      <w:bookmarkEnd w:id="775"/>
      <w:r>
        <w:rPr>
          <w:vertAlign w:val="baseline"/>
        </w:rPr>
        <w:t>had</w:t>
      </w:r>
      <w:r>
        <w:rPr>
          <w:spacing w:val="40"/>
          <w:vertAlign w:val="baseline"/>
        </w:rPr>
        <w:t> </w:t>
      </w:r>
      <w:r>
        <w:rPr>
          <w:vertAlign w:val="baseline"/>
        </w:rPr>
        <w:t>been</w:t>
      </w:r>
      <w:r>
        <w:rPr>
          <w:spacing w:val="40"/>
          <w:vertAlign w:val="baseline"/>
        </w:rPr>
        <w:t> </w:t>
      </w:r>
      <w:r>
        <w:rPr>
          <w:vertAlign w:val="baseline"/>
        </w:rPr>
        <w:t>obtained</w:t>
      </w:r>
      <w:r>
        <w:rPr>
          <w:spacing w:val="40"/>
          <w:vertAlign w:val="baseline"/>
        </w:rPr>
        <w:t> </w:t>
      </w:r>
      <w:r>
        <w:rPr>
          <w:vertAlign w:val="baseline"/>
        </w:rPr>
        <w:t>by</w:t>
      </w:r>
      <w:r>
        <w:rPr>
          <w:spacing w:val="40"/>
          <w:vertAlign w:val="baseline"/>
        </w:rPr>
        <w:t> </w:t>
      </w:r>
      <w:r>
        <w:rPr>
          <w:vertAlign w:val="baseline"/>
        </w:rPr>
        <w:t>duress.</w:t>
      </w:r>
      <w:r>
        <w:rPr>
          <w:spacing w:val="40"/>
          <w:vertAlign w:val="baseline"/>
        </w:rPr>
        <w:t> </w:t>
      </w:r>
      <w:r>
        <w:rPr>
          <w:color w:val="005DA1"/>
          <w:u w:val="single" w:color="005DA1"/>
          <w:vertAlign w:val="superscript"/>
        </w:rPr>
        <w:t>418</w:t>
      </w:r>
      <w:r>
        <w:rPr>
          <w:color w:val="005DA1"/>
          <w:spacing w:val="40"/>
          <w:vertAlign w:val="baseline"/>
        </w:rPr>
        <w:t> </w:t>
      </w:r>
      <w:r>
        <w:rPr>
          <w:vertAlign w:val="baseline"/>
        </w:rPr>
        <w:t>It</w:t>
      </w:r>
      <w:r>
        <w:rPr>
          <w:spacing w:val="40"/>
          <w:vertAlign w:val="baseline"/>
        </w:rPr>
        <w:t> </w:t>
      </w:r>
      <w:r>
        <w:rPr>
          <w:vertAlign w:val="baseline"/>
        </w:rPr>
        <w:t>is</w:t>
      </w:r>
      <w:r>
        <w:rPr>
          <w:spacing w:val="40"/>
          <w:vertAlign w:val="baseline"/>
        </w:rPr>
        <w:t> </w:t>
      </w:r>
      <w:r>
        <w:rPr>
          <w:vertAlign w:val="baseline"/>
        </w:rPr>
        <w:t>arguable</w:t>
      </w:r>
      <w:r>
        <w:rPr>
          <w:spacing w:val="40"/>
          <w:vertAlign w:val="baseline"/>
        </w:rPr>
        <w:t> </w:t>
      </w:r>
      <w:r>
        <w:rPr>
          <w:vertAlign w:val="baseline"/>
        </w:rPr>
        <w:t>that</w:t>
      </w:r>
      <w:r>
        <w:rPr>
          <w:spacing w:val="40"/>
          <w:vertAlign w:val="baseline"/>
        </w:rPr>
        <w:t> </w:t>
      </w:r>
      <w:r>
        <w:rPr>
          <w:vertAlign w:val="baseline"/>
        </w:rPr>
        <w:t>this</w:t>
      </w:r>
      <w:r>
        <w:rPr>
          <w:spacing w:val="40"/>
          <w:vertAlign w:val="baseline"/>
        </w:rPr>
        <w:t> </w:t>
      </w:r>
      <w:r>
        <w:rPr>
          <w:vertAlign w:val="baseline"/>
        </w:rPr>
        <w:t>defence</w:t>
      </w:r>
      <w:r>
        <w:rPr>
          <w:spacing w:val="40"/>
          <w:vertAlign w:val="baseline"/>
        </w:rPr>
        <w:t> </w:t>
      </w:r>
      <w:r>
        <w:rPr>
          <w:vertAlign w:val="baseline"/>
        </w:rPr>
        <w:t>is</w:t>
      </w:r>
      <w:r>
        <w:rPr>
          <w:spacing w:val="40"/>
          <w:vertAlign w:val="baseline"/>
        </w:rPr>
        <w:t> </w:t>
      </w:r>
      <w:r>
        <w:rPr>
          <w:vertAlign w:val="baseline"/>
        </w:rPr>
        <w:t>less</w:t>
      </w:r>
      <w:r>
        <w:rPr>
          <w:spacing w:val="40"/>
          <w:vertAlign w:val="baseline"/>
        </w:rPr>
        <w:t> </w:t>
      </w:r>
      <w:r>
        <w:rPr>
          <w:vertAlign w:val="baseline"/>
        </w:rPr>
        <w:t>likely</w:t>
      </w:r>
      <w:r>
        <w:rPr>
          <w:spacing w:val="40"/>
          <w:vertAlign w:val="baseline"/>
        </w:rPr>
        <w:t> </w:t>
      </w:r>
      <w:r>
        <w:rPr>
          <w:vertAlign w:val="baseline"/>
        </w:rPr>
        <w:t>to</w:t>
      </w:r>
      <w:r>
        <w:rPr>
          <w:spacing w:val="40"/>
          <w:vertAlign w:val="baseline"/>
        </w:rPr>
        <w:t> </w:t>
      </w:r>
      <w:r>
        <w:rPr>
          <w:vertAlign w:val="baseline"/>
        </w:rPr>
        <w:t>succeed</w:t>
      </w:r>
      <w:r>
        <w:rPr>
          <w:spacing w:val="40"/>
          <w:vertAlign w:val="baseline"/>
        </w:rPr>
        <w:t> </w:t>
      </w:r>
      <w:r>
        <w:rPr>
          <w:vertAlign w:val="baseline"/>
        </w:rPr>
        <w:t>in</w:t>
      </w:r>
      <w:r>
        <w:rPr>
          <w:spacing w:val="40"/>
          <w:vertAlign w:val="baseline"/>
        </w:rPr>
        <w:t> </w:t>
      </w:r>
      <w:r>
        <w:rPr>
          <w:vertAlign w:val="baseline"/>
        </w:rPr>
        <w:t>a </w:t>
      </w:r>
      <w:bookmarkStart w:name="_bookmark774" w:id="776"/>
      <w:bookmarkEnd w:id="776"/>
      <w:r>
        <w:rPr>
          <w:vertAlign w:val="baseline"/>
        </w:rPr>
        <w:t>three</w:t>
      </w:r>
      <w:r>
        <w:rPr>
          <w:vertAlign w:val="baseline"/>
        </w:rPr>
        <w:t>-party than in a two-party case </w:t>
      </w:r>
      <w:r>
        <w:rPr>
          <w:color w:val="005DA1"/>
          <w:u w:val="single" w:color="005DA1"/>
          <w:vertAlign w:val="superscript"/>
        </w:rPr>
        <w:t>419</w:t>
      </w:r>
      <w:r>
        <w:rPr>
          <w:vertAlign w:val="baseline"/>
        </w:rPr>
        <w:t>; but this is not invariably the case. Sailors in a case like </w:t>
      </w:r>
      <w:r>
        <w:rPr>
          <w:rFonts w:ascii="Arial" w:hAnsi="Arial"/>
          <w:i/>
          <w:vertAlign w:val="baseline"/>
        </w:rPr>
        <w:t>Stilk v </w:t>
      </w:r>
      <w:bookmarkStart w:name="_bookmark775" w:id="777"/>
      <w:bookmarkEnd w:id="777"/>
      <w:r>
        <w:rPr>
          <w:rFonts w:ascii="Arial" w:hAnsi="Arial"/>
          <w:i/>
          <w:vertAlign w:val="baseline"/>
        </w:rPr>
        <w:t>Myrick</w:t>
      </w:r>
      <w:r>
        <w:rPr>
          <w:rFonts w:ascii="Arial" w:hAnsi="Arial"/>
          <w:i/>
          <w:vertAlign w:val="baseline"/>
        </w:rPr>
        <w:t> </w:t>
      </w:r>
      <w:r>
        <w:rPr>
          <w:color w:val="005DA1"/>
          <w:u w:val="single" w:color="005DA1"/>
          <w:vertAlign w:val="superscript"/>
        </w:rPr>
        <w:t>420</w:t>
      </w:r>
      <w:r>
        <w:rPr>
          <w:color w:val="005DA1"/>
          <w:vertAlign w:val="baseline"/>
        </w:rPr>
        <w:t> </w:t>
      </w:r>
      <w:r>
        <w:rPr>
          <w:vertAlign w:val="baseline"/>
        </w:rPr>
        <w:t>could exert economic duress on the captain whether their original contract was with him or with a third party. </w:t>
      </w:r>
      <w:r>
        <w:rPr>
          <w:color w:val="005DA1"/>
          <w:u w:val="single" w:color="005DA1"/>
          <w:vertAlign w:val="superscript"/>
        </w:rPr>
        <w:t>421</w:t>
      </w:r>
      <w:r>
        <w:rPr>
          <w:color w:val="005DA1"/>
          <w:vertAlign w:val="baseline"/>
        </w:rPr>
        <w:t> </w:t>
      </w:r>
      <w:r>
        <w:rPr>
          <w:vertAlign w:val="baseline"/>
        </w:rPr>
        <w:t>In both types of cases, it is now recognised that performance of a prior </w:t>
      </w:r>
      <w:bookmarkStart w:name="_bookmark776" w:id="778"/>
      <w:bookmarkEnd w:id="778"/>
      <w:r>
        <w:rPr>
          <w:vertAlign w:val="baseline"/>
        </w:rPr>
        <w:t>contractual</w:t>
      </w:r>
      <w:r>
        <w:rPr>
          <w:vertAlign w:val="baseline"/>
        </w:rPr>
        <w:t> duty can constitute consideration for a subsequent promise if that performance amounts</w:t>
      </w:r>
      <w:r>
        <w:rPr>
          <w:spacing w:val="40"/>
          <w:vertAlign w:val="baseline"/>
        </w:rPr>
        <w:t> </w:t>
      </w:r>
      <w:r>
        <w:rPr>
          <w:vertAlign w:val="baseline"/>
        </w:rPr>
        <w:t>to a benefit to the promisor. </w:t>
      </w:r>
      <w:r>
        <w:rPr>
          <w:color w:val="005DA1"/>
          <w:u w:val="single" w:color="005DA1"/>
          <w:vertAlign w:val="superscript"/>
        </w:rPr>
        <w:t>422</w:t>
      </w:r>
      <w:r>
        <w:rPr>
          <w:color w:val="005DA1"/>
          <w:vertAlign w:val="baseline"/>
        </w:rPr>
        <w:t> </w:t>
      </w:r>
      <w:r>
        <w:rPr>
          <w:vertAlign w:val="baseline"/>
        </w:rPr>
        <w:t>The promise is therefore binding in the absence of a legally</w:t>
      </w:r>
      <w:r>
        <w:rPr>
          <w:spacing w:val="40"/>
          <w:vertAlign w:val="baseline"/>
        </w:rPr>
        <w:t> </w:t>
      </w:r>
      <w:r>
        <w:rPr>
          <w:vertAlign w:val="baseline"/>
        </w:rPr>
        <w:t>recognised vitiating factor, such as duress.</w:t>
      </w:r>
    </w:p>
    <w:p>
      <w:pPr>
        <w:pStyle w:val="BodyText"/>
      </w:pPr>
    </w:p>
    <w:p>
      <w:pPr>
        <w:pStyle w:val="BodyText"/>
        <w:spacing w:before="32"/>
      </w:pPr>
    </w:p>
    <w:p>
      <w:pPr>
        <w:spacing w:before="1"/>
        <w:ind w:left="165" w:right="0" w:firstLine="0"/>
        <w:jc w:val="both"/>
        <w:rPr>
          <w:rFonts w:ascii="Arial"/>
          <w:b/>
          <w:sz w:val="18"/>
        </w:rPr>
      </w:pPr>
      <w:r>
        <w:rPr>
          <w:rFonts w:ascii="Arial"/>
          <w:b/>
          <w:sz w:val="18"/>
        </w:rPr>
        <w:t>Promise of </w:t>
      </w:r>
      <w:r>
        <w:rPr>
          <w:rFonts w:ascii="Arial"/>
          <w:b/>
          <w:spacing w:val="-2"/>
          <w:sz w:val="18"/>
        </w:rPr>
        <w:t>performance</w:t>
      </w:r>
    </w:p>
    <w:p>
      <w:pPr>
        <w:pStyle w:val="BodyText"/>
        <w:spacing w:before="41"/>
        <w:rPr>
          <w:rFonts w:ascii="Arial"/>
          <w:b/>
          <w:sz w:val="18"/>
        </w:rPr>
      </w:pPr>
    </w:p>
    <w:p>
      <w:pPr>
        <w:pStyle w:val="Heading2"/>
      </w:pPr>
      <w:r>
        <w:rPr/>
        <w:t>4-</w:t>
      </w:r>
      <w:r>
        <w:rPr>
          <w:spacing w:val="-5"/>
        </w:rPr>
        <w:t>076</w:t>
      </w:r>
    </w:p>
    <w:p>
      <w:pPr>
        <w:pStyle w:val="BodyText"/>
        <w:spacing w:line="235" w:lineRule="auto" w:before="203"/>
        <w:ind w:left="165" w:right="167"/>
        <w:jc w:val="both"/>
      </w:pPr>
      <w:r>
        <w:rPr/>
        <w:t>There was formerly some support for the view that a promise to perform a contractual duty owed to </w:t>
      </w:r>
      <w:r>
        <w:rPr/>
        <w:t>a </w:t>
      </w:r>
      <w:bookmarkStart w:name="_bookmark777" w:id="779"/>
      <w:bookmarkEnd w:id="779"/>
      <w:r>
        <w:rPr/>
        <w:t>third</w:t>
      </w:r>
      <w:r>
        <w:rPr/>
        <w:t> party (as opposed to the actual performance of the duty) could not constitute consideration for a counter-promise. Thus in </w:t>
      </w:r>
      <w:r>
        <w:rPr>
          <w:rFonts w:ascii="Arial" w:hAnsi="Arial"/>
          <w:i/>
        </w:rPr>
        <w:t>Jones v Waite </w:t>
      </w:r>
      <w:r>
        <w:rPr>
          <w:color w:val="005DA1"/>
          <w:u w:val="single" w:color="005DA1"/>
          <w:vertAlign w:val="superscript"/>
        </w:rPr>
        <w:t>423</w:t>
      </w:r>
      <w:r>
        <w:rPr>
          <w:color w:val="005DA1"/>
          <w:vertAlign w:val="baseline"/>
        </w:rPr>
        <w:t> </w:t>
      </w:r>
      <w:r>
        <w:rPr>
          <w:vertAlign w:val="baseline"/>
        </w:rPr>
        <w:t>it was said that a promise by A to C that A would pay a debt which A owed to B was no consideration for a promise made by C to A. This view seems to be based on the idea that A suffers no (legal) detriment by promising to pay a debt that he was already bound to pay; nor did it appear that C gained any benefit as a result of the promise. But C may gain </w:t>
      </w:r>
      <w:bookmarkStart w:name="_bookmark778" w:id="780"/>
      <w:bookmarkEnd w:id="780"/>
      <w:r>
        <w:rPr>
          <w:vertAlign w:val="baseline"/>
        </w:rPr>
        <w:t>such</w:t>
      </w:r>
      <w:r>
        <w:rPr>
          <w:vertAlign w:val="baseline"/>
        </w:rPr>
        <w:t> a benefit: for example, where B is a company in which C has an interest. This was the position</w:t>
      </w:r>
      <w:r>
        <w:rPr>
          <w:spacing w:val="80"/>
          <w:vertAlign w:val="baseline"/>
        </w:rPr>
        <w:t> </w:t>
      </w:r>
      <w:r>
        <w:rPr>
          <w:vertAlign w:val="baseline"/>
        </w:rPr>
        <w:t>in </w:t>
      </w:r>
      <w:r>
        <w:rPr>
          <w:rFonts w:ascii="Arial" w:hAnsi="Arial"/>
          <w:i/>
          <w:vertAlign w:val="baseline"/>
        </w:rPr>
        <w:t>Pao On v Lau Yiu Long </w:t>
      </w:r>
      <w:r>
        <w:rPr>
          <w:color w:val="005DA1"/>
          <w:u w:val="single" w:color="005DA1"/>
          <w:vertAlign w:val="superscript"/>
        </w:rPr>
        <w:t>424</w:t>
      </w:r>
      <w:r>
        <w:rPr>
          <w:color w:val="005DA1"/>
          <w:vertAlign w:val="baseline"/>
        </w:rPr>
        <w:t> </w:t>
      </w:r>
      <w:r>
        <w:rPr>
          <w:vertAlign w:val="baseline"/>
        </w:rPr>
        <w:t>where the claimants, having entered into a contract with a company, refused to perform it unless the defendants, who were shareholders in the company, guaranteed</w:t>
      </w:r>
      <w:r>
        <w:rPr>
          <w:spacing w:val="80"/>
          <w:vertAlign w:val="baseline"/>
        </w:rPr>
        <w:t> </w:t>
      </w:r>
      <w:r>
        <w:rPr>
          <w:vertAlign w:val="baseline"/>
        </w:rPr>
        <w:t>them against loss which might be incurred as a result of the performance of one of the terms of that </w:t>
      </w:r>
      <w:bookmarkStart w:name="_bookmark779" w:id="781"/>
      <w:bookmarkEnd w:id="781"/>
      <w:r>
        <w:rPr>
          <w:vertAlign w:val="baseline"/>
        </w:rPr>
        <w:t>contract.</w:t>
      </w:r>
      <w:r>
        <w:rPr>
          <w:spacing w:val="40"/>
          <w:vertAlign w:val="baseline"/>
        </w:rPr>
        <w:t> </w:t>
      </w:r>
      <w:r>
        <w:rPr>
          <w:vertAlign w:val="baseline"/>
        </w:rPr>
        <w:t>The</w:t>
      </w:r>
      <w:r>
        <w:rPr>
          <w:spacing w:val="40"/>
          <w:vertAlign w:val="baseline"/>
        </w:rPr>
        <w:t> </w:t>
      </w:r>
      <w:r>
        <w:rPr>
          <w:vertAlign w:val="baseline"/>
        </w:rPr>
        <w:t>guarantee</w:t>
      </w:r>
      <w:r>
        <w:rPr>
          <w:spacing w:val="40"/>
          <w:vertAlign w:val="baseline"/>
        </w:rPr>
        <w:t> </w:t>
      </w:r>
      <w:r>
        <w:rPr>
          <w:vertAlign w:val="baseline"/>
        </w:rPr>
        <w:t>was</w:t>
      </w:r>
      <w:r>
        <w:rPr>
          <w:spacing w:val="40"/>
          <w:vertAlign w:val="baseline"/>
        </w:rPr>
        <w:t> </w:t>
      </w:r>
      <w:r>
        <w:rPr>
          <w:vertAlign w:val="baseline"/>
        </w:rPr>
        <w:t>given</w:t>
      </w:r>
      <w:r>
        <w:rPr>
          <w:spacing w:val="40"/>
          <w:vertAlign w:val="baseline"/>
        </w:rPr>
        <w:t> </w:t>
      </w:r>
      <w:r>
        <w:rPr>
          <w:vertAlign w:val="baseline"/>
        </w:rPr>
        <w:t>in</w:t>
      </w:r>
      <w:r>
        <w:rPr>
          <w:spacing w:val="40"/>
          <w:vertAlign w:val="baseline"/>
        </w:rPr>
        <w:t> </w:t>
      </w:r>
      <w:r>
        <w:rPr>
          <w:vertAlign w:val="baseline"/>
        </w:rPr>
        <w:t>consideration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claimants’</w:t>
      </w:r>
      <w:r>
        <w:rPr>
          <w:spacing w:val="40"/>
          <w:vertAlign w:val="baseline"/>
        </w:rPr>
        <w:t> </w:t>
      </w:r>
      <w:r>
        <w:rPr>
          <w:vertAlign w:val="baseline"/>
        </w:rPr>
        <w:t>promise</w:t>
      </w:r>
      <w:r>
        <w:rPr>
          <w:spacing w:val="40"/>
          <w:vertAlign w:val="baseline"/>
        </w:rPr>
        <w:t> </w:t>
      </w:r>
      <w:r>
        <w:rPr>
          <w:vertAlign w:val="baseline"/>
        </w:rPr>
        <w:t>to</w:t>
      </w:r>
      <w:r>
        <w:rPr>
          <w:spacing w:val="40"/>
          <w:vertAlign w:val="baseline"/>
        </w:rPr>
        <w:t> </w:t>
      </w:r>
      <w:r>
        <w:rPr>
          <w:vertAlign w:val="baseline"/>
        </w:rPr>
        <w:t>perform</w:t>
      </w:r>
      <w:r>
        <w:rPr>
          <w:spacing w:val="40"/>
          <w:vertAlign w:val="baseline"/>
        </w:rPr>
        <w:t> </w:t>
      </w:r>
      <w:r>
        <w:rPr>
          <w:vertAlign w:val="baseline"/>
        </w:rPr>
        <w:t>their pre-existing contractual obligations to the company; and was held binding </w:t>
      </w:r>
      <w:r>
        <w:rPr>
          <w:color w:val="005DA1"/>
          <w:u w:val="single" w:color="005DA1"/>
          <w:vertAlign w:val="superscript"/>
        </w:rPr>
        <w:t>425</w:t>
      </w:r>
      <w:r>
        <w:rPr>
          <w:color w:val="005DA1"/>
          <w:vertAlign w:val="baseline"/>
        </w:rPr>
        <w:t> </w:t>
      </w:r>
      <w:r>
        <w:rPr>
          <w:vertAlign w:val="baseline"/>
        </w:rPr>
        <w:t>on the ground that “A </w:t>
      </w:r>
      <w:bookmarkStart w:name="_bookmark780" w:id="782"/>
      <w:bookmarkEnd w:id="782"/>
      <w:r>
        <w:rPr>
          <w:vertAlign w:val="baseline"/>
        </w:rPr>
        <w:t>promise</w:t>
      </w:r>
      <w:r>
        <w:rPr>
          <w:vertAlign w:val="baseline"/>
        </w:rPr>
        <w:t> to perform, or the performance of, a pre-existing contractual obligation to a third party can be valid consideration.” </w:t>
      </w:r>
      <w:r>
        <w:rPr>
          <w:color w:val="005DA1"/>
          <w:u w:val="single" w:color="005DA1"/>
          <w:vertAlign w:val="superscript"/>
        </w:rPr>
        <w:t>426</w:t>
      </w:r>
      <w:r>
        <w:rPr>
          <w:color w:val="005DA1"/>
          <w:vertAlign w:val="baseline"/>
        </w:rPr>
        <w:t> </w:t>
      </w:r>
      <w:r>
        <w:rPr>
          <w:vertAlign w:val="baseline"/>
        </w:rPr>
        <w:t>This view seems, with respect, to be preferable to that expressed in </w:t>
      </w:r>
      <w:r>
        <w:rPr>
          <w:rFonts w:ascii="Arial" w:hAnsi="Arial"/>
          <w:i/>
          <w:vertAlign w:val="baseline"/>
        </w:rPr>
        <w:t>Jones v Waite</w:t>
      </w:r>
      <w:r>
        <w:rPr>
          <w:vertAlign w:val="baseline"/>
        </w:rPr>
        <w:t>; for, where a shareholder makes a promise to induce a person to perform a contract with the company, the promise is certainly not gratuitous in a commercial sense. It will, of course, be open to </w:t>
      </w:r>
      <w:bookmarkStart w:name="_bookmark781" w:id="783"/>
      <w:bookmarkEnd w:id="783"/>
      <w:r>
        <w:rPr>
          <w:vertAlign w:val="baseline"/>
        </w:rPr>
        <w:t>the</w:t>
      </w:r>
      <w:r>
        <w:rPr>
          <w:vertAlign w:val="baseline"/>
        </w:rPr>
        <w:t> promisor to avoid liability if he can show that the promisee’s refusal to perform the contract with the company amounted to duress </w:t>
      </w:r>
      <w:r>
        <w:rPr>
          <w:color w:val="005DA1"/>
          <w:u w:val="single" w:color="005DA1"/>
          <w:vertAlign w:val="superscript"/>
        </w:rPr>
        <w:t>427</w:t>
      </w:r>
      <w:r>
        <w:rPr>
          <w:color w:val="005DA1"/>
          <w:vertAlign w:val="baseline"/>
        </w:rPr>
        <w:t> </w:t>
      </w:r>
      <w:r>
        <w:rPr>
          <w:vertAlign w:val="baseline"/>
        </w:rPr>
        <w:t>not merely with regard to the company, but also with regard to the promisor himself.</w:t>
      </w:r>
    </w:p>
    <w:p>
      <w:pPr>
        <w:pStyle w:val="BodyText"/>
      </w:pPr>
    </w:p>
    <w:p>
      <w:pPr>
        <w:pStyle w:val="BodyText"/>
        <w:spacing w:before="32"/>
      </w:pPr>
      <w:r>
        <w:rPr/>
        <mc:AlternateContent>
          <mc:Choice Requires="wps">
            <w:drawing>
              <wp:anchor distT="0" distB="0" distL="0" distR="0" allowOverlap="1" layoutInCell="1" locked="0" behindDoc="1" simplePos="0" relativeHeight="487621632">
                <wp:simplePos x="0" y="0"/>
                <wp:positionH relativeFrom="page">
                  <wp:posOffset>914400</wp:posOffset>
                </wp:positionH>
                <wp:positionV relativeFrom="paragraph">
                  <wp:posOffset>181928</wp:posOffset>
                </wp:positionV>
                <wp:extent cx="5724525" cy="1270"/>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25063pt;width:450.75pt;height:.1pt;mso-position-horizontal-relative:page;mso-position-vertical-relative:paragraph;z-index:-15694848;mso-wrap-distance-left:0;mso-wrap-distance-right:0" id="docshape43" coordorigin="1440,287" coordsize="9015,0" path="m1440,287l10454,287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188800">
                <wp:simplePos x="0" y="0"/>
                <wp:positionH relativeFrom="page">
                  <wp:posOffset>914400</wp:posOffset>
                </wp:positionH>
                <wp:positionV relativeFrom="paragraph">
                  <wp:posOffset>97116</wp:posOffset>
                </wp:positionV>
                <wp:extent cx="4953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27680"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before="5"/>
      </w:pPr>
    </w:p>
    <w:p>
      <w:pPr>
        <w:pStyle w:val="BodyText"/>
        <w:tabs>
          <w:tab w:pos="705" w:val="left" w:leader="none"/>
        </w:tabs>
        <w:spacing w:line="227" w:lineRule="exact"/>
        <w:ind w:left="165"/>
      </w:pPr>
      <w:bookmarkStart w:name="_bookmark782" w:id="784"/>
      <w:bookmarkEnd w:id="784"/>
      <w:r>
        <w:rPr/>
      </w:r>
      <w:hyperlink w:history="true" w:anchor="_bookmark754">
        <w:r>
          <w:rPr>
            <w:color w:val="005DA1"/>
            <w:spacing w:val="-4"/>
            <w:position w:val="5"/>
            <w:sz w:val="14"/>
            <w:u w:val="single" w:color="005DA1"/>
          </w:rPr>
          <w:t>333</w:t>
        </w:r>
      </w:hyperlink>
      <w:r>
        <w:rPr>
          <w:spacing w:val="-4"/>
          <w:position w:val="5"/>
          <w:sz w:val="14"/>
        </w:rPr>
        <w:t>.</w:t>
      </w:r>
      <w:r>
        <w:rPr>
          <w:position w:val="5"/>
          <w:sz w:val="14"/>
        </w:rPr>
        <w:tab/>
      </w:r>
      <w:r>
        <w:rPr/>
        <w:t>Reynolds</w:t>
      </w:r>
      <w:r>
        <w:rPr>
          <w:spacing w:val="55"/>
        </w:rPr>
        <w:t> </w:t>
      </w:r>
      <w:r>
        <w:rPr/>
        <w:t>and</w:t>
      </w:r>
      <w:r>
        <w:rPr>
          <w:spacing w:val="56"/>
        </w:rPr>
        <w:t> </w:t>
      </w:r>
      <w:r>
        <w:rPr/>
        <w:t>Treitel</w:t>
      </w:r>
      <w:r>
        <w:rPr>
          <w:spacing w:val="55"/>
        </w:rPr>
        <w:t> </w:t>
      </w:r>
      <w:r>
        <w:rPr/>
        <w:t>(1965)</w:t>
      </w:r>
      <w:r>
        <w:rPr>
          <w:spacing w:val="56"/>
        </w:rPr>
        <w:t> </w:t>
      </w:r>
      <w:r>
        <w:rPr/>
        <w:t>7</w:t>
      </w:r>
      <w:r>
        <w:rPr>
          <w:spacing w:val="55"/>
        </w:rPr>
        <w:t> </w:t>
      </w:r>
      <w:r>
        <w:rPr/>
        <w:t>Malaya</w:t>
      </w:r>
      <w:r>
        <w:rPr>
          <w:spacing w:val="56"/>
        </w:rPr>
        <w:t> </w:t>
      </w:r>
      <w:r>
        <w:rPr/>
        <w:t>L.Rev.</w:t>
      </w:r>
      <w:r>
        <w:rPr>
          <w:spacing w:val="55"/>
        </w:rPr>
        <w:t> </w:t>
      </w:r>
      <w:r>
        <w:rPr/>
        <w:t>1;</w:t>
      </w:r>
      <w:r>
        <w:rPr>
          <w:spacing w:val="56"/>
        </w:rPr>
        <w:t> </w:t>
      </w:r>
      <w:r>
        <w:rPr/>
        <w:t>Aivazian,</w:t>
      </w:r>
      <w:r>
        <w:rPr>
          <w:spacing w:val="56"/>
        </w:rPr>
        <w:t> </w:t>
      </w:r>
      <w:r>
        <w:rPr/>
        <w:t>Trebilcock</w:t>
      </w:r>
      <w:r>
        <w:rPr>
          <w:spacing w:val="55"/>
        </w:rPr>
        <w:t> </w:t>
      </w:r>
      <w:r>
        <w:rPr/>
        <w:t>&amp;</w:t>
      </w:r>
      <w:r>
        <w:rPr>
          <w:spacing w:val="56"/>
        </w:rPr>
        <w:t> </w:t>
      </w:r>
      <w:r>
        <w:rPr/>
        <w:t>Penny</w:t>
      </w:r>
      <w:r>
        <w:rPr>
          <w:spacing w:val="55"/>
        </w:rPr>
        <w:t> </w:t>
      </w:r>
      <w:r>
        <w:rPr/>
        <w:t>(1984)</w:t>
      </w:r>
      <w:r>
        <w:rPr>
          <w:spacing w:val="56"/>
        </w:rPr>
        <w:t> </w:t>
      </w:r>
      <w:r>
        <w:rPr>
          <w:spacing w:val="-5"/>
        </w:rPr>
        <w:t>22</w:t>
      </w:r>
    </w:p>
    <w:p>
      <w:pPr>
        <w:pStyle w:val="BodyText"/>
        <w:spacing w:line="227" w:lineRule="exact"/>
        <w:ind w:left="705"/>
      </w:pPr>
      <w:r>
        <w:rPr/>
        <w:t>Osgoode Hall L.J. 173; Hooley [1991] J.B.L. 195; Halson (1991) 107 L.Q.R. </w:t>
      </w:r>
      <w:r>
        <w:rPr>
          <w:spacing w:val="-4"/>
        </w:rPr>
        <w:t>649.</w:t>
      </w:r>
    </w:p>
    <w:p>
      <w:pPr>
        <w:pStyle w:val="BodyText"/>
        <w:spacing w:before="5"/>
      </w:pPr>
    </w:p>
    <w:p>
      <w:pPr>
        <w:pStyle w:val="BodyText"/>
        <w:tabs>
          <w:tab w:pos="705" w:val="left" w:leader="none"/>
        </w:tabs>
        <w:ind w:left="165"/>
      </w:pPr>
      <w:bookmarkStart w:name="_bookmark783" w:id="785"/>
      <w:bookmarkEnd w:id="785"/>
      <w:r>
        <w:rPr/>
      </w:r>
      <w:hyperlink w:history="true" w:anchor="_bookmark755">
        <w:r>
          <w:rPr>
            <w:color w:val="005DA1"/>
            <w:spacing w:val="-4"/>
            <w:position w:val="5"/>
            <w:sz w:val="14"/>
            <w:u w:val="single" w:color="005DA1"/>
          </w:rPr>
          <w:t>401</w:t>
        </w:r>
      </w:hyperlink>
      <w:r>
        <w:rPr>
          <w:spacing w:val="-4"/>
          <w:position w:val="5"/>
          <w:sz w:val="14"/>
        </w:rPr>
        <w:t>.</w:t>
      </w:r>
      <w:r>
        <w:rPr>
          <w:position w:val="5"/>
          <w:sz w:val="14"/>
        </w:rPr>
        <w:tab/>
      </w:r>
      <w:r>
        <w:rPr/>
        <w:t>See A. G. Davis (1937) 6 Camb.L.J. </w:t>
      </w:r>
      <w:r>
        <w:rPr>
          <w:spacing w:val="-4"/>
        </w:rPr>
        <w:t>202.</w:t>
      </w:r>
    </w:p>
    <w:p>
      <w:pPr>
        <w:pStyle w:val="BodyText"/>
        <w:spacing w:before="9"/>
      </w:pPr>
    </w:p>
    <w:p>
      <w:pPr>
        <w:spacing w:line="235" w:lineRule="auto" w:before="0"/>
        <w:ind w:left="705" w:right="167" w:hanging="541"/>
        <w:jc w:val="both"/>
        <w:rPr>
          <w:sz w:val="20"/>
        </w:rPr>
      </w:pPr>
      <w:bookmarkStart w:name="_bookmark784" w:id="786"/>
      <w:bookmarkEnd w:id="786"/>
      <w:r>
        <w:rPr/>
      </w:r>
      <w:hyperlink w:history="true" w:anchor="_bookmark756">
        <w:r>
          <w:rPr>
            <w:color w:val="005DA1"/>
            <w:position w:val="5"/>
            <w:sz w:val="14"/>
            <w:u w:val="single" w:color="005DA1"/>
          </w:rPr>
          <w:t>402</w:t>
        </w:r>
      </w:hyperlink>
      <w:r>
        <w:rPr>
          <w:position w:val="5"/>
          <w:sz w:val="14"/>
        </w:rPr>
        <w:t>.</w:t>
      </w:r>
      <w:r>
        <w:rPr>
          <w:spacing w:val="80"/>
          <w:w w:val="150"/>
          <w:position w:val="5"/>
          <w:sz w:val="14"/>
        </w:rPr>
        <w:t> </w:t>
      </w:r>
      <w:r>
        <w:rPr>
          <w:sz w:val="20"/>
        </w:rPr>
        <w:t>The above view, as expressed in para.3-073 the 30th edition of this book (para.4-074 in the present edition) is cited with apparent approval in </w:t>
      </w:r>
      <w:r>
        <w:rPr>
          <w:rFonts w:ascii="Arial" w:hAnsi="Arial"/>
          <w:i/>
          <w:sz w:val="20"/>
        </w:rPr>
        <w:t>Dry Bulk Handy Holding Inc v Fayette International Holdings Ltd (The Bulk Chile) [2013] EWCA Civ 184, [2013] 2 Lloyd’s Rep. 38 </w:t>
      </w:r>
      <w:r>
        <w:rPr>
          <w:sz w:val="20"/>
        </w:rPr>
        <w:t>at [34]. For the contrary view, see </w:t>
      </w:r>
      <w:r>
        <w:rPr>
          <w:rFonts w:ascii="Arial" w:hAnsi="Arial"/>
          <w:i/>
          <w:sz w:val="20"/>
        </w:rPr>
        <w:t>McDevitt v Stokes 192 S.W. (1917)</w:t>
      </w:r>
      <w:r>
        <w:rPr>
          <w:sz w:val="20"/>
        </w:rPr>
        <w:t>. In </w:t>
      </w:r>
      <w:r>
        <w:rPr>
          <w:rFonts w:ascii="Arial" w:hAnsi="Arial"/>
          <w:i/>
          <w:sz w:val="20"/>
        </w:rPr>
        <w:t>Pfizer Corp. v Ministry of Health [1965] A.C. 512 </w:t>
      </w:r>
      <w:r>
        <w:rPr>
          <w:sz w:val="20"/>
        </w:rPr>
        <w:t>Lord Reid said that there was no contract where a chemist supplied drugs</w:t>
      </w:r>
      <w:r>
        <w:rPr>
          <w:spacing w:val="-2"/>
          <w:sz w:val="20"/>
        </w:rPr>
        <w:t> </w:t>
      </w:r>
      <w:r>
        <w:rPr>
          <w:sz w:val="20"/>
        </w:rPr>
        <w:t>to</w:t>
      </w:r>
      <w:r>
        <w:rPr>
          <w:spacing w:val="-2"/>
          <w:sz w:val="20"/>
        </w:rPr>
        <w:t> </w:t>
      </w:r>
      <w:r>
        <w:rPr>
          <w:sz w:val="20"/>
        </w:rPr>
        <w:t>a</w:t>
      </w:r>
      <w:r>
        <w:rPr>
          <w:spacing w:val="-2"/>
          <w:sz w:val="20"/>
        </w:rPr>
        <w:t> </w:t>
      </w:r>
      <w:r>
        <w:rPr>
          <w:sz w:val="20"/>
        </w:rPr>
        <w:t>patient</w:t>
      </w:r>
      <w:r>
        <w:rPr>
          <w:spacing w:val="-2"/>
          <w:sz w:val="20"/>
        </w:rPr>
        <w:t> </w:t>
      </w:r>
      <w:r>
        <w:rPr>
          <w:sz w:val="20"/>
        </w:rPr>
        <w:t>under</w:t>
      </w:r>
      <w:r>
        <w:rPr>
          <w:spacing w:val="-2"/>
          <w:sz w:val="20"/>
        </w:rPr>
        <w:t> </w:t>
      </w:r>
      <w:r>
        <w:rPr>
          <w:sz w:val="20"/>
        </w:rPr>
        <w:t>the</w:t>
      </w:r>
      <w:r>
        <w:rPr>
          <w:spacing w:val="-2"/>
          <w:sz w:val="20"/>
        </w:rPr>
        <w:t> </w:t>
      </w:r>
      <w:r>
        <w:rPr>
          <w:sz w:val="20"/>
        </w:rPr>
        <w:t>National</w:t>
      </w:r>
      <w:r>
        <w:rPr>
          <w:spacing w:val="-2"/>
          <w:sz w:val="20"/>
        </w:rPr>
        <w:t> </w:t>
      </w:r>
      <w:r>
        <w:rPr>
          <w:sz w:val="20"/>
        </w:rPr>
        <w:t>Health</w:t>
      </w:r>
      <w:r>
        <w:rPr>
          <w:spacing w:val="-2"/>
          <w:sz w:val="20"/>
        </w:rPr>
        <w:t> </w:t>
      </w:r>
      <w:r>
        <w:rPr>
          <w:sz w:val="20"/>
        </w:rPr>
        <w:t>Service</w:t>
      </w:r>
      <w:r>
        <w:rPr>
          <w:spacing w:val="-2"/>
          <w:sz w:val="20"/>
        </w:rPr>
        <w:t> </w:t>
      </w:r>
      <w:r>
        <w:rPr>
          <w:sz w:val="20"/>
        </w:rPr>
        <w:t>in</w:t>
      </w:r>
      <w:r>
        <w:rPr>
          <w:spacing w:val="-2"/>
          <w:sz w:val="20"/>
        </w:rPr>
        <w:t> </w:t>
      </w:r>
      <w:r>
        <w:rPr>
          <w:sz w:val="20"/>
        </w:rPr>
        <w:t>return</w:t>
      </w:r>
      <w:r>
        <w:rPr>
          <w:spacing w:val="-2"/>
          <w:sz w:val="20"/>
        </w:rPr>
        <w:t> </w:t>
      </w:r>
      <w:r>
        <w:rPr>
          <w:sz w:val="20"/>
        </w:rPr>
        <w:t>for</w:t>
      </w:r>
      <w:r>
        <w:rPr>
          <w:spacing w:val="-2"/>
          <w:sz w:val="20"/>
        </w:rPr>
        <w:t> </w:t>
      </w:r>
      <w:r>
        <w:rPr>
          <w:sz w:val="20"/>
        </w:rPr>
        <w:t>a</w:t>
      </w:r>
      <w:r>
        <w:rPr>
          <w:spacing w:val="-2"/>
          <w:sz w:val="20"/>
        </w:rPr>
        <w:t> </w:t>
      </w:r>
      <w:r>
        <w:rPr>
          <w:sz w:val="20"/>
        </w:rPr>
        <w:t>prescription</w:t>
      </w:r>
      <w:r>
        <w:rPr>
          <w:spacing w:val="-2"/>
          <w:sz w:val="20"/>
        </w:rPr>
        <w:t> </w:t>
      </w:r>
      <w:r>
        <w:rPr>
          <w:sz w:val="20"/>
        </w:rPr>
        <w:t>charge,</w:t>
      </w:r>
      <w:r>
        <w:rPr>
          <w:spacing w:val="-2"/>
          <w:sz w:val="20"/>
        </w:rPr>
        <w:t> </w:t>
      </w:r>
      <w:r>
        <w:rPr>
          <w:sz w:val="20"/>
        </w:rPr>
        <w:t>because the chemist is “bound by his contract with the appropriate authority to supply the drug …” (at 536). But it seems from the context that Lord Reid was considering whether the relationship</w:t>
      </w:r>
      <w:r>
        <w:rPr>
          <w:spacing w:val="40"/>
          <w:sz w:val="20"/>
        </w:rPr>
        <w:t> </w:t>
      </w:r>
      <w:r>
        <w:rPr>
          <w:sz w:val="20"/>
        </w:rPr>
        <w:t>was consensual and was not thinking of the problem of consideration.</w:t>
      </w:r>
    </w:p>
    <w:p>
      <w:pPr>
        <w:spacing w:after="0" w:line="235" w:lineRule="auto"/>
        <w:jc w:val="both"/>
        <w:rPr>
          <w:sz w:val="20"/>
        </w:rPr>
        <w:sectPr>
          <w:pgSz w:w="11900" w:h="16840"/>
          <w:pgMar w:header="971" w:footer="0" w:top="1160" w:bottom="280" w:left="1275" w:right="1275"/>
        </w:sectPr>
      </w:pPr>
    </w:p>
    <w:p>
      <w:pPr>
        <w:pStyle w:val="BodyText"/>
        <w:spacing w:before="84"/>
      </w:pPr>
    </w:p>
    <w:p>
      <w:pPr>
        <w:spacing w:line="235" w:lineRule="auto" w:before="1"/>
        <w:ind w:left="705" w:right="167" w:hanging="541"/>
        <w:jc w:val="both"/>
        <w:rPr>
          <w:sz w:val="20"/>
        </w:rPr>
      </w:pPr>
      <w:hyperlink w:history="true" w:anchor="_bookmark757">
        <w:r>
          <w:rPr>
            <w:color w:val="005DA1"/>
            <w:position w:val="5"/>
            <w:sz w:val="14"/>
            <w:u w:val="single" w:color="005DA1"/>
          </w:rPr>
          <w:t>403</w:t>
        </w:r>
      </w:hyperlink>
      <w:r>
        <w:rPr>
          <w:position w:val="5"/>
          <w:sz w:val="14"/>
        </w:rPr>
        <w:t>.</w:t>
      </w:r>
      <w:r>
        <w:rPr>
          <w:spacing w:val="80"/>
          <w:position w:val="5"/>
          <w:sz w:val="14"/>
        </w:rPr>
        <w:t>  </w:t>
      </w:r>
      <w:r>
        <w:rPr>
          <w:rFonts w:ascii="Arial" w:hAnsi="Arial"/>
          <w:i/>
          <w:sz w:val="20"/>
        </w:rPr>
        <w:t>Scotson v Peg (1861) 6 H. &amp; N. 295</w:t>
      </w:r>
      <w:r>
        <w:rPr>
          <w:sz w:val="20"/>
        </w:rPr>
        <w:t>; </w:t>
      </w:r>
      <w:r>
        <w:rPr>
          <w:rFonts w:ascii="Arial" w:hAnsi="Arial"/>
          <w:i/>
          <w:sz w:val="20"/>
        </w:rPr>
        <w:t>Chichester v Cobb (1866) 14 L.T. 433</w:t>
      </w:r>
      <w:r>
        <w:rPr>
          <w:sz w:val="20"/>
        </w:rPr>
        <w:t>. The question in these cases was whether A provided consideration for C’s promise by performing a </w:t>
      </w:r>
      <w:r>
        <w:rPr>
          <w:sz w:val="20"/>
        </w:rPr>
        <w:t>contractual duty owed by A to B. There is no doubt that C’s promise to perform a duty owed by B to A (or the performance of such a promise) can constitute consideration for a promise (express or implied) by A to C: see, e.g. </w:t>
      </w:r>
      <w:r>
        <w:rPr>
          <w:rFonts w:ascii="Arial" w:hAnsi="Arial"/>
          <w:i/>
          <w:sz w:val="20"/>
        </w:rPr>
        <w:t>Brandt v Liverpool, etc. S.N. Co [1924] 1 K.B. 575</w:t>
      </w:r>
      <w:r>
        <w:rPr>
          <w:sz w:val="20"/>
        </w:rPr>
        <w:t>; </w:t>
      </w:r>
      <w:r>
        <w:rPr>
          <w:rFonts w:ascii="Arial" w:hAnsi="Arial"/>
          <w:i/>
          <w:sz w:val="20"/>
        </w:rPr>
        <w:t>The Aramis [1989] 1 Lloyd’s Rep. 213, 225 </w:t>
      </w:r>
      <w:r>
        <w:rPr>
          <w:sz w:val="20"/>
        </w:rPr>
        <w:t>(where C’s claim failed for want of contractual intention: above </w:t>
      </w:r>
      <w:r>
        <w:rPr>
          <w:spacing w:val="-2"/>
          <w:sz w:val="20"/>
        </w:rPr>
        <w:t>para.2-190).</w:t>
      </w:r>
    </w:p>
    <w:p>
      <w:pPr>
        <w:pStyle w:val="BodyText"/>
        <w:spacing w:before="3"/>
      </w:pPr>
    </w:p>
    <w:p>
      <w:pPr>
        <w:tabs>
          <w:tab w:pos="705" w:val="left" w:leader="none"/>
        </w:tabs>
        <w:spacing w:before="0"/>
        <w:ind w:left="165" w:right="0" w:firstLine="0"/>
        <w:jc w:val="left"/>
        <w:rPr>
          <w:sz w:val="20"/>
        </w:rPr>
      </w:pPr>
      <w:bookmarkStart w:name="_bookmark785" w:id="787"/>
      <w:bookmarkEnd w:id="787"/>
      <w:r>
        <w:rPr/>
      </w:r>
      <w:hyperlink w:history="true" w:anchor="_bookmark758">
        <w:r>
          <w:rPr>
            <w:color w:val="005DA1"/>
            <w:spacing w:val="-4"/>
            <w:position w:val="5"/>
            <w:sz w:val="14"/>
            <w:u w:val="single" w:color="005DA1"/>
          </w:rPr>
          <w:t>404</w:t>
        </w:r>
      </w:hyperlink>
      <w:r>
        <w:rPr>
          <w:spacing w:val="-4"/>
          <w:position w:val="5"/>
          <w:sz w:val="14"/>
        </w:rPr>
        <w:t>.</w:t>
      </w:r>
      <w:r>
        <w:rPr>
          <w:position w:val="5"/>
          <w:sz w:val="14"/>
        </w:rPr>
        <w:tab/>
      </w:r>
      <w:r>
        <w:rPr>
          <w:rFonts w:ascii="Arial"/>
          <w:i/>
          <w:sz w:val="20"/>
        </w:rPr>
        <w:t>(1860) 9 C.B.(N.S.) </w:t>
      </w:r>
      <w:r>
        <w:rPr>
          <w:rFonts w:ascii="Arial"/>
          <w:i/>
          <w:spacing w:val="-4"/>
          <w:sz w:val="20"/>
        </w:rPr>
        <w:t>159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86" w:id="788"/>
      <w:bookmarkEnd w:id="788"/>
      <w:r>
        <w:rPr/>
      </w:r>
      <w:hyperlink w:history="true" w:anchor="_bookmark759">
        <w:r>
          <w:rPr>
            <w:color w:val="005DA1"/>
            <w:spacing w:val="-4"/>
            <w:position w:val="5"/>
            <w:sz w:val="14"/>
            <w:u w:val="single" w:color="005DA1"/>
          </w:rPr>
          <w:t>405</w:t>
        </w:r>
      </w:hyperlink>
      <w:r>
        <w:rPr>
          <w:spacing w:val="-4"/>
          <w:position w:val="5"/>
          <w:sz w:val="14"/>
        </w:rPr>
        <w:t>.</w:t>
      </w:r>
      <w:r>
        <w:rPr>
          <w:position w:val="5"/>
          <w:sz w:val="14"/>
        </w:rPr>
        <w:tab/>
      </w:r>
      <w:r>
        <w:rPr>
          <w:sz w:val="20"/>
        </w:rPr>
        <w:t>ibid., at </w:t>
      </w:r>
      <w:r>
        <w:rPr>
          <w:spacing w:val="-4"/>
          <w:sz w:val="20"/>
        </w:rPr>
        <w:t>174.</w:t>
      </w:r>
    </w:p>
    <w:p>
      <w:pPr>
        <w:pStyle w:val="BodyText"/>
        <w:spacing w:before="5"/>
      </w:pPr>
    </w:p>
    <w:p>
      <w:pPr>
        <w:tabs>
          <w:tab w:pos="705" w:val="left" w:leader="none"/>
        </w:tabs>
        <w:spacing w:before="0"/>
        <w:ind w:left="165" w:right="0" w:firstLine="0"/>
        <w:jc w:val="left"/>
        <w:rPr>
          <w:sz w:val="20"/>
        </w:rPr>
      </w:pPr>
      <w:bookmarkStart w:name="_bookmark787" w:id="789"/>
      <w:bookmarkEnd w:id="789"/>
      <w:r>
        <w:rPr/>
      </w:r>
      <w:hyperlink w:history="true" w:anchor="_bookmark760">
        <w:r>
          <w:rPr>
            <w:color w:val="005DA1"/>
            <w:spacing w:val="-4"/>
            <w:position w:val="5"/>
            <w:sz w:val="14"/>
            <w:u w:val="single" w:color="005DA1"/>
          </w:rPr>
          <w:t>406</w:t>
        </w:r>
      </w:hyperlink>
      <w:r>
        <w:rPr>
          <w:spacing w:val="-4"/>
          <w:position w:val="5"/>
          <w:sz w:val="14"/>
        </w:rPr>
        <w:t>.</w:t>
      </w:r>
      <w:r>
        <w:rPr>
          <w:position w:val="5"/>
          <w:sz w:val="14"/>
        </w:rPr>
        <w:tab/>
      </w:r>
      <w:r>
        <w:rPr>
          <w:spacing w:val="-2"/>
          <w:sz w:val="20"/>
        </w:rPr>
        <w:t>ibid.</w:t>
      </w:r>
    </w:p>
    <w:p>
      <w:pPr>
        <w:pStyle w:val="BodyText"/>
        <w:spacing w:before="9"/>
      </w:pPr>
    </w:p>
    <w:p>
      <w:pPr>
        <w:pStyle w:val="BodyText"/>
        <w:spacing w:line="235" w:lineRule="auto"/>
        <w:ind w:left="705" w:right="167" w:hanging="541"/>
        <w:jc w:val="both"/>
      </w:pPr>
      <w:bookmarkStart w:name="_bookmark788" w:id="790"/>
      <w:bookmarkEnd w:id="790"/>
      <w:r>
        <w:rPr/>
      </w:r>
      <w:hyperlink w:history="true" w:anchor="_bookmark761">
        <w:r>
          <w:rPr>
            <w:color w:val="005DA1"/>
            <w:position w:val="5"/>
            <w:sz w:val="14"/>
            <w:u w:val="single" w:color="005DA1"/>
          </w:rPr>
          <w:t>407</w:t>
        </w:r>
      </w:hyperlink>
      <w:r>
        <w:rPr>
          <w:position w:val="5"/>
          <w:sz w:val="14"/>
        </w:rPr>
        <w:t>.</w:t>
      </w:r>
      <w:r>
        <w:rPr>
          <w:spacing w:val="80"/>
          <w:position w:val="5"/>
          <w:sz w:val="14"/>
        </w:rPr>
        <w:t>  </w:t>
      </w:r>
      <w:r>
        <w:rPr/>
        <w:t>If the facts recurred now, the nephew’s promise to marry Ellen Nicholl would no longer give rise to a contractual obligation: Law Reform (Miscellaneous Provisions) Act 1970, s.1. This </w:t>
      </w:r>
      <w:r>
        <w:rPr/>
        <w:t>section applies</w:t>
      </w:r>
      <w:r>
        <w:rPr>
          <w:spacing w:val="-1"/>
        </w:rPr>
        <w:t> </w:t>
      </w:r>
      <w:r>
        <w:rPr/>
        <w:t>to</w:t>
      </w:r>
      <w:r>
        <w:rPr>
          <w:spacing w:val="-1"/>
        </w:rPr>
        <w:t> </w:t>
      </w:r>
      <w:r>
        <w:rPr/>
        <w:t>an</w:t>
      </w:r>
      <w:r>
        <w:rPr>
          <w:spacing w:val="-1"/>
        </w:rPr>
        <w:t> </w:t>
      </w:r>
      <w:r>
        <w:rPr/>
        <w:t>agreement</w:t>
      </w:r>
      <w:r>
        <w:rPr>
          <w:spacing w:val="-1"/>
        </w:rPr>
        <w:t> </w:t>
      </w:r>
      <w:r>
        <w:rPr/>
        <w:t>to</w:t>
      </w:r>
      <w:r>
        <w:rPr>
          <w:spacing w:val="-1"/>
        </w:rPr>
        <w:t> </w:t>
      </w:r>
      <w:r>
        <w:rPr/>
        <w:t>marry</w:t>
      </w:r>
      <w:r>
        <w:rPr>
          <w:spacing w:val="-1"/>
        </w:rPr>
        <w:t> </w:t>
      </w:r>
      <w:r>
        <w:rPr/>
        <w:t>made</w:t>
      </w:r>
      <w:r>
        <w:rPr>
          <w:spacing w:val="-1"/>
        </w:rPr>
        <w:t> </w:t>
      </w:r>
      <w:r>
        <w:rPr/>
        <w:t>between</w:t>
      </w:r>
      <w:r>
        <w:rPr>
          <w:spacing w:val="-1"/>
        </w:rPr>
        <w:t> </w:t>
      </w:r>
      <w:r>
        <w:rPr/>
        <w:t>two</w:t>
      </w:r>
      <w:r>
        <w:rPr>
          <w:spacing w:val="-1"/>
        </w:rPr>
        <w:t> </w:t>
      </w:r>
      <w:r>
        <w:rPr/>
        <w:t>persons</w:t>
      </w:r>
      <w:r>
        <w:rPr>
          <w:spacing w:val="-1"/>
        </w:rPr>
        <w:t> </w:t>
      </w:r>
      <w:r>
        <w:rPr/>
        <w:t>of</w:t>
      </w:r>
      <w:r>
        <w:rPr>
          <w:spacing w:val="-1"/>
        </w:rPr>
        <w:t> </w:t>
      </w:r>
      <w:r>
        <w:rPr/>
        <w:t>the</w:t>
      </w:r>
      <w:r>
        <w:rPr>
          <w:spacing w:val="-1"/>
        </w:rPr>
        <w:t> </w:t>
      </w:r>
      <w:r>
        <w:rPr/>
        <w:t>same</w:t>
      </w:r>
      <w:r>
        <w:rPr>
          <w:spacing w:val="-1"/>
        </w:rPr>
        <w:t> </w:t>
      </w:r>
      <w:r>
        <w:rPr/>
        <w:t>sex:</w:t>
      </w:r>
      <w:r>
        <w:rPr>
          <w:spacing w:val="-1"/>
        </w:rPr>
        <w:t> </w:t>
      </w:r>
      <w:r>
        <w:rPr/>
        <w:t>Marriage</w:t>
      </w:r>
      <w:r>
        <w:rPr>
          <w:spacing w:val="-1"/>
        </w:rPr>
        <w:t> </w:t>
      </w:r>
      <w:r>
        <w:rPr/>
        <w:t>(Same Sex Couples) Act 2013, s.11 and Sch.3, para.1. An agreement to enter into a civil partnership likewise has no contractual force: Civil Partnership Act 2004, s.73.</w:t>
      </w:r>
    </w:p>
    <w:p>
      <w:pPr>
        <w:pStyle w:val="BodyText"/>
        <w:spacing w:before="4"/>
      </w:pPr>
    </w:p>
    <w:p>
      <w:pPr>
        <w:tabs>
          <w:tab w:pos="705" w:val="left" w:leader="none"/>
        </w:tabs>
        <w:spacing w:before="1"/>
        <w:ind w:left="165" w:right="0" w:firstLine="0"/>
        <w:jc w:val="left"/>
        <w:rPr>
          <w:sz w:val="20"/>
        </w:rPr>
      </w:pPr>
      <w:bookmarkStart w:name="_bookmark789" w:id="791"/>
      <w:bookmarkEnd w:id="791"/>
      <w:r>
        <w:rPr/>
      </w:r>
      <w:hyperlink w:history="true" w:anchor="_bookmark762">
        <w:r>
          <w:rPr>
            <w:color w:val="005DA1"/>
            <w:spacing w:val="-4"/>
            <w:position w:val="5"/>
            <w:sz w:val="14"/>
            <w:u w:val="single" w:color="005DA1"/>
          </w:rPr>
          <w:t>408</w:t>
        </w:r>
      </w:hyperlink>
      <w:r>
        <w:rPr>
          <w:spacing w:val="-4"/>
          <w:position w:val="5"/>
          <w:sz w:val="14"/>
        </w:rPr>
        <w:t>.</w:t>
      </w:r>
      <w:r>
        <w:rPr>
          <w:position w:val="5"/>
          <w:sz w:val="14"/>
        </w:rPr>
        <w:tab/>
      </w:r>
      <w:r>
        <w:rPr>
          <w:sz w:val="20"/>
        </w:rPr>
        <w:t>cf.</w:t>
      </w:r>
      <w:r>
        <w:rPr>
          <w:spacing w:val="-2"/>
          <w:sz w:val="20"/>
        </w:rPr>
        <w:t> </w:t>
      </w:r>
      <w:r>
        <w:rPr>
          <w:rFonts w:ascii="Arial"/>
          <w:i/>
          <w:sz w:val="20"/>
        </w:rPr>
        <w:t>De Cicco v Schweitzer 221 N.Y. 413, 117 N.E. 807 </w:t>
      </w:r>
      <w:r>
        <w:rPr>
          <w:rFonts w:ascii="Arial"/>
          <w:i/>
          <w:spacing w:val="-2"/>
          <w:sz w:val="20"/>
        </w:rPr>
        <w:t>(1917)</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790" w:id="792"/>
      <w:bookmarkEnd w:id="792"/>
      <w:r>
        <w:rPr/>
      </w:r>
      <w:hyperlink w:history="true" w:anchor="_bookmark763">
        <w:r>
          <w:rPr>
            <w:color w:val="005DA1"/>
            <w:spacing w:val="-4"/>
            <w:position w:val="5"/>
            <w:sz w:val="14"/>
            <w:u w:val="single" w:color="005DA1"/>
          </w:rPr>
          <w:t>409</w:t>
        </w:r>
      </w:hyperlink>
      <w:r>
        <w:rPr>
          <w:spacing w:val="-4"/>
          <w:position w:val="5"/>
          <w:sz w:val="14"/>
        </w:rPr>
        <w:t>.</w:t>
      </w:r>
      <w:r>
        <w:rPr>
          <w:position w:val="5"/>
          <w:sz w:val="14"/>
        </w:rPr>
        <w:tab/>
      </w:r>
      <w:r>
        <w:rPr>
          <w:sz w:val="20"/>
        </w:rPr>
        <w:t>Above, para.4-</w:t>
      </w:r>
      <w:r>
        <w:rPr>
          <w:spacing w:val="-4"/>
          <w:sz w:val="20"/>
        </w:rPr>
        <w:t>024.</w:t>
      </w:r>
    </w:p>
    <w:p>
      <w:pPr>
        <w:pStyle w:val="BodyText"/>
        <w:spacing w:before="4"/>
      </w:pPr>
    </w:p>
    <w:p>
      <w:pPr>
        <w:pStyle w:val="BodyText"/>
        <w:tabs>
          <w:tab w:pos="705" w:val="left" w:leader="none"/>
        </w:tabs>
        <w:spacing w:before="1"/>
        <w:ind w:left="165"/>
      </w:pPr>
      <w:bookmarkStart w:name="_bookmark791" w:id="793"/>
      <w:bookmarkEnd w:id="793"/>
      <w:r>
        <w:rPr/>
      </w:r>
      <w:hyperlink w:history="true" w:anchor="_bookmark764">
        <w:r>
          <w:rPr>
            <w:color w:val="005DA1"/>
            <w:spacing w:val="-4"/>
            <w:position w:val="5"/>
            <w:sz w:val="14"/>
            <w:u w:val="single" w:color="005DA1"/>
          </w:rPr>
          <w:t>410</w:t>
        </w:r>
      </w:hyperlink>
      <w:r>
        <w:rPr>
          <w:spacing w:val="-4"/>
          <w:position w:val="5"/>
          <w:sz w:val="14"/>
        </w:rPr>
        <w:t>.</w:t>
      </w:r>
      <w:r>
        <w:rPr>
          <w:position w:val="5"/>
          <w:sz w:val="14"/>
        </w:rPr>
        <w:tab/>
      </w:r>
      <w:r>
        <w:rPr/>
        <w:t>cf. above, para.4-</w:t>
      </w:r>
      <w:r>
        <w:rPr>
          <w:spacing w:val="-4"/>
        </w:rPr>
        <w:t>012.</w:t>
      </w:r>
    </w:p>
    <w:p>
      <w:pPr>
        <w:pStyle w:val="BodyText"/>
        <w:spacing w:before="4"/>
      </w:pPr>
    </w:p>
    <w:p>
      <w:pPr>
        <w:tabs>
          <w:tab w:pos="705" w:val="left" w:leader="none"/>
        </w:tabs>
        <w:spacing w:before="1"/>
        <w:ind w:left="165" w:right="0" w:firstLine="0"/>
        <w:jc w:val="left"/>
        <w:rPr>
          <w:sz w:val="20"/>
        </w:rPr>
      </w:pPr>
      <w:bookmarkStart w:name="_bookmark792" w:id="794"/>
      <w:bookmarkEnd w:id="794"/>
      <w:r>
        <w:rPr/>
      </w:r>
      <w:hyperlink w:history="true" w:anchor="_bookmark765">
        <w:r>
          <w:rPr>
            <w:color w:val="005DA1"/>
            <w:spacing w:val="-4"/>
            <w:position w:val="5"/>
            <w:sz w:val="14"/>
            <w:u w:val="single" w:color="005DA1"/>
          </w:rPr>
          <w:t>411</w:t>
        </w:r>
      </w:hyperlink>
      <w:r>
        <w:rPr>
          <w:spacing w:val="-4"/>
          <w:position w:val="5"/>
          <w:sz w:val="14"/>
        </w:rPr>
        <w:t>.</w:t>
      </w:r>
      <w:r>
        <w:rPr>
          <w:position w:val="5"/>
          <w:sz w:val="14"/>
        </w:rPr>
        <w:tab/>
      </w:r>
      <w:r>
        <w:rPr>
          <w:rFonts w:ascii="Arial"/>
          <w:i/>
          <w:sz w:val="20"/>
        </w:rPr>
        <w:t>Jones v Padavatton [1969] 1 W.L.R. 328, </w:t>
      </w:r>
      <w:r>
        <w:rPr>
          <w:rFonts w:ascii="Arial"/>
          <w:i/>
          <w:spacing w:val="-4"/>
          <w:sz w:val="20"/>
        </w:rPr>
        <w:t>333</w:t>
      </w:r>
      <w:r>
        <w:rPr>
          <w:spacing w:val="-4"/>
          <w:sz w:val="20"/>
        </w:rPr>
        <w:t>.</w:t>
      </w:r>
    </w:p>
    <w:p>
      <w:pPr>
        <w:pStyle w:val="BodyText"/>
        <w:spacing w:before="4"/>
      </w:pPr>
    </w:p>
    <w:p>
      <w:pPr>
        <w:pStyle w:val="BodyText"/>
        <w:tabs>
          <w:tab w:pos="705" w:val="left" w:leader="none"/>
        </w:tabs>
        <w:spacing w:before="1"/>
        <w:ind w:left="165"/>
      </w:pPr>
      <w:bookmarkStart w:name="_bookmark793" w:id="795"/>
      <w:bookmarkEnd w:id="795"/>
      <w:r>
        <w:rPr/>
      </w:r>
      <w:hyperlink w:history="true" w:anchor="_bookmark766">
        <w:r>
          <w:rPr>
            <w:color w:val="005DA1"/>
            <w:spacing w:val="-4"/>
            <w:position w:val="5"/>
            <w:sz w:val="14"/>
            <w:u w:val="single" w:color="005DA1"/>
          </w:rPr>
          <w:t>412</w:t>
        </w:r>
      </w:hyperlink>
      <w:r>
        <w:rPr>
          <w:spacing w:val="-4"/>
          <w:position w:val="5"/>
          <w:sz w:val="14"/>
        </w:rPr>
        <w:t>.</w:t>
      </w:r>
      <w:r>
        <w:rPr>
          <w:position w:val="5"/>
          <w:sz w:val="14"/>
        </w:rPr>
        <w:tab/>
      </w:r>
      <w:r>
        <w:rPr/>
        <w:t>See above at n.397; below paras 4-075 and 4-076 at </w:t>
      </w:r>
      <w:r>
        <w:rPr>
          <w:spacing w:val="-2"/>
        </w:rPr>
        <w:t>n.421.</w:t>
      </w:r>
    </w:p>
    <w:p>
      <w:pPr>
        <w:pStyle w:val="BodyText"/>
        <w:spacing w:before="8"/>
      </w:pPr>
    </w:p>
    <w:p>
      <w:pPr>
        <w:spacing w:line="235" w:lineRule="auto" w:before="0"/>
        <w:ind w:left="705" w:right="167" w:hanging="541"/>
        <w:jc w:val="both"/>
        <w:rPr>
          <w:rFonts w:ascii="Arial" w:hAnsi="Arial"/>
          <w:i/>
          <w:sz w:val="20"/>
        </w:rPr>
      </w:pPr>
      <w:bookmarkStart w:name="_bookmark794" w:id="796"/>
      <w:bookmarkEnd w:id="796"/>
      <w:r>
        <w:rPr/>
      </w:r>
      <w:hyperlink w:history="true" w:anchor="_bookmark767">
        <w:r>
          <w:rPr>
            <w:color w:val="005DA1"/>
            <w:position w:val="5"/>
            <w:sz w:val="14"/>
            <w:u w:val="single" w:color="005DA1"/>
          </w:rPr>
          <w:t>413</w:t>
        </w:r>
      </w:hyperlink>
      <w:r>
        <w:rPr>
          <w:position w:val="5"/>
          <w:sz w:val="14"/>
        </w:rPr>
        <w:t>.</w:t>
      </w:r>
      <w:r>
        <w:rPr>
          <w:spacing w:val="40"/>
          <w:position w:val="5"/>
          <w:sz w:val="14"/>
        </w:rPr>
        <w:t>  </w:t>
      </w:r>
      <w:r>
        <w:rPr>
          <w:rFonts w:ascii="Arial" w:hAnsi="Arial"/>
          <w:i/>
          <w:sz w:val="20"/>
        </w:rPr>
        <w:t>New</w:t>
      </w:r>
      <w:r>
        <w:rPr>
          <w:rFonts w:ascii="Arial" w:hAnsi="Arial"/>
          <w:i/>
          <w:spacing w:val="-1"/>
          <w:sz w:val="20"/>
        </w:rPr>
        <w:t> </w:t>
      </w:r>
      <w:r>
        <w:rPr>
          <w:rFonts w:ascii="Arial" w:hAnsi="Arial"/>
          <w:i/>
          <w:sz w:val="20"/>
        </w:rPr>
        <w:t>Zealand</w:t>
      </w:r>
      <w:r>
        <w:rPr>
          <w:rFonts w:ascii="Arial" w:hAnsi="Arial"/>
          <w:i/>
          <w:spacing w:val="-1"/>
          <w:sz w:val="20"/>
        </w:rPr>
        <w:t> </w:t>
      </w:r>
      <w:r>
        <w:rPr>
          <w:rFonts w:ascii="Arial" w:hAnsi="Arial"/>
          <w:i/>
          <w:sz w:val="20"/>
        </w:rPr>
        <w:t>Shipping</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A.M.</w:t>
      </w:r>
      <w:r>
        <w:rPr>
          <w:rFonts w:ascii="Arial" w:hAnsi="Arial"/>
          <w:i/>
          <w:spacing w:val="-1"/>
          <w:sz w:val="20"/>
        </w:rPr>
        <w:t> </w:t>
      </w:r>
      <w:r>
        <w:rPr>
          <w:rFonts w:ascii="Arial" w:hAnsi="Arial"/>
          <w:i/>
          <w:sz w:val="20"/>
        </w:rPr>
        <w:t>Satterthwaite</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Eurymedon)</w:t>
      </w:r>
      <w:r>
        <w:rPr>
          <w:rFonts w:ascii="Arial" w:hAnsi="Arial"/>
          <w:i/>
          <w:spacing w:val="-1"/>
          <w:sz w:val="20"/>
        </w:rPr>
        <w:t> </w:t>
      </w:r>
      <w:r>
        <w:rPr>
          <w:rFonts w:ascii="Arial" w:hAnsi="Arial"/>
          <w:i/>
          <w:sz w:val="20"/>
        </w:rPr>
        <w:t>[1975]</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154, 168</w:t>
      </w:r>
      <w:r>
        <w:rPr>
          <w:sz w:val="20"/>
        </w:rPr>
        <w:t>; followed in </w:t>
      </w:r>
      <w:r>
        <w:rPr>
          <w:rFonts w:ascii="Arial" w:hAnsi="Arial"/>
          <w:i/>
          <w:sz w:val="20"/>
        </w:rPr>
        <w:t>Port Jackson Stevedoring Pty Ltd v Salmond and Spraggon (Australia) Pty </w:t>
      </w:r>
      <w:r>
        <w:rPr>
          <w:rFonts w:ascii="Arial" w:hAnsi="Arial"/>
          <w:i/>
          <w:sz w:val="20"/>
        </w:rPr>
        <w:t>Ltd (The New York Star) [1981] 1 W.L.R. 138 </w:t>
      </w:r>
      <w:r>
        <w:rPr>
          <w:sz w:val="20"/>
        </w:rPr>
        <w:t>and </w:t>
      </w:r>
      <w:r>
        <w:rPr>
          <w:rFonts w:ascii="Arial" w:hAnsi="Arial"/>
          <w:i/>
          <w:sz w:val="20"/>
        </w:rPr>
        <w:t>Glebe Island Terminals Pty Ltd v Continental Seagram</w:t>
      </w:r>
      <w:r>
        <w:rPr>
          <w:rFonts w:ascii="Arial" w:hAnsi="Arial"/>
          <w:i/>
          <w:spacing w:val="19"/>
          <w:sz w:val="20"/>
        </w:rPr>
        <w:t> </w:t>
      </w:r>
      <w:r>
        <w:rPr>
          <w:rFonts w:ascii="Arial" w:hAnsi="Arial"/>
          <w:i/>
          <w:sz w:val="20"/>
        </w:rPr>
        <w:t>Pty</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(The</w:t>
      </w:r>
      <w:r>
        <w:rPr>
          <w:rFonts w:ascii="Arial" w:hAnsi="Arial"/>
          <w:i/>
          <w:spacing w:val="20"/>
          <w:sz w:val="20"/>
        </w:rPr>
        <w:t> </w:t>
      </w:r>
      <w:r>
        <w:rPr>
          <w:rFonts w:ascii="Arial" w:hAnsi="Arial"/>
          <w:i/>
          <w:sz w:val="20"/>
        </w:rPr>
        <w:t>Antwerpen)</w:t>
      </w:r>
      <w:r>
        <w:rPr>
          <w:rFonts w:ascii="Arial" w:hAnsi="Arial"/>
          <w:i/>
          <w:spacing w:val="20"/>
          <w:sz w:val="20"/>
        </w:rPr>
        <w:t> </w:t>
      </w:r>
      <w:r>
        <w:rPr>
          <w:rFonts w:ascii="Arial" w:hAnsi="Arial"/>
          <w:i/>
          <w:sz w:val="20"/>
        </w:rPr>
        <w:t>[1994]</w:t>
      </w:r>
      <w:r>
        <w:rPr>
          <w:rFonts w:ascii="Arial" w:hAnsi="Arial"/>
          <w:i/>
          <w:spacing w:val="20"/>
          <w:sz w:val="20"/>
        </w:rPr>
        <w:t> </w:t>
      </w:r>
      <w:r>
        <w:rPr>
          <w:rFonts w:ascii="Arial" w:hAnsi="Arial"/>
          <w:i/>
          <w:sz w:val="20"/>
        </w:rPr>
        <w:t>1</w:t>
      </w:r>
      <w:r>
        <w:rPr>
          <w:rFonts w:ascii="Arial" w:hAnsi="Arial"/>
          <w:i/>
          <w:spacing w:val="20"/>
          <w:sz w:val="20"/>
        </w:rPr>
        <w:t> </w:t>
      </w:r>
      <w:r>
        <w:rPr>
          <w:rFonts w:ascii="Arial" w:hAnsi="Arial"/>
          <w:i/>
          <w:sz w:val="20"/>
        </w:rPr>
        <w:t>Lloyd’s</w:t>
      </w:r>
      <w:r>
        <w:rPr>
          <w:rFonts w:ascii="Arial" w:hAnsi="Arial"/>
          <w:i/>
          <w:spacing w:val="20"/>
          <w:sz w:val="20"/>
        </w:rPr>
        <w:t> </w:t>
      </w:r>
      <w:r>
        <w:rPr>
          <w:rFonts w:ascii="Arial" w:hAnsi="Arial"/>
          <w:i/>
          <w:sz w:val="20"/>
        </w:rPr>
        <w:t>Rep.</w:t>
      </w:r>
      <w:r>
        <w:rPr>
          <w:rFonts w:ascii="Arial" w:hAnsi="Arial"/>
          <w:i/>
          <w:spacing w:val="20"/>
          <w:sz w:val="20"/>
        </w:rPr>
        <w:t> </w:t>
      </w:r>
      <w:r>
        <w:rPr>
          <w:rFonts w:ascii="Arial" w:hAnsi="Arial"/>
          <w:i/>
          <w:sz w:val="20"/>
        </w:rPr>
        <w:t>213</w:t>
      </w:r>
      <w:r>
        <w:rPr>
          <w:sz w:val="20"/>
        </w:rPr>
        <w:t>;</w:t>
      </w:r>
      <w:r>
        <w:rPr>
          <w:spacing w:val="20"/>
          <w:sz w:val="20"/>
        </w:rPr>
        <w:t> </w:t>
      </w:r>
      <w:r>
        <w:rPr>
          <w:rFonts w:ascii="Arial" w:hAnsi="Arial"/>
          <w:i/>
          <w:sz w:val="20"/>
        </w:rPr>
        <w:t>The</w:t>
      </w:r>
      <w:r>
        <w:rPr>
          <w:rFonts w:ascii="Arial" w:hAnsi="Arial"/>
          <w:i/>
          <w:spacing w:val="20"/>
          <w:sz w:val="20"/>
        </w:rPr>
        <w:t> </w:t>
      </w:r>
      <w:r>
        <w:rPr>
          <w:rFonts w:ascii="Arial" w:hAnsi="Arial"/>
          <w:i/>
          <w:sz w:val="20"/>
        </w:rPr>
        <w:t>Mahkutai</w:t>
      </w:r>
      <w:r>
        <w:rPr>
          <w:rFonts w:ascii="Arial" w:hAnsi="Arial"/>
          <w:i/>
          <w:spacing w:val="20"/>
          <w:sz w:val="20"/>
        </w:rPr>
        <w:t> </w:t>
      </w:r>
      <w:r>
        <w:rPr>
          <w:rFonts w:ascii="Arial" w:hAnsi="Arial"/>
          <w:i/>
          <w:sz w:val="20"/>
        </w:rPr>
        <w:t>[1996]</w:t>
      </w:r>
      <w:r>
        <w:rPr>
          <w:rFonts w:ascii="Arial" w:hAnsi="Arial"/>
          <w:i/>
          <w:spacing w:val="20"/>
          <w:sz w:val="20"/>
        </w:rPr>
        <w:t> </w:t>
      </w:r>
      <w:r>
        <w:rPr>
          <w:rFonts w:ascii="Arial" w:hAnsi="Arial"/>
          <w:i/>
          <w:sz w:val="20"/>
        </w:rPr>
        <w:t>A.C.</w:t>
      </w:r>
      <w:r>
        <w:rPr>
          <w:rFonts w:ascii="Arial" w:hAnsi="Arial"/>
          <w:i/>
          <w:spacing w:val="20"/>
          <w:sz w:val="20"/>
        </w:rPr>
        <w:t> </w:t>
      </w:r>
      <w:r>
        <w:rPr>
          <w:rFonts w:ascii="Arial" w:hAnsi="Arial"/>
          <w:i/>
          <w:spacing w:val="-4"/>
          <w:sz w:val="20"/>
        </w:rPr>
        <w:t>650,</w:t>
      </w:r>
    </w:p>
    <w:p>
      <w:pPr>
        <w:spacing w:line="225" w:lineRule="exact" w:before="0"/>
        <w:ind w:left="705" w:right="0" w:firstLine="0"/>
        <w:jc w:val="left"/>
        <w:rPr>
          <w:sz w:val="20"/>
        </w:rPr>
      </w:pPr>
      <w:r>
        <w:rPr>
          <w:rFonts w:ascii="Arial"/>
          <w:i/>
          <w:spacing w:val="-4"/>
          <w:sz w:val="20"/>
        </w:rPr>
        <w:t>664</w:t>
      </w:r>
      <w:r>
        <w:rPr>
          <w:spacing w:val="-4"/>
          <w:sz w:val="20"/>
        </w:rPr>
        <w:t>.</w:t>
      </w:r>
    </w:p>
    <w:p>
      <w:pPr>
        <w:pStyle w:val="BodyText"/>
        <w:spacing w:before="5"/>
      </w:pPr>
    </w:p>
    <w:p>
      <w:pPr>
        <w:pStyle w:val="BodyText"/>
        <w:tabs>
          <w:tab w:pos="705" w:val="left" w:leader="none"/>
        </w:tabs>
        <w:spacing w:before="1"/>
        <w:ind w:left="165"/>
      </w:pPr>
      <w:bookmarkStart w:name="_bookmark795" w:id="797"/>
      <w:bookmarkEnd w:id="797"/>
      <w:r>
        <w:rPr/>
      </w:r>
      <w:hyperlink w:history="true" w:anchor="_bookmark768">
        <w:r>
          <w:rPr>
            <w:color w:val="005DA1"/>
            <w:spacing w:val="-4"/>
            <w:position w:val="5"/>
            <w:sz w:val="14"/>
            <w:u w:val="single" w:color="005DA1"/>
          </w:rPr>
          <w:t>414</w:t>
        </w:r>
      </w:hyperlink>
      <w:r>
        <w:rPr>
          <w:spacing w:val="-4"/>
          <w:position w:val="5"/>
          <w:sz w:val="14"/>
        </w:rPr>
        <w:t>.</w:t>
      </w:r>
      <w:r>
        <w:rPr>
          <w:position w:val="5"/>
          <w:sz w:val="14"/>
        </w:rPr>
        <w:tab/>
      </w:r>
      <w:r>
        <w:rPr/>
        <w:t>See further para.15-051, </w:t>
      </w:r>
      <w:r>
        <w:rPr>
          <w:spacing w:val="-2"/>
        </w:rPr>
        <w:t>below.</w:t>
      </w:r>
    </w:p>
    <w:p>
      <w:pPr>
        <w:pStyle w:val="BodyText"/>
        <w:spacing w:before="8"/>
      </w:pPr>
    </w:p>
    <w:p>
      <w:pPr>
        <w:spacing w:line="235" w:lineRule="auto" w:before="0"/>
        <w:ind w:left="705" w:right="167" w:hanging="541"/>
        <w:jc w:val="both"/>
        <w:rPr>
          <w:sz w:val="20"/>
        </w:rPr>
      </w:pPr>
      <w:bookmarkStart w:name="_bookmark796" w:id="798"/>
      <w:bookmarkEnd w:id="798"/>
      <w:r>
        <w:rPr/>
      </w:r>
      <w:hyperlink w:history="true" w:anchor="_bookmark769">
        <w:r>
          <w:rPr>
            <w:color w:val="005DA1"/>
            <w:position w:val="5"/>
            <w:sz w:val="14"/>
            <w:u w:val="single" w:color="005DA1"/>
          </w:rPr>
          <w:t>415</w:t>
        </w:r>
      </w:hyperlink>
      <w:r>
        <w:rPr>
          <w:position w:val="5"/>
          <w:sz w:val="14"/>
        </w:rPr>
        <w:t>.</w:t>
      </w:r>
      <w:r>
        <w:rPr>
          <w:spacing w:val="80"/>
          <w:position w:val="5"/>
          <w:sz w:val="14"/>
        </w:rPr>
        <w:t>  </w:t>
      </w:r>
      <w:r>
        <w:rPr>
          <w:sz w:val="20"/>
        </w:rPr>
        <w:t>A question may arise as to whether A has indeed performed or begun to perform his contract with B: see </w:t>
      </w:r>
      <w:r>
        <w:rPr>
          <w:rFonts w:ascii="Arial" w:hAnsi="Arial"/>
          <w:i/>
          <w:sz w:val="20"/>
        </w:rPr>
        <w:t>Lotus Cars Ltd v Southampton Cargo Handling plc (The Rigoletto) [2000] 2 Lloyd’s Rep. 532, 542–545</w:t>
      </w:r>
      <w:r>
        <w:rPr>
          <w:sz w:val="20"/>
        </w:rPr>
        <w:t>, where it was assumed that performance of a contract with a third party would constitute consideration.</w:t>
      </w:r>
    </w:p>
    <w:p>
      <w:pPr>
        <w:pStyle w:val="BodyText"/>
        <w:spacing w:before="5"/>
      </w:pPr>
    </w:p>
    <w:p>
      <w:pPr>
        <w:tabs>
          <w:tab w:pos="705" w:val="left" w:leader="none"/>
        </w:tabs>
        <w:spacing w:before="0"/>
        <w:ind w:left="165" w:right="0" w:firstLine="0"/>
        <w:jc w:val="left"/>
        <w:rPr>
          <w:sz w:val="20"/>
        </w:rPr>
      </w:pPr>
      <w:bookmarkStart w:name="_bookmark797" w:id="799"/>
      <w:bookmarkEnd w:id="799"/>
      <w:r>
        <w:rPr/>
      </w:r>
      <w:hyperlink w:history="true" w:anchor="_bookmark770">
        <w:r>
          <w:rPr>
            <w:color w:val="005DA1"/>
            <w:spacing w:val="-4"/>
            <w:position w:val="5"/>
            <w:sz w:val="14"/>
            <w:u w:val="single" w:color="005DA1"/>
          </w:rPr>
          <w:t>416</w:t>
        </w:r>
      </w:hyperlink>
      <w:r>
        <w:rPr>
          <w:spacing w:val="-4"/>
          <w:position w:val="5"/>
          <w:sz w:val="14"/>
        </w:rPr>
        <w:t>.</w:t>
      </w:r>
      <w:r>
        <w:rPr>
          <w:position w:val="5"/>
          <w:sz w:val="14"/>
        </w:rPr>
        <w:tab/>
      </w:r>
      <w:r>
        <w:rPr>
          <w:rFonts w:ascii="Arial" w:hAnsi="Arial"/>
          <w:i/>
          <w:sz w:val="20"/>
        </w:rPr>
        <w:t>The</w:t>
      </w:r>
      <w:r>
        <w:rPr>
          <w:rFonts w:ascii="Arial" w:hAnsi="Arial"/>
          <w:i/>
          <w:spacing w:val="-1"/>
          <w:sz w:val="20"/>
        </w:rPr>
        <w:t> </w:t>
      </w:r>
      <w:r>
        <w:rPr>
          <w:rFonts w:ascii="Arial" w:hAnsi="Arial"/>
          <w:i/>
          <w:sz w:val="20"/>
        </w:rPr>
        <w:t>Eurymedon</w:t>
      </w:r>
      <w:r>
        <w:rPr>
          <w:sz w:val="20"/>
        </w:rPr>
        <w:t>, above, n.408 at 168 (“for the benefit of the shipper”, i.e. of </w:t>
      </w:r>
      <w:r>
        <w:rPr>
          <w:spacing w:val="-5"/>
          <w:sz w:val="20"/>
        </w:rPr>
        <w:t>C).</w:t>
      </w:r>
    </w:p>
    <w:p>
      <w:pPr>
        <w:pStyle w:val="BodyText"/>
        <w:spacing w:before="5"/>
      </w:pPr>
    </w:p>
    <w:p>
      <w:pPr>
        <w:pStyle w:val="BodyText"/>
        <w:tabs>
          <w:tab w:pos="705" w:val="left" w:leader="none"/>
        </w:tabs>
        <w:ind w:left="165"/>
      </w:pPr>
      <w:bookmarkStart w:name="_bookmark798" w:id="800"/>
      <w:bookmarkEnd w:id="800"/>
      <w:r>
        <w:rPr/>
      </w:r>
      <w:hyperlink w:history="true" w:anchor="_bookmark771">
        <w:r>
          <w:rPr>
            <w:color w:val="005DA1"/>
            <w:spacing w:val="-4"/>
            <w:position w:val="5"/>
            <w:sz w:val="14"/>
            <w:u w:val="single" w:color="005DA1"/>
          </w:rPr>
          <w:t>417</w:t>
        </w:r>
      </w:hyperlink>
      <w:r>
        <w:rPr>
          <w:spacing w:val="-4"/>
          <w:position w:val="5"/>
          <w:sz w:val="14"/>
        </w:rPr>
        <w:t>.</w:t>
      </w:r>
      <w:r>
        <w:rPr>
          <w:position w:val="5"/>
          <w:sz w:val="14"/>
        </w:rPr>
        <w:tab/>
      </w:r>
      <w:r>
        <w:rPr/>
        <w:t>See</w:t>
      </w:r>
      <w:r>
        <w:rPr>
          <w:spacing w:val="-2"/>
        </w:rPr>
        <w:t> </w:t>
      </w:r>
      <w:r>
        <w:rPr/>
        <w:t>above, para.4-</w:t>
      </w:r>
      <w:r>
        <w:rPr>
          <w:spacing w:val="-4"/>
        </w:rPr>
        <w:t>006.</w:t>
      </w:r>
    </w:p>
    <w:p>
      <w:pPr>
        <w:pStyle w:val="BodyText"/>
        <w:spacing w:before="5"/>
      </w:pPr>
    </w:p>
    <w:p>
      <w:pPr>
        <w:pStyle w:val="BodyText"/>
        <w:tabs>
          <w:tab w:pos="705" w:val="left" w:leader="none"/>
        </w:tabs>
        <w:ind w:left="165"/>
      </w:pPr>
      <w:bookmarkStart w:name="_bookmark799" w:id="801"/>
      <w:bookmarkEnd w:id="801"/>
      <w:r>
        <w:rPr/>
      </w:r>
      <w:hyperlink w:history="true" w:anchor="_bookmark772">
        <w:r>
          <w:rPr>
            <w:color w:val="005DA1"/>
            <w:spacing w:val="-4"/>
            <w:position w:val="5"/>
            <w:sz w:val="14"/>
            <w:u w:val="single" w:color="005DA1"/>
          </w:rPr>
          <w:t>418</w:t>
        </w:r>
      </w:hyperlink>
      <w:r>
        <w:rPr>
          <w:spacing w:val="-4"/>
          <w:position w:val="5"/>
          <w:sz w:val="14"/>
        </w:rPr>
        <w:t>.</w:t>
      </w:r>
      <w:r>
        <w:rPr>
          <w:position w:val="5"/>
          <w:sz w:val="14"/>
        </w:rPr>
        <w:tab/>
      </w:r>
      <w:r>
        <w:rPr/>
        <w:t>cf. above, para.4-</w:t>
      </w:r>
      <w:r>
        <w:rPr>
          <w:spacing w:val="-4"/>
        </w:rPr>
        <w:t>068.</w:t>
      </w:r>
    </w:p>
    <w:p>
      <w:pPr>
        <w:pStyle w:val="BodyText"/>
        <w:spacing w:before="5"/>
      </w:pPr>
    </w:p>
    <w:p>
      <w:pPr>
        <w:pStyle w:val="BodyText"/>
        <w:tabs>
          <w:tab w:pos="705" w:val="left" w:leader="none"/>
        </w:tabs>
        <w:ind w:left="165"/>
      </w:pPr>
      <w:bookmarkStart w:name="_bookmark800" w:id="802"/>
      <w:bookmarkEnd w:id="802"/>
      <w:r>
        <w:rPr/>
      </w:r>
      <w:hyperlink w:history="true" w:anchor="_bookmark773">
        <w:r>
          <w:rPr>
            <w:color w:val="005DA1"/>
            <w:spacing w:val="-4"/>
            <w:position w:val="5"/>
            <w:sz w:val="14"/>
            <w:u w:val="single" w:color="005DA1"/>
          </w:rPr>
          <w:t>419</w:t>
        </w:r>
      </w:hyperlink>
      <w:r>
        <w:rPr>
          <w:spacing w:val="-4"/>
          <w:position w:val="5"/>
          <w:sz w:val="14"/>
        </w:rPr>
        <w:t>.</w:t>
      </w:r>
      <w:r>
        <w:rPr>
          <w:position w:val="5"/>
          <w:sz w:val="14"/>
        </w:rPr>
        <w:tab/>
      </w:r>
      <w:r>
        <w:rPr/>
        <w:t>Goodhart, (1956) 72 L.Q.R. </w:t>
      </w:r>
      <w:r>
        <w:rPr>
          <w:spacing w:val="-4"/>
        </w:rPr>
        <w:t>490.</w:t>
      </w:r>
    </w:p>
    <w:p>
      <w:pPr>
        <w:pStyle w:val="BodyText"/>
        <w:spacing w:before="5"/>
      </w:pPr>
    </w:p>
    <w:p>
      <w:pPr>
        <w:tabs>
          <w:tab w:pos="705" w:val="left" w:leader="none"/>
        </w:tabs>
        <w:spacing w:before="0"/>
        <w:ind w:left="165" w:right="0" w:firstLine="0"/>
        <w:jc w:val="left"/>
        <w:rPr>
          <w:sz w:val="20"/>
        </w:rPr>
      </w:pPr>
      <w:bookmarkStart w:name="_bookmark801" w:id="803"/>
      <w:bookmarkEnd w:id="803"/>
      <w:r>
        <w:rPr/>
      </w:r>
      <w:hyperlink w:history="true" w:anchor="_bookmark774">
        <w:r>
          <w:rPr>
            <w:color w:val="005DA1"/>
            <w:spacing w:val="-4"/>
            <w:position w:val="5"/>
            <w:sz w:val="14"/>
            <w:u w:val="single" w:color="005DA1"/>
          </w:rPr>
          <w:t>420</w:t>
        </w:r>
      </w:hyperlink>
      <w:r>
        <w:rPr>
          <w:spacing w:val="-4"/>
          <w:position w:val="5"/>
          <w:sz w:val="14"/>
        </w:rPr>
        <w:t>.</w:t>
      </w:r>
      <w:r>
        <w:rPr>
          <w:position w:val="5"/>
          <w:sz w:val="14"/>
        </w:rPr>
        <w:tab/>
      </w:r>
      <w:r>
        <w:rPr>
          <w:sz w:val="20"/>
        </w:rPr>
        <w:t>Above, para.4-</w:t>
      </w:r>
      <w:r>
        <w:rPr>
          <w:spacing w:val="-4"/>
          <w:sz w:val="20"/>
        </w:rPr>
        <w:t>067.</w:t>
      </w:r>
    </w:p>
    <w:p>
      <w:pPr>
        <w:pStyle w:val="BodyText"/>
        <w:spacing w:before="9"/>
      </w:pPr>
    </w:p>
    <w:p>
      <w:pPr>
        <w:spacing w:line="235" w:lineRule="auto" w:before="0"/>
        <w:ind w:left="705" w:right="167" w:hanging="541"/>
        <w:jc w:val="both"/>
        <w:rPr>
          <w:sz w:val="20"/>
        </w:rPr>
      </w:pPr>
      <w:bookmarkStart w:name="_bookmark802" w:id="804"/>
      <w:bookmarkEnd w:id="804"/>
      <w:r>
        <w:rPr/>
      </w:r>
      <w:hyperlink w:history="true" w:anchor="_bookmark775">
        <w:r>
          <w:rPr>
            <w:color w:val="005DA1"/>
            <w:position w:val="5"/>
            <w:sz w:val="14"/>
            <w:u w:val="single" w:color="005DA1"/>
          </w:rPr>
          <w:t>421</w:t>
        </w:r>
      </w:hyperlink>
      <w:r>
        <w:rPr>
          <w:position w:val="5"/>
          <w:sz w:val="14"/>
        </w:rPr>
        <w:t>.</w:t>
      </w:r>
      <w:r>
        <w:rPr>
          <w:spacing w:val="40"/>
          <w:position w:val="5"/>
          <w:sz w:val="14"/>
        </w:rPr>
        <w:t>  </w:t>
      </w:r>
      <w:r>
        <w:rPr>
          <w:sz w:val="20"/>
        </w:rPr>
        <w:t>In </w:t>
      </w:r>
      <w:r>
        <w:rPr>
          <w:rFonts w:ascii="Arial" w:hAnsi="Arial"/>
          <w:i/>
          <w:sz w:val="20"/>
        </w:rPr>
        <w:t>Stilk v Myrick </w:t>
      </w:r>
      <w:r>
        <w:rPr>
          <w:sz w:val="20"/>
        </w:rPr>
        <w:t>the distinction between two- and three-party cases was ignored; no one asked whether</w:t>
      </w:r>
      <w:r>
        <w:rPr>
          <w:spacing w:val="-1"/>
          <w:sz w:val="20"/>
        </w:rPr>
        <w:t> </w:t>
      </w:r>
      <w:r>
        <w:rPr>
          <w:sz w:val="20"/>
        </w:rPr>
        <w:t>the</w:t>
      </w:r>
      <w:r>
        <w:rPr>
          <w:spacing w:val="-1"/>
          <w:sz w:val="20"/>
        </w:rPr>
        <w:t> </w:t>
      </w:r>
      <w:r>
        <w:rPr>
          <w:sz w:val="20"/>
        </w:rPr>
        <w:t>original</w:t>
      </w:r>
      <w:r>
        <w:rPr>
          <w:spacing w:val="-1"/>
          <w:sz w:val="20"/>
        </w:rPr>
        <w:t> </w:t>
      </w:r>
      <w:r>
        <w:rPr>
          <w:sz w:val="20"/>
        </w:rPr>
        <w:t>contract</w:t>
      </w:r>
      <w:r>
        <w:rPr>
          <w:spacing w:val="-1"/>
          <w:sz w:val="20"/>
        </w:rPr>
        <w:t> </w:t>
      </w:r>
      <w:r>
        <w:rPr>
          <w:sz w:val="20"/>
        </w:rPr>
        <w:t>was</w:t>
      </w:r>
      <w:r>
        <w:rPr>
          <w:spacing w:val="-1"/>
          <w:sz w:val="20"/>
        </w:rPr>
        <w:t> </w:t>
      </w:r>
      <w:r>
        <w:rPr>
          <w:sz w:val="20"/>
        </w:rPr>
        <w:t>with</w:t>
      </w:r>
      <w:r>
        <w:rPr>
          <w:spacing w:val="-1"/>
          <w:sz w:val="20"/>
        </w:rPr>
        <w:t> </w:t>
      </w:r>
      <w:r>
        <w:rPr>
          <w:sz w:val="20"/>
        </w:rPr>
        <w:t>the</w:t>
      </w:r>
      <w:r>
        <w:rPr>
          <w:spacing w:val="-1"/>
          <w:sz w:val="20"/>
        </w:rPr>
        <w:t> </w:t>
      </w:r>
      <w:r>
        <w:rPr>
          <w:sz w:val="20"/>
        </w:rPr>
        <w:t>captain</w:t>
      </w:r>
      <w:r>
        <w:rPr>
          <w:spacing w:val="-1"/>
          <w:sz w:val="20"/>
        </w:rPr>
        <w:t> </w:t>
      </w:r>
      <w:r>
        <w:rPr>
          <w:sz w:val="20"/>
        </w:rPr>
        <w:t>(the</w:t>
      </w:r>
      <w:r>
        <w:rPr>
          <w:spacing w:val="-1"/>
          <w:sz w:val="20"/>
        </w:rPr>
        <w:t> </w:t>
      </w:r>
      <w:r>
        <w:rPr>
          <w:sz w:val="20"/>
        </w:rPr>
        <w:t>promisor)</w:t>
      </w:r>
      <w:r>
        <w:rPr>
          <w:spacing w:val="-1"/>
          <w:sz w:val="20"/>
        </w:rPr>
        <w:t> </w:t>
      </w:r>
      <w:r>
        <w:rPr>
          <w:sz w:val="20"/>
        </w:rPr>
        <w:t>or</w:t>
      </w:r>
      <w:r>
        <w:rPr>
          <w:spacing w:val="-1"/>
          <w:sz w:val="20"/>
        </w:rPr>
        <w:t> </w:t>
      </w:r>
      <w:r>
        <w:rPr>
          <w:sz w:val="20"/>
        </w:rPr>
        <w:t>the</w:t>
      </w:r>
      <w:r>
        <w:rPr>
          <w:spacing w:val="-1"/>
          <w:sz w:val="20"/>
        </w:rPr>
        <w:t> </w:t>
      </w:r>
      <w:r>
        <w:rPr>
          <w:sz w:val="20"/>
        </w:rPr>
        <w:t>shipowner,</w:t>
      </w:r>
      <w:r>
        <w:rPr>
          <w:spacing w:val="-1"/>
          <w:sz w:val="20"/>
        </w:rPr>
        <w:t> </w:t>
      </w:r>
      <w:r>
        <w:rPr>
          <w:sz w:val="20"/>
        </w:rPr>
        <w:t>if</w:t>
      </w:r>
      <w:r>
        <w:rPr>
          <w:spacing w:val="-1"/>
          <w:sz w:val="20"/>
        </w:rPr>
        <w:t> </w:t>
      </w:r>
      <w:r>
        <w:rPr>
          <w:sz w:val="20"/>
        </w:rPr>
        <w:t>these</w:t>
      </w:r>
      <w:r>
        <w:rPr>
          <w:spacing w:val="-1"/>
          <w:sz w:val="20"/>
        </w:rPr>
        <w:t> </w:t>
      </w:r>
      <w:r>
        <w:rPr>
          <w:sz w:val="20"/>
        </w:rPr>
        <w:t>were separate persons. The report in </w:t>
      </w:r>
      <w:r>
        <w:rPr>
          <w:rFonts w:ascii="Arial" w:hAnsi="Arial"/>
          <w:i/>
          <w:sz w:val="20"/>
        </w:rPr>
        <w:t>6 Esp. 129 </w:t>
      </w:r>
      <w:r>
        <w:rPr>
          <w:sz w:val="20"/>
        </w:rPr>
        <w:t>makes it clear that the </w:t>
      </w:r>
      <w:r>
        <w:rPr>
          <w:rFonts w:ascii="Arial" w:hAnsi="Arial"/>
          <w:i/>
          <w:sz w:val="20"/>
        </w:rPr>
        <w:t>action </w:t>
      </w:r>
      <w:r>
        <w:rPr>
          <w:sz w:val="20"/>
        </w:rPr>
        <w:t>was against the captain. cf. also </w:t>
      </w:r>
      <w:r>
        <w:rPr>
          <w:rFonts w:ascii="Arial" w:hAnsi="Arial"/>
          <w:i/>
          <w:sz w:val="20"/>
        </w:rPr>
        <w:t>Turner v Owen (1862) 3 F. &amp; F. 176</w:t>
      </w:r>
      <w:r>
        <w:rPr>
          <w:sz w:val="20"/>
        </w:rPr>
        <w:t>, where improper pressure may have </w:t>
      </w:r>
      <w:r>
        <w:rPr>
          <w:sz w:val="20"/>
        </w:rPr>
        <w:t>been the ground for the jury’s verdict even before the law recognised the concept of economic</w:t>
      </w:r>
      <w:r>
        <w:rPr>
          <w:spacing w:val="40"/>
          <w:sz w:val="20"/>
        </w:rPr>
        <w:t> </w:t>
      </w:r>
      <w:r>
        <w:rPr>
          <w:sz w:val="20"/>
        </w:rPr>
        <w:t>duress; and </w:t>
      </w:r>
      <w:r>
        <w:rPr>
          <w:rFonts w:ascii="Arial" w:hAnsi="Arial"/>
          <w:i/>
          <w:sz w:val="20"/>
        </w:rPr>
        <w:t>B. &amp; S. Contractors &amp; Designs v Victor Green Publications Ltd [1984] I.C.R. 419</w:t>
      </w:r>
      <w:r>
        <w:rPr>
          <w:sz w:val="20"/>
        </w:rPr>
        <w:t>.</w:t>
      </w:r>
    </w:p>
    <w:p>
      <w:pPr>
        <w:spacing w:after="0" w:line="235" w:lineRule="auto"/>
        <w:jc w:val="both"/>
        <w:rPr>
          <w:sz w:val="20"/>
        </w:rPr>
        <w:sectPr>
          <w:pgSz w:w="11900" w:h="16840"/>
          <w:pgMar w:header="971" w:footer="0" w:top="1160" w:bottom="280" w:left="1275" w:right="1275"/>
        </w:sectPr>
      </w:pPr>
    </w:p>
    <w:p>
      <w:pPr>
        <w:pStyle w:val="BodyText"/>
        <w:spacing w:before="84"/>
      </w:pPr>
    </w:p>
    <w:p>
      <w:pPr>
        <w:pStyle w:val="BodyText"/>
        <w:tabs>
          <w:tab w:pos="705" w:val="left" w:leader="none"/>
        </w:tabs>
        <w:spacing w:line="235" w:lineRule="auto" w:before="1"/>
        <w:ind w:left="705" w:right="168" w:hanging="541"/>
      </w:pPr>
      <w:hyperlink w:history="true" w:anchor="_bookmark776">
        <w:r>
          <w:rPr>
            <w:color w:val="005DA1"/>
            <w:spacing w:val="-4"/>
            <w:position w:val="5"/>
            <w:sz w:val="14"/>
            <w:u w:val="single" w:color="005DA1"/>
          </w:rPr>
          <w:t>422</w:t>
        </w:r>
      </w:hyperlink>
      <w:r>
        <w:rPr>
          <w:spacing w:val="-4"/>
          <w:position w:val="5"/>
          <w:sz w:val="14"/>
        </w:rPr>
        <w:t>.</w:t>
      </w:r>
      <w:r>
        <w:rPr>
          <w:position w:val="5"/>
          <w:sz w:val="14"/>
        </w:rPr>
        <w:tab/>
      </w:r>
      <w:r>
        <w:rPr/>
        <w:t>Above, para.4-069; above, n.411; cf. below, para.4-076 (in the case of a </w:t>
      </w:r>
      <w:r>
        <w:rPr>
          <w:rFonts w:ascii="Arial"/>
          <w:i/>
        </w:rPr>
        <w:t>promise </w:t>
      </w:r>
      <w:r>
        <w:rPr/>
        <w:t>to perform a duty to a third party).</w:t>
      </w:r>
    </w:p>
    <w:p>
      <w:pPr>
        <w:pStyle w:val="BodyText"/>
        <w:spacing w:before="9"/>
      </w:pPr>
    </w:p>
    <w:p>
      <w:pPr>
        <w:spacing w:line="235" w:lineRule="auto" w:before="0"/>
        <w:ind w:left="705" w:right="167" w:hanging="541"/>
        <w:jc w:val="both"/>
        <w:rPr>
          <w:sz w:val="20"/>
        </w:rPr>
      </w:pPr>
      <w:bookmarkStart w:name="_bookmark803" w:id="805"/>
      <w:bookmarkEnd w:id="805"/>
      <w:r>
        <w:rPr/>
      </w:r>
      <w:hyperlink w:history="true" w:anchor="_bookmark777">
        <w:r>
          <w:rPr>
            <w:color w:val="005DA1"/>
            <w:position w:val="5"/>
            <w:sz w:val="14"/>
            <w:u w:val="single" w:color="005DA1"/>
          </w:rPr>
          <w:t>423</w:t>
        </w:r>
      </w:hyperlink>
      <w:r>
        <w:rPr>
          <w:position w:val="5"/>
          <w:sz w:val="14"/>
        </w:rPr>
        <w:t>.</w:t>
      </w:r>
      <w:r>
        <w:rPr>
          <w:spacing w:val="80"/>
          <w:position w:val="5"/>
          <w:sz w:val="14"/>
        </w:rPr>
        <w:t>  </w:t>
      </w:r>
      <w:r>
        <w:rPr>
          <w:rFonts w:ascii="Arial"/>
          <w:i/>
          <w:sz w:val="20"/>
        </w:rPr>
        <w:t>(1839) 5 Bing.N.C. 341 affirmed without reference to this point (1842) 9 Cl. &amp; F. 101</w:t>
      </w:r>
      <w:r>
        <w:rPr>
          <w:sz w:val="20"/>
        </w:rPr>
        <w:t>. A dictum</w:t>
      </w:r>
      <w:r>
        <w:rPr>
          <w:spacing w:val="80"/>
          <w:sz w:val="20"/>
        </w:rPr>
        <w:t> </w:t>
      </w:r>
      <w:r>
        <w:rPr>
          <w:sz w:val="20"/>
        </w:rPr>
        <w:t>in </w:t>
      </w:r>
      <w:r>
        <w:rPr>
          <w:rFonts w:ascii="Arial"/>
          <w:i/>
          <w:sz w:val="20"/>
        </w:rPr>
        <w:t>Pfizer Corp. v Ministry of Health [1965] A.C. 512, 536 </w:t>
      </w:r>
      <w:r>
        <w:rPr>
          <w:sz w:val="20"/>
        </w:rPr>
        <w:t>could be interpreted to support </w:t>
      </w:r>
      <w:r>
        <w:rPr>
          <w:sz w:val="20"/>
        </w:rPr>
        <w:t>the same view but appears (from the context) to be based on lack of contractual intention: see above, para.4-074, n.397.</w:t>
      </w:r>
    </w:p>
    <w:p>
      <w:pPr>
        <w:pStyle w:val="BodyText"/>
        <w:spacing w:before="4"/>
      </w:pPr>
    </w:p>
    <w:p>
      <w:pPr>
        <w:tabs>
          <w:tab w:pos="705" w:val="left" w:leader="none"/>
        </w:tabs>
        <w:spacing w:before="1"/>
        <w:ind w:left="165" w:right="0" w:firstLine="0"/>
        <w:jc w:val="left"/>
        <w:rPr>
          <w:sz w:val="20"/>
        </w:rPr>
      </w:pPr>
      <w:bookmarkStart w:name="_bookmark804" w:id="806"/>
      <w:bookmarkEnd w:id="806"/>
      <w:r>
        <w:rPr/>
      </w:r>
      <w:hyperlink w:history="true" w:anchor="_bookmark778">
        <w:r>
          <w:rPr>
            <w:color w:val="005DA1"/>
            <w:spacing w:val="-4"/>
            <w:position w:val="5"/>
            <w:sz w:val="14"/>
            <w:u w:val="single" w:color="005DA1"/>
          </w:rPr>
          <w:t>424</w:t>
        </w:r>
      </w:hyperlink>
      <w:r>
        <w:rPr>
          <w:spacing w:val="-4"/>
          <w:position w:val="5"/>
          <w:sz w:val="14"/>
        </w:rPr>
        <w:t>.</w:t>
      </w:r>
      <w:r>
        <w:rPr>
          <w:position w:val="5"/>
          <w:sz w:val="14"/>
        </w:rPr>
        <w:tab/>
      </w:r>
      <w:r>
        <w:rPr>
          <w:rFonts w:ascii="Arial"/>
          <w:i/>
          <w:sz w:val="20"/>
        </w:rPr>
        <w:t>[1980]</w:t>
      </w:r>
      <w:r>
        <w:rPr>
          <w:rFonts w:ascii="Arial"/>
          <w:i/>
          <w:spacing w:val="-2"/>
          <w:sz w:val="20"/>
        </w:rPr>
        <w:t> </w:t>
      </w:r>
      <w:r>
        <w:rPr>
          <w:rFonts w:ascii="Arial"/>
          <w:i/>
          <w:sz w:val="20"/>
        </w:rPr>
        <w:t>A.C. </w:t>
      </w:r>
      <w:r>
        <w:rPr>
          <w:rFonts w:ascii="Arial"/>
          <w:i/>
          <w:spacing w:val="-4"/>
          <w:sz w:val="20"/>
        </w:rPr>
        <w:t>614</w:t>
      </w:r>
      <w:r>
        <w:rPr>
          <w:spacing w:val="-4"/>
          <w:sz w:val="20"/>
        </w:rPr>
        <w:t>.</w:t>
      </w:r>
    </w:p>
    <w:p>
      <w:pPr>
        <w:pStyle w:val="BodyText"/>
        <w:spacing w:before="5"/>
      </w:pPr>
    </w:p>
    <w:p>
      <w:pPr>
        <w:pStyle w:val="BodyText"/>
        <w:tabs>
          <w:tab w:pos="705" w:val="left" w:leader="none"/>
        </w:tabs>
        <w:ind w:left="165"/>
      </w:pPr>
      <w:bookmarkStart w:name="_bookmark805" w:id="807"/>
      <w:bookmarkEnd w:id="807"/>
      <w:r>
        <w:rPr/>
      </w:r>
      <w:hyperlink w:history="true" w:anchor="_bookmark779">
        <w:r>
          <w:rPr>
            <w:color w:val="005DA1"/>
            <w:spacing w:val="-4"/>
            <w:position w:val="5"/>
            <w:sz w:val="14"/>
            <w:u w:val="single" w:color="005DA1"/>
          </w:rPr>
          <w:t>425</w:t>
        </w:r>
      </w:hyperlink>
      <w:r>
        <w:rPr>
          <w:spacing w:val="-4"/>
          <w:position w:val="5"/>
          <w:sz w:val="14"/>
        </w:rPr>
        <w:t>.</w:t>
      </w:r>
      <w:r>
        <w:rPr>
          <w:position w:val="5"/>
          <w:sz w:val="14"/>
        </w:rPr>
        <w:tab/>
      </w:r>
      <w:r>
        <w:rPr/>
        <w:t>For rejection of the argument that the consideration was past, see above, para.4-</w:t>
      </w:r>
      <w:r>
        <w:rPr>
          <w:spacing w:val="-4"/>
        </w:rPr>
        <w:t>031.</w:t>
      </w:r>
    </w:p>
    <w:p>
      <w:pPr>
        <w:pStyle w:val="BodyText"/>
        <w:spacing w:before="8"/>
      </w:pPr>
    </w:p>
    <w:p>
      <w:pPr>
        <w:pStyle w:val="BodyText"/>
        <w:spacing w:line="235" w:lineRule="auto" w:before="1"/>
        <w:ind w:left="705" w:right="167" w:hanging="541"/>
        <w:jc w:val="both"/>
      </w:pPr>
      <w:bookmarkStart w:name="_bookmark806" w:id="808"/>
      <w:bookmarkEnd w:id="808"/>
      <w:r>
        <w:rPr/>
      </w:r>
      <w:hyperlink w:history="true" w:anchor="_bookmark780">
        <w:r>
          <w:rPr>
            <w:color w:val="005DA1"/>
            <w:position w:val="5"/>
            <w:sz w:val="14"/>
            <w:u w:val="single" w:color="005DA1"/>
          </w:rPr>
          <w:t>426</w:t>
        </w:r>
      </w:hyperlink>
      <w:r>
        <w:rPr>
          <w:position w:val="5"/>
          <w:sz w:val="14"/>
        </w:rPr>
        <w:t>.</w:t>
      </w:r>
      <w:r>
        <w:rPr>
          <w:spacing w:val="40"/>
          <w:position w:val="5"/>
          <w:sz w:val="14"/>
        </w:rPr>
        <w:t>  </w:t>
      </w:r>
      <w:r>
        <w:rPr>
          <w:rFonts w:ascii="Arial" w:hAnsi="Arial"/>
          <w:i/>
        </w:rPr>
        <w:t>[1980] A.C. 614, 632</w:t>
      </w:r>
      <w:r>
        <w:rPr/>
        <w:t>. In </w:t>
      </w:r>
      <w:r>
        <w:rPr>
          <w:rFonts w:ascii="Arial" w:hAnsi="Arial"/>
          <w:i/>
        </w:rPr>
        <w:t>The Eurymedon</w:t>
      </w:r>
      <w:r>
        <w:rPr/>
        <w:t>, above, n.408, it was said at 168 that a promise to perform a contractual duty owed by a third party was consideration because it was a </w:t>
      </w:r>
      <w:r>
        <w:rPr>
          <w:rFonts w:ascii="Arial" w:hAnsi="Arial"/>
          <w:i/>
        </w:rPr>
        <w:t>benefit to the promisee</w:t>
      </w:r>
      <w:r>
        <w:rPr/>
        <w:t>. This is at first sight puzzling, since consideration must be a detriment to the promisee or a benefit to the promisor. The reference, however, was to a case in which </w:t>
      </w:r>
      <w:r>
        <w:rPr/>
        <w:t>A’s promise to C was said to be consideration for C’s </w:t>
      </w:r>
      <w:r>
        <w:rPr>
          <w:rFonts w:ascii="Arial" w:hAnsi="Arial"/>
          <w:i/>
        </w:rPr>
        <w:t>counter-promise </w:t>
      </w:r>
      <w:r>
        <w:rPr/>
        <w:t>to A and it was the consideration for that counter-promise which was in issue. In relation to that counter-promise, C was the promisor and the benefit that C got from A’s promise satisfied the orthodox test of consideration for C’s counter-promise. cf. above para.4-075.</w:t>
      </w:r>
    </w:p>
    <w:p>
      <w:pPr>
        <w:pStyle w:val="BodyText"/>
        <w:spacing w:before="3"/>
      </w:pPr>
    </w:p>
    <w:p>
      <w:pPr>
        <w:pStyle w:val="BodyText"/>
        <w:tabs>
          <w:tab w:pos="705" w:val="left" w:leader="none"/>
        </w:tabs>
        <w:ind w:left="165"/>
      </w:pPr>
      <w:bookmarkStart w:name="_bookmark807" w:id="809"/>
      <w:bookmarkEnd w:id="809"/>
      <w:r>
        <w:rPr/>
      </w:r>
      <w:hyperlink w:history="true" w:anchor="_bookmark781">
        <w:r>
          <w:rPr>
            <w:color w:val="005DA1"/>
            <w:spacing w:val="-4"/>
            <w:position w:val="5"/>
            <w:sz w:val="14"/>
            <w:u w:val="single" w:color="005DA1"/>
          </w:rPr>
          <w:t>427</w:t>
        </w:r>
      </w:hyperlink>
      <w:r>
        <w:rPr>
          <w:spacing w:val="-4"/>
          <w:position w:val="5"/>
          <w:sz w:val="14"/>
        </w:rPr>
        <w:t>.</w:t>
      </w:r>
      <w:r>
        <w:rPr>
          <w:position w:val="5"/>
          <w:sz w:val="14"/>
        </w:rPr>
        <w:tab/>
      </w:r>
      <w:r>
        <w:rPr/>
        <w:t>cf. above, para.4-</w:t>
      </w:r>
      <w:r>
        <w:rPr>
          <w:spacing w:val="-4"/>
        </w:rPr>
        <w:t>068.</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727" w:right="2730"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89824">
                <wp:simplePos x="0" y="0"/>
                <wp:positionH relativeFrom="page">
                  <wp:posOffset>4707940</wp:posOffset>
                </wp:positionH>
                <wp:positionV relativeFrom="paragraph">
                  <wp:posOffset>377436</wp:posOffset>
                </wp:positionV>
                <wp:extent cx="4254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26656" from="370.70401pt,29.719406pt" to="374.04001pt,29.719406pt" stroked="true" strokeweight=".428pt" strokecolor="#005da1">
                <v:stroke dashstyle="solid"/>
                <w10:wrap type="none"/>
              </v:line>
            </w:pict>
          </mc:Fallback>
        </mc:AlternateContent>
      </w: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4 - Consideration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9. - Discharge and Variation of Contractual </w:t>
      </w:r>
      <w:r>
        <w:rPr>
          <w:rFonts w:ascii="Arial"/>
          <w:b/>
          <w:spacing w:val="-2"/>
          <w:sz w:val="24"/>
        </w:rPr>
        <w:t>Duties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Introduction</w:t>
      </w:r>
    </w:p>
    <w:p>
      <w:pPr>
        <w:pStyle w:val="BodyText"/>
        <w:spacing w:before="41"/>
        <w:rPr>
          <w:rFonts w:ascii="Arial"/>
          <w:b/>
          <w:sz w:val="18"/>
        </w:rPr>
      </w:pPr>
    </w:p>
    <w:p>
      <w:pPr>
        <w:pStyle w:val="Heading2"/>
      </w:pPr>
      <w:r>
        <w:rPr/>
        <w:t>4-</w:t>
      </w:r>
      <w:r>
        <w:rPr>
          <w:spacing w:val="-5"/>
        </w:rPr>
        <w:t>077</w:t>
      </w:r>
    </w:p>
    <w:p>
      <w:pPr>
        <w:pStyle w:val="BodyText"/>
        <w:spacing w:line="235" w:lineRule="auto" w:before="203"/>
        <w:ind w:left="164" w:right="167"/>
        <w:jc w:val="both"/>
      </w:pPr>
      <w:r>
        <w:rPr/>
        <w:t>The parties to a contract may agree to rescind it or to vary its terms. This subject is discussed </w:t>
      </w:r>
      <w:r>
        <w:rPr/>
        <w:t>in Chapter 22, but it is necessary in the present chapter to say something of the problems of </w:t>
      </w:r>
      <w:bookmarkStart w:name="_bookmark808" w:id="810"/>
      <w:bookmarkEnd w:id="810"/>
      <w:r>
        <w:rPr/>
        <w:t>consideration</w:t>
      </w:r>
      <w:r>
        <w:rPr/>
        <w:t> to which such agreements give rise. Indeed one aspect of the matter has already been </w:t>
      </w:r>
      <w:bookmarkStart w:name="_bookmark809" w:id="811"/>
      <w:bookmarkEnd w:id="811"/>
      <w:r>
        <w:rPr/>
        <w:t>discussed,</w:t>
      </w:r>
      <w:r>
        <w:rPr/>
        <w:t> for cases such as </w:t>
      </w:r>
      <w:r>
        <w:rPr>
          <w:rFonts w:ascii="Arial" w:hAnsi="Arial"/>
          <w:i/>
        </w:rPr>
        <w:t>Stilk v Myrick </w:t>
      </w:r>
      <w:r>
        <w:rPr>
          <w:color w:val="005DA1"/>
          <w:u w:val="single" w:color="005DA1"/>
          <w:vertAlign w:val="superscript"/>
        </w:rPr>
        <w:t>428</w:t>
      </w:r>
      <w:r>
        <w:rPr>
          <w:color w:val="005DA1"/>
          <w:vertAlign w:val="baseline"/>
        </w:rPr>
        <w:t> </w:t>
      </w:r>
      <w:r>
        <w:rPr>
          <w:vertAlign w:val="baseline"/>
        </w:rPr>
        <w:t>and </w:t>
      </w:r>
      <w:r>
        <w:rPr>
          <w:rFonts w:ascii="Arial" w:hAnsi="Arial"/>
          <w:i/>
          <w:vertAlign w:val="baseline"/>
        </w:rPr>
        <w:t>Williams v Roffey Bros. &amp; Nicholls (Contractors)</w:t>
      </w:r>
      <w:r>
        <w:rPr>
          <w:rFonts w:ascii="Arial" w:hAnsi="Arial"/>
          <w:i/>
          <w:spacing w:val="40"/>
          <w:vertAlign w:val="baseline"/>
        </w:rPr>
        <w:t> </w:t>
      </w:r>
      <w:r>
        <w:rPr>
          <w:rFonts w:ascii="Arial" w:hAnsi="Arial"/>
          <w:i/>
          <w:vertAlign w:val="baseline"/>
        </w:rPr>
        <w:t>Ltd </w:t>
      </w:r>
      <w:r>
        <w:rPr>
          <w:color w:val="005DA1"/>
          <w:u w:val="single" w:color="005DA1"/>
          <w:vertAlign w:val="superscript"/>
        </w:rPr>
        <w:t>429</w:t>
      </w:r>
      <w:r>
        <w:rPr>
          <w:color w:val="005DA1"/>
          <w:vertAlign w:val="baseline"/>
        </w:rPr>
        <w:t> </w:t>
      </w:r>
      <w:r>
        <w:rPr>
          <w:vertAlign w:val="baseline"/>
        </w:rPr>
        <w:t>raise a problem of consideration arising from the variation of an existing contract. In those cases, the question was whether the performance by A of his obligations under the old contract could be consideration for a new promise from B. Our present problem is whether there is consideration for </w:t>
      </w:r>
      <w:bookmarkStart w:name="_bookmark810" w:id="812"/>
      <w:bookmarkEnd w:id="812"/>
      <w:r>
        <w:rPr>
          <w:vertAlign w:val="baseline"/>
        </w:rPr>
        <w:t>a</w:t>
      </w:r>
      <w:r>
        <w:rPr>
          <w:vertAlign w:val="baseline"/>
        </w:rPr>
        <w:t> promise by B to accept, in discharge of A’s obligations, some performance other than that originally undertaken by A, </w:t>
      </w:r>
      <w:r>
        <w:rPr>
          <w:color w:val="005DA1"/>
          <w:u w:val="single" w:color="005DA1"/>
          <w:vertAlign w:val="superscript"/>
        </w:rPr>
        <w:t>430</w:t>
      </w:r>
      <w:r>
        <w:rPr>
          <w:color w:val="005DA1"/>
          <w:vertAlign w:val="baseline"/>
        </w:rPr>
        <w:t> </w:t>
      </w:r>
      <w:r>
        <w:rPr>
          <w:vertAlign w:val="baseline"/>
        </w:rPr>
        <w:t>or to grant A a total release from his obligations under the original contract. Even </w:t>
      </w:r>
      <w:bookmarkStart w:name="_bookmark811" w:id="813"/>
      <w:bookmarkEnd w:id="813"/>
      <w:r>
        <w:rPr>
          <w:vertAlign w:val="baseline"/>
        </w:rPr>
        <w:t>if</w:t>
      </w:r>
      <w:r>
        <w:rPr>
          <w:vertAlign w:val="baseline"/>
        </w:rPr>
        <w:t> there is no such consideration, B’s subsequent promise may, nevertheless, have some limited legal effect. </w:t>
      </w:r>
      <w:r>
        <w:rPr>
          <w:color w:val="005DA1"/>
          <w:u w:val="single" w:color="005DA1"/>
          <w:vertAlign w:val="superscript"/>
        </w:rPr>
        <w:t>431</w:t>
      </w:r>
    </w:p>
    <w:p>
      <w:pPr>
        <w:pStyle w:val="BodyText"/>
      </w:pPr>
    </w:p>
    <w:p>
      <w:pPr>
        <w:pStyle w:val="BodyText"/>
        <w:spacing w:before="35"/>
      </w:pPr>
      <w:r>
        <w:rPr/>
        <mc:AlternateContent>
          <mc:Choice Requires="wps">
            <w:drawing>
              <wp:anchor distT="0" distB="0" distL="0" distR="0" allowOverlap="1" layoutInCell="1" locked="0" behindDoc="1" simplePos="0" relativeHeight="487622656">
                <wp:simplePos x="0" y="0"/>
                <wp:positionH relativeFrom="page">
                  <wp:posOffset>914400</wp:posOffset>
                </wp:positionH>
                <wp:positionV relativeFrom="paragraph">
                  <wp:posOffset>183951</wp:posOffset>
                </wp:positionV>
                <wp:extent cx="5724525" cy="127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8434pt;width:450.75pt;height:.1pt;mso-position-horizontal-relative:page;mso-position-vertical-relative:paragraph;z-index:-15693824;mso-wrap-distance-left:0;mso-wrap-distance-right:0" id="docshape47" coordorigin="1440,290" coordsize="9015,0" path="m1440,290l10454,290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190336">
                <wp:simplePos x="0" y="0"/>
                <wp:positionH relativeFrom="page">
                  <wp:posOffset>914400</wp:posOffset>
                </wp:positionH>
                <wp:positionV relativeFrom="paragraph">
                  <wp:posOffset>97116</wp:posOffset>
                </wp:positionV>
                <wp:extent cx="4953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26144"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before="5"/>
      </w:pPr>
    </w:p>
    <w:p>
      <w:pPr>
        <w:tabs>
          <w:tab w:pos="705" w:val="left" w:leader="none"/>
        </w:tabs>
        <w:spacing w:before="0"/>
        <w:ind w:left="165" w:right="0" w:firstLine="0"/>
        <w:jc w:val="left"/>
        <w:rPr>
          <w:sz w:val="20"/>
        </w:rPr>
      </w:pPr>
      <w:bookmarkStart w:name="_bookmark812" w:id="814"/>
      <w:bookmarkEnd w:id="814"/>
      <w:r>
        <w:rPr/>
      </w:r>
      <w:hyperlink w:history="true" w:anchor="_bookmark808">
        <w:r>
          <w:rPr>
            <w:color w:val="005DA1"/>
            <w:spacing w:val="-4"/>
            <w:position w:val="5"/>
            <w:sz w:val="14"/>
            <w:u w:val="single" w:color="005DA1"/>
          </w:rPr>
          <w:t>428</w:t>
        </w:r>
      </w:hyperlink>
      <w:r>
        <w:rPr>
          <w:spacing w:val="-4"/>
          <w:position w:val="5"/>
          <w:sz w:val="14"/>
        </w:rPr>
        <w:t>.</w:t>
      </w:r>
      <w:r>
        <w:rPr>
          <w:position w:val="5"/>
          <w:sz w:val="14"/>
        </w:rPr>
        <w:tab/>
      </w:r>
      <w:r>
        <w:rPr>
          <w:rFonts w:ascii="Arial"/>
          <w:i/>
          <w:sz w:val="20"/>
        </w:rPr>
        <w:t>(1809)</w:t>
      </w:r>
      <w:r>
        <w:rPr>
          <w:rFonts w:ascii="Arial"/>
          <w:i/>
          <w:spacing w:val="-1"/>
          <w:sz w:val="20"/>
        </w:rPr>
        <w:t> </w:t>
      </w:r>
      <w:r>
        <w:rPr>
          <w:rFonts w:ascii="Arial"/>
          <w:i/>
          <w:sz w:val="20"/>
        </w:rPr>
        <w:t>2 Camp. 317; 6 Esp. 129</w:t>
      </w:r>
      <w:r>
        <w:rPr>
          <w:sz w:val="20"/>
        </w:rPr>
        <w:t>; above, para.4-</w:t>
      </w:r>
      <w:r>
        <w:rPr>
          <w:spacing w:val="-4"/>
          <w:sz w:val="20"/>
        </w:rPr>
        <w:t>067.</w:t>
      </w:r>
    </w:p>
    <w:p>
      <w:pPr>
        <w:pStyle w:val="BodyText"/>
        <w:spacing w:before="5"/>
      </w:pPr>
    </w:p>
    <w:p>
      <w:pPr>
        <w:tabs>
          <w:tab w:pos="705" w:val="left" w:leader="none"/>
        </w:tabs>
        <w:spacing w:before="0"/>
        <w:ind w:left="165" w:right="0" w:firstLine="0"/>
        <w:jc w:val="left"/>
        <w:rPr>
          <w:sz w:val="20"/>
        </w:rPr>
      </w:pPr>
      <w:bookmarkStart w:name="_bookmark813" w:id="815"/>
      <w:bookmarkEnd w:id="815"/>
      <w:r>
        <w:rPr/>
      </w:r>
      <w:hyperlink w:history="true" w:anchor="_bookmark809">
        <w:r>
          <w:rPr>
            <w:color w:val="005DA1"/>
            <w:spacing w:val="-4"/>
            <w:position w:val="5"/>
            <w:sz w:val="14"/>
            <w:u w:val="single" w:color="005DA1"/>
          </w:rPr>
          <w:t>429</w:t>
        </w:r>
      </w:hyperlink>
      <w:r>
        <w:rPr>
          <w:spacing w:val="-4"/>
          <w:position w:val="5"/>
          <w:sz w:val="14"/>
        </w:rPr>
        <w:t>.</w:t>
      </w:r>
      <w:r>
        <w:rPr>
          <w:position w:val="5"/>
          <w:sz w:val="14"/>
        </w:rPr>
        <w:tab/>
      </w:r>
      <w:r>
        <w:rPr>
          <w:rFonts w:ascii="Arial"/>
          <w:i/>
          <w:sz w:val="20"/>
        </w:rPr>
        <w:t>[1991]</w:t>
      </w:r>
      <w:r>
        <w:rPr>
          <w:rFonts w:ascii="Arial"/>
          <w:i/>
          <w:spacing w:val="-1"/>
          <w:sz w:val="20"/>
        </w:rPr>
        <w:t> </w:t>
      </w:r>
      <w:r>
        <w:rPr>
          <w:rFonts w:ascii="Arial"/>
          <w:i/>
          <w:sz w:val="20"/>
        </w:rPr>
        <w:t>1 Q.B. 1</w:t>
      </w:r>
      <w:r>
        <w:rPr>
          <w:sz w:val="20"/>
        </w:rPr>
        <w:t>, above, para.4-</w:t>
      </w:r>
      <w:r>
        <w:rPr>
          <w:spacing w:val="-4"/>
          <w:sz w:val="20"/>
        </w:rPr>
        <w:t>069.</w:t>
      </w:r>
    </w:p>
    <w:p>
      <w:pPr>
        <w:pStyle w:val="BodyText"/>
        <w:spacing w:before="9"/>
      </w:pPr>
    </w:p>
    <w:p>
      <w:pPr>
        <w:spacing w:line="235" w:lineRule="auto" w:before="0"/>
        <w:ind w:left="705" w:right="167" w:hanging="541"/>
        <w:jc w:val="both"/>
        <w:rPr>
          <w:sz w:val="20"/>
        </w:rPr>
      </w:pPr>
      <w:bookmarkStart w:name="_bookmark814" w:id="816"/>
      <w:bookmarkEnd w:id="816"/>
      <w:r>
        <w:rPr/>
      </w:r>
      <w:hyperlink w:history="true" w:anchor="_bookmark810">
        <w:r>
          <w:rPr>
            <w:color w:val="005DA1"/>
            <w:position w:val="5"/>
            <w:sz w:val="14"/>
            <w:u w:val="single" w:color="005DA1"/>
          </w:rPr>
          <w:t>430</w:t>
        </w:r>
      </w:hyperlink>
      <w:r>
        <w:rPr>
          <w:position w:val="5"/>
          <w:sz w:val="14"/>
        </w:rPr>
        <w:t>.</w:t>
      </w:r>
      <w:r>
        <w:rPr>
          <w:spacing w:val="40"/>
          <w:position w:val="5"/>
          <w:sz w:val="14"/>
        </w:rPr>
        <w:t>  </w:t>
      </w:r>
      <w:r>
        <w:rPr>
          <w:sz w:val="20"/>
        </w:rPr>
        <w:t>The</w:t>
      </w:r>
      <w:r>
        <w:rPr>
          <w:spacing w:val="-1"/>
          <w:sz w:val="20"/>
        </w:rPr>
        <w:t> </w:t>
      </w:r>
      <w:r>
        <w:rPr>
          <w:sz w:val="20"/>
        </w:rPr>
        <w:t>issue</w:t>
      </w:r>
      <w:r>
        <w:rPr>
          <w:spacing w:val="-1"/>
          <w:sz w:val="20"/>
        </w:rPr>
        <w:t> </w:t>
      </w:r>
      <w:r>
        <w:rPr>
          <w:sz w:val="20"/>
        </w:rPr>
        <w:t>discussed</w:t>
      </w:r>
      <w:r>
        <w:rPr>
          <w:spacing w:val="-1"/>
          <w:sz w:val="20"/>
        </w:rPr>
        <w:t> </w:t>
      </w:r>
      <w:r>
        <w:rPr>
          <w:sz w:val="20"/>
        </w:rPr>
        <w:t>in</w:t>
      </w:r>
      <w:r>
        <w:rPr>
          <w:spacing w:val="-2"/>
          <w:sz w:val="20"/>
        </w:rPr>
        <w:t> </w:t>
      </w:r>
      <w:r>
        <w:rPr>
          <w:rFonts w:ascii="Arial" w:hAnsi="Arial"/>
          <w:i/>
          <w:sz w:val="20"/>
        </w:rPr>
        <w:t>South</w:t>
      </w:r>
      <w:r>
        <w:rPr>
          <w:rFonts w:ascii="Arial" w:hAnsi="Arial"/>
          <w:i/>
          <w:spacing w:val="-1"/>
          <w:sz w:val="20"/>
        </w:rPr>
        <w:t> </w:t>
      </w:r>
      <w:r>
        <w:rPr>
          <w:rFonts w:ascii="Arial" w:hAnsi="Arial"/>
          <w:i/>
          <w:sz w:val="20"/>
        </w:rPr>
        <w:t>Caribbean</w:t>
      </w:r>
      <w:r>
        <w:rPr>
          <w:rFonts w:ascii="Arial" w:hAnsi="Arial"/>
          <w:i/>
          <w:spacing w:val="-1"/>
          <w:sz w:val="20"/>
        </w:rPr>
        <w:t> </w:t>
      </w:r>
      <w:r>
        <w:rPr>
          <w:rFonts w:ascii="Arial" w:hAnsi="Arial"/>
          <w:i/>
          <w:sz w:val="20"/>
        </w:rPr>
        <w:t>Trading</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Trafigura</w:t>
      </w:r>
      <w:r>
        <w:rPr>
          <w:rFonts w:ascii="Arial" w:hAnsi="Arial"/>
          <w:i/>
          <w:spacing w:val="-1"/>
          <w:sz w:val="20"/>
        </w:rPr>
        <w:t> </w:t>
      </w:r>
      <w:r>
        <w:rPr>
          <w:rFonts w:ascii="Arial" w:hAnsi="Arial"/>
          <w:i/>
          <w:sz w:val="20"/>
        </w:rPr>
        <w:t>Beheer</w:t>
      </w:r>
      <w:r>
        <w:rPr>
          <w:rFonts w:ascii="Arial" w:hAnsi="Arial"/>
          <w:i/>
          <w:spacing w:val="-1"/>
          <w:sz w:val="20"/>
        </w:rPr>
        <w:t> </w:t>
      </w:r>
      <w:r>
        <w:rPr>
          <w:rFonts w:ascii="Arial" w:hAnsi="Arial"/>
          <w:i/>
          <w:sz w:val="20"/>
        </w:rPr>
        <w:t>BV</w:t>
      </w:r>
      <w:r>
        <w:rPr>
          <w:rFonts w:ascii="Arial" w:hAnsi="Arial"/>
          <w:i/>
          <w:spacing w:val="-1"/>
          <w:sz w:val="20"/>
        </w:rPr>
        <w:t> </w:t>
      </w:r>
      <w:r>
        <w:rPr>
          <w:rFonts w:ascii="Arial" w:hAnsi="Arial"/>
          <w:i/>
          <w:sz w:val="20"/>
        </w:rPr>
        <w:t>[2004]</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2676 (Comm), [2005] 1 Lloyd’s Rep. 128 </w:t>
      </w:r>
      <w:r>
        <w:rPr>
          <w:sz w:val="20"/>
        </w:rPr>
        <w:t>at [107]–[112] seems to have been of this kind: see below, </w:t>
      </w:r>
      <w:r>
        <w:rPr>
          <w:spacing w:val="-2"/>
          <w:sz w:val="20"/>
        </w:rPr>
        <w:t>para.4-080.</w:t>
      </w:r>
    </w:p>
    <w:p>
      <w:pPr>
        <w:pStyle w:val="BodyText"/>
        <w:spacing w:before="5"/>
      </w:pPr>
    </w:p>
    <w:p>
      <w:pPr>
        <w:pStyle w:val="BodyText"/>
        <w:tabs>
          <w:tab w:pos="705" w:val="left" w:leader="none"/>
        </w:tabs>
        <w:ind w:left="165"/>
      </w:pPr>
      <w:bookmarkStart w:name="_bookmark815" w:id="817"/>
      <w:bookmarkEnd w:id="817"/>
      <w:r>
        <w:rPr/>
      </w:r>
      <w:hyperlink w:history="true" w:anchor="_bookmark811">
        <w:r>
          <w:rPr>
            <w:color w:val="005DA1"/>
            <w:spacing w:val="-4"/>
            <w:position w:val="5"/>
            <w:sz w:val="14"/>
            <w:u w:val="single" w:color="005DA1"/>
          </w:rPr>
          <w:t>431</w:t>
        </w:r>
      </w:hyperlink>
      <w:r>
        <w:rPr>
          <w:spacing w:val="-4"/>
          <w:position w:val="5"/>
          <w:sz w:val="14"/>
        </w:rPr>
        <w:t>.</w:t>
      </w:r>
      <w:r>
        <w:rPr>
          <w:position w:val="5"/>
          <w:sz w:val="14"/>
        </w:rPr>
        <w:tab/>
      </w:r>
      <w:r>
        <w:rPr/>
        <w:t>Below, paras 4-082—4-101, 4-130—4-</w:t>
      </w:r>
      <w:r>
        <w:rPr>
          <w:spacing w:val="-4"/>
        </w:rPr>
        <w:t>138.</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34"/>
          <w:headerReference w:type="even" r:id="rId35"/>
          <w:pgSz w:w="11900" w:h="16840"/>
          <w:pgMar w:header="971" w:footer="0" w:top="1160" w:bottom="280" w:left="1275" w:right="1275"/>
        </w:sectPr>
      </w:pPr>
    </w:p>
    <w:p>
      <w:pPr>
        <w:pStyle w:val="Heading2"/>
        <w:numPr>
          <w:ilvl w:val="0"/>
          <w:numId w:val="4"/>
        </w:numPr>
        <w:tabs>
          <w:tab w:pos="4145" w:val="left" w:leader="none"/>
        </w:tabs>
        <w:spacing w:line="240" w:lineRule="auto" w:before="194" w:after="0"/>
        <w:ind w:left="4145" w:right="0" w:hanging="360"/>
        <w:jc w:val="left"/>
      </w:pPr>
      <w:r>
        <w:rPr/>
        <w:t>- </w:t>
      </w:r>
      <w:r>
        <w:rPr>
          <w:spacing w:val="-2"/>
        </w:rPr>
        <w:t>Rescission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Agreements to rescind where each party has outstanding </w:t>
      </w:r>
      <w:r>
        <w:rPr>
          <w:rFonts w:ascii="Arial"/>
          <w:b/>
          <w:spacing w:val="-2"/>
          <w:sz w:val="18"/>
        </w:rPr>
        <w:t>rights</w:t>
      </w:r>
    </w:p>
    <w:p>
      <w:pPr>
        <w:pStyle w:val="BodyText"/>
        <w:spacing w:before="41"/>
        <w:rPr>
          <w:rFonts w:ascii="Arial"/>
          <w:b/>
          <w:sz w:val="18"/>
        </w:rPr>
      </w:pPr>
    </w:p>
    <w:p>
      <w:pPr>
        <w:pStyle w:val="Heading2"/>
      </w:pPr>
      <w:r>
        <w:rPr/>
        <w:t>4-</w:t>
      </w:r>
      <w:r>
        <w:rPr>
          <w:spacing w:val="-5"/>
        </w:rPr>
        <w:t>078</w:t>
      </w:r>
    </w:p>
    <w:p>
      <w:pPr>
        <w:pStyle w:val="BodyText"/>
        <w:spacing w:line="235" w:lineRule="auto" w:before="203"/>
        <w:ind w:left="164" w:right="167"/>
        <w:jc w:val="both"/>
      </w:pPr>
      <w:r>
        <w:rPr/>
        <w:t>The</w:t>
      </w:r>
      <w:r>
        <w:rPr>
          <w:spacing w:val="-1"/>
        </w:rPr>
        <w:t> </w:t>
      </w:r>
      <w:r>
        <w:rPr/>
        <w:t>parties</w:t>
      </w:r>
      <w:r>
        <w:rPr>
          <w:spacing w:val="-1"/>
        </w:rPr>
        <w:t> </w:t>
      </w:r>
      <w:r>
        <w:rPr/>
        <w:t>to</w:t>
      </w:r>
      <w:r>
        <w:rPr>
          <w:spacing w:val="-1"/>
        </w:rPr>
        <w:t> </w:t>
      </w:r>
      <w:r>
        <w:rPr/>
        <w:t>a</w:t>
      </w:r>
      <w:r>
        <w:rPr>
          <w:spacing w:val="-1"/>
        </w:rPr>
        <w:t> </w:t>
      </w:r>
      <w:r>
        <w:rPr/>
        <w:t>contract</w:t>
      </w:r>
      <w:r>
        <w:rPr>
          <w:spacing w:val="-1"/>
        </w:rPr>
        <w:t> </w:t>
      </w:r>
      <w:r>
        <w:rPr/>
        <w:t>may</w:t>
      </w:r>
      <w:r>
        <w:rPr>
          <w:spacing w:val="-1"/>
        </w:rPr>
        <w:t> </w:t>
      </w:r>
      <w:r>
        <w:rPr/>
        <w:t>agree</w:t>
      </w:r>
      <w:r>
        <w:rPr>
          <w:spacing w:val="-1"/>
        </w:rPr>
        <w:t> </w:t>
      </w:r>
      <w:r>
        <w:rPr/>
        <w:t>to</w:t>
      </w:r>
      <w:r>
        <w:rPr>
          <w:spacing w:val="-1"/>
        </w:rPr>
        <w:t> </w:t>
      </w:r>
      <w:r>
        <w:rPr/>
        <w:t>rescind</w:t>
      </w:r>
      <w:r>
        <w:rPr>
          <w:spacing w:val="-1"/>
        </w:rPr>
        <w:t> </w:t>
      </w:r>
      <w:r>
        <w:rPr/>
        <w:t>it</w:t>
      </w:r>
      <w:r>
        <w:rPr>
          <w:spacing w:val="-1"/>
        </w:rPr>
        <w:t> </w:t>
      </w:r>
      <w:r>
        <w:rPr/>
        <w:t>at</w:t>
      </w:r>
      <w:r>
        <w:rPr>
          <w:spacing w:val="-1"/>
        </w:rPr>
        <w:t> </w:t>
      </w:r>
      <w:r>
        <w:rPr/>
        <w:t>a</w:t>
      </w:r>
      <w:r>
        <w:rPr>
          <w:spacing w:val="-1"/>
        </w:rPr>
        <w:t> </w:t>
      </w:r>
      <w:r>
        <w:rPr/>
        <w:t>time</w:t>
      </w:r>
      <w:r>
        <w:rPr>
          <w:spacing w:val="-1"/>
        </w:rPr>
        <w:t> </w:t>
      </w:r>
      <w:r>
        <w:rPr/>
        <w:t>when</w:t>
      </w:r>
      <w:r>
        <w:rPr>
          <w:spacing w:val="-1"/>
        </w:rPr>
        <w:t> </w:t>
      </w:r>
      <w:r>
        <w:rPr/>
        <w:t>each</w:t>
      </w:r>
      <w:r>
        <w:rPr>
          <w:spacing w:val="-1"/>
        </w:rPr>
        <w:t> </w:t>
      </w:r>
      <w:r>
        <w:rPr/>
        <w:t>has</w:t>
      </w:r>
      <w:r>
        <w:rPr>
          <w:spacing w:val="-1"/>
        </w:rPr>
        <w:t> </w:t>
      </w:r>
      <w:r>
        <w:rPr/>
        <w:t>outstanding</w:t>
      </w:r>
      <w:r>
        <w:rPr>
          <w:spacing w:val="-1"/>
        </w:rPr>
        <w:t> </w:t>
      </w:r>
      <w:r>
        <w:rPr/>
        <w:t>rights</w:t>
      </w:r>
      <w:r>
        <w:rPr>
          <w:spacing w:val="-1"/>
        </w:rPr>
        <w:t> </w:t>
      </w:r>
      <w:r>
        <w:rPr/>
        <w:t>under</w:t>
      </w:r>
      <w:r>
        <w:rPr>
          <w:spacing w:val="-1"/>
        </w:rPr>
        <w:t> </w:t>
      </w:r>
      <w:r>
        <w:rPr/>
        <w:t>the contract against the other. They most obviously have such rights where the contract is wholly executory and neither party is in breach: for example, where a contract for the sale of goods to be delivered and paid for on a future day is rescinded before that day by mutual consent. They equally have</w:t>
      </w:r>
      <w:r>
        <w:rPr>
          <w:spacing w:val="-1"/>
        </w:rPr>
        <w:t> </w:t>
      </w:r>
      <w:r>
        <w:rPr/>
        <w:t>such</w:t>
      </w:r>
      <w:r>
        <w:rPr>
          <w:spacing w:val="-1"/>
        </w:rPr>
        <w:t> </w:t>
      </w:r>
      <w:r>
        <w:rPr/>
        <w:t>rights</w:t>
      </w:r>
      <w:r>
        <w:rPr>
          <w:spacing w:val="-1"/>
        </w:rPr>
        <w:t> </w:t>
      </w:r>
      <w:r>
        <w:rPr/>
        <w:t>where</w:t>
      </w:r>
      <w:r>
        <w:rPr>
          <w:spacing w:val="-1"/>
        </w:rPr>
        <w:t> </w:t>
      </w:r>
      <w:r>
        <w:rPr/>
        <w:t>both</w:t>
      </w:r>
      <w:r>
        <w:rPr>
          <w:spacing w:val="-1"/>
        </w:rPr>
        <w:t> </w:t>
      </w:r>
      <w:r>
        <w:rPr/>
        <w:t>parties</w:t>
      </w:r>
      <w:r>
        <w:rPr>
          <w:spacing w:val="-1"/>
        </w:rPr>
        <w:t> </w:t>
      </w:r>
      <w:r>
        <w:rPr/>
        <w:t>are,</w:t>
      </w:r>
      <w:r>
        <w:rPr>
          <w:spacing w:val="-1"/>
        </w:rPr>
        <w:t> </w:t>
      </w:r>
      <w:r>
        <w:rPr/>
        <w:t>at</w:t>
      </w:r>
      <w:r>
        <w:rPr>
          <w:spacing w:val="-1"/>
        </w:rPr>
        <w:t> </w:t>
      </w:r>
      <w:r>
        <w:rPr/>
        <w:t>the</w:t>
      </w:r>
      <w:r>
        <w:rPr>
          <w:spacing w:val="-1"/>
        </w:rPr>
        <w:t> </w:t>
      </w:r>
      <w:r>
        <w:rPr/>
        <w:t>time</w:t>
      </w:r>
      <w:r>
        <w:rPr>
          <w:spacing w:val="-1"/>
        </w:rPr>
        <w:t> </w:t>
      </w:r>
      <w:r>
        <w:rPr/>
        <w:t>of</w:t>
      </w:r>
      <w:r>
        <w:rPr>
          <w:spacing w:val="-1"/>
        </w:rPr>
        <w:t> </w:t>
      </w:r>
      <w:r>
        <w:rPr/>
        <w:t>rescission,</w:t>
      </w:r>
      <w:r>
        <w:rPr>
          <w:spacing w:val="-1"/>
        </w:rPr>
        <w:t> </w:t>
      </w:r>
      <w:r>
        <w:rPr/>
        <w:t>in</w:t>
      </w:r>
      <w:r>
        <w:rPr>
          <w:spacing w:val="-1"/>
        </w:rPr>
        <w:t> </w:t>
      </w:r>
      <w:r>
        <w:rPr/>
        <w:t>breach;</w:t>
      </w:r>
      <w:r>
        <w:rPr>
          <w:spacing w:val="-1"/>
        </w:rPr>
        <w:t> </w:t>
      </w:r>
      <w:r>
        <w:rPr/>
        <w:t>and</w:t>
      </w:r>
      <w:r>
        <w:rPr>
          <w:spacing w:val="-1"/>
        </w:rPr>
        <w:t> </w:t>
      </w:r>
      <w:r>
        <w:rPr/>
        <w:t>where</w:t>
      </w:r>
      <w:r>
        <w:rPr>
          <w:spacing w:val="-1"/>
        </w:rPr>
        <w:t> </w:t>
      </w:r>
      <w:r>
        <w:rPr/>
        <w:t>the</w:t>
      </w:r>
      <w:r>
        <w:rPr>
          <w:spacing w:val="-1"/>
        </w:rPr>
        <w:t> </w:t>
      </w:r>
      <w:r>
        <w:rPr/>
        <w:t>contract</w:t>
      </w:r>
      <w:r>
        <w:rPr>
          <w:spacing w:val="-1"/>
        </w:rPr>
        <w:t> </w:t>
      </w:r>
      <w:r>
        <w:rPr/>
        <w:t>is partly executed and obligations remain outstanding on both sides: for example, where a lease for seven years is rescinded by mutual consent after three years of the term have expired. In all such cases, the agreement generates its own consideration in the sense that each party provides </w:t>
      </w:r>
      <w:bookmarkStart w:name="_bookmark816" w:id="818"/>
      <w:bookmarkEnd w:id="818"/>
      <w:r>
        <w:rPr/>
        <w:t>consideration</w:t>
      </w:r>
      <w:r>
        <w:rPr/>
        <w:t> for the other’s promise to release him by promising to give up his own rights under the contract. </w:t>
      </w:r>
      <w:r>
        <w:rPr>
          <w:color w:val="005DA1"/>
          <w:u w:val="single" w:color="005DA1"/>
          <w:vertAlign w:val="superscript"/>
        </w:rPr>
        <w:t>432</w:t>
      </w:r>
      <w:r>
        <w:rPr>
          <w:color w:val="005DA1"/>
          <w:vertAlign w:val="baseline"/>
        </w:rPr>
        <w:t> </w:t>
      </w:r>
      <w:r>
        <w:rPr>
          <w:vertAlign w:val="baseline"/>
        </w:rPr>
        <w:t>It is, of course, essential that </w:t>
      </w:r>
      <w:r>
        <w:rPr>
          <w:rFonts w:ascii="Arial" w:hAnsi="Arial"/>
          <w:i/>
          <w:vertAlign w:val="baseline"/>
        </w:rPr>
        <w:t>each </w:t>
      </w:r>
      <w:r>
        <w:rPr>
          <w:vertAlign w:val="baseline"/>
        </w:rPr>
        <w:t>party should make such a promise. If only one party </w:t>
      </w:r>
      <w:bookmarkStart w:name="_bookmark817" w:id="819"/>
      <w:bookmarkEnd w:id="819"/>
      <w:r>
        <w:rPr>
          <w:vertAlign w:val="baseline"/>
        </w:rPr>
        <w:t>does</w:t>
      </w:r>
      <w:r>
        <w:rPr>
          <w:vertAlign w:val="baseline"/>
        </w:rPr>
        <w:t> so, the other making no counter-promise, the former party’s promise will be “entirely unilateral and unsupported by any consideration.” </w:t>
      </w:r>
      <w:r>
        <w:rPr>
          <w:color w:val="005DA1"/>
          <w:u w:val="single" w:color="005DA1"/>
          <w:vertAlign w:val="superscript"/>
        </w:rPr>
        <w:t>433</w:t>
      </w:r>
    </w:p>
    <w:p>
      <w:pPr>
        <w:pStyle w:val="BodyText"/>
      </w:pPr>
    </w:p>
    <w:p>
      <w:pPr>
        <w:pStyle w:val="BodyText"/>
        <w:spacing w:before="34"/>
      </w:pPr>
    </w:p>
    <w:p>
      <w:pPr>
        <w:spacing w:before="0"/>
        <w:ind w:left="165" w:right="0" w:firstLine="0"/>
        <w:jc w:val="both"/>
        <w:rPr>
          <w:rFonts w:ascii="Arial"/>
          <w:b/>
          <w:sz w:val="18"/>
        </w:rPr>
      </w:pPr>
      <w:r>
        <w:rPr>
          <w:rFonts w:ascii="Arial"/>
          <w:b/>
          <w:sz w:val="18"/>
        </w:rPr>
        <w:t>Agreements to rescind where only one party has outstanding </w:t>
      </w:r>
      <w:r>
        <w:rPr>
          <w:rFonts w:ascii="Arial"/>
          <w:b/>
          <w:spacing w:val="-2"/>
          <w:sz w:val="18"/>
        </w:rPr>
        <w:t>rights</w:t>
      </w:r>
    </w:p>
    <w:p>
      <w:pPr>
        <w:pStyle w:val="BodyText"/>
        <w:spacing w:before="41"/>
        <w:rPr>
          <w:rFonts w:ascii="Arial"/>
          <w:b/>
          <w:sz w:val="18"/>
        </w:rPr>
      </w:pPr>
    </w:p>
    <w:p>
      <w:pPr>
        <w:pStyle w:val="Heading2"/>
      </w:pPr>
      <w:r>
        <w:rPr/>
        <w:t>4-</w:t>
      </w:r>
      <w:r>
        <w:rPr>
          <w:spacing w:val="-5"/>
        </w:rPr>
        <w:t>079</w:t>
      </w:r>
    </w:p>
    <w:p>
      <w:pPr>
        <w:pStyle w:val="BodyText"/>
        <w:spacing w:line="235" w:lineRule="auto" w:before="203"/>
        <w:ind w:left="165" w:right="167"/>
        <w:jc w:val="both"/>
      </w:pPr>
      <w:r>
        <w:rPr/>
        <w:t>An agreement to rescind a contract may also be unsupported by consideration (and so lack contractual force) where only one party has outstanding rights under the contract. This will often </w:t>
      </w:r>
      <w:r>
        <w:rPr/>
        <w:t>be the position where the contract has been wholly executed by that party (A) alone and he then promises to release the other party (B) from his obligations. In such a case there is prima facie no consideration for A’s promise since A gets no benefit and B suffers no detriment from the arrangement. The same is true where A is ready and willing to perform but B is not: B is then liable in damages and “rescission” of the contract at this stage would be gratuitous if it merely released B from </w:t>
      </w:r>
      <w:bookmarkStart w:name="_bookmark818" w:id="820"/>
      <w:bookmarkEnd w:id="820"/>
      <w:r>
        <w:rPr/>
        <w:t>liability.</w:t>
      </w:r>
      <w:r>
        <w:rPr/>
        <w:t> This is what is meant by the statement that rescission after breach requires separate consideration. </w:t>
      </w:r>
      <w:r>
        <w:rPr>
          <w:color w:val="005DA1"/>
          <w:u w:val="single" w:color="005DA1"/>
          <w:vertAlign w:val="superscript"/>
        </w:rPr>
        <w:t>434</w:t>
      </w:r>
      <w:r>
        <w:rPr>
          <w:color w:val="005DA1"/>
          <w:vertAlign w:val="baseline"/>
        </w:rPr>
        <w:t> </w:t>
      </w:r>
      <w:r>
        <w:rPr>
          <w:vertAlign w:val="baseline"/>
        </w:rPr>
        <w:t>Whenever the rescinding agreement does not generate its own consideration, such separate consideration must be provided by B (usually in the form of some additional performance rendered, or promise made, by B) to make A’s promise binding. There must, in the traditional </w:t>
      </w:r>
      <w:bookmarkStart w:name="_bookmark819" w:id="821"/>
      <w:bookmarkEnd w:id="821"/>
      <w:r>
        <w:rPr>
          <w:vertAlign w:val="baseline"/>
        </w:rPr>
        <w:t>terminology,</w:t>
      </w:r>
      <w:r>
        <w:rPr>
          <w:vertAlign w:val="baseline"/>
        </w:rPr>
        <w:t> be not merely accord but also satisfaction. The “accord” here refers to the agreement</w:t>
      </w:r>
      <w:r>
        <w:rPr>
          <w:spacing w:val="40"/>
          <w:vertAlign w:val="baseline"/>
        </w:rPr>
        <w:t> </w:t>
      </w:r>
      <w:r>
        <w:rPr>
          <w:vertAlign w:val="baseline"/>
        </w:rPr>
        <w:t>and the “satisfaction” to the consideration for it. </w:t>
      </w:r>
      <w:r>
        <w:rPr>
          <w:color w:val="005DA1"/>
          <w:u w:val="single" w:color="005DA1"/>
          <w:vertAlign w:val="superscript"/>
        </w:rPr>
        <w:t>435</w:t>
      </w:r>
    </w:p>
    <w:p>
      <w:pPr>
        <w:pStyle w:val="BodyText"/>
      </w:pPr>
    </w:p>
    <w:p>
      <w:pPr>
        <w:pStyle w:val="BodyText"/>
        <w:spacing w:before="35"/>
      </w:pPr>
      <w:r>
        <w:rPr/>
        <mc:AlternateContent>
          <mc:Choice Requires="wps">
            <w:drawing>
              <wp:anchor distT="0" distB="0" distL="0" distR="0" allowOverlap="1" layoutInCell="1" locked="0" behindDoc="1" simplePos="0" relativeHeight="487624192">
                <wp:simplePos x="0" y="0"/>
                <wp:positionH relativeFrom="page">
                  <wp:posOffset>914400</wp:posOffset>
                </wp:positionH>
                <wp:positionV relativeFrom="paragraph">
                  <wp:posOffset>183607</wp:posOffset>
                </wp:positionV>
                <wp:extent cx="5724525" cy="1270"/>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57262pt;width:450.75pt;height:.1pt;mso-position-horizontal-relative:page;mso-position-vertical-relative:paragraph;z-index:-15692288;mso-wrap-distance-left:0;mso-wrap-distance-right:0" id="docshape48" coordorigin="1440,289" coordsize="9015,0" path="m1440,289l10454,289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191360">
                <wp:simplePos x="0" y="0"/>
                <wp:positionH relativeFrom="page">
                  <wp:posOffset>914400</wp:posOffset>
                </wp:positionH>
                <wp:positionV relativeFrom="paragraph">
                  <wp:posOffset>97116</wp:posOffset>
                </wp:positionV>
                <wp:extent cx="4953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25120"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before="9"/>
      </w:pPr>
    </w:p>
    <w:p>
      <w:pPr>
        <w:tabs>
          <w:tab w:pos="705" w:val="left" w:leader="none"/>
        </w:tabs>
        <w:spacing w:line="235" w:lineRule="auto" w:before="0"/>
        <w:ind w:left="705" w:right="168" w:hanging="541"/>
        <w:jc w:val="left"/>
        <w:rPr>
          <w:rFonts w:ascii="Arial" w:hAnsi="Arial"/>
          <w:i/>
          <w:sz w:val="20"/>
        </w:rPr>
      </w:pPr>
      <w:bookmarkStart w:name="_bookmark820" w:id="822"/>
      <w:bookmarkEnd w:id="822"/>
      <w:r>
        <w:rPr/>
      </w:r>
      <w:hyperlink w:history="true" w:anchor="_bookmark816">
        <w:r>
          <w:rPr>
            <w:color w:val="005DA1"/>
            <w:spacing w:val="-4"/>
            <w:position w:val="5"/>
            <w:sz w:val="14"/>
            <w:u w:val="single" w:color="005DA1"/>
          </w:rPr>
          <w:t>432</w:t>
        </w:r>
      </w:hyperlink>
      <w:r>
        <w:rPr>
          <w:spacing w:val="-4"/>
          <w:position w:val="5"/>
          <w:sz w:val="14"/>
        </w:rPr>
        <w:t>.</w:t>
      </w:r>
      <w:r>
        <w:rPr>
          <w:position w:val="5"/>
          <w:sz w:val="14"/>
        </w:rPr>
        <w:tab/>
      </w:r>
      <w:r>
        <w:rPr>
          <w:rFonts w:ascii="Arial" w:hAnsi="Arial"/>
          <w:i/>
          <w:sz w:val="20"/>
        </w:rPr>
        <w:t>Foster v Dawber (1851) 6 Ex.839, 850</w:t>
      </w:r>
      <w:r>
        <w:rPr>
          <w:sz w:val="20"/>
        </w:rPr>
        <w:t>; cf. </w:t>
      </w:r>
      <w:r>
        <w:rPr>
          <w:rFonts w:ascii="Arial" w:hAnsi="Arial"/>
          <w:i/>
          <w:sz w:val="20"/>
        </w:rPr>
        <w:t>Marseille Fret SA v D. Oltman Schiffahrts GmbH &amp;</w:t>
      </w:r>
      <w:r>
        <w:rPr>
          <w:rFonts w:ascii="Arial" w:hAnsi="Arial"/>
          <w:i/>
          <w:spacing w:val="40"/>
          <w:sz w:val="20"/>
        </w:rPr>
        <w:t> </w:t>
      </w:r>
      <w:r>
        <w:rPr>
          <w:rFonts w:ascii="Arial" w:hAnsi="Arial"/>
          <w:i/>
          <w:sz w:val="20"/>
        </w:rPr>
        <w:t>Co</w:t>
      </w:r>
      <w:r>
        <w:rPr>
          <w:rFonts w:ascii="Arial" w:hAnsi="Arial"/>
          <w:i/>
          <w:spacing w:val="9"/>
          <w:sz w:val="20"/>
        </w:rPr>
        <w:t> </w:t>
      </w:r>
      <w:r>
        <w:rPr>
          <w:rFonts w:ascii="Arial" w:hAnsi="Arial"/>
          <w:i/>
          <w:sz w:val="20"/>
        </w:rPr>
        <w:t>(The</w:t>
      </w:r>
      <w:r>
        <w:rPr>
          <w:rFonts w:ascii="Arial" w:hAnsi="Arial"/>
          <w:i/>
          <w:spacing w:val="10"/>
          <w:sz w:val="20"/>
        </w:rPr>
        <w:t> </w:t>
      </w:r>
      <w:r>
        <w:rPr>
          <w:rFonts w:ascii="Arial" w:hAnsi="Arial"/>
          <w:i/>
          <w:sz w:val="20"/>
        </w:rPr>
        <w:t>Trado)</w:t>
      </w:r>
      <w:r>
        <w:rPr>
          <w:rFonts w:ascii="Arial" w:hAnsi="Arial"/>
          <w:i/>
          <w:spacing w:val="10"/>
          <w:sz w:val="20"/>
        </w:rPr>
        <w:t> </w:t>
      </w:r>
      <w:r>
        <w:rPr>
          <w:rFonts w:ascii="Arial" w:hAnsi="Arial"/>
          <w:i/>
          <w:sz w:val="20"/>
        </w:rPr>
        <w:t>[1982]</w:t>
      </w:r>
      <w:r>
        <w:rPr>
          <w:rFonts w:ascii="Arial" w:hAnsi="Arial"/>
          <w:i/>
          <w:spacing w:val="10"/>
          <w:sz w:val="20"/>
        </w:rPr>
        <w:t> </w:t>
      </w:r>
      <w:r>
        <w:rPr>
          <w:rFonts w:ascii="Arial" w:hAnsi="Arial"/>
          <w:i/>
          <w:sz w:val="20"/>
        </w:rPr>
        <w:t>1</w:t>
      </w:r>
      <w:r>
        <w:rPr>
          <w:rFonts w:ascii="Arial" w:hAnsi="Arial"/>
          <w:i/>
          <w:spacing w:val="10"/>
          <w:sz w:val="20"/>
        </w:rPr>
        <w:t> </w:t>
      </w:r>
      <w:r>
        <w:rPr>
          <w:rFonts w:ascii="Arial" w:hAnsi="Arial"/>
          <w:i/>
          <w:sz w:val="20"/>
        </w:rPr>
        <w:t>Lloyd’s</w:t>
      </w:r>
      <w:r>
        <w:rPr>
          <w:rFonts w:ascii="Arial" w:hAnsi="Arial"/>
          <w:i/>
          <w:spacing w:val="10"/>
          <w:sz w:val="20"/>
        </w:rPr>
        <w:t> </w:t>
      </w:r>
      <w:r>
        <w:rPr>
          <w:rFonts w:ascii="Arial" w:hAnsi="Arial"/>
          <w:i/>
          <w:sz w:val="20"/>
        </w:rPr>
        <w:t>Rep.</w:t>
      </w:r>
      <w:r>
        <w:rPr>
          <w:rFonts w:ascii="Arial" w:hAnsi="Arial"/>
          <w:i/>
          <w:spacing w:val="10"/>
          <w:sz w:val="20"/>
        </w:rPr>
        <w:t> </w:t>
      </w:r>
      <w:r>
        <w:rPr>
          <w:rFonts w:ascii="Arial" w:hAnsi="Arial"/>
          <w:i/>
          <w:sz w:val="20"/>
        </w:rPr>
        <w:t>157</w:t>
      </w:r>
      <w:r>
        <w:rPr>
          <w:sz w:val="20"/>
        </w:rPr>
        <w:t>;</w:t>
      </w:r>
      <w:r>
        <w:rPr>
          <w:spacing w:val="10"/>
          <w:sz w:val="20"/>
        </w:rPr>
        <w:t> </w:t>
      </w:r>
      <w:r>
        <w:rPr>
          <w:rFonts w:ascii="Arial" w:hAnsi="Arial"/>
          <w:i/>
          <w:sz w:val="20"/>
        </w:rPr>
        <w:t>Argo</w:t>
      </w:r>
      <w:r>
        <w:rPr>
          <w:rFonts w:ascii="Arial" w:hAnsi="Arial"/>
          <w:i/>
          <w:spacing w:val="10"/>
          <w:sz w:val="20"/>
        </w:rPr>
        <w:t> </w:t>
      </w:r>
      <w:r>
        <w:rPr>
          <w:rFonts w:ascii="Arial" w:hAnsi="Arial"/>
          <w:i/>
          <w:sz w:val="20"/>
        </w:rPr>
        <w:t>Fund</w:t>
      </w:r>
      <w:r>
        <w:rPr>
          <w:rFonts w:ascii="Arial" w:hAnsi="Arial"/>
          <w:i/>
          <w:spacing w:val="10"/>
          <w:sz w:val="20"/>
        </w:rPr>
        <w:t> </w:t>
      </w:r>
      <w:r>
        <w:rPr>
          <w:rFonts w:ascii="Arial" w:hAnsi="Arial"/>
          <w:i/>
          <w:sz w:val="20"/>
        </w:rPr>
        <w:t>Ltd</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Essar</w:t>
      </w:r>
      <w:r>
        <w:rPr>
          <w:rFonts w:ascii="Arial" w:hAnsi="Arial"/>
          <w:i/>
          <w:spacing w:val="10"/>
          <w:sz w:val="20"/>
        </w:rPr>
        <w:t> </w:t>
      </w:r>
      <w:r>
        <w:rPr>
          <w:rFonts w:ascii="Arial" w:hAnsi="Arial"/>
          <w:i/>
          <w:sz w:val="20"/>
        </w:rPr>
        <w:t>Steel</w:t>
      </w:r>
      <w:r>
        <w:rPr>
          <w:rFonts w:ascii="Arial" w:hAnsi="Arial"/>
          <w:i/>
          <w:spacing w:val="10"/>
          <w:sz w:val="20"/>
        </w:rPr>
        <w:t> </w:t>
      </w:r>
      <w:r>
        <w:rPr>
          <w:rFonts w:ascii="Arial" w:hAnsi="Arial"/>
          <w:i/>
          <w:sz w:val="20"/>
        </w:rPr>
        <w:t>Ltd</w:t>
      </w:r>
      <w:r>
        <w:rPr>
          <w:rFonts w:ascii="Arial" w:hAnsi="Arial"/>
          <w:i/>
          <w:spacing w:val="10"/>
          <w:sz w:val="20"/>
        </w:rPr>
        <w:t> </w:t>
      </w:r>
      <w:r>
        <w:rPr>
          <w:rFonts w:ascii="Arial" w:hAnsi="Arial"/>
          <w:i/>
          <w:sz w:val="20"/>
        </w:rPr>
        <w:t>[2005]</w:t>
      </w:r>
      <w:r>
        <w:rPr>
          <w:rFonts w:ascii="Arial" w:hAnsi="Arial"/>
          <w:i/>
          <w:spacing w:val="10"/>
          <w:sz w:val="20"/>
        </w:rPr>
        <w:t> </w:t>
      </w:r>
      <w:r>
        <w:rPr>
          <w:rFonts w:ascii="Arial" w:hAnsi="Arial"/>
          <w:i/>
          <w:sz w:val="20"/>
        </w:rPr>
        <w:t>EWHC</w:t>
      </w:r>
      <w:r>
        <w:rPr>
          <w:rFonts w:ascii="Arial" w:hAnsi="Arial"/>
          <w:i/>
          <w:spacing w:val="10"/>
          <w:sz w:val="20"/>
        </w:rPr>
        <w:t> </w:t>
      </w:r>
      <w:r>
        <w:rPr>
          <w:rFonts w:ascii="Arial" w:hAnsi="Arial"/>
          <w:i/>
          <w:spacing w:val="-5"/>
          <w:sz w:val="20"/>
        </w:rPr>
        <w:t>600</w:t>
      </w:r>
    </w:p>
    <w:p>
      <w:pPr>
        <w:spacing w:after="0" w:line="235" w:lineRule="auto"/>
        <w:jc w:val="left"/>
        <w:rPr>
          <w:rFonts w:ascii="Arial" w:hAnsi="Arial"/>
          <w:i/>
          <w:sz w:val="20"/>
        </w:rPr>
        <w:sectPr>
          <w:pgSz w:w="11900" w:h="16840"/>
          <w:pgMar w:header="992" w:footer="0" w:top="4240" w:bottom="280" w:left="1275" w:right="1275"/>
        </w:sectPr>
      </w:pPr>
    </w:p>
    <w:p>
      <w:pPr>
        <w:pStyle w:val="BodyText"/>
        <w:spacing w:before="21"/>
        <w:rPr>
          <w:rFonts w:ascii="Arial"/>
          <w:i/>
        </w:rPr>
      </w:pPr>
    </w:p>
    <w:p>
      <w:pPr>
        <w:spacing w:line="227" w:lineRule="exact" w:before="0"/>
        <w:ind w:left="705" w:right="0" w:firstLine="0"/>
        <w:jc w:val="left"/>
        <w:rPr>
          <w:rFonts w:ascii="Arial"/>
          <w:i/>
          <w:sz w:val="20"/>
        </w:rPr>
      </w:pPr>
      <w:r>
        <w:rPr>
          <w:rFonts w:ascii="Arial"/>
          <w:i/>
          <w:sz w:val="20"/>
        </w:rPr>
        <w:t>(Comm),</w:t>
      </w:r>
      <w:r>
        <w:rPr>
          <w:rFonts w:ascii="Arial"/>
          <w:i/>
          <w:spacing w:val="4"/>
          <w:sz w:val="20"/>
        </w:rPr>
        <w:t> </w:t>
      </w:r>
      <w:r>
        <w:rPr>
          <w:rFonts w:ascii="Arial"/>
          <w:i/>
          <w:sz w:val="20"/>
        </w:rPr>
        <w:t>[2006]</w:t>
      </w:r>
      <w:r>
        <w:rPr>
          <w:rFonts w:ascii="Arial"/>
          <w:i/>
          <w:spacing w:val="4"/>
          <w:sz w:val="20"/>
        </w:rPr>
        <w:t> </w:t>
      </w:r>
      <w:r>
        <w:rPr>
          <w:rFonts w:ascii="Arial"/>
          <w:i/>
          <w:sz w:val="20"/>
        </w:rPr>
        <w:t>1</w:t>
      </w:r>
      <w:r>
        <w:rPr>
          <w:rFonts w:ascii="Arial"/>
          <w:i/>
          <w:spacing w:val="4"/>
          <w:sz w:val="20"/>
        </w:rPr>
        <w:t> </w:t>
      </w:r>
      <w:r>
        <w:rPr>
          <w:rFonts w:ascii="Arial"/>
          <w:i/>
          <w:sz w:val="20"/>
        </w:rPr>
        <w:t>All</w:t>
      </w:r>
      <w:r>
        <w:rPr>
          <w:rFonts w:ascii="Arial"/>
          <w:i/>
          <w:spacing w:val="4"/>
          <w:sz w:val="20"/>
        </w:rPr>
        <w:t> </w:t>
      </w:r>
      <w:r>
        <w:rPr>
          <w:rFonts w:ascii="Arial"/>
          <w:i/>
          <w:sz w:val="20"/>
        </w:rPr>
        <w:t>E.R.</w:t>
      </w:r>
      <w:r>
        <w:rPr>
          <w:rFonts w:ascii="Arial"/>
          <w:i/>
          <w:spacing w:val="4"/>
          <w:sz w:val="20"/>
        </w:rPr>
        <w:t> </w:t>
      </w:r>
      <w:r>
        <w:rPr>
          <w:rFonts w:ascii="Arial"/>
          <w:i/>
          <w:sz w:val="20"/>
        </w:rPr>
        <w:t>(Comm)</w:t>
      </w:r>
      <w:r>
        <w:rPr>
          <w:rFonts w:ascii="Arial"/>
          <w:i/>
          <w:spacing w:val="4"/>
          <w:sz w:val="20"/>
        </w:rPr>
        <w:t> </w:t>
      </w:r>
      <w:r>
        <w:rPr>
          <w:rFonts w:ascii="Arial"/>
          <w:i/>
          <w:sz w:val="20"/>
        </w:rPr>
        <w:t>at</w:t>
      </w:r>
      <w:r>
        <w:rPr>
          <w:rFonts w:ascii="Arial"/>
          <w:i/>
          <w:spacing w:val="4"/>
          <w:sz w:val="20"/>
        </w:rPr>
        <w:t> </w:t>
      </w:r>
      <w:r>
        <w:rPr>
          <w:rFonts w:ascii="Arial"/>
          <w:i/>
          <w:sz w:val="20"/>
        </w:rPr>
        <w:t>[51];</w:t>
      </w:r>
      <w:r>
        <w:rPr>
          <w:rFonts w:ascii="Arial"/>
          <w:i/>
          <w:spacing w:val="4"/>
          <w:sz w:val="20"/>
        </w:rPr>
        <w:t> </w:t>
      </w:r>
      <w:r>
        <w:rPr>
          <w:rFonts w:ascii="Arial"/>
          <w:i/>
          <w:sz w:val="20"/>
        </w:rPr>
        <w:t>affd.</w:t>
      </w:r>
      <w:r>
        <w:rPr>
          <w:rFonts w:ascii="Arial"/>
          <w:i/>
          <w:spacing w:val="4"/>
          <w:sz w:val="20"/>
        </w:rPr>
        <w:t> </w:t>
      </w:r>
      <w:r>
        <w:rPr>
          <w:rFonts w:ascii="Arial"/>
          <w:i/>
          <w:sz w:val="20"/>
        </w:rPr>
        <w:t>on</w:t>
      </w:r>
      <w:r>
        <w:rPr>
          <w:rFonts w:ascii="Arial"/>
          <w:i/>
          <w:spacing w:val="4"/>
          <w:sz w:val="20"/>
        </w:rPr>
        <w:t> </w:t>
      </w:r>
      <w:r>
        <w:rPr>
          <w:rFonts w:ascii="Arial"/>
          <w:i/>
          <w:sz w:val="20"/>
        </w:rPr>
        <w:t>other</w:t>
      </w:r>
      <w:r>
        <w:rPr>
          <w:rFonts w:ascii="Arial"/>
          <w:i/>
          <w:spacing w:val="4"/>
          <w:sz w:val="20"/>
        </w:rPr>
        <w:t> </w:t>
      </w:r>
      <w:r>
        <w:rPr>
          <w:rFonts w:ascii="Arial"/>
          <w:i/>
          <w:sz w:val="20"/>
        </w:rPr>
        <w:t>grounds</w:t>
      </w:r>
      <w:r>
        <w:rPr>
          <w:rFonts w:ascii="Arial"/>
          <w:i/>
          <w:spacing w:val="4"/>
          <w:sz w:val="20"/>
        </w:rPr>
        <w:t> </w:t>
      </w:r>
      <w:r>
        <w:rPr>
          <w:rFonts w:ascii="Arial"/>
          <w:i/>
          <w:sz w:val="20"/>
        </w:rPr>
        <w:t>[2006]</w:t>
      </w:r>
      <w:r>
        <w:rPr>
          <w:rFonts w:ascii="Arial"/>
          <w:i/>
          <w:spacing w:val="4"/>
          <w:sz w:val="20"/>
        </w:rPr>
        <w:t> </w:t>
      </w:r>
      <w:r>
        <w:rPr>
          <w:rFonts w:ascii="Arial"/>
          <w:i/>
          <w:sz w:val="20"/>
        </w:rPr>
        <w:t>EWCA</w:t>
      </w:r>
      <w:r>
        <w:rPr>
          <w:rFonts w:ascii="Arial"/>
          <w:i/>
          <w:spacing w:val="4"/>
          <w:sz w:val="20"/>
        </w:rPr>
        <w:t> </w:t>
      </w:r>
      <w:r>
        <w:rPr>
          <w:rFonts w:ascii="Arial"/>
          <w:i/>
          <w:sz w:val="20"/>
        </w:rPr>
        <w:t>Civ</w:t>
      </w:r>
      <w:r>
        <w:rPr>
          <w:rFonts w:ascii="Arial"/>
          <w:i/>
          <w:spacing w:val="4"/>
          <w:sz w:val="20"/>
        </w:rPr>
        <w:t> </w:t>
      </w:r>
      <w:r>
        <w:rPr>
          <w:rFonts w:ascii="Arial"/>
          <w:i/>
          <w:sz w:val="20"/>
        </w:rPr>
        <w:t>241,</w:t>
      </w:r>
      <w:r>
        <w:rPr>
          <w:rFonts w:ascii="Arial"/>
          <w:i/>
          <w:spacing w:val="4"/>
          <w:sz w:val="20"/>
        </w:rPr>
        <w:t> </w:t>
      </w:r>
      <w:r>
        <w:rPr>
          <w:rFonts w:ascii="Arial"/>
          <w:i/>
          <w:spacing w:val="-2"/>
          <w:sz w:val="20"/>
        </w:rPr>
        <w:t>[2006]</w:t>
      </w:r>
    </w:p>
    <w:p>
      <w:pPr>
        <w:spacing w:line="227" w:lineRule="exact" w:before="0"/>
        <w:ind w:left="705" w:right="0" w:firstLine="0"/>
        <w:jc w:val="left"/>
        <w:rPr>
          <w:sz w:val="20"/>
        </w:rPr>
      </w:pPr>
      <w:r>
        <w:rPr>
          <w:rFonts w:ascii="Arial"/>
          <w:i/>
          <w:sz w:val="20"/>
        </w:rPr>
        <w:t>2</w:t>
      </w:r>
      <w:r>
        <w:rPr>
          <w:rFonts w:ascii="Arial"/>
          <w:i/>
          <w:spacing w:val="-2"/>
          <w:sz w:val="20"/>
        </w:rPr>
        <w:t> </w:t>
      </w:r>
      <w:r>
        <w:rPr>
          <w:rFonts w:ascii="Arial"/>
          <w:i/>
          <w:sz w:val="20"/>
        </w:rPr>
        <w:t>All E.R. (Comm) </w:t>
      </w:r>
      <w:r>
        <w:rPr>
          <w:rFonts w:ascii="Arial"/>
          <w:i/>
          <w:spacing w:val="-4"/>
          <w:sz w:val="20"/>
        </w:rPr>
        <w:t>104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21" w:id="823"/>
      <w:bookmarkEnd w:id="823"/>
      <w:r>
        <w:rPr/>
      </w:r>
      <w:hyperlink w:history="true" w:anchor="_bookmark817">
        <w:r>
          <w:rPr>
            <w:color w:val="005DA1"/>
            <w:spacing w:val="-4"/>
            <w:position w:val="5"/>
            <w:sz w:val="14"/>
            <w:u w:val="single" w:color="005DA1"/>
          </w:rPr>
          <w:t>433</w:t>
        </w:r>
      </w:hyperlink>
      <w:r>
        <w:rPr>
          <w:spacing w:val="-4"/>
          <w:position w:val="5"/>
          <w:sz w:val="14"/>
        </w:rPr>
        <w:t>.</w:t>
      </w:r>
      <w:r>
        <w:rPr>
          <w:position w:val="5"/>
          <w:sz w:val="14"/>
        </w:rPr>
        <w:tab/>
      </w:r>
      <w:r>
        <w:rPr>
          <w:rFonts w:ascii="Arial"/>
          <w:i/>
          <w:sz w:val="20"/>
        </w:rPr>
        <w:t>Collin v Duke of Westminster [1985] Q.B. 581, </w:t>
      </w:r>
      <w:r>
        <w:rPr>
          <w:rFonts w:ascii="Arial"/>
          <w:i/>
          <w:spacing w:val="-4"/>
          <w:sz w:val="20"/>
        </w:rPr>
        <w:t>588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22" w:id="824"/>
      <w:bookmarkEnd w:id="824"/>
      <w:r>
        <w:rPr/>
      </w:r>
      <w:hyperlink w:history="true" w:anchor="_bookmark818">
        <w:r>
          <w:rPr>
            <w:color w:val="005DA1"/>
            <w:spacing w:val="-4"/>
            <w:position w:val="5"/>
            <w:sz w:val="14"/>
            <w:u w:val="single" w:color="005DA1"/>
          </w:rPr>
          <w:t>434</w:t>
        </w:r>
      </w:hyperlink>
      <w:r>
        <w:rPr>
          <w:spacing w:val="-4"/>
          <w:position w:val="5"/>
          <w:sz w:val="14"/>
        </w:rPr>
        <w:t>.</w:t>
      </w:r>
      <w:r>
        <w:rPr>
          <w:position w:val="5"/>
          <w:sz w:val="14"/>
        </w:rPr>
        <w:tab/>
      </w:r>
      <w:r>
        <w:rPr>
          <w:rFonts w:ascii="Arial"/>
          <w:i/>
          <w:sz w:val="20"/>
        </w:rPr>
        <w:t>Atlantic Shipping &amp; Trading Ltd v Louis Dreyfus &amp; Co [1922] 2 A.C. 250</w:t>
      </w:r>
      <w:r>
        <w:rPr>
          <w:rFonts w:ascii="Arial"/>
          <w:i/>
          <w:spacing w:val="-1"/>
          <w:sz w:val="20"/>
        </w:rPr>
        <w:t> </w:t>
      </w:r>
      <w:r>
        <w:rPr>
          <w:sz w:val="20"/>
        </w:rPr>
        <w:t>at </w:t>
      </w:r>
      <w:r>
        <w:rPr>
          <w:spacing w:val="-4"/>
          <w:sz w:val="20"/>
        </w:rPr>
        <w:t>262.</w:t>
      </w:r>
    </w:p>
    <w:p>
      <w:pPr>
        <w:pStyle w:val="BodyText"/>
        <w:spacing w:before="9"/>
      </w:pPr>
    </w:p>
    <w:p>
      <w:pPr>
        <w:pStyle w:val="BodyText"/>
        <w:spacing w:line="235" w:lineRule="auto"/>
        <w:ind w:left="705" w:right="167" w:hanging="541"/>
        <w:jc w:val="both"/>
      </w:pPr>
      <w:bookmarkStart w:name="_bookmark823" w:id="825"/>
      <w:bookmarkEnd w:id="825"/>
      <w:r>
        <w:rPr/>
      </w:r>
      <w:hyperlink w:history="true" w:anchor="_bookmark819">
        <w:r>
          <w:rPr>
            <w:color w:val="005DA1"/>
            <w:position w:val="5"/>
            <w:sz w:val="14"/>
            <w:u w:val="single" w:color="005DA1"/>
          </w:rPr>
          <w:t>435</w:t>
        </w:r>
      </w:hyperlink>
      <w:r>
        <w:rPr>
          <w:position w:val="5"/>
          <w:sz w:val="14"/>
        </w:rPr>
        <w:t>.</w:t>
      </w:r>
      <w:r>
        <w:rPr>
          <w:spacing w:val="80"/>
          <w:w w:val="150"/>
          <w:position w:val="5"/>
          <w:sz w:val="14"/>
        </w:rPr>
        <w:t> </w:t>
      </w:r>
      <w:r>
        <w:rPr/>
        <w:t>Below, para.4-117. For an exception to the requirement, see Bills of Exchange Act 1882, </w:t>
      </w:r>
      <w:r>
        <w:rPr/>
        <w:t>s.62, below, Vol.II, para.34-138. The release prima facie takes effect at the time of the accord: see </w:t>
      </w:r>
      <w:r>
        <w:rPr>
          <w:rFonts w:ascii="Arial"/>
          <w:i/>
        </w:rPr>
        <w:t>Jameson v CEGB [2000] 1 A.C. 455 </w:t>
      </w:r>
      <w:r>
        <w:rPr/>
        <w:t>at 477 (where the original liability arose in tort).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36"/>
          <w:headerReference w:type="even" r:id="rId37"/>
          <w:pgSz w:w="11900" w:h="16840"/>
          <w:pgMar w:header="971" w:footer="0" w:top="1160" w:bottom="280" w:left="1275" w:right="1275"/>
        </w:sectPr>
      </w:pPr>
    </w:p>
    <w:p>
      <w:pPr>
        <w:pStyle w:val="Heading2"/>
        <w:numPr>
          <w:ilvl w:val="0"/>
          <w:numId w:val="4"/>
        </w:numPr>
        <w:tabs>
          <w:tab w:pos="4271" w:val="left" w:leader="none"/>
        </w:tabs>
        <w:spacing w:line="240" w:lineRule="auto" w:before="194" w:after="0"/>
        <w:ind w:left="4271" w:right="0" w:hanging="373"/>
        <w:jc w:val="left"/>
      </w:pPr>
      <w:r>
        <w:rPr/>
        <w:t>- </w:t>
      </w:r>
      <w:r>
        <w:rPr>
          <w:spacing w:val="-2"/>
        </w:rPr>
        <w:t>Variation</w:t>
      </w:r>
    </w:p>
    <w:p>
      <w:pPr>
        <w:pStyle w:val="ListParagraph"/>
        <w:numPr>
          <w:ilvl w:val="0"/>
          <w:numId w:val="5"/>
        </w:numPr>
        <w:tabs>
          <w:tab w:pos="3025" w:val="left" w:leader="none"/>
        </w:tabs>
        <w:spacing w:line="240" w:lineRule="auto" w:before="194" w:after="0"/>
        <w:ind w:left="3025" w:right="0" w:hanging="293"/>
        <w:jc w:val="left"/>
        <w:rPr>
          <w:rFonts w:ascii="Arial"/>
          <w:b/>
          <w:sz w:val="24"/>
        </w:rPr>
      </w:pPr>
      <w:r>
        <w:rPr>
          <w:rFonts w:ascii="Arial"/>
          <w:b/>
          <w:sz w:val="24"/>
        </w:rPr>
        <w:t>- Requirement of </w:t>
      </w:r>
      <w:r>
        <w:rPr>
          <w:rFonts w:ascii="Arial"/>
          <w:b/>
          <w:spacing w:val="-2"/>
          <w:sz w:val="24"/>
        </w:rPr>
        <w:t>Consideration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Agreements to vary </w:t>
      </w:r>
      <w:r>
        <w:rPr>
          <w:rFonts w:ascii="Arial"/>
          <w:b/>
          <w:spacing w:val="-2"/>
          <w:sz w:val="18"/>
        </w:rPr>
        <w:t>contracts</w:t>
      </w:r>
    </w:p>
    <w:p>
      <w:pPr>
        <w:pStyle w:val="BodyText"/>
        <w:spacing w:before="41"/>
        <w:rPr>
          <w:rFonts w:ascii="Arial"/>
          <w:b/>
          <w:sz w:val="18"/>
        </w:rPr>
      </w:pPr>
    </w:p>
    <w:p>
      <w:pPr>
        <w:pStyle w:val="Heading2"/>
      </w:pPr>
      <w:r>
        <w:rPr/>
        <w:t>4-</w:t>
      </w:r>
      <w:r>
        <w:rPr>
          <w:spacing w:val="-5"/>
        </w:rPr>
        <w:t>080</w:t>
      </w:r>
    </w:p>
    <w:p>
      <w:pPr>
        <w:pStyle w:val="BodyText"/>
        <w:spacing w:before="199"/>
        <w:ind w:left="165"/>
        <w:jc w:val="both"/>
      </w:pPr>
      <w:r>
        <w:rPr/>
        <w:t>Four situations call for </w:t>
      </w:r>
      <w:r>
        <w:rPr>
          <w:spacing w:val="-2"/>
        </w:rPr>
        <w:t>discussion.</w:t>
      </w:r>
    </w:p>
    <w:p>
      <w:pPr>
        <w:pStyle w:val="BodyText"/>
        <w:spacing w:before="207"/>
      </w:pPr>
    </w:p>
    <w:p>
      <w:pPr>
        <w:pStyle w:val="ListParagraph"/>
        <w:numPr>
          <w:ilvl w:val="0"/>
          <w:numId w:val="6"/>
        </w:numPr>
        <w:tabs>
          <w:tab w:pos="435" w:val="left" w:leader="none"/>
        </w:tabs>
        <w:spacing w:line="240" w:lineRule="auto" w:before="1" w:after="0"/>
        <w:ind w:left="435" w:right="0" w:hanging="270"/>
        <w:jc w:val="left"/>
        <w:rPr>
          <w:rFonts w:ascii="Arial"/>
          <w:b/>
          <w:sz w:val="18"/>
        </w:rPr>
      </w:pPr>
      <w:r>
        <w:rPr>
          <w:rFonts w:ascii="Arial"/>
          <w:b/>
          <w:sz w:val="18"/>
        </w:rPr>
        <w:t>Rescission followed by new </w:t>
      </w:r>
      <w:r>
        <w:rPr>
          <w:rFonts w:ascii="Arial"/>
          <w:b/>
          <w:spacing w:val="-2"/>
          <w:sz w:val="18"/>
        </w:rPr>
        <w:t>contract</w:t>
      </w:r>
    </w:p>
    <w:p>
      <w:pPr>
        <w:pStyle w:val="BodyText"/>
        <w:spacing w:before="49"/>
        <w:rPr>
          <w:rFonts w:ascii="Arial"/>
          <w:b/>
          <w:sz w:val="18"/>
        </w:rPr>
      </w:pPr>
    </w:p>
    <w:p>
      <w:pPr>
        <w:pStyle w:val="BodyText"/>
        <w:spacing w:line="235" w:lineRule="auto" w:before="1"/>
        <w:ind w:left="165" w:right="167"/>
        <w:jc w:val="both"/>
      </w:pPr>
      <w:r>
        <w:rPr/>
        <w:t>First, the parties may agree to rescind an existing contract and to enter into a new one, on </w:t>
      </w:r>
      <w:r>
        <w:rPr/>
        <w:t>different terms, in relation to the same subject-matter. The question whether there is consideration for the rescission then depends on the tests stated in paras 4-078 to 4-079 above. If these are satisfied,</w:t>
      </w:r>
      <w:r>
        <w:rPr>
          <w:spacing w:val="40"/>
        </w:rPr>
        <w:t> </w:t>
      </w:r>
      <w:r>
        <w:rPr/>
        <w:t>there will also generally be consideration for the promises of both parties made under the new </w:t>
      </w:r>
      <w:bookmarkStart w:name="_bookmark824" w:id="826"/>
      <w:bookmarkEnd w:id="826"/>
      <w:r>
        <w:rPr/>
        <w:t>contract.</w:t>
      </w:r>
      <w:r>
        <w:rPr/>
        <w:t> “The same consideration which existed for the old agreement is imported into the new agreement which is substituted for it.” </w:t>
      </w:r>
      <w:r>
        <w:rPr>
          <w:color w:val="005DA1"/>
          <w:u w:val="single" w:color="005DA1"/>
          <w:vertAlign w:val="superscript"/>
        </w:rPr>
        <w:t>436</w:t>
      </w:r>
    </w:p>
    <w:p>
      <w:pPr>
        <w:pStyle w:val="BodyText"/>
      </w:pPr>
    </w:p>
    <w:p>
      <w:pPr>
        <w:pStyle w:val="BodyText"/>
        <w:spacing w:before="36"/>
      </w:pPr>
    </w:p>
    <w:p>
      <w:pPr>
        <w:pStyle w:val="ListParagraph"/>
        <w:numPr>
          <w:ilvl w:val="0"/>
          <w:numId w:val="6"/>
        </w:numPr>
        <w:tabs>
          <w:tab w:pos="435" w:val="left" w:leader="none"/>
        </w:tabs>
        <w:spacing w:line="240" w:lineRule="auto" w:before="0" w:after="0"/>
        <w:ind w:left="435" w:right="0" w:hanging="270"/>
        <w:jc w:val="left"/>
        <w:rPr>
          <w:rFonts w:ascii="Arial"/>
          <w:b/>
          <w:sz w:val="18"/>
        </w:rPr>
      </w:pPr>
      <w:r>
        <w:rPr>
          <w:rFonts w:ascii="Arial"/>
          <w:b/>
          <w:sz w:val="18"/>
        </w:rPr>
        <w:t>Variation which can prejudice or benefit either </w:t>
      </w:r>
      <w:r>
        <w:rPr>
          <w:rFonts w:ascii="Arial"/>
          <w:b/>
          <w:spacing w:val="-2"/>
          <w:sz w:val="18"/>
        </w:rPr>
        <w:t>party</w:t>
      </w:r>
    </w:p>
    <w:p>
      <w:pPr>
        <w:pStyle w:val="BodyText"/>
        <w:spacing w:before="50"/>
        <w:rPr>
          <w:rFonts w:ascii="Arial"/>
          <w:b/>
          <w:sz w:val="18"/>
        </w:rPr>
      </w:pPr>
    </w:p>
    <w:p>
      <w:pPr>
        <w:pStyle w:val="BodyText"/>
        <w:spacing w:line="235" w:lineRule="auto"/>
        <w:ind w:left="164" w:right="167"/>
        <w:jc w:val="both"/>
      </w:pPr>
      <w:r>
        <w:rPr/>
        <w:t>Secondly, the parties may agree to vary the contract in a way that can prejudice or benefit </w:t>
      </w:r>
      <w:r>
        <w:rPr/>
        <w:t>either</w:t>
      </w:r>
      <w:r>
        <w:rPr>
          <w:spacing w:val="40"/>
        </w:rPr>
        <w:t> </w:t>
      </w:r>
      <w:r>
        <w:rPr/>
        <w:t>party. Here the </w:t>
      </w:r>
      <w:r>
        <w:rPr>
          <w:rFonts w:ascii="Arial" w:hAnsi="Arial"/>
          <w:i/>
        </w:rPr>
        <w:t>possible </w:t>
      </w:r>
      <w:r>
        <w:rPr/>
        <w:t>detriment or benefit suffices to provide consideration for the promise of each </w:t>
      </w:r>
      <w:bookmarkStart w:name="_bookmark825" w:id="827"/>
      <w:bookmarkEnd w:id="827"/>
      <w:r>
        <w:rPr/>
        <w:t>party.</w:t>
      </w:r>
      <w:r>
        <w:rPr/>
        <w:t> This situation may be illustrated by an agreement to vary the currency in which a future payment</w:t>
      </w:r>
      <w:r>
        <w:rPr>
          <w:spacing w:val="-2"/>
        </w:rPr>
        <w:t> </w:t>
      </w:r>
      <w:r>
        <w:rPr/>
        <w:t>under</w:t>
      </w:r>
      <w:r>
        <w:rPr>
          <w:spacing w:val="-2"/>
        </w:rPr>
        <w:t> </w:t>
      </w:r>
      <w:r>
        <w:rPr/>
        <w:t>a</w:t>
      </w:r>
      <w:r>
        <w:rPr>
          <w:spacing w:val="-2"/>
        </w:rPr>
        <w:t> </w:t>
      </w:r>
      <w:r>
        <w:rPr/>
        <w:t>contract</w:t>
      </w:r>
      <w:r>
        <w:rPr>
          <w:spacing w:val="-2"/>
        </w:rPr>
        <w:t> </w:t>
      </w:r>
      <w:r>
        <w:rPr/>
        <w:t>of</w:t>
      </w:r>
      <w:r>
        <w:rPr>
          <w:spacing w:val="-2"/>
        </w:rPr>
        <w:t> </w:t>
      </w:r>
      <w:r>
        <w:rPr/>
        <w:t>sale</w:t>
      </w:r>
      <w:r>
        <w:rPr>
          <w:spacing w:val="-2"/>
        </w:rPr>
        <w:t> </w:t>
      </w:r>
      <w:r>
        <w:rPr/>
        <w:t>is</w:t>
      </w:r>
      <w:r>
        <w:rPr>
          <w:spacing w:val="-2"/>
        </w:rPr>
        <w:t> </w:t>
      </w:r>
      <w:r>
        <w:rPr/>
        <w:t>to</w:t>
      </w:r>
      <w:r>
        <w:rPr>
          <w:spacing w:val="-2"/>
        </w:rPr>
        <w:t> </w:t>
      </w:r>
      <w:r>
        <w:rPr/>
        <w:t>be</w:t>
      </w:r>
      <w:r>
        <w:rPr>
          <w:spacing w:val="-2"/>
        </w:rPr>
        <w:t> </w:t>
      </w:r>
      <w:r>
        <w:rPr/>
        <w:t>made.</w:t>
      </w:r>
      <w:r>
        <w:rPr>
          <w:spacing w:val="-2"/>
        </w:rPr>
        <w:t> </w:t>
      </w:r>
      <w:r>
        <w:rPr>
          <w:color w:val="005DA1"/>
          <w:u w:val="single" w:color="005DA1"/>
          <w:vertAlign w:val="superscript"/>
        </w:rPr>
        <w:t>437</w:t>
      </w:r>
      <w:r>
        <w:rPr>
          <w:color w:val="005DA1"/>
          <w:spacing w:val="-2"/>
          <w:vertAlign w:val="baseline"/>
        </w:rPr>
        <w:t> </w:t>
      </w:r>
      <w:r>
        <w:rPr>
          <w:vertAlign w:val="baseline"/>
        </w:rPr>
        <w:t>The</w:t>
      </w:r>
      <w:r>
        <w:rPr>
          <w:spacing w:val="-2"/>
          <w:vertAlign w:val="baseline"/>
        </w:rPr>
        <w:t> </w:t>
      </w:r>
      <w:r>
        <w:rPr>
          <w:vertAlign w:val="baseline"/>
        </w:rPr>
        <w:t>seller’s</w:t>
      </w:r>
      <w:r>
        <w:rPr>
          <w:spacing w:val="-2"/>
          <w:vertAlign w:val="baseline"/>
        </w:rPr>
        <w:t> </w:t>
      </w:r>
      <w:r>
        <w:rPr>
          <w:vertAlign w:val="baseline"/>
        </w:rPr>
        <w:t>promise</w:t>
      </w:r>
      <w:r>
        <w:rPr>
          <w:spacing w:val="-2"/>
          <w:vertAlign w:val="baseline"/>
        </w:rPr>
        <w:t> </w:t>
      </w:r>
      <w:r>
        <w:rPr>
          <w:vertAlign w:val="baseline"/>
        </w:rPr>
        <w:t>to</w:t>
      </w:r>
      <w:r>
        <w:rPr>
          <w:spacing w:val="-2"/>
          <w:vertAlign w:val="baseline"/>
        </w:rPr>
        <w:t> </w:t>
      </w:r>
      <w:r>
        <w:rPr>
          <w:vertAlign w:val="baseline"/>
        </w:rPr>
        <w:t>accept</w:t>
      </w:r>
      <w:r>
        <w:rPr>
          <w:spacing w:val="-2"/>
          <w:vertAlign w:val="baseline"/>
        </w:rPr>
        <w:t> </w:t>
      </w:r>
      <w:r>
        <w:rPr>
          <w:vertAlign w:val="baseline"/>
        </w:rPr>
        <w:t>payment</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new currency is supported by consideration since it </w:t>
      </w:r>
      <w:r>
        <w:rPr>
          <w:rFonts w:ascii="Arial" w:hAnsi="Arial"/>
          <w:i/>
          <w:vertAlign w:val="baseline"/>
        </w:rPr>
        <w:t>may </w:t>
      </w:r>
      <w:r>
        <w:rPr>
          <w:vertAlign w:val="baseline"/>
        </w:rPr>
        <w:t>benefit him and prejudice the buyer as it is possible for the new currency to appreciate in relation to the old between the time of the variation and the time of payment. This possibility of benefit and detriment is sufficient. It is immaterial for the purpose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requirement</w:t>
      </w:r>
      <w:r>
        <w:rPr>
          <w:spacing w:val="-1"/>
          <w:vertAlign w:val="baseline"/>
        </w:rPr>
        <w:t> </w:t>
      </w:r>
      <w:r>
        <w:rPr>
          <w:vertAlign w:val="baseline"/>
        </w:rPr>
        <w:t>of</w:t>
      </w:r>
      <w:r>
        <w:rPr>
          <w:spacing w:val="-1"/>
          <w:vertAlign w:val="baseline"/>
        </w:rPr>
        <w:t> </w:t>
      </w:r>
      <w:r>
        <w:rPr>
          <w:vertAlign w:val="baseline"/>
        </w:rPr>
        <w:t>consideration</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new</w:t>
      </w:r>
      <w:r>
        <w:rPr>
          <w:spacing w:val="-1"/>
          <w:vertAlign w:val="baseline"/>
        </w:rPr>
        <w:t> </w:t>
      </w:r>
      <w:r>
        <w:rPr>
          <w:vertAlign w:val="baseline"/>
        </w:rPr>
        <w:t>currency</w:t>
      </w:r>
      <w:r>
        <w:rPr>
          <w:spacing w:val="-1"/>
          <w:vertAlign w:val="baseline"/>
        </w:rPr>
        <w:t> </w:t>
      </w:r>
      <w:r>
        <w:rPr>
          <w:vertAlign w:val="baseline"/>
        </w:rPr>
        <w:t>in</w:t>
      </w:r>
      <w:r>
        <w:rPr>
          <w:spacing w:val="-1"/>
          <w:vertAlign w:val="baseline"/>
        </w:rPr>
        <w:t> </w:t>
      </w:r>
      <w:r>
        <w:rPr>
          <w:vertAlign w:val="baseline"/>
        </w:rPr>
        <w:t>fact</w:t>
      </w:r>
      <w:r>
        <w:rPr>
          <w:spacing w:val="-1"/>
          <w:vertAlign w:val="baseline"/>
        </w:rPr>
        <w:t> </w:t>
      </w:r>
      <w:r>
        <w:rPr>
          <w:vertAlign w:val="baseline"/>
        </w:rPr>
        <w:t>depreciates</w:t>
      </w:r>
      <w:r>
        <w:rPr>
          <w:spacing w:val="-1"/>
          <w:vertAlign w:val="baseline"/>
        </w:rPr>
        <w:t> </w:t>
      </w:r>
      <w:r>
        <w:rPr>
          <w:vertAlign w:val="baseline"/>
        </w:rPr>
        <w:t>in</w:t>
      </w:r>
      <w:r>
        <w:rPr>
          <w:spacing w:val="-1"/>
          <w:vertAlign w:val="baseline"/>
        </w:rPr>
        <w:t> </w:t>
      </w:r>
      <w:r>
        <w:rPr>
          <w:vertAlign w:val="baseline"/>
        </w:rPr>
        <w:t>relation</w:t>
      </w:r>
      <w:r>
        <w:rPr>
          <w:spacing w:val="-1"/>
          <w:vertAlign w:val="baseline"/>
        </w:rPr>
        <w:t> </w:t>
      </w:r>
      <w:r>
        <w:rPr>
          <w:vertAlign w:val="baseline"/>
        </w:rPr>
        <w:t>to</w:t>
      </w:r>
      <w:r>
        <w:rPr>
          <w:spacing w:val="-1"/>
          <w:vertAlign w:val="baseline"/>
        </w:rPr>
        <w:t> </w:t>
      </w:r>
      <w:r>
        <w:rPr>
          <w:vertAlign w:val="baseline"/>
        </w:rPr>
        <w:t>the old, or even that at the time of the variation it was highly probable that it would so depreciate. On the same principle, the requirement of consideration is satisfied where an agreement for the sale of</w:t>
      </w:r>
      <w:r>
        <w:rPr>
          <w:spacing w:val="80"/>
          <w:vertAlign w:val="baseline"/>
        </w:rPr>
        <w:t> </w:t>
      </w:r>
      <w:r>
        <w:rPr>
          <w:vertAlign w:val="baseline"/>
        </w:rPr>
        <w:t>goods is varied by mutual promises (made before the delivery date originally specified) on the part of the buyer to accept delivery and by the seller to perform his obligations with respect to delivery on a different (later) date. In one such case, it was said that such a variation amounted to “a new </w:t>
      </w:r>
      <w:bookmarkStart w:name="_bookmark826" w:id="828"/>
      <w:bookmarkEnd w:id="828"/>
      <w:r>
        <w:rPr>
          <w:vertAlign w:val="baseline"/>
        </w:rPr>
        <w:t>agreement</w:t>
      </w:r>
      <w:r>
        <w:rPr>
          <w:vertAlign w:val="baseline"/>
        </w:rPr>
        <w:t> supported by mutual promises” and that “sufficient consideration [for the buyer’s promise] moved</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promisee.”</w:t>
      </w:r>
      <w:r>
        <w:rPr>
          <w:spacing w:val="-3"/>
          <w:vertAlign w:val="baseline"/>
        </w:rPr>
        <w:t> </w:t>
      </w:r>
      <w:r>
        <w:rPr>
          <w:color w:val="005DA1"/>
          <w:u w:val="single" w:color="005DA1"/>
          <w:vertAlign w:val="superscript"/>
        </w:rPr>
        <w:t>438</w:t>
      </w:r>
      <w:r>
        <w:rPr>
          <w:color w:val="005DA1"/>
          <w:spacing w:val="-2"/>
          <w:vertAlign w:val="baseline"/>
        </w:rPr>
        <w:t> </w:t>
      </w:r>
      <w:r>
        <w:rPr>
          <w:vertAlign w:val="baseline"/>
        </w:rPr>
        <w:t>(i.e.,</w:t>
      </w:r>
      <w:r>
        <w:rPr>
          <w:spacing w:val="-2"/>
          <w:vertAlign w:val="baseline"/>
        </w:rPr>
        <w:t> </w:t>
      </w:r>
      <w:r>
        <w:rPr>
          <w:vertAlign w:val="baseline"/>
        </w:rPr>
        <w:t>the</w:t>
      </w:r>
      <w:r>
        <w:rPr>
          <w:spacing w:val="-2"/>
          <w:vertAlign w:val="baseline"/>
        </w:rPr>
        <w:t> </w:t>
      </w:r>
      <w:r>
        <w:rPr>
          <w:vertAlign w:val="baseline"/>
        </w:rPr>
        <w:t>seller).</w:t>
      </w:r>
      <w:r>
        <w:rPr>
          <w:spacing w:val="-2"/>
          <w:vertAlign w:val="baseline"/>
        </w:rPr>
        <w:t> </w:t>
      </w:r>
      <w:r>
        <w:rPr>
          <w:vertAlign w:val="baseline"/>
        </w:rPr>
        <w:t>If</w:t>
      </w:r>
      <w:r>
        <w:rPr>
          <w:spacing w:val="-2"/>
          <w:vertAlign w:val="baseline"/>
        </w:rPr>
        <w:t> </w:t>
      </w:r>
      <w:r>
        <w:rPr>
          <w:vertAlign w:val="baseline"/>
        </w:rPr>
        <w:t>a</w:t>
      </w:r>
      <w:r>
        <w:rPr>
          <w:spacing w:val="-2"/>
          <w:vertAlign w:val="baseline"/>
        </w:rPr>
        <w:t> </w:t>
      </w:r>
      <w:r>
        <w:rPr>
          <w:vertAlign w:val="baseline"/>
        </w:rPr>
        <w:t>variation</w:t>
      </w:r>
      <w:r>
        <w:rPr>
          <w:spacing w:val="-2"/>
          <w:vertAlign w:val="baseline"/>
        </w:rPr>
        <w:t> </w:t>
      </w:r>
      <w:r>
        <w:rPr>
          <w:vertAlign w:val="baseline"/>
        </w:rPr>
        <w:t>is,</w:t>
      </w:r>
      <w:r>
        <w:rPr>
          <w:spacing w:val="-2"/>
          <w:vertAlign w:val="baseline"/>
        </w:rPr>
        <w:t> </w:t>
      </w:r>
      <w:r>
        <w:rPr>
          <w:vertAlign w:val="baseline"/>
        </w:rPr>
        <w:t>taken</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whole,</w:t>
      </w:r>
      <w:r>
        <w:rPr>
          <w:spacing w:val="-2"/>
          <w:vertAlign w:val="baseline"/>
        </w:rPr>
        <w:t> </w:t>
      </w:r>
      <w:r>
        <w:rPr>
          <w:vertAlign w:val="baseline"/>
        </w:rPr>
        <w:t>capable</w:t>
      </w:r>
      <w:r>
        <w:rPr>
          <w:spacing w:val="-2"/>
          <w:vertAlign w:val="baseline"/>
        </w:rPr>
        <w:t> </w:t>
      </w:r>
      <w:r>
        <w:rPr>
          <w:vertAlign w:val="baseline"/>
        </w:rPr>
        <w:t>of</w:t>
      </w:r>
      <w:r>
        <w:rPr>
          <w:spacing w:val="-2"/>
          <w:vertAlign w:val="baseline"/>
        </w:rPr>
        <w:t> </w:t>
      </w:r>
      <w:r>
        <w:rPr>
          <w:vertAlign w:val="baseline"/>
        </w:rPr>
        <w:t>benefiting </w:t>
      </w:r>
      <w:bookmarkStart w:name="_bookmark827" w:id="829"/>
      <w:bookmarkEnd w:id="829"/>
      <w:r>
        <w:rPr>
          <w:vertAlign w:val="baseline"/>
        </w:rPr>
        <w:t>either</w:t>
      </w:r>
      <w:r>
        <w:rPr>
          <w:vertAlign w:val="baseline"/>
        </w:rPr>
        <w:t> party, the requirement of consideration will be satisfied even though a particular term of the variation is for the sole benefit of one. </w:t>
      </w:r>
      <w:r>
        <w:rPr>
          <w:color w:val="005DA1"/>
          <w:u w:val="single" w:color="005DA1"/>
          <w:vertAlign w:val="superscript"/>
        </w:rPr>
        <w:t>439</w:t>
      </w:r>
      <w:r>
        <w:rPr>
          <w:color w:val="005DA1"/>
          <w:vertAlign w:val="baseline"/>
        </w:rPr>
        <w:t> </w:t>
      </w:r>
      <w:r>
        <w:rPr>
          <w:vertAlign w:val="baseline"/>
        </w:rPr>
        <w:t>However, it has been held that there is no consideration for</w:t>
      </w:r>
      <w:r>
        <w:rPr>
          <w:spacing w:val="40"/>
          <w:vertAlign w:val="baseline"/>
        </w:rPr>
        <w:t> </w:t>
      </w:r>
      <w:r>
        <w:rPr>
          <w:vertAlign w:val="baseline"/>
        </w:rPr>
        <w:t>a variation which, though capable of benefiting either party, is in fact made wholly for the benefit of one. For example, a variation as to the place at which a debt is to be paid is capable of benefiting either party; but where such a variation was introduced solely for the benefit of the debtor there was </w:t>
      </w:r>
      <w:bookmarkStart w:name="_bookmark828" w:id="830"/>
      <w:bookmarkEnd w:id="830"/>
      <w:r>
        <w:rPr>
          <w:vertAlign w:val="baseline"/>
        </w:rPr>
        <w:t>held</w:t>
      </w:r>
      <w:r>
        <w:rPr>
          <w:vertAlign w:val="baseline"/>
        </w:rPr>
        <w:t> to be no consideration for a promise by the creditor: e.g. for one to accept part payment in full settlement if the debtor made such payment at the different place. </w:t>
      </w:r>
      <w:r>
        <w:rPr>
          <w:color w:val="005DA1"/>
          <w:u w:val="single" w:color="005DA1"/>
          <w:vertAlign w:val="superscript"/>
        </w:rPr>
        <w:t>440</w:t>
      </w:r>
    </w:p>
    <w:p>
      <w:pPr>
        <w:pStyle w:val="BodyText"/>
        <w:spacing w:after="0" w:line="235" w:lineRule="auto"/>
        <w:jc w:val="both"/>
        <w:sectPr>
          <w:pgSz w:w="11900" w:h="16840"/>
          <w:pgMar w:header="992" w:footer="0" w:top="4240" w:bottom="280" w:left="1275" w:right="1275"/>
        </w:sectPr>
      </w:pPr>
    </w:p>
    <w:p>
      <w:pPr>
        <w:pStyle w:val="BodyText"/>
        <w:rPr>
          <w:sz w:val="18"/>
        </w:rPr>
      </w:pPr>
    </w:p>
    <w:p>
      <w:pPr>
        <w:pStyle w:val="BodyText"/>
        <w:spacing w:before="179"/>
        <w:rPr>
          <w:sz w:val="18"/>
        </w:rPr>
      </w:pPr>
    </w:p>
    <w:p>
      <w:pPr>
        <w:pStyle w:val="ListParagraph"/>
        <w:numPr>
          <w:ilvl w:val="0"/>
          <w:numId w:val="6"/>
        </w:numPr>
        <w:tabs>
          <w:tab w:pos="435" w:val="left" w:leader="none"/>
        </w:tabs>
        <w:spacing w:line="240" w:lineRule="auto" w:before="0" w:after="0"/>
        <w:ind w:left="435" w:right="0" w:hanging="270"/>
        <w:jc w:val="left"/>
        <w:rPr>
          <w:rFonts w:ascii="Arial"/>
          <w:b/>
          <w:sz w:val="18"/>
        </w:rPr>
      </w:pPr>
      <w:r>
        <w:rPr>
          <w:rFonts w:ascii="Arial"/>
          <w:b/>
          <w:sz w:val="18"/>
        </w:rPr>
        <w:t>Variation which can benefit only one </w:t>
      </w:r>
      <w:r>
        <w:rPr>
          <w:rFonts w:ascii="Arial"/>
          <w:b/>
          <w:spacing w:val="-2"/>
          <w:sz w:val="18"/>
        </w:rPr>
        <w:t>party</w:t>
      </w:r>
    </w:p>
    <w:p>
      <w:pPr>
        <w:pStyle w:val="BodyText"/>
        <w:spacing w:before="41"/>
        <w:rPr>
          <w:rFonts w:ascii="Arial"/>
          <w:b/>
          <w:sz w:val="18"/>
        </w:rPr>
      </w:pPr>
    </w:p>
    <w:p>
      <w:pPr>
        <w:pStyle w:val="Heading2"/>
        <w:spacing w:before="1"/>
      </w:pPr>
      <w:r>
        <w:rPr/>
        <w:t>4-</w:t>
      </w:r>
      <w:r>
        <w:rPr>
          <w:spacing w:val="-5"/>
        </w:rPr>
        <w:t>081</w:t>
      </w:r>
    </w:p>
    <w:p>
      <w:pPr>
        <w:pStyle w:val="BodyText"/>
        <w:spacing w:line="235" w:lineRule="auto" w:before="202"/>
        <w:ind w:left="164" w:right="167"/>
        <w:jc w:val="both"/>
      </w:pPr>
      <w:r>
        <w:rPr/>
        <w:t>Thirdly, the parties may agree to vary the contract in a way that is considered to be capable of conferring a legal benefit on one party only: e.g. where one party agrees to pay more for </w:t>
      </w:r>
      <w:r>
        <w:rPr/>
        <w:t>the performance of the other party’s original obligation, or to accept less than the other party had</w:t>
      </w:r>
      <w:r>
        <w:rPr>
          <w:spacing w:val="40"/>
        </w:rPr>
        <w:t> </w:t>
      </w:r>
      <w:r>
        <w:rPr/>
        <w:t>originally undertaken without any corresponding variation (that could benefit him) of his own obligation. In some situations of this kind, it is settled that there is no consideration. Where, for </w:t>
      </w:r>
      <w:bookmarkStart w:name="_bookmark829" w:id="831"/>
      <w:bookmarkEnd w:id="831"/>
      <w:r>
        <w:rPr/>
        <w:t>example,</w:t>
      </w:r>
      <w:r>
        <w:rPr/>
        <w:t> after a debt has fallen due, the creditor promises to accept part payment of it in full </w:t>
      </w:r>
      <w:bookmarkStart w:name="_bookmark830" w:id="832"/>
      <w:bookmarkEnd w:id="832"/>
      <w:r>
        <w:rPr/>
        <w:t>settlement,</w:t>
      </w:r>
      <w:r>
        <w:rPr/>
        <w:t> the mere part payment does not constitute consideration for the variation, </w:t>
      </w:r>
      <w:r>
        <w:rPr>
          <w:color w:val="005DA1"/>
          <w:u w:val="single" w:color="005DA1"/>
          <w:vertAlign w:val="superscript"/>
        </w:rPr>
        <w:t>441</w:t>
      </w:r>
      <w:r>
        <w:rPr>
          <w:color w:val="005DA1"/>
          <w:vertAlign w:val="baseline"/>
        </w:rPr>
        <w:t> </w:t>
      </w:r>
      <w:r>
        <w:rPr>
          <w:vertAlign w:val="baseline"/>
        </w:rPr>
        <w:t>though the creditor’s promise may have a limited effect as a waiver, or in equity. </w:t>
      </w:r>
      <w:r>
        <w:rPr>
          <w:color w:val="005DA1"/>
          <w:u w:val="single" w:color="005DA1"/>
          <w:vertAlign w:val="superscript"/>
        </w:rPr>
        <w:t>442</w:t>
      </w:r>
      <w:r>
        <w:rPr>
          <w:color w:val="005DA1"/>
          <w:vertAlign w:val="baseline"/>
        </w:rPr>
        <w:t> </w:t>
      </w:r>
      <w:r>
        <w:rPr>
          <w:vertAlign w:val="baseline"/>
        </w:rPr>
        <w:t>Consideration for the creditor’s</w:t>
      </w:r>
      <w:r>
        <w:rPr>
          <w:spacing w:val="-1"/>
          <w:vertAlign w:val="baseline"/>
        </w:rPr>
        <w:t> </w:t>
      </w:r>
      <w:r>
        <w:rPr>
          <w:vertAlign w:val="baseline"/>
        </w:rPr>
        <w:t>promise</w:t>
      </w:r>
      <w:r>
        <w:rPr>
          <w:spacing w:val="-1"/>
          <w:vertAlign w:val="baseline"/>
        </w:rPr>
        <w:t> </w:t>
      </w:r>
      <w:r>
        <w:rPr>
          <w:vertAlign w:val="baseline"/>
        </w:rPr>
        <w:t>could</w:t>
      </w:r>
      <w:r>
        <w:rPr>
          <w:spacing w:val="-1"/>
          <w:vertAlign w:val="baseline"/>
        </w:rPr>
        <w:t> </w:t>
      </w:r>
      <w:r>
        <w:rPr>
          <w:vertAlign w:val="baseline"/>
        </w:rPr>
        <w:t>be</w:t>
      </w:r>
      <w:r>
        <w:rPr>
          <w:spacing w:val="-1"/>
          <w:vertAlign w:val="baseline"/>
        </w:rPr>
        <w:t> </w:t>
      </w:r>
      <w:r>
        <w:rPr>
          <w:vertAlign w:val="baseline"/>
        </w:rPr>
        <w:t>provided</w:t>
      </w:r>
      <w:r>
        <w:rPr>
          <w:spacing w:val="-1"/>
          <w:vertAlign w:val="baseline"/>
        </w:rPr>
        <w:t> </w:t>
      </w:r>
      <w:r>
        <w:rPr>
          <w:vertAlign w:val="baseline"/>
        </w:rPr>
        <w:t>by</w:t>
      </w:r>
      <w:r>
        <w:rPr>
          <w:spacing w:val="-1"/>
          <w:vertAlign w:val="baseline"/>
        </w:rPr>
        <w:t> </w:t>
      </w:r>
      <w:r>
        <w:rPr>
          <w:vertAlign w:val="baseline"/>
        </w:rPr>
        <w:t>some</w:t>
      </w:r>
      <w:r>
        <w:rPr>
          <w:spacing w:val="-1"/>
          <w:vertAlign w:val="baseline"/>
        </w:rPr>
        <w:t> </w:t>
      </w:r>
      <w:r>
        <w:rPr>
          <w:vertAlign w:val="baseline"/>
        </w:rPr>
        <w:t>further</w:t>
      </w:r>
      <w:r>
        <w:rPr>
          <w:spacing w:val="-1"/>
          <w:vertAlign w:val="baseline"/>
        </w:rPr>
        <w:t> </w:t>
      </w:r>
      <w:r>
        <w:rPr>
          <w:vertAlign w:val="baseline"/>
        </w:rPr>
        <w:t>variation</w:t>
      </w:r>
      <w:r>
        <w:rPr>
          <w:spacing w:val="-1"/>
          <w:vertAlign w:val="baseline"/>
        </w:rPr>
        <w:t> </w:t>
      </w:r>
      <w:r>
        <w:rPr>
          <w:vertAlign w:val="baseline"/>
        </w:rPr>
        <w:t>which</w:t>
      </w:r>
      <w:r>
        <w:rPr>
          <w:spacing w:val="-1"/>
          <w:vertAlign w:val="baseline"/>
        </w:rPr>
        <w:t> </w:t>
      </w:r>
      <w:r>
        <w:rPr>
          <w:vertAlign w:val="baseline"/>
        </w:rPr>
        <w:t>could</w:t>
      </w:r>
      <w:r>
        <w:rPr>
          <w:spacing w:val="-1"/>
          <w:vertAlign w:val="baseline"/>
        </w:rPr>
        <w:t> </w:t>
      </w:r>
      <w:r>
        <w:rPr>
          <w:vertAlign w:val="baseline"/>
        </w:rPr>
        <w:t>benefit</w:t>
      </w:r>
      <w:r>
        <w:rPr>
          <w:spacing w:val="-1"/>
          <w:vertAlign w:val="baseline"/>
        </w:rPr>
        <w:t> </w:t>
      </w:r>
      <w:r>
        <w:rPr>
          <w:vertAlign w:val="baseline"/>
        </w:rPr>
        <w:t>the</w:t>
      </w:r>
      <w:r>
        <w:rPr>
          <w:spacing w:val="-1"/>
          <w:vertAlign w:val="baseline"/>
        </w:rPr>
        <w:t> </w:t>
      </w:r>
      <w:r>
        <w:rPr>
          <w:vertAlign w:val="baseline"/>
        </w:rPr>
        <w:t>creditor:</w:t>
      </w:r>
      <w:r>
        <w:rPr>
          <w:spacing w:val="-1"/>
          <w:vertAlign w:val="baseline"/>
        </w:rPr>
        <w:t> </w:t>
      </w:r>
      <w:r>
        <w:rPr>
          <w:vertAlign w:val="baseline"/>
        </w:rPr>
        <w:t>e.g.</w:t>
      </w:r>
      <w:r>
        <w:rPr>
          <w:spacing w:val="-1"/>
          <w:vertAlign w:val="baseline"/>
        </w:rPr>
        <w:t> </w:t>
      </w:r>
      <w:r>
        <w:rPr>
          <w:vertAlign w:val="baseline"/>
        </w:rPr>
        <w:t>by </w:t>
      </w:r>
      <w:bookmarkStart w:name="_bookmark831" w:id="833"/>
      <w:bookmarkEnd w:id="833"/>
      <w:r>
        <w:rPr>
          <w:vertAlign w:val="baseline"/>
        </w:rPr>
        <w:t>the</w:t>
      </w:r>
      <w:r>
        <w:rPr>
          <w:vertAlign w:val="baseline"/>
        </w:rPr>
        <w:t> debtor’s promise to make the payment </w:t>
      </w:r>
      <w:r>
        <w:rPr>
          <w:rFonts w:ascii="Arial" w:hAnsi="Arial"/>
          <w:i/>
          <w:vertAlign w:val="baseline"/>
        </w:rPr>
        <w:t>before </w:t>
      </w:r>
      <w:r>
        <w:rPr>
          <w:vertAlign w:val="baseline"/>
        </w:rPr>
        <w:t>the day when the debt becomes due. In other situations falling within the present group, it is arguable </w:t>
      </w:r>
      <w:r>
        <w:rPr>
          <w:color w:val="005DA1"/>
          <w:u w:val="single" w:color="005DA1"/>
          <w:vertAlign w:val="superscript"/>
        </w:rPr>
        <w:t>443</w:t>
      </w:r>
      <w:r>
        <w:rPr>
          <w:color w:val="005DA1"/>
          <w:vertAlign w:val="baseline"/>
        </w:rPr>
        <w:t> </w:t>
      </w:r>
      <w:r>
        <w:rPr>
          <w:vertAlign w:val="baseline"/>
        </w:rPr>
        <w:t>that the variation may be supported by </w:t>
      </w:r>
      <w:bookmarkStart w:name="_bookmark832" w:id="834"/>
      <w:bookmarkEnd w:id="834"/>
      <w:r>
        <w:rPr>
          <w:vertAlign w:val="baseline"/>
        </w:rPr>
        <w:t>consideration</w:t>
      </w:r>
      <w:r>
        <w:rPr>
          <w:vertAlign w:val="baseline"/>
        </w:rPr>
        <w:t> if, though capable of conferring a legal benefit on only one party, it can also confer a factual benefit </w:t>
      </w:r>
      <w:r>
        <w:rPr>
          <w:color w:val="005DA1"/>
          <w:u w:val="single" w:color="005DA1"/>
          <w:vertAlign w:val="superscript"/>
        </w:rPr>
        <w:t>444</w:t>
      </w:r>
      <w:r>
        <w:rPr>
          <w:color w:val="005DA1"/>
          <w:vertAlign w:val="baseline"/>
        </w:rPr>
        <w:t> </w:t>
      </w:r>
      <w:r>
        <w:rPr>
          <w:vertAlign w:val="baseline"/>
        </w:rPr>
        <w:t>on the other: e.g. where a buyer’s promise to pay more than the originally agreed price</w:t>
      </w:r>
      <w:r>
        <w:rPr>
          <w:spacing w:val="-1"/>
          <w:vertAlign w:val="baseline"/>
        </w:rPr>
        <w:t> </w:t>
      </w:r>
      <w:r>
        <w:rPr>
          <w:vertAlign w:val="baseline"/>
        </w:rPr>
        <w:t>secures</w:t>
      </w:r>
      <w:r>
        <w:rPr>
          <w:spacing w:val="-1"/>
          <w:vertAlign w:val="baseline"/>
        </w:rPr>
        <w:t> </w:t>
      </w:r>
      <w:r>
        <w:rPr>
          <w:vertAlign w:val="baseline"/>
        </w:rPr>
        <w:t>eventual</w:t>
      </w:r>
      <w:r>
        <w:rPr>
          <w:spacing w:val="-1"/>
          <w:vertAlign w:val="baseline"/>
        </w:rPr>
        <w:t> </w:t>
      </w:r>
      <w:r>
        <w:rPr>
          <w:vertAlign w:val="baseline"/>
        </w:rPr>
        <w:t>delivery</w:t>
      </w:r>
      <w:r>
        <w:rPr>
          <w:spacing w:val="-2"/>
          <w:vertAlign w:val="baseline"/>
        </w:rPr>
        <w:t> </w:t>
      </w:r>
      <w:r>
        <w:rPr>
          <w:vertAlign w:val="baseline"/>
        </w:rPr>
        <w:t>of</w:t>
      </w:r>
      <w:r>
        <w:rPr>
          <w:spacing w:val="-1"/>
          <w:vertAlign w:val="baseline"/>
        </w:rPr>
        <w:t> </w:t>
      </w:r>
      <w:r>
        <w:rPr>
          <w:vertAlign w:val="baseline"/>
        </w:rPr>
        <w:t>goods</w:t>
      </w:r>
      <w:r>
        <w:rPr>
          <w:spacing w:val="-1"/>
          <w:vertAlign w:val="baseline"/>
        </w:rPr>
        <w:t> </w:t>
      </w:r>
      <w:r>
        <w:rPr>
          <w:vertAlign w:val="baseline"/>
        </w:rPr>
        <w:t>when</w:t>
      </w:r>
      <w:r>
        <w:rPr>
          <w:spacing w:val="-1"/>
          <w:vertAlign w:val="baseline"/>
        </w:rPr>
        <w:t> </w:t>
      </w:r>
      <w:r>
        <w:rPr>
          <w:vertAlign w:val="baseline"/>
        </w:rPr>
        <w:t>strict</w:t>
      </w:r>
      <w:r>
        <w:rPr>
          <w:spacing w:val="-2"/>
          <w:vertAlign w:val="baseline"/>
        </w:rPr>
        <w:t> </w:t>
      </w:r>
      <w:r>
        <w:rPr>
          <w:vertAlign w:val="baseline"/>
        </w:rPr>
        <w:t>insistence</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original</w:t>
      </w:r>
      <w:r>
        <w:rPr>
          <w:spacing w:val="-2"/>
          <w:vertAlign w:val="baseline"/>
        </w:rPr>
        <w:t> </w:t>
      </w:r>
      <w:r>
        <w:rPr>
          <w:vertAlign w:val="baseline"/>
        </w:rPr>
        <w:t>contract</w:t>
      </w:r>
      <w:r>
        <w:rPr>
          <w:spacing w:val="-1"/>
          <w:vertAlign w:val="baseline"/>
        </w:rPr>
        <w:t> </w:t>
      </w:r>
      <w:r>
        <w:rPr>
          <w:vertAlign w:val="baseline"/>
        </w:rPr>
        <w:t>would</w:t>
      </w:r>
      <w:r>
        <w:rPr>
          <w:spacing w:val="-1"/>
          <w:vertAlign w:val="baseline"/>
        </w:rPr>
        <w:t> </w:t>
      </w:r>
      <w:r>
        <w:rPr>
          <w:vertAlign w:val="baseline"/>
        </w:rPr>
        <w:t>have</w:t>
      </w:r>
      <w:r>
        <w:rPr>
          <w:spacing w:val="-1"/>
          <w:vertAlign w:val="baseline"/>
        </w:rPr>
        <w:t> </w:t>
      </w:r>
      <w:r>
        <w:rPr>
          <w:vertAlign w:val="baseline"/>
        </w:rPr>
        <w:t>led to nothing but litigation.</w:t>
      </w:r>
    </w:p>
    <w:p>
      <w:pPr>
        <w:pStyle w:val="BodyText"/>
      </w:pPr>
    </w:p>
    <w:p>
      <w:pPr>
        <w:pStyle w:val="BodyText"/>
        <w:spacing w:before="33"/>
      </w:pPr>
    </w:p>
    <w:p>
      <w:pPr>
        <w:pStyle w:val="ListParagraph"/>
        <w:numPr>
          <w:ilvl w:val="0"/>
          <w:numId w:val="6"/>
        </w:numPr>
        <w:tabs>
          <w:tab w:pos="434" w:val="left" w:leader="none"/>
        </w:tabs>
        <w:spacing w:line="240" w:lineRule="auto" w:before="0" w:after="0"/>
        <w:ind w:left="434" w:right="0" w:hanging="270"/>
        <w:jc w:val="left"/>
        <w:rPr>
          <w:rFonts w:ascii="Arial" w:hAnsi="Arial"/>
          <w:b/>
          <w:sz w:val="18"/>
        </w:rPr>
      </w:pPr>
      <w:r>
        <w:rPr>
          <w:rFonts w:ascii="Arial" w:hAnsi="Arial"/>
          <w:b/>
          <w:sz w:val="18"/>
        </w:rPr>
        <w:t>“Variation” before conclusion of </w:t>
      </w:r>
      <w:r>
        <w:rPr>
          <w:rFonts w:ascii="Arial" w:hAnsi="Arial"/>
          <w:b/>
          <w:spacing w:val="-2"/>
          <w:sz w:val="18"/>
        </w:rPr>
        <w:t>contract</w:t>
      </w:r>
    </w:p>
    <w:p>
      <w:pPr>
        <w:pStyle w:val="BodyText"/>
        <w:spacing w:before="50"/>
        <w:rPr>
          <w:rFonts w:ascii="Arial"/>
          <w:b/>
          <w:sz w:val="18"/>
        </w:rPr>
      </w:pPr>
    </w:p>
    <w:p>
      <w:pPr>
        <w:pStyle w:val="BodyText"/>
        <w:spacing w:line="235" w:lineRule="auto"/>
        <w:ind w:left="164" w:right="167"/>
        <w:jc w:val="both"/>
      </w:pPr>
      <w:r>
        <w:rPr/>
        <w:t>Fourthly, there is the apparently paradoxical possibility that the parties may agree to vary a contract even before that contract has been concluded. This may be the position where A and B negotiate </w:t>
      </w:r>
      <w:r>
        <w:rPr/>
        <w:t>on the basis of formal documents and A represents that the proposed contract will be on terms less favourable to himself than those set out in the documents. If the documents are nevertheless executed without alteration, the representation may then be enforceable as a collateral contract. The consideration for the promise contained in A’s representation is provided by B when he executes the </w:t>
      </w:r>
      <w:bookmarkStart w:name="_bookmark833" w:id="835"/>
      <w:bookmarkEnd w:id="835"/>
      <w:r>
        <w:rPr/>
        <w:t>documents,</w:t>
      </w:r>
      <w:r>
        <w:rPr/>
        <w:t> and so enters into the principal contract, at the request of A and in reliance on the representation. This was the position in </w:t>
      </w:r>
      <w:r>
        <w:rPr>
          <w:rFonts w:ascii="Arial" w:hAnsi="Arial"/>
          <w:i/>
        </w:rPr>
        <w:t>Brikom Investments Ltd v Carr</w:t>
      </w:r>
      <w:r>
        <w:rPr/>
        <w:t>, </w:t>
      </w:r>
      <w:r>
        <w:rPr>
          <w:color w:val="005DA1"/>
          <w:u w:val="single" w:color="005DA1"/>
          <w:vertAlign w:val="superscript"/>
        </w:rPr>
        <w:t>445</w:t>
      </w:r>
      <w:r>
        <w:rPr>
          <w:color w:val="005DA1"/>
          <w:vertAlign w:val="baseline"/>
        </w:rPr>
        <w:t> </w:t>
      </w:r>
      <w:r>
        <w:rPr>
          <w:vertAlign w:val="baseline"/>
        </w:rPr>
        <w:t>where the landlords of blocks of flats negotiated with their tenants for the sale of long leases of the flats on terms requiring the tenants to contribute to the cost of (inter alia) roof maintenance. At the time of the negotiations,</w:t>
      </w:r>
      <w:r>
        <w:rPr>
          <w:spacing w:val="40"/>
          <w:vertAlign w:val="baseline"/>
        </w:rPr>
        <w:t> </w:t>
      </w:r>
      <w:r>
        <w:rPr>
          <w:vertAlign w:val="baseline"/>
        </w:rPr>
        <w:t>the roof was in need of repairs, and the landlords promised to execute these “at our own cost.” It was held that one of the tenants had provided consideration for this promise by executing the agreement </w:t>
      </w:r>
      <w:bookmarkStart w:name="_bookmark834" w:id="836"/>
      <w:bookmarkEnd w:id="836"/>
      <w:r>
        <w:rPr>
          <w:vertAlign w:val="baseline"/>
        </w:rPr>
        <w:t>for</w:t>
      </w:r>
      <w:r>
        <w:rPr>
          <w:vertAlign w:val="baseline"/>
        </w:rPr>
        <w:t> the lease, and the lease itself; and that the promise was accordingly binding as a collateral contract. </w:t>
      </w:r>
      <w:r>
        <w:rPr>
          <w:color w:val="005DA1"/>
          <w:u w:val="single" w:color="005DA1"/>
          <w:vertAlign w:val="superscript"/>
        </w:rPr>
        <w:t>446</w:t>
      </w:r>
      <w:r>
        <w:rPr>
          <w:color w:val="005DA1"/>
          <w:vertAlign w:val="baseline"/>
        </w:rPr>
        <w:t> </w:t>
      </w:r>
      <w:r>
        <w:rPr>
          <w:vertAlign w:val="baseline"/>
        </w:rPr>
        <w:t>It followed that the landlords could not enforce the term in the lease under which the </w:t>
      </w:r>
      <w:bookmarkStart w:name="_bookmark835" w:id="837"/>
      <w:bookmarkEnd w:id="837"/>
      <w:r>
        <w:rPr>
          <w:vertAlign w:val="baseline"/>
        </w:rPr>
        <w:t>tenant</w:t>
      </w:r>
      <w:r>
        <w:rPr>
          <w:vertAlign w:val="baseline"/>
        </w:rPr>
        <w:t> would (but for the collateral contract) have been liable to contribute to the cost of the roof </w:t>
      </w:r>
      <w:bookmarkStart w:name="_bookmark836" w:id="838"/>
      <w:bookmarkEnd w:id="838"/>
      <w:r>
        <w:rPr>
          <w:vertAlign w:val="baseline"/>
        </w:rPr>
        <w:t>repair.</w:t>
      </w:r>
      <w:r>
        <w:rPr>
          <w:vertAlign w:val="baseline"/>
        </w:rPr>
        <w:t> </w:t>
      </w:r>
      <w:r>
        <w:rPr>
          <w:color w:val="005DA1"/>
          <w:u w:val="single" w:color="005DA1"/>
          <w:vertAlign w:val="superscript"/>
        </w:rPr>
        <w:t>447</w:t>
      </w:r>
      <w:r>
        <w:rPr>
          <w:color w:val="005DA1"/>
          <w:vertAlign w:val="baseline"/>
        </w:rPr>
        <w:t> </w:t>
      </w:r>
      <w:r>
        <w:rPr>
          <w:vertAlign w:val="baseline"/>
        </w:rPr>
        <w:t>Greater difficulty would have arisen if the tenant had already entered into the agreement to </w:t>
      </w:r>
      <w:bookmarkStart w:name="_bookmark837" w:id="839"/>
      <w:bookmarkEnd w:id="839"/>
      <w:r>
        <w:rPr>
          <w:vertAlign w:val="baseline"/>
        </w:rPr>
        <w:t>take</w:t>
      </w:r>
      <w:r>
        <w:rPr>
          <w:vertAlign w:val="baseline"/>
        </w:rPr>
        <w:t> the lease </w:t>
      </w:r>
      <w:r>
        <w:rPr>
          <w:rFonts w:ascii="Arial" w:hAnsi="Arial"/>
          <w:i/>
          <w:vertAlign w:val="baseline"/>
        </w:rPr>
        <w:t>before </w:t>
      </w:r>
      <w:r>
        <w:rPr>
          <w:vertAlign w:val="baseline"/>
        </w:rPr>
        <w:t>the landlord’s promise had been made, </w:t>
      </w:r>
      <w:r>
        <w:rPr>
          <w:color w:val="005DA1"/>
          <w:u w:val="single" w:color="005DA1"/>
          <w:vertAlign w:val="superscript"/>
        </w:rPr>
        <w:t>448</w:t>
      </w:r>
      <w:r>
        <w:rPr>
          <w:color w:val="005DA1"/>
          <w:vertAlign w:val="baseline"/>
        </w:rPr>
        <w:t> </w:t>
      </w:r>
      <w:r>
        <w:rPr>
          <w:vertAlign w:val="baseline"/>
        </w:rPr>
        <w:t>for in that case the execution of the documents would have been past consideration. </w:t>
      </w:r>
      <w:r>
        <w:rPr>
          <w:color w:val="005DA1"/>
          <w:u w:val="single" w:color="005DA1"/>
          <w:vertAlign w:val="superscript"/>
        </w:rPr>
        <w:t>449</w:t>
      </w:r>
      <w:r>
        <w:rPr>
          <w:color w:val="005DA1"/>
          <w:vertAlign w:val="baseline"/>
        </w:rPr>
        <w:t> </w:t>
      </w:r>
      <w:r>
        <w:rPr>
          <w:vertAlign w:val="baseline"/>
        </w:rPr>
        <w:t>The tenants could, however, have succeeded, even</w:t>
      </w:r>
      <w:r>
        <w:rPr>
          <w:spacing w:val="-2"/>
          <w:vertAlign w:val="baseline"/>
        </w:rPr>
        <w:t> </w:t>
      </w:r>
      <w:r>
        <w:rPr>
          <w:vertAlign w:val="baseline"/>
        </w:rPr>
        <w:t>in</w:t>
      </w:r>
      <w:r>
        <w:rPr>
          <w:spacing w:val="-2"/>
          <w:vertAlign w:val="baseline"/>
        </w:rPr>
        <w:t> </w:t>
      </w:r>
      <w:r>
        <w:rPr>
          <w:vertAlign w:val="baseline"/>
        </w:rPr>
        <w:t>such</w:t>
      </w:r>
      <w:r>
        <w:rPr>
          <w:spacing w:val="-2"/>
          <w:vertAlign w:val="baseline"/>
        </w:rPr>
        <w:t> </w:t>
      </w:r>
      <w:r>
        <w:rPr>
          <w:vertAlign w:val="baseline"/>
        </w:rPr>
        <w:t>a</w:t>
      </w:r>
      <w:r>
        <w:rPr>
          <w:spacing w:val="-2"/>
          <w:vertAlign w:val="baseline"/>
        </w:rPr>
        <w:t> </w:t>
      </w:r>
      <w:r>
        <w:rPr>
          <w:vertAlign w:val="baseline"/>
        </w:rPr>
        <w:t>case,</w:t>
      </w:r>
      <w:r>
        <w:rPr>
          <w:spacing w:val="-2"/>
          <w:vertAlign w:val="baseline"/>
        </w:rPr>
        <w:t> </w:t>
      </w:r>
      <w:r>
        <w:rPr>
          <w:vertAlign w:val="baseline"/>
        </w:rPr>
        <w:t>on</w:t>
      </w:r>
      <w:r>
        <w:rPr>
          <w:spacing w:val="-2"/>
          <w:vertAlign w:val="baseline"/>
        </w:rPr>
        <w:t> </w:t>
      </w:r>
      <w:r>
        <w:rPr>
          <w:vertAlign w:val="baseline"/>
        </w:rPr>
        <w:t>an</w:t>
      </w:r>
      <w:r>
        <w:rPr>
          <w:spacing w:val="-2"/>
          <w:vertAlign w:val="baseline"/>
        </w:rPr>
        <w:t> </w:t>
      </w:r>
      <w:r>
        <w:rPr>
          <w:vertAlign w:val="baseline"/>
        </w:rPr>
        <w:t>alternative</w:t>
      </w:r>
      <w:r>
        <w:rPr>
          <w:spacing w:val="-2"/>
          <w:vertAlign w:val="baseline"/>
        </w:rPr>
        <w:t> </w:t>
      </w:r>
      <w:r>
        <w:rPr>
          <w:vertAlign w:val="baseline"/>
        </w:rPr>
        <w:t>ground.</w:t>
      </w:r>
      <w:r>
        <w:rPr>
          <w:spacing w:val="-2"/>
          <w:vertAlign w:val="baseline"/>
        </w:rPr>
        <w:t> </w:t>
      </w:r>
      <w:r>
        <w:rPr>
          <w:vertAlign w:val="baseline"/>
        </w:rPr>
        <w:t>The</w:t>
      </w:r>
      <w:r>
        <w:rPr>
          <w:spacing w:val="-2"/>
          <w:vertAlign w:val="baseline"/>
        </w:rPr>
        <w:t> </w:t>
      </w:r>
      <w:r>
        <w:rPr>
          <w:vertAlign w:val="baseline"/>
        </w:rPr>
        <w:t>landlords</w:t>
      </w:r>
      <w:r>
        <w:rPr>
          <w:spacing w:val="-2"/>
          <w:vertAlign w:val="baseline"/>
        </w:rPr>
        <w:t> </w:t>
      </w:r>
      <w:r>
        <w:rPr>
          <w:vertAlign w:val="baseline"/>
        </w:rPr>
        <w:t>had</w:t>
      </w:r>
      <w:r>
        <w:rPr>
          <w:spacing w:val="-2"/>
          <w:vertAlign w:val="baseline"/>
        </w:rPr>
        <w:t> </w:t>
      </w:r>
      <w:r>
        <w:rPr>
          <w:vertAlign w:val="baseline"/>
        </w:rPr>
        <w:t>been</w:t>
      </w:r>
      <w:r>
        <w:rPr>
          <w:spacing w:val="-2"/>
          <w:vertAlign w:val="baseline"/>
        </w:rPr>
        <w:t> </w:t>
      </w:r>
      <w:r>
        <w:rPr>
          <w:vertAlign w:val="baseline"/>
        </w:rPr>
        <w:t>guilty</w:t>
      </w:r>
      <w:r>
        <w:rPr>
          <w:spacing w:val="-2"/>
          <w:vertAlign w:val="baseline"/>
        </w:rPr>
        <w:t> </w:t>
      </w:r>
      <w:r>
        <w:rPr>
          <w:vertAlign w:val="baseline"/>
        </w:rPr>
        <w:t>of</w:t>
      </w:r>
      <w:r>
        <w:rPr>
          <w:spacing w:val="-2"/>
          <w:vertAlign w:val="baseline"/>
        </w:rPr>
        <w:t> </w:t>
      </w:r>
      <w:r>
        <w:rPr>
          <w:vertAlign w:val="baseline"/>
        </w:rPr>
        <w:t>unreasonable</w:t>
      </w:r>
      <w:r>
        <w:rPr>
          <w:spacing w:val="-2"/>
          <w:vertAlign w:val="baseline"/>
        </w:rPr>
        <w:t> </w:t>
      </w:r>
      <w:r>
        <w:rPr>
          <w:vertAlign w:val="baseline"/>
        </w:rPr>
        <w:t>delay</w:t>
      </w:r>
      <w:r>
        <w:rPr>
          <w:spacing w:val="-2"/>
          <w:vertAlign w:val="baseline"/>
        </w:rPr>
        <w:t> </w:t>
      </w:r>
      <w:r>
        <w:rPr>
          <w:vertAlign w:val="baseline"/>
        </w:rPr>
        <w:t>in </w:t>
      </w:r>
      <w:bookmarkStart w:name="_bookmark838" w:id="840"/>
      <w:bookmarkEnd w:id="840"/>
      <w:r>
        <w:rPr>
          <w:vertAlign w:val="baseline"/>
        </w:rPr>
        <w:t>executing</w:t>
      </w:r>
      <w:r>
        <w:rPr>
          <w:vertAlign w:val="baseline"/>
        </w:rPr>
        <w:t> the repairs, and the tenants would, by forbearing to take proceedings in respect of that breach, </w:t>
      </w:r>
      <w:r>
        <w:rPr>
          <w:color w:val="005DA1"/>
          <w:u w:val="single" w:color="005DA1"/>
          <w:vertAlign w:val="superscript"/>
        </w:rPr>
        <w:t>450</w:t>
      </w:r>
      <w:r>
        <w:rPr>
          <w:color w:val="005DA1"/>
          <w:vertAlign w:val="baseline"/>
        </w:rPr>
        <w:t> </w:t>
      </w:r>
      <w:r>
        <w:rPr>
          <w:vertAlign w:val="baseline"/>
        </w:rPr>
        <w:t>have provided consideration for the landlords’ promise to bear the cost of the repairs.</w:t>
      </w:r>
    </w:p>
    <w:p>
      <w:pPr>
        <w:pStyle w:val="BodyText"/>
      </w:pPr>
    </w:p>
    <w:p>
      <w:pPr>
        <w:pStyle w:val="BodyText"/>
        <w:spacing w:before="92"/>
      </w:pPr>
      <w:r>
        <w:rPr/>
        <mc:AlternateContent>
          <mc:Choice Requires="wps">
            <w:drawing>
              <wp:anchor distT="0" distB="0" distL="0" distR="0" allowOverlap="1" layoutInCell="1" locked="0" behindDoc="1" simplePos="0" relativeHeight="487625216">
                <wp:simplePos x="0" y="0"/>
                <wp:positionH relativeFrom="page">
                  <wp:posOffset>914400</wp:posOffset>
                </wp:positionH>
                <wp:positionV relativeFrom="paragraph">
                  <wp:posOffset>219894</wp:posOffset>
                </wp:positionV>
                <wp:extent cx="5724525" cy="1270"/>
                <wp:effectExtent l="0" t="0" r="0" b="0"/>
                <wp:wrapTopAndBottom/>
                <wp:docPr id="136" name="Graphic 136"/>
                <wp:cNvGraphicFramePr>
                  <a:graphicFrameLocks/>
                </wp:cNvGraphicFramePr>
                <a:graphic>
                  <a:graphicData uri="http://schemas.microsoft.com/office/word/2010/wordprocessingShape">
                    <wps:wsp>
                      <wps:cNvPr id="136" name="Graphic 13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7.314516pt;width:450.75pt;height:.1pt;mso-position-horizontal-relative:page;mso-position-vertical-relative:paragraph;z-index:-15691264;mso-wrap-distance-left:0;mso-wrap-distance-right:0" id="docshape52" coordorigin="1440,346" coordsize="9015,0" path="m1440,346l10454,346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192384">
                <wp:simplePos x="0" y="0"/>
                <wp:positionH relativeFrom="page">
                  <wp:posOffset>914400</wp:posOffset>
                </wp:positionH>
                <wp:positionV relativeFrom="paragraph">
                  <wp:posOffset>97116</wp:posOffset>
                </wp:positionV>
                <wp:extent cx="4953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24096"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before="9"/>
      </w:pPr>
    </w:p>
    <w:p>
      <w:pPr>
        <w:spacing w:line="235" w:lineRule="auto" w:before="0"/>
        <w:ind w:left="705" w:right="168" w:hanging="541"/>
        <w:jc w:val="both"/>
        <w:rPr>
          <w:sz w:val="20"/>
        </w:rPr>
      </w:pPr>
      <w:bookmarkStart w:name="_bookmark839" w:id="841"/>
      <w:bookmarkEnd w:id="841"/>
      <w:r>
        <w:rPr/>
      </w:r>
      <w:hyperlink w:history="true" w:anchor="_bookmark824">
        <w:r>
          <w:rPr>
            <w:color w:val="005DA1"/>
            <w:position w:val="5"/>
            <w:sz w:val="14"/>
            <w:u w:val="single" w:color="005DA1"/>
          </w:rPr>
          <w:t>436</w:t>
        </w:r>
      </w:hyperlink>
      <w:r>
        <w:rPr>
          <w:position w:val="5"/>
          <w:sz w:val="14"/>
        </w:rPr>
        <w:t>.</w:t>
      </w:r>
      <w:r>
        <w:rPr>
          <w:spacing w:val="80"/>
          <w:position w:val="5"/>
          <w:sz w:val="14"/>
        </w:rPr>
        <w:t>  </w:t>
      </w:r>
      <w:r>
        <w:rPr>
          <w:rFonts w:ascii="Arial" w:hAnsi="Arial"/>
          <w:i/>
          <w:sz w:val="20"/>
        </w:rPr>
        <w:t>Stead v Dawber (1839) 10 A. &amp; E. 57, 66</w:t>
      </w:r>
      <w:r>
        <w:rPr>
          <w:sz w:val="20"/>
        </w:rPr>
        <w:t>; </w:t>
      </w:r>
      <w:r>
        <w:rPr>
          <w:rFonts w:ascii="Arial" w:hAnsi="Arial"/>
          <w:i/>
          <w:sz w:val="20"/>
        </w:rPr>
        <w:t>Compagnie Nogar D’Importation et D’Exportation SA v Abacha [2003] EWCA Civ 1100; [2003] 2 All E.R. (Comm) 915 </w:t>
      </w:r>
      <w:r>
        <w:rPr>
          <w:sz w:val="20"/>
        </w:rPr>
        <w:t>per Tuckey L.J., with whose judgment on this point the other members of the court agreed.</w:t>
      </w:r>
    </w:p>
    <w:p>
      <w:pPr>
        <w:pStyle w:val="BodyText"/>
        <w:spacing w:before="9"/>
      </w:pPr>
    </w:p>
    <w:p>
      <w:pPr>
        <w:tabs>
          <w:tab w:pos="705" w:val="left" w:leader="none"/>
        </w:tabs>
        <w:spacing w:line="235" w:lineRule="auto" w:before="0"/>
        <w:ind w:left="705" w:right="168" w:hanging="541"/>
        <w:jc w:val="left"/>
        <w:rPr>
          <w:sz w:val="20"/>
        </w:rPr>
      </w:pPr>
      <w:bookmarkStart w:name="_bookmark840" w:id="842"/>
      <w:bookmarkEnd w:id="842"/>
      <w:r>
        <w:rPr/>
      </w:r>
      <w:hyperlink w:history="true" w:anchor="_bookmark825">
        <w:r>
          <w:rPr>
            <w:color w:val="005DA1"/>
            <w:spacing w:val="-4"/>
            <w:position w:val="5"/>
            <w:sz w:val="14"/>
            <w:u w:val="single" w:color="005DA1"/>
          </w:rPr>
          <w:t>437</w:t>
        </w:r>
      </w:hyperlink>
      <w:r>
        <w:rPr>
          <w:spacing w:val="-4"/>
          <w:position w:val="5"/>
          <w:sz w:val="14"/>
        </w:rPr>
        <w:t>.</w:t>
      </w:r>
      <w:r>
        <w:rPr>
          <w:position w:val="5"/>
          <w:sz w:val="14"/>
        </w:rPr>
        <w:tab/>
      </w:r>
      <w:r>
        <w:rPr>
          <w:rFonts w:ascii="Arial"/>
          <w:i/>
          <w:sz w:val="20"/>
        </w:rPr>
        <w:t>W.</w:t>
      </w:r>
      <w:r>
        <w:rPr>
          <w:rFonts w:ascii="Arial"/>
          <w:i/>
          <w:spacing w:val="14"/>
          <w:sz w:val="20"/>
        </w:rPr>
        <w:t> </w:t>
      </w:r>
      <w:r>
        <w:rPr>
          <w:rFonts w:ascii="Arial"/>
          <w:i/>
          <w:sz w:val="20"/>
        </w:rPr>
        <w:t>J.</w:t>
      </w:r>
      <w:r>
        <w:rPr>
          <w:rFonts w:ascii="Arial"/>
          <w:i/>
          <w:spacing w:val="14"/>
          <w:sz w:val="20"/>
        </w:rPr>
        <w:t> </w:t>
      </w:r>
      <w:r>
        <w:rPr>
          <w:rFonts w:ascii="Arial"/>
          <w:i/>
          <w:sz w:val="20"/>
        </w:rPr>
        <w:t>Alan</w:t>
      </w:r>
      <w:r>
        <w:rPr>
          <w:rFonts w:ascii="Arial"/>
          <w:i/>
          <w:spacing w:val="14"/>
          <w:sz w:val="20"/>
        </w:rPr>
        <w:t> </w:t>
      </w:r>
      <w:r>
        <w:rPr>
          <w:rFonts w:ascii="Arial"/>
          <w:i/>
          <w:sz w:val="20"/>
        </w:rPr>
        <w:t>&amp;</w:t>
      </w:r>
      <w:r>
        <w:rPr>
          <w:rFonts w:ascii="Arial"/>
          <w:i/>
          <w:spacing w:val="14"/>
          <w:sz w:val="20"/>
        </w:rPr>
        <w:t> </w:t>
      </w:r>
      <w:r>
        <w:rPr>
          <w:rFonts w:ascii="Arial"/>
          <w:i/>
          <w:sz w:val="20"/>
        </w:rPr>
        <w:t>Co</w:t>
      </w:r>
      <w:r>
        <w:rPr>
          <w:rFonts w:ascii="Arial"/>
          <w:i/>
          <w:spacing w:val="14"/>
          <w:sz w:val="20"/>
        </w:rPr>
        <w:t> </w:t>
      </w:r>
      <w:r>
        <w:rPr>
          <w:rFonts w:ascii="Arial"/>
          <w:i/>
          <w:sz w:val="20"/>
        </w:rPr>
        <w:t>Ltd</w:t>
      </w:r>
      <w:r>
        <w:rPr>
          <w:rFonts w:ascii="Arial"/>
          <w:i/>
          <w:spacing w:val="14"/>
          <w:sz w:val="20"/>
        </w:rPr>
        <w:t> </w:t>
      </w:r>
      <w:r>
        <w:rPr>
          <w:rFonts w:ascii="Arial"/>
          <w:i/>
          <w:sz w:val="20"/>
        </w:rPr>
        <w:t>v</w:t>
      </w:r>
      <w:r>
        <w:rPr>
          <w:rFonts w:ascii="Arial"/>
          <w:i/>
          <w:spacing w:val="14"/>
          <w:sz w:val="20"/>
        </w:rPr>
        <w:t> </w:t>
      </w:r>
      <w:r>
        <w:rPr>
          <w:rFonts w:ascii="Arial"/>
          <w:i/>
          <w:sz w:val="20"/>
        </w:rPr>
        <w:t>El</w:t>
      </w:r>
      <w:r>
        <w:rPr>
          <w:rFonts w:ascii="Arial"/>
          <w:i/>
          <w:spacing w:val="14"/>
          <w:sz w:val="20"/>
        </w:rPr>
        <w:t> </w:t>
      </w:r>
      <w:r>
        <w:rPr>
          <w:rFonts w:ascii="Arial"/>
          <w:i/>
          <w:sz w:val="20"/>
        </w:rPr>
        <w:t>Nasr</w:t>
      </w:r>
      <w:r>
        <w:rPr>
          <w:rFonts w:ascii="Arial"/>
          <w:i/>
          <w:spacing w:val="14"/>
          <w:sz w:val="20"/>
        </w:rPr>
        <w:t> </w:t>
      </w:r>
      <w:r>
        <w:rPr>
          <w:rFonts w:ascii="Arial"/>
          <w:i/>
          <w:sz w:val="20"/>
        </w:rPr>
        <w:t>Export</w:t>
      </w:r>
      <w:r>
        <w:rPr>
          <w:rFonts w:ascii="Arial"/>
          <w:i/>
          <w:spacing w:val="14"/>
          <w:sz w:val="20"/>
        </w:rPr>
        <w:t> </w:t>
      </w:r>
      <w:r>
        <w:rPr>
          <w:rFonts w:ascii="Arial"/>
          <w:i/>
          <w:sz w:val="20"/>
        </w:rPr>
        <w:t>&amp;</w:t>
      </w:r>
      <w:r>
        <w:rPr>
          <w:rFonts w:ascii="Arial"/>
          <w:i/>
          <w:spacing w:val="14"/>
          <w:sz w:val="20"/>
        </w:rPr>
        <w:t> </w:t>
      </w:r>
      <w:r>
        <w:rPr>
          <w:rFonts w:ascii="Arial"/>
          <w:i/>
          <w:sz w:val="20"/>
        </w:rPr>
        <w:t>Import</w:t>
      </w:r>
      <w:r>
        <w:rPr>
          <w:rFonts w:ascii="Arial"/>
          <w:i/>
          <w:spacing w:val="14"/>
          <w:sz w:val="20"/>
        </w:rPr>
        <w:t> </w:t>
      </w:r>
      <w:r>
        <w:rPr>
          <w:rFonts w:ascii="Arial"/>
          <w:i/>
          <w:sz w:val="20"/>
        </w:rPr>
        <w:t>Co</w:t>
      </w:r>
      <w:r>
        <w:rPr>
          <w:rFonts w:ascii="Arial"/>
          <w:i/>
          <w:spacing w:val="14"/>
          <w:sz w:val="20"/>
        </w:rPr>
        <w:t> </w:t>
      </w:r>
      <w:r>
        <w:rPr>
          <w:rFonts w:ascii="Arial"/>
          <w:i/>
          <w:sz w:val="20"/>
        </w:rPr>
        <w:t>[1972]</w:t>
      </w:r>
      <w:r>
        <w:rPr>
          <w:rFonts w:ascii="Arial"/>
          <w:i/>
          <w:spacing w:val="14"/>
          <w:sz w:val="20"/>
        </w:rPr>
        <w:t> </w:t>
      </w:r>
      <w:r>
        <w:rPr>
          <w:rFonts w:ascii="Arial"/>
          <w:i/>
          <w:sz w:val="20"/>
        </w:rPr>
        <w:t>2</w:t>
      </w:r>
      <w:r>
        <w:rPr>
          <w:rFonts w:ascii="Arial"/>
          <w:i/>
          <w:spacing w:val="14"/>
          <w:sz w:val="20"/>
        </w:rPr>
        <w:t> </w:t>
      </w:r>
      <w:r>
        <w:rPr>
          <w:rFonts w:ascii="Arial"/>
          <w:i/>
          <w:sz w:val="20"/>
        </w:rPr>
        <w:t>Q.B.</w:t>
      </w:r>
      <w:r>
        <w:rPr>
          <w:rFonts w:ascii="Arial"/>
          <w:i/>
          <w:spacing w:val="14"/>
          <w:sz w:val="20"/>
        </w:rPr>
        <w:t> </w:t>
      </w:r>
      <w:r>
        <w:rPr>
          <w:rFonts w:ascii="Arial"/>
          <w:i/>
          <w:sz w:val="20"/>
        </w:rPr>
        <w:t>189</w:t>
      </w:r>
      <w:r>
        <w:rPr>
          <w:sz w:val="20"/>
        </w:rPr>
        <w:t>;</w:t>
      </w:r>
      <w:r>
        <w:rPr>
          <w:spacing w:val="14"/>
          <w:sz w:val="20"/>
        </w:rPr>
        <w:t> </w:t>
      </w:r>
      <w:r>
        <w:rPr>
          <w:rFonts w:ascii="Arial"/>
          <w:i/>
          <w:sz w:val="20"/>
        </w:rPr>
        <w:t>Woodhouse</w:t>
      </w:r>
      <w:r>
        <w:rPr>
          <w:rFonts w:ascii="Arial"/>
          <w:i/>
          <w:spacing w:val="14"/>
          <w:sz w:val="20"/>
        </w:rPr>
        <w:t> </w:t>
      </w:r>
      <w:r>
        <w:rPr>
          <w:rFonts w:ascii="Arial"/>
          <w:i/>
          <w:sz w:val="20"/>
        </w:rPr>
        <w:t>A.C.</w:t>
      </w:r>
      <w:r>
        <w:rPr>
          <w:rFonts w:ascii="Arial"/>
          <w:i/>
          <w:spacing w:val="14"/>
          <w:sz w:val="20"/>
        </w:rPr>
        <w:t> </w:t>
      </w:r>
      <w:r>
        <w:rPr>
          <w:rFonts w:ascii="Arial"/>
          <w:i/>
          <w:sz w:val="20"/>
        </w:rPr>
        <w:t>Israel Cocoa Ltd SA v Nigerian Produce Marketing Co [1972] A.C. 741</w:t>
      </w:r>
      <w:r>
        <w:rPr>
          <w:sz w:val="20"/>
        </w:rPr>
        <w:t>.</w:t>
      </w:r>
    </w:p>
    <w:p>
      <w:pPr>
        <w:pStyle w:val="BodyText"/>
        <w:spacing w:before="5"/>
      </w:pPr>
    </w:p>
    <w:p>
      <w:pPr>
        <w:tabs>
          <w:tab w:pos="705" w:val="left" w:leader="none"/>
        </w:tabs>
        <w:spacing w:before="0"/>
        <w:ind w:left="165" w:right="0" w:firstLine="0"/>
        <w:jc w:val="left"/>
        <w:rPr>
          <w:rFonts w:ascii="Arial"/>
          <w:i/>
          <w:sz w:val="20"/>
        </w:rPr>
      </w:pPr>
      <w:bookmarkStart w:name="_bookmark841" w:id="843"/>
      <w:bookmarkEnd w:id="843"/>
      <w:r>
        <w:rPr/>
      </w:r>
      <w:hyperlink w:history="true" w:anchor="_bookmark826">
        <w:r>
          <w:rPr>
            <w:color w:val="005DA1"/>
            <w:spacing w:val="-4"/>
            <w:position w:val="5"/>
            <w:sz w:val="14"/>
            <w:u w:val="single" w:color="005DA1"/>
          </w:rPr>
          <w:t>438</w:t>
        </w:r>
      </w:hyperlink>
      <w:r>
        <w:rPr>
          <w:spacing w:val="-4"/>
          <w:position w:val="5"/>
          <w:sz w:val="14"/>
        </w:rPr>
        <w:t>.</w:t>
      </w:r>
      <w:r>
        <w:rPr>
          <w:position w:val="5"/>
          <w:sz w:val="14"/>
        </w:rPr>
        <w:tab/>
      </w:r>
      <w:r>
        <w:rPr>
          <w:rFonts w:ascii="Arial"/>
          <w:i/>
          <w:sz w:val="20"/>
        </w:rPr>
        <w:t>South</w:t>
      </w:r>
      <w:r>
        <w:rPr>
          <w:rFonts w:ascii="Arial"/>
          <w:i/>
          <w:spacing w:val="36"/>
          <w:sz w:val="20"/>
        </w:rPr>
        <w:t> </w:t>
      </w:r>
      <w:r>
        <w:rPr>
          <w:rFonts w:ascii="Arial"/>
          <w:i/>
          <w:sz w:val="20"/>
        </w:rPr>
        <w:t>Caribbean</w:t>
      </w:r>
      <w:r>
        <w:rPr>
          <w:rFonts w:ascii="Arial"/>
          <w:i/>
          <w:spacing w:val="36"/>
          <w:sz w:val="20"/>
        </w:rPr>
        <w:t> </w:t>
      </w:r>
      <w:r>
        <w:rPr>
          <w:rFonts w:ascii="Arial"/>
          <w:i/>
          <w:sz w:val="20"/>
        </w:rPr>
        <w:t>Trading</w:t>
      </w:r>
      <w:r>
        <w:rPr>
          <w:rFonts w:ascii="Arial"/>
          <w:i/>
          <w:spacing w:val="36"/>
          <w:sz w:val="20"/>
        </w:rPr>
        <w:t> </w:t>
      </w:r>
      <w:r>
        <w:rPr>
          <w:rFonts w:ascii="Arial"/>
          <w:i/>
          <w:sz w:val="20"/>
        </w:rPr>
        <w:t>Ltd</w:t>
      </w:r>
      <w:r>
        <w:rPr>
          <w:rFonts w:ascii="Arial"/>
          <w:i/>
          <w:spacing w:val="36"/>
          <w:sz w:val="20"/>
        </w:rPr>
        <w:t> </w:t>
      </w:r>
      <w:r>
        <w:rPr>
          <w:rFonts w:ascii="Arial"/>
          <w:i/>
          <w:sz w:val="20"/>
        </w:rPr>
        <w:t>v</w:t>
      </w:r>
      <w:r>
        <w:rPr>
          <w:rFonts w:ascii="Arial"/>
          <w:i/>
          <w:spacing w:val="36"/>
          <w:sz w:val="20"/>
        </w:rPr>
        <w:t> </w:t>
      </w:r>
      <w:r>
        <w:rPr>
          <w:rFonts w:ascii="Arial"/>
          <w:i/>
          <w:sz w:val="20"/>
        </w:rPr>
        <w:t>Trafigura</w:t>
      </w:r>
      <w:r>
        <w:rPr>
          <w:rFonts w:ascii="Arial"/>
          <w:i/>
          <w:spacing w:val="36"/>
          <w:sz w:val="20"/>
        </w:rPr>
        <w:t> </w:t>
      </w:r>
      <w:r>
        <w:rPr>
          <w:rFonts w:ascii="Arial"/>
          <w:i/>
          <w:sz w:val="20"/>
        </w:rPr>
        <w:t>Beheer</w:t>
      </w:r>
      <w:r>
        <w:rPr>
          <w:rFonts w:ascii="Arial"/>
          <w:i/>
          <w:spacing w:val="36"/>
          <w:sz w:val="20"/>
        </w:rPr>
        <w:t> </w:t>
      </w:r>
      <w:r>
        <w:rPr>
          <w:rFonts w:ascii="Arial"/>
          <w:i/>
          <w:sz w:val="20"/>
        </w:rPr>
        <w:t>BV</w:t>
      </w:r>
      <w:r>
        <w:rPr>
          <w:rFonts w:ascii="Arial"/>
          <w:i/>
          <w:spacing w:val="36"/>
          <w:sz w:val="20"/>
        </w:rPr>
        <w:t> </w:t>
      </w:r>
      <w:r>
        <w:rPr>
          <w:rFonts w:ascii="Arial"/>
          <w:i/>
          <w:sz w:val="20"/>
        </w:rPr>
        <w:t>[2004]</w:t>
      </w:r>
      <w:r>
        <w:rPr>
          <w:rFonts w:ascii="Arial"/>
          <w:i/>
          <w:spacing w:val="36"/>
          <w:sz w:val="20"/>
        </w:rPr>
        <w:t> </w:t>
      </w:r>
      <w:r>
        <w:rPr>
          <w:rFonts w:ascii="Arial"/>
          <w:i/>
          <w:sz w:val="20"/>
        </w:rPr>
        <w:t>EWHC</w:t>
      </w:r>
      <w:r>
        <w:rPr>
          <w:rFonts w:ascii="Arial"/>
          <w:i/>
          <w:spacing w:val="36"/>
          <w:sz w:val="20"/>
        </w:rPr>
        <w:t> </w:t>
      </w:r>
      <w:r>
        <w:rPr>
          <w:rFonts w:ascii="Arial"/>
          <w:i/>
          <w:sz w:val="20"/>
        </w:rPr>
        <w:t>2676</w:t>
      </w:r>
      <w:r>
        <w:rPr>
          <w:rFonts w:ascii="Arial"/>
          <w:i/>
          <w:spacing w:val="36"/>
          <w:sz w:val="20"/>
        </w:rPr>
        <w:t> </w:t>
      </w:r>
      <w:r>
        <w:rPr>
          <w:rFonts w:ascii="Arial"/>
          <w:i/>
          <w:sz w:val="20"/>
        </w:rPr>
        <w:t>(Comm),</w:t>
      </w:r>
      <w:r>
        <w:rPr>
          <w:rFonts w:ascii="Arial"/>
          <w:i/>
          <w:spacing w:val="36"/>
          <w:sz w:val="20"/>
        </w:rPr>
        <w:t> </w:t>
      </w:r>
      <w:r>
        <w:rPr>
          <w:rFonts w:ascii="Arial"/>
          <w:i/>
          <w:sz w:val="20"/>
        </w:rPr>
        <w:t>[2005]</w:t>
      </w:r>
      <w:r>
        <w:rPr>
          <w:rFonts w:ascii="Arial"/>
          <w:i/>
          <w:spacing w:val="36"/>
          <w:sz w:val="20"/>
        </w:rPr>
        <w:t> </w:t>
      </w:r>
      <w:r>
        <w:rPr>
          <w:rFonts w:ascii="Arial"/>
          <w:i/>
          <w:spacing w:val="-10"/>
          <w:sz w:val="20"/>
        </w:rPr>
        <w:t>1</w:t>
      </w:r>
    </w:p>
    <w:p>
      <w:pPr>
        <w:spacing w:after="0"/>
        <w:jc w:val="left"/>
        <w:rPr>
          <w:rFonts w:ascii="Arial"/>
          <w:i/>
          <w:sz w:val="20"/>
        </w:rPr>
        <w:sectPr>
          <w:pgSz w:w="11900" w:h="16840"/>
          <w:pgMar w:header="971" w:footer="0" w:top="1160" w:bottom="280" w:left="1275" w:right="1275"/>
        </w:sectPr>
      </w:pPr>
    </w:p>
    <w:p>
      <w:pPr>
        <w:pStyle w:val="BodyText"/>
        <w:spacing w:before="84"/>
        <w:rPr>
          <w:rFonts w:ascii="Arial"/>
          <w:i/>
        </w:rPr>
      </w:pPr>
    </w:p>
    <w:p>
      <w:pPr>
        <w:pStyle w:val="BodyText"/>
        <w:spacing w:line="235" w:lineRule="auto" w:before="1"/>
        <w:ind w:left="705" w:right="167"/>
        <w:jc w:val="both"/>
      </w:pPr>
      <w:r>
        <w:rPr>
          <w:rFonts w:ascii="Arial" w:hAnsi="Arial"/>
          <w:i/>
        </w:rPr>
        <w:t>Lloyd’s Rep. </w:t>
      </w:r>
      <w:r>
        <w:rPr/>
        <w:t>at [105]. The seller’s “apparently insuperable” difficulties in meeting the originally agreed delivery dates appear not to have been treated by the buyer as breaches of the </w:t>
      </w:r>
      <w:r>
        <w:rPr/>
        <w:t>original </w:t>
      </w:r>
      <w:r>
        <w:rPr>
          <w:spacing w:val="-2"/>
        </w:rPr>
        <w:t>contract.</w:t>
      </w:r>
    </w:p>
    <w:p>
      <w:pPr>
        <w:pStyle w:val="BodyText"/>
        <w:spacing w:before="5"/>
      </w:pPr>
    </w:p>
    <w:p>
      <w:pPr>
        <w:tabs>
          <w:tab w:pos="705" w:val="left" w:leader="none"/>
        </w:tabs>
        <w:spacing w:before="0"/>
        <w:ind w:left="165" w:right="0" w:firstLine="0"/>
        <w:jc w:val="left"/>
        <w:rPr>
          <w:sz w:val="20"/>
        </w:rPr>
      </w:pPr>
      <w:bookmarkStart w:name="_bookmark842" w:id="844"/>
      <w:bookmarkEnd w:id="844"/>
      <w:r>
        <w:rPr/>
      </w:r>
      <w:hyperlink w:history="true" w:anchor="_bookmark827">
        <w:r>
          <w:rPr>
            <w:color w:val="005DA1"/>
            <w:spacing w:val="-4"/>
            <w:position w:val="5"/>
            <w:sz w:val="14"/>
            <w:u w:val="single" w:color="005DA1"/>
          </w:rPr>
          <w:t>439</w:t>
        </w:r>
      </w:hyperlink>
      <w:r>
        <w:rPr>
          <w:spacing w:val="-4"/>
          <w:position w:val="5"/>
          <w:sz w:val="14"/>
        </w:rPr>
        <w:t>.</w:t>
      </w:r>
      <w:r>
        <w:rPr>
          <w:position w:val="5"/>
          <w:sz w:val="14"/>
        </w:rPr>
        <w:tab/>
      </w:r>
      <w:r>
        <w:rPr>
          <w:rFonts w:ascii="Arial" w:hAnsi="Arial"/>
          <w:i/>
          <w:sz w:val="20"/>
        </w:rPr>
        <w:t>Ficom SA v Sociedad Cadex Ltd [1980] 2 Lloyd’s Rep. 118, </w:t>
      </w:r>
      <w:r>
        <w:rPr>
          <w:rFonts w:ascii="Arial" w:hAnsi="Arial"/>
          <w:i/>
          <w:spacing w:val="-4"/>
          <w:sz w:val="20"/>
        </w:rPr>
        <w:t>132</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843" w:id="845"/>
      <w:bookmarkEnd w:id="845"/>
      <w:r>
        <w:rPr/>
      </w:r>
      <w:hyperlink w:history="true" w:anchor="_bookmark828">
        <w:r>
          <w:rPr>
            <w:color w:val="005DA1"/>
            <w:spacing w:val="-4"/>
            <w:position w:val="5"/>
            <w:sz w:val="14"/>
            <w:u w:val="single" w:color="005DA1"/>
          </w:rPr>
          <w:t>440</w:t>
        </w:r>
      </w:hyperlink>
      <w:r>
        <w:rPr>
          <w:spacing w:val="-4"/>
          <w:position w:val="5"/>
          <w:sz w:val="14"/>
        </w:rPr>
        <w:t>.</w:t>
      </w:r>
      <w:r>
        <w:rPr>
          <w:position w:val="5"/>
          <w:sz w:val="14"/>
        </w:rPr>
        <w:tab/>
      </w:r>
      <w:r>
        <w:rPr>
          <w:rFonts w:ascii="Arial" w:hAnsi="Arial"/>
          <w:i/>
          <w:sz w:val="20"/>
        </w:rPr>
        <w:t>Vanbergen v St. Edmunds Properties Ltd [1933] 2 K.B. 233</w:t>
      </w:r>
      <w:r>
        <w:rPr>
          <w:sz w:val="20"/>
        </w:rPr>
        <w:t>; cf. </w:t>
      </w:r>
      <w:r>
        <w:rPr>
          <w:rFonts w:ascii="Arial" w:hAnsi="Arial"/>
          <w:i/>
          <w:sz w:val="20"/>
        </w:rPr>
        <w:t>Continental Grain Export Corp.</w:t>
      </w:r>
      <w:r>
        <w:rPr>
          <w:rFonts w:ascii="Arial" w:hAnsi="Arial"/>
          <w:i/>
          <w:spacing w:val="40"/>
          <w:sz w:val="20"/>
        </w:rPr>
        <w:t> </w:t>
      </w:r>
      <w:r>
        <w:rPr>
          <w:rFonts w:ascii="Arial" w:hAnsi="Arial"/>
          <w:i/>
          <w:sz w:val="20"/>
        </w:rPr>
        <w:t>v S.T.M. Grain Ltd [1979] 2 Lloyd’s Rep. 460, 476</w:t>
      </w:r>
      <w:r>
        <w:rPr>
          <w:sz w:val="20"/>
        </w:rPr>
        <w:t>.</w:t>
      </w:r>
    </w:p>
    <w:p>
      <w:pPr>
        <w:pStyle w:val="BodyText"/>
        <w:spacing w:before="5"/>
      </w:pPr>
    </w:p>
    <w:p>
      <w:pPr>
        <w:tabs>
          <w:tab w:pos="705" w:val="left" w:leader="none"/>
        </w:tabs>
        <w:spacing w:before="0"/>
        <w:ind w:left="165" w:right="0" w:firstLine="0"/>
        <w:jc w:val="left"/>
        <w:rPr>
          <w:sz w:val="20"/>
        </w:rPr>
      </w:pPr>
      <w:bookmarkStart w:name="_bookmark844" w:id="846"/>
      <w:bookmarkEnd w:id="846"/>
      <w:r>
        <w:rPr/>
      </w:r>
      <w:hyperlink w:history="true" w:anchor="_bookmark829">
        <w:r>
          <w:rPr>
            <w:color w:val="005DA1"/>
            <w:spacing w:val="-4"/>
            <w:position w:val="5"/>
            <w:sz w:val="14"/>
            <w:u w:val="single" w:color="005DA1"/>
          </w:rPr>
          <w:t>441</w:t>
        </w:r>
      </w:hyperlink>
      <w:r>
        <w:rPr>
          <w:spacing w:val="-4"/>
          <w:position w:val="5"/>
          <w:sz w:val="14"/>
        </w:rPr>
        <w:t>.</w:t>
      </w:r>
      <w:r>
        <w:rPr>
          <w:position w:val="5"/>
          <w:sz w:val="14"/>
        </w:rPr>
        <w:tab/>
      </w:r>
      <w:r>
        <w:rPr>
          <w:sz w:val="20"/>
        </w:rPr>
        <w:t>Below, para.4-</w:t>
      </w:r>
      <w:r>
        <w:rPr>
          <w:spacing w:val="-4"/>
          <w:sz w:val="20"/>
        </w:rPr>
        <w:t>117.</w:t>
      </w:r>
    </w:p>
    <w:p>
      <w:pPr>
        <w:pStyle w:val="BodyText"/>
        <w:spacing w:before="5"/>
      </w:pPr>
    </w:p>
    <w:p>
      <w:pPr>
        <w:pStyle w:val="BodyText"/>
        <w:tabs>
          <w:tab w:pos="705" w:val="left" w:leader="none"/>
        </w:tabs>
        <w:ind w:left="165"/>
      </w:pPr>
      <w:bookmarkStart w:name="_bookmark845" w:id="847"/>
      <w:bookmarkEnd w:id="847"/>
      <w:r>
        <w:rPr/>
      </w:r>
      <w:hyperlink w:history="true" w:anchor="_bookmark830">
        <w:r>
          <w:rPr>
            <w:color w:val="005DA1"/>
            <w:spacing w:val="-4"/>
            <w:position w:val="5"/>
            <w:sz w:val="14"/>
            <w:u w:val="single" w:color="005DA1"/>
          </w:rPr>
          <w:t>442</w:t>
        </w:r>
      </w:hyperlink>
      <w:r>
        <w:rPr>
          <w:spacing w:val="-4"/>
          <w:position w:val="5"/>
          <w:sz w:val="14"/>
        </w:rPr>
        <w:t>.</w:t>
      </w:r>
      <w:r>
        <w:rPr>
          <w:position w:val="5"/>
          <w:sz w:val="14"/>
        </w:rPr>
        <w:tab/>
      </w:r>
      <w:r>
        <w:rPr/>
        <w:t>Below,</w:t>
      </w:r>
      <w:r>
        <w:rPr>
          <w:spacing w:val="-2"/>
        </w:rPr>
        <w:t> </w:t>
      </w:r>
      <w:r>
        <w:rPr/>
        <w:t>paras 4-130—4-</w:t>
      </w:r>
      <w:r>
        <w:rPr>
          <w:spacing w:val="-4"/>
        </w:rPr>
        <w:t>138.</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846" w:id="848"/>
      <w:bookmarkEnd w:id="848"/>
      <w:r>
        <w:rPr/>
      </w:r>
      <w:hyperlink w:history="true" w:anchor="_bookmark831">
        <w:r>
          <w:rPr>
            <w:color w:val="005DA1"/>
            <w:spacing w:val="-4"/>
            <w:position w:val="5"/>
            <w:sz w:val="14"/>
            <w:u w:val="single" w:color="005DA1"/>
          </w:rPr>
          <w:t>443</w:t>
        </w:r>
      </w:hyperlink>
      <w:r>
        <w:rPr>
          <w:spacing w:val="-4"/>
          <w:position w:val="5"/>
          <w:sz w:val="14"/>
        </w:rPr>
        <w:t>.</w:t>
      </w:r>
      <w:r>
        <w:rPr>
          <w:position w:val="5"/>
          <w:sz w:val="14"/>
        </w:rPr>
        <w:tab/>
      </w:r>
      <w:r>
        <w:rPr>
          <w:sz w:val="20"/>
        </w:rPr>
        <w:t>On the analogy of the reasoning of </w:t>
      </w:r>
      <w:r>
        <w:rPr>
          <w:rFonts w:ascii="Arial"/>
          <w:i/>
          <w:sz w:val="20"/>
        </w:rPr>
        <w:t>Williams v Roffey Bros. &amp; Nicholls (Contractors) Ltd [1991] </w:t>
      </w:r>
      <w:r>
        <w:rPr>
          <w:rFonts w:ascii="Arial"/>
          <w:i/>
          <w:spacing w:val="-10"/>
          <w:sz w:val="20"/>
        </w:rPr>
        <w:t>1</w:t>
      </w:r>
    </w:p>
    <w:p>
      <w:pPr>
        <w:spacing w:line="227" w:lineRule="exact" w:before="0"/>
        <w:ind w:left="705" w:right="0" w:firstLine="0"/>
        <w:jc w:val="left"/>
        <w:rPr>
          <w:sz w:val="20"/>
        </w:rPr>
      </w:pPr>
      <w:r>
        <w:rPr>
          <w:rFonts w:ascii="Arial"/>
          <w:i/>
          <w:sz w:val="20"/>
        </w:rPr>
        <w:t>Q.B. 1</w:t>
      </w:r>
      <w:r>
        <w:rPr>
          <w:sz w:val="20"/>
        </w:rPr>
        <w:t>, above, para.4-</w:t>
      </w:r>
      <w:r>
        <w:rPr>
          <w:spacing w:val="-4"/>
          <w:sz w:val="20"/>
        </w:rPr>
        <w:t>069.</w:t>
      </w:r>
    </w:p>
    <w:p>
      <w:pPr>
        <w:pStyle w:val="BodyText"/>
        <w:spacing w:before="5"/>
      </w:pPr>
    </w:p>
    <w:p>
      <w:pPr>
        <w:tabs>
          <w:tab w:pos="705" w:val="left" w:leader="none"/>
        </w:tabs>
        <w:spacing w:before="0"/>
        <w:ind w:left="165" w:right="0" w:firstLine="0"/>
        <w:jc w:val="left"/>
        <w:rPr>
          <w:sz w:val="20"/>
        </w:rPr>
      </w:pPr>
      <w:bookmarkStart w:name="_bookmark847" w:id="849"/>
      <w:bookmarkEnd w:id="849"/>
      <w:r>
        <w:rPr/>
      </w:r>
      <w:hyperlink w:history="true" w:anchor="_bookmark832">
        <w:r>
          <w:rPr>
            <w:color w:val="005DA1"/>
            <w:spacing w:val="-4"/>
            <w:position w:val="5"/>
            <w:sz w:val="14"/>
            <w:u w:val="single" w:color="005DA1"/>
          </w:rPr>
          <w:t>444</w:t>
        </w:r>
      </w:hyperlink>
      <w:r>
        <w:rPr>
          <w:spacing w:val="-4"/>
          <w:position w:val="5"/>
          <w:sz w:val="14"/>
        </w:rPr>
        <w:t>.</w:t>
      </w:r>
      <w:r>
        <w:rPr>
          <w:position w:val="5"/>
          <w:sz w:val="14"/>
        </w:rPr>
        <w:tab/>
      </w:r>
      <w:r>
        <w:rPr>
          <w:sz w:val="20"/>
        </w:rPr>
        <w:t>Above, para.4-</w:t>
      </w:r>
      <w:r>
        <w:rPr>
          <w:spacing w:val="-4"/>
          <w:sz w:val="20"/>
        </w:rPr>
        <w:t>006.</w:t>
      </w:r>
    </w:p>
    <w:p>
      <w:pPr>
        <w:pStyle w:val="BodyText"/>
        <w:spacing w:before="5"/>
      </w:pPr>
    </w:p>
    <w:p>
      <w:pPr>
        <w:tabs>
          <w:tab w:pos="705" w:val="left" w:leader="none"/>
        </w:tabs>
        <w:spacing w:before="0"/>
        <w:ind w:left="165" w:right="0" w:firstLine="0"/>
        <w:jc w:val="left"/>
        <w:rPr>
          <w:sz w:val="20"/>
        </w:rPr>
      </w:pPr>
      <w:bookmarkStart w:name="_bookmark848" w:id="850"/>
      <w:bookmarkEnd w:id="850"/>
      <w:r>
        <w:rPr/>
      </w:r>
      <w:hyperlink w:history="true" w:anchor="_bookmark833">
        <w:r>
          <w:rPr>
            <w:color w:val="005DA1"/>
            <w:spacing w:val="-4"/>
            <w:position w:val="5"/>
            <w:sz w:val="14"/>
            <w:u w:val="single" w:color="005DA1"/>
          </w:rPr>
          <w:t>445</w:t>
        </w:r>
      </w:hyperlink>
      <w:r>
        <w:rPr>
          <w:spacing w:val="-4"/>
          <w:position w:val="5"/>
          <w:sz w:val="14"/>
        </w:rPr>
        <w:t>.</w:t>
      </w:r>
      <w:r>
        <w:rPr>
          <w:position w:val="5"/>
          <w:sz w:val="14"/>
        </w:rPr>
        <w:tab/>
      </w:r>
      <w:r>
        <w:rPr>
          <w:rFonts w:ascii="Arial"/>
          <w:i/>
          <w:sz w:val="20"/>
        </w:rPr>
        <w:t>[1979]</w:t>
      </w:r>
      <w:r>
        <w:rPr>
          <w:rFonts w:ascii="Arial"/>
          <w:i/>
          <w:spacing w:val="-2"/>
          <w:sz w:val="20"/>
        </w:rPr>
        <w:t> </w:t>
      </w:r>
      <w:r>
        <w:rPr>
          <w:rFonts w:ascii="Arial"/>
          <w:i/>
          <w:sz w:val="20"/>
        </w:rPr>
        <w:t>Q.B. </w:t>
      </w:r>
      <w:r>
        <w:rPr>
          <w:rFonts w:ascii="Arial"/>
          <w:i/>
          <w:spacing w:val="-4"/>
          <w:sz w:val="20"/>
        </w:rPr>
        <w:t>467</w:t>
      </w:r>
      <w:r>
        <w:rPr>
          <w:spacing w:val="-4"/>
          <w:sz w:val="20"/>
        </w:rPr>
        <w:t>.</w:t>
      </w:r>
    </w:p>
    <w:p>
      <w:pPr>
        <w:pStyle w:val="BodyText"/>
        <w:spacing w:before="9"/>
      </w:pPr>
    </w:p>
    <w:p>
      <w:pPr>
        <w:spacing w:line="235" w:lineRule="auto" w:before="0"/>
        <w:ind w:left="705" w:right="167" w:hanging="541"/>
        <w:jc w:val="both"/>
        <w:rPr>
          <w:sz w:val="20"/>
        </w:rPr>
      </w:pPr>
      <w:bookmarkStart w:name="_bookmark849" w:id="851"/>
      <w:bookmarkEnd w:id="851"/>
      <w:r>
        <w:rPr/>
      </w:r>
      <w:hyperlink w:history="true" w:anchor="_bookmark834">
        <w:r>
          <w:rPr>
            <w:color w:val="005DA1"/>
            <w:position w:val="5"/>
            <w:sz w:val="14"/>
            <w:u w:val="single" w:color="005DA1"/>
          </w:rPr>
          <w:t>446</w:t>
        </w:r>
      </w:hyperlink>
      <w:r>
        <w:rPr>
          <w:position w:val="5"/>
          <w:sz w:val="14"/>
        </w:rPr>
        <w:t>.</w:t>
      </w:r>
      <w:r>
        <w:rPr>
          <w:spacing w:val="80"/>
          <w:position w:val="5"/>
          <w:sz w:val="14"/>
        </w:rPr>
        <w:t> </w:t>
      </w:r>
      <w:r>
        <w:rPr>
          <w:sz w:val="20"/>
        </w:rPr>
        <w:t>Contrast, on the issue of the contractual intention necessary to establish such a contract, </w:t>
      </w:r>
      <w:r>
        <w:rPr>
          <w:rFonts w:ascii="Arial"/>
          <w:i/>
          <w:sz w:val="20"/>
        </w:rPr>
        <w:t>Business Environment Bow Lane Ltd v Deanwater Estates Ltd [2007] EWCA Civ 622, </w:t>
      </w:r>
      <w:r>
        <w:rPr>
          <w:rFonts w:ascii="Arial"/>
          <w:i/>
          <w:sz w:val="20"/>
        </w:rPr>
        <w:t>[2007] NLJ 1263</w:t>
      </w:r>
      <w:r>
        <w:rPr>
          <w:sz w:val="20"/>
        </w:rPr>
        <w:t>, above para.2-174.</w:t>
      </w:r>
    </w:p>
    <w:p>
      <w:pPr>
        <w:pStyle w:val="BodyText"/>
        <w:spacing w:before="9"/>
      </w:pPr>
    </w:p>
    <w:p>
      <w:pPr>
        <w:pStyle w:val="BodyText"/>
        <w:tabs>
          <w:tab w:pos="705" w:val="left" w:leader="none"/>
        </w:tabs>
        <w:spacing w:line="235" w:lineRule="auto"/>
        <w:ind w:left="705" w:right="168" w:hanging="541"/>
      </w:pPr>
      <w:bookmarkStart w:name="_bookmark850" w:id="852"/>
      <w:bookmarkEnd w:id="852"/>
      <w:r>
        <w:rPr/>
      </w:r>
      <w:hyperlink w:history="true" w:anchor="_bookmark835">
        <w:r>
          <w:rPr>
            <w:color w:val="005DA1"/>
            <w:spacing w:val="-4"/>
            <w:position w:val="5"/>
            <w:sz w:val="14"/>
            <w:u w:val="single" w:color="005DA1"/>
          </w:rPr>
          <w:t>447</w:t>
        </w:r>
      </w:hyperlink>
      <w:r>
        <w:rPr>
          <w:spacing w:val="-4"/>
          <w:position w:val="5"/>
          <w:sz w:val="14"/>
        </w:rPr>
        <w:t>.</w:t>
      </w:r>
      <w:r>
        <w:rPr>
          <w:position w:val="5"/>
          <w:sz w:val="14"/>
        </w:rPr>
        <w:tab/>
      </w:r>
      <w:r>
        <w:rPr/>
        <w:t>This was agreed by all members of the Court of Appeal. For other grounds for the decision, see below, paras 4-129, 4-135.</w:t>
      </w:r>
    </w:p>
    <w:p>
      <w:pPr>
        <w:pStyle w:val="BodyText"/>
        <w:spacing w:before="9"/>
      </w:pPr>
    </w:p>
    <w:p>
      <w:pPr>
        <w:pStyle w:val="BodyText"/>
        <w:spacing w:line="235" w:lineRule="auto"/>
        <w:ind w:left="705" w:right="167" w:hanging="541"/>
        <w:jc w:val="both"/>
      </w:pPr>
      <w:bookmarkStart w:name="_bookmark851" w:id="853"/>
      <w:bookmarkEnd w:id="853"/>
      <w:r>
        <w:rPr/>
      </w:r>
      <w:hyperlink w:history="true" w:anchor="_bookmark836">
        <w:r>
          <w:rPr>
            <w:color w:val="005DA1"/>
            <w:position w:val="5"/>
            <w:sz w:val="14"/>
            <w:u w:val="single" w:color="005DA1"/>
          </w:rPr>
          <w:t>448</w:t>
        </w:r>
      </w:hyperlink>
      <w:r>
        <w:rPr>
          <w:position w:val="5"/>
          <w:sz w:val="14"/>
        </w:rPr>
        <w:t>.</w:t>
      </w:r>
      <w:r>
        <w:rPr>
          <w:spacing w:val="80"/>
          <w:w w:val="150"/>
          <w:position w:val="5"/>
          <w:sz w:val="14"/>
        </w:rPr>
        <w:t> </w:t>
      </w:r>
      <w:r>
        <w:rPr/>
        <w:t>From the grounds of appeal as stated on pp.472–473 of the report, it seems that reliance was placed on pre-contract promises or representations; cf. the statement at 490 that the landlord’s promise</w:t>
      </w:r>
      <w:r>
        <w:rPr>
          <w:spacing w:val="27"/>
        </w:rPr>
        <w:t> </w:t>
      </w:r>
      <w:r>
        <w:rPr/>
        <w:t>was</w:t>
      </w:r>
      <w:r>
        <w:rPr>
          <w:spacing w:val="29"/>
        </w:rPr>
        <w:t> </w:t>
      </w:r>
      <w:r>
        <w:rPr/>
        <w:t>made</w:t>
      </w:r>
      <w:r>
        <w:rPr>
          <w:spacing w:val="29"/>
        </w:rPr>
        <w:t> </w:t>
      </w:r>
      <w:r>
        <w:rPr/>
        <w:t>“at</w:t>
      </w:r>
      <w:r>
        <w:rPr>
          <w:spacing w:val="29"/>
        </w:rPr>
        <w:t> </w:t>
      </w:r>
      <w:r>
        <w:rPr/>
        <w:t>the</w:t>
      </w:r>
      <w:r>
        <w:rPr>
          <w:spacing w:val="29"/>
        </w:rPr>
        <w:t> </w:t>
      </w:r>
      <w:r>
        <w:rPr/>
        <w:t>time</w:t>
      </w:r>
      <w:r>
        <w:rPr>
          <w:spacing w:val="29"/>
        </w:rPr>
        <w:t> </w:t>
      </w:r>
      <w:r>
        <w:rPr/>
        <w:t>when</w:t>
      </w:r>
      <w:r>
        <w:rPr>
          <w:spacing w:val="29"/>
        </w:rPr>
        <w:t> </w:t>
      </w:r>
      <w:r>
        <w:rPr/>
        <w:t>the</w:t>
      </w:r>
      <w:r>
        <w:rPr>
          <w:spacing w:val="29"/>
        </w:rPr>
        <w:t> </w:t>
      </w:r>
      <w:r>
        <w:rPr/>
        <w:t>leases</w:t>
      </w:r>
      <w:r>
        <w:rPr>
          <w:spacing w:val="29"/>
        </w:rPr>
        <w:t> </w:t>
      </w:r>
      <w:r>
        <w:rPr/>
        <w:t>were</w:t>
      </w:r>
      <w:r>
        <w:rPr>
          <w:spacing w:val="29"/>
        </w:rPr>
        <w:t> </w:t>
      </w:r>
      <w:r>
        <w:rPr/>
        <w:t>granted.”</w:t>
      </w:r>
      <w:r>
        <w:rPr>
          <w:spacing w:val="29"/>
        </w:rPr>
        <w:t> </w:t>
      </w:r>
      <w:r>
        <w:rPr/>
        <w:t>According</w:t>
      </w:r>
      <w:r>
        <w:rPr>
          <w:spacing w:val="29"/>
        </w:rPr>
        <w:t> </w:t>
      </w:r>
      <w:r>
        <w:rPr/>
        <w:t>to</w:t>
      </w:r>
      <w:r>
        <w:rPr>
          <w:spacing w:val="29"/>
        </w:rPr>
        <w:t> </w:t>
      </w:r>
      <w:r>
        <w:rPr/>
        <w:t>Lord</w:t>
      </w:r>
      <w:r>
        <w:rPr>
          <w:spacing w:val="29"/>
        </w:rPr>
        <w:t> </w:t>
      </w:r>
      <w:r>
        <w:rPr>
          <w:spacing w:val="-2"/>
        </w:rPr>
        <w:t>Denning,</w:t>
      </w:r>
    </w:p>
    <w:p>
      <w:pPr>
        <w:pStyle w:val="BodyText"/>
        <w:spacing w:line="235" w:lineRule="auto"/>
        <w:ind w:left="705" w:right="167"/>
        <w:jc w:val="both"/>
      </w:pPr>
      <w:r>
        <w:rPr/>
        <w:t>M.R. at 480 “some of the tenants” had </w:t>
      </w:r>
      <w:r>
        <w:rPr>
          <w:rFonts w:ascii="Arial" w:hAnsi="Arial"/>
          <w:i/>
        </w:rPr>
        <w:t>already </w:t>
      </w:r>
      <w:r>
        <w:rPr/>
        <w:t>signed agreements for leases when the representations were made; but that does not seem to have been the position with regard </w:t>
      </w:r>
      <w:r>
        <w:rPr/>
        <w:t>to</w:t>
      </w:r>
      <w:r>
        <w:rPr>
          <w:spacing w:val="40"/>
        </w:rPr>
        <w:t> </w:t>
      </w:r>
      <w:r>
        <w:rPr/>
        <w:t>any of the cases before the court.</w:t>
      </w:r>
    </w:p>
    <w:p>
      <w:pPr>
        <w:pStyle w:val="BodyText"/>
        <w:spacing w:before="4"/>
      </w:pPr>
    </w:p>
    <w:p>
      <w:pPr>
        <w:tabs>
          <w:tab w:pos="705" w:val="left" w:leader="none"/>
        </w:tabs>
        <w:spacing w:before="0"/>
        <w:ind w:left="165" w:right="0" w:firstLine="0"/>
        <w:jc w:val="left"/>
        <w:rPr>
          <w:sz w:val="20"/>
        </w:rPr>
      </w:pPr>
      <w:bookmarkStart w:name="_bookmark852" w:id="854"/>
      <w:bookmarkEnd w:id="854"/>
      <w:r>
        <w:rPr/>
      </w:r>
      <w:hyperlink w:history="true" w:anchor="_bookmark837">
        <w:r>
          <w:rPr>
            <w:color w:val="005DA1"/>
            <w:spacing w:val="-4"/>
            <w:position w:val="5"/>
            <w:sz w:val="14"/>
            <w:u w:val="single" w:color="005DA1"/>
          </w:rPr>
          <w:t>449</w:t>
        </w:r>
      </w:hyperlink>
      <w:r>
        <w:rPr>
          <w:spacing w:val="-4"/>
          <w:position w:val="5"/>
          <w:sz w:val="14"/>
        </w:rPr>
        <w:t>.</w:t>
      </w:r>
      <w:r>
        <w:rPr>
          <w:position w:val="5"/>
          <w:sz w:val="14"/>
        </w:rPr>
        <w:tab/>
      </w:r>
      <w:r>
        <w:rPr>
          <w:sz w:val="20"/>
        </w:rPr>
        <w:t>Above, para.4-</w:t>
      </w:r>
      <w:r>
        <w:rPr>
          <w:spacing w:val="-4"/>
          <w:sz w:val="20"/>
        </w:rPr>
        <w:t>026.</w:t>
      </w:r>
    </w:p>
    <w:p>
      <w:pPr>
        <w:pStyle w:val="BodyText"/>
        <w:spacing w:before="9"/>
      </w:pPr>
    </w:p>
    <w:p>
      <w:pPr>
        <w:tabs>
          <w:tab w:pos="705" w:val="left" w:leader="none"/>
        </w:tabs>
        <w:spacing w:line="235" w:lineRule="auto" w:before="0"/>
        <w:ind w:left="705" w:right="168" w:hanging="541"/>
        <w:jc w:val="left"/>
        <w:rPr>
          <w:sz w:val="20"/>
        </w:rPr>
      </w:pPr>
      <w:bookmarkStart w:name="_bookmark853" w:id="855"/>
      <w:bookmarkEnd w:id="855"/>
      <w:r>
        <w:rPr/>
      </w:r>
      <w:hyperlink w:history="true" w:anchor="_bookmark838">
        <w:r>
          <w:rPr>
            <w:color w:val="005DA1"/>
            <w:spacing w:val="-4"/>
            <w:position w:val="5"/>
            <w:sz w:val="14"/>
            <w:u w:val="single" w:color="005DA1"/>
          </w:rPr>
          <w:t>450</w:t>
        </w:r>
      </w:hyperlink>
      <w:r>
        <w:rPr>
          <w:spacing w:val="-4"/>
          <w:position w:val="5"/>
          <w:sz w:val="14"/>
        </w:rPr>
        <w:t>.</w:t>
      </w:r>
      <w:r>
        <w:rPr>
          <w:position w:val="5"/>
          <w:sz w:val="14"/>
        </w:rPr>
        <w:tab/>
      </w:r>
      <w:r>
        <w:rPr>
          <w:sz w:val="20"/>
        </w:rPr>
        <w:t>See </w:t>
      </w:r>
      <w:r>
        <w:rPr>
          <w:rFonts w:ascii="Arial"/>
          <w:i/>
          <w:sz w:val="20"/>
        </w:rPr>
        <w:t>[1979] Q.B. 467, 490</w:t>
      </w:r>
      <w:r>
        <w:rPr>
          <w:sz w:val="20"/>
        </w:rPr>
        <w:t>; cf. above, para.4-058. Delay in </w:t>
      </w:r>
      <w:r>
        <w:rPr>
          <w:rFonts w:ascii="Arial"/>
          <w:i/>
          <w:sz w:val="20"/>
        </w:rPr>
        <w:t>executing </w:t>
      </w:r>
      <w:r>
        <w:rPr>
          <w:sz w:val="20"/>
        </w:rPr>
        <w:t>the repairs was a </w:t>
      </w:r>
      <w:r>
        <w:rPr>
          <w:sz w:val="20"/>
        </w:rPr>
        <w:t>breach irrespective of the question of who was to </w:t>
      </w:r>
      <w:r>
        <w:rPr>
          <w:rFonts w:ascii="Arial"/>
          <w:i/>
          <w:sz w:val="20"/>
        </w:rPr>
        <w:t>pay </w:t>
      </w:r>
      <w:r>
        <w:rPr>
          <w:sz w:val="20"/>
        </w:rPr>
        <w:t>for them.</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headerReference w:type="even" r:id="rId38"/>
          <w:headerReference w:type="default" r:id="rId39"/>
          <w:pgSz w:w="11900" w:h="16840"/>
          <w:pgMar w:header="971" w:footer="0" w:top="1160" w:bottom="280" w:left="1275" w:right="1275"/>
          <w:pgNumType w:start="10"/>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727" w:right="2730"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92896">
                <wp:simplePos x="0" y="0"/>
                <wp:positionH relativeFrom="page">
                  <wp:posOffset>4707940</wp:posOffset>
                </wp:positionH>
                <wp:positionV relativeFrom="paragraph">
                  <wp:posOffset>377436</wp:posOffset>
                </wp:positionV>
                <wp:extent cx="42545"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23584" from="370.70401pt,29.719406pt" to="374.04001pt,29.719406pt" stroked="true" strokeweight=".428pt" strokecolor="#005da1">
                <v:stroke dashstyle="solid"/>
                <w10:wrap type="none"/>
              </v:line>
            </w:pict>
          </mc:Fallback>
        </mc:AlternateContent>
      </w: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4 - Consideration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9. - Discharge and Variation of Contractual </w:t>
      </w:r>
      <w:r>
        <w:rPr>
          <w:rFonts w:ascii="Arial"/>
          <w:b/>
          <w:spacing w:val="-2"/>
          <w:sz w:val="24"/>
        </w:rPr>
        <w:t>Duties</w:t>
      </w:r>
    </w:p>
    <w:p>
      <w:pPr>
        <w:spacing w:before="194"/>
        <w:ind w:left="3898" w:right="0" w:firstLine="0"/>
        <w:jc w:val="left"/>
        <w:rPr>
          <w:rFonts w:ascii="Arial"/>
          <w:b/>
          <w:sz w:val="24"/>
        </w:rPr>
      </w:pPr>
      <w:r>
        <w:rPr>
          <w:rFonts w:ascii="Arial"/>
          <w:b/>
          <w:sz w:val="24"/>
        </w:rPr>
        <w:t>(b) - </w:t>
      </w:r>
      <w:r>
        <w:rPr>
          <w:rFonts w:ascii="Arial"/>
          <w:b/>
          <w:spacing w:val="-2"/>
          <w:sz w:val="24"/>
        </w:rPr>
        <w:t>Variation</w:t>
      </w:r>
    </w:p>
    <w:p>
      <w:pPr>
        <w:pStyle w:val="ListParagraph"/>
        <w:numPr>
          <w:ilvl w:val="0"/>
          <w:numId w:val="5"/>
        </w:numPr>
        <w:tabs>
          <w:tab w:pos="3324" w:val="left" w:leader="none"/>
        </w:tabs>
        <w:spacing w:line="240" w:lineRule="auto" w:before="194" w:after="0"/>
        <w:ind w:left="3324" w:right="0" w:hanging="359"/>
        <w:jc w:val="left"/>
        <w:rPr>
          <w:rFonts w:ascii="Arial"/>
          <w:b/>
          <w:sz w:val="24"/>
        </w:rPr>
      </w:pPr>
      <w:r>
        <w:rPr>
          <w:rFonts w:ascii="Arial"/>
          <w:b/>
          <w:sz w:val="24"/>
        </w:rPr>
        <w:t>- Common Law </w:t>
      </w:r>
      <w:r>
        <w:rPr>
          <w:rFonts w:ascii="Arial"/>
          <w:b/>
          <w:spacing w:val="-2"/>
          <w:sz w:val="24"/>
        </w:rPr>
        <w:t>Mitigations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bookmarkStart w:name="_bookmark854" w:id="856"/>
      <w:bookmarkEnd w:id="856"/>
      <w:r>
        <w:rPr/>
      </w:r>
      <w:r>
        <w:rPr>
          <w:rFonts w:ascii="Arial"/>
          <w:b/>
          <w:sz w:val="18"/>
        </w:rPr>
        <w:t>Waiver</w:t>
      </w:r>
      <w:r>
        <w:rPr>
          <w:rFonts w:ascii="Arial"/>
          <w:b/>
          <w:spacing w:val="-1"/>
          <w:sz w:val="18"/>
        </w:rPr>
        <w:t> </w:t>
      </w:r>
      <w:r>
        <w:rPr>
          <w:rFonts w:ascii="Arial"/>
          <w:b/>
          <w:color w:val="005DA1"/>
          <w:sz w:val="18"/>
          <w:u w:val="single" w:color="005DA1"/>
          <w:vertAlign w:val="superscript"/>
        </w:rPr>
        <w:t>451</w:t>
      </w:r>
      <w:r>
        <w:rPr>
          <w:rFonts w:ascii="Arial"/>
          <w:b/>
          <w:color w:val="005DA1"/>
          <w:spacing w:val="-1"/>
          <w:sz w:val="18"/>
          <w:vertAlign w:val="baseline"/>
        </w:rPr>
        <w:t> </w:t>
      </w:r>
      <w:r>
        <w:rPr>
          <w:rFonts w:ascii="Arial"/>
          <w:b/>
          <w:sz w:val="18"/>
          <w:vertAlign w:val="baseline"/>
        </w:rPr>
        <w:t>or forbearance at common </w:t>
      </w:r>
      <w:r>
        <w:rPr>
          <w:rFonts w:ascii="Arial"/>
          <w:b/>
          <w:spacing w:val="-5"/>
          <w:sz w:val="18"/>
          <w:vertAlign w:val="baseline"/>
        </w:rPr>
        <w:t>law</w:t>
      </w:r>
    </w:p>
    <w:p>
      <w:pPr>
        <w:pStyle w:val="BodyText"/>
        <w:spacing w:before="41"/>
        <w:rPr>
          <w:rFonts w:ascii="Arial"/>
          <w:b/>
          <w:sz w:val="18"/>
        </w:rPr>
      </w:pPr>
    </w:p>
    <w:p>
      <w:pPr>
        <w:pStyle w:val="Heading2"/>
      </w:pPr>
      <w:r>
        <w:rPr/>
        <w:t>4-</w:t>
      </w:r>
      <w:r>
        <w:rPr>
          <w:spacing w:val="-5"/>
        </w:rPr>
        <w:t>082</w:t>
      </w:r>
    </w:p>
    <w:p>
      <w:pPr>
        <w:pStyle w:val="BodyText"/>
        <w:spacing w:line="235" w:lineRule="auto" w:before="203"/>
        <w:ind w:left="165" w:right="167"/>
        <w:jc w:val="both"/>
      </w:pPr>
      <w:r>
        <w:rPr/>
        <w:t>A variation which is not contractually binding (e.g. for want of consideration) may nevertheless have certain limited legal effects. These are sometimes said to arise because the promise by a party </w:t>
      </w:r>
      <w:r>
        <w:rPr/>
        <w:t>to relinquish some or all of his rights under a contract amounts to a “waiver” of those rights. </w:t>
      </w:r>
      <w:bookmarkStart w:name="_bookmark855" w:id="857"/>
      <w:bookmarkEnd w:id="857"/>
      <w:r>
        <w:rPr/>
        <w:t>Unfortunately,</w:t>
      </w:r>
      <w:r>
        <w:rPr/>
        <w:t> however, “the word ‘waiver’ … covers a variety of situations different in their legal </w:t>
      </w:r>
      <w:bookmarkStart w:name="_bookmark856" w:id="858"/>
      <w:bookmarkEnd w:id="858"/>
      <w:r>
        <w:rPr/>
        <w:t>nature</w:t>
      </w:r>
      <w:r>
        <w:rPr/>
        <w:t> …” </w:t>
      </w:r>
      <w:r>
        <w:rPr>
          <w:color w:val="005DA1"/>
          <w:u w:val="single" w:color="005DA1"/>
          <w:vertAlign w:val="superscript"/>
        </w:rPr>
        <w:t>452</w:t>
      </w:r>
      <w:r>
        <w:rPr>
          <w:color w:val="005DA1"/>
          <w:vertAlign w:val="baseline"/>
        </w:rPr>
        <w:t> </w:t>
      </w:r>
      <w:r>
        <w:rPr>
          <w:vertAlign w:val="baseline"/>
        </w:rPr>
        <w:t>It is, for example, sometimes used to refer to the variation of a contract which is supported by consideration and therefore binding as a contract. </w:t>
      </w:r>
      <w:r>
        <w:rPr>
          <w:color w:val="005DA1"/>
          <w:u w:val="single" w:color="005DA1"/>
          <w:vertAlign w:val="superscript"/>
        </w:rPr>
        <w:t>453</w:t>
      </w:r>
      <w:r>
        <w:rPr>
          <w:color w:val="005DA1"/>
          <w:vertAlign w:val="baseline"/>
        </w:rPr>
        <w:t> </w:t>
      </w:r>
      <w:r>
        <w:rPr>
          <w:vertAlign w:val="baseline"/>
        </w:rPr>
        <w:t>To distinguish between such variations and those which are not supported by consideration, the latter will in the following </w:t>
      </w:r>
      <w:bookmarkStart w:name="_bookmark857" w:id="859"/>
      <w:bookmarkEnd w:id="859"/>
      <w:r>
        <w:rPr>
          <w:vertAlign w:val="baseline"/>
        </w:rPr>
        <w:t>discussion</w:t>
      </w:r>
      <w:r>
        <w:rPr>
          <w:spacing w:val="-1"/>
          <w:vertAlign w:val="baseline"/>
        </w:rPr>
        <w:t> </w:t>
      </w:r>
      <w:r>
        <w:rPr>
          <w:vertAlign w:val="baseline"/>
        </w:rPr>
        <w:t>be</w:t>
      </w:r>
      <w:r>
        <w:rPr>
          <w:spacing w:val="-1"/>
          <w:vertAlign w:val="baseline"/>
        </w:rPr>
        <w:t> </w:t>
      </w:r>
      <w:r>
        <w:rPr>
          <w:vertAlign w:val="baseline"/>
        </w:rPr>
        <w:t>referred</w:t>
      </w:r>
      <w:r>
        <w:rPr>
          <w:spacing w:val="-1"/>
          <w:vertAlign w:val="baseline"/>
        </w:rPr>
        <w:t> </w:t>
      </w:r>
      <w:r>
        <w:rPr>
          <w:vertAlign w:val="baseline"/>
        </w:rPr>
        <w:t>to</w:t>
      </w:r>
      <w:r>
        <w:rPr>
          <w:spacing w:val="-1"/>
          <w:vertAlign w:val="baseline"/>
        </w:rPr>
        <w:t> </w:t>
      </w:r>
      <w:r>
        <w:rPr>
          <w:vertAlign w:val="baseline"/>
        </w:rPr>
        <w:t>as</w:t>
      </w:r>
      <w:r>
        <w:rPr>
          <w:spacing w:val="-1"/>
          <w:vertAlign w:val="baseline"/>
        </w:rPr>
        <w:t> </w:t>
      </w:r>
      <w:r>
        <w:rPr>
          <w:vertAlign w:val="baseline"/>
        </w:rPr>
        <w:t>“forbearances.”</w:t>
      </w:r>
      <w:r>
        <w:rPr>
          <w:spacing w:val="-1"/>
          <w:vertAlign w:val="baseline"/>
        </w:rPr>
        <w:t> </w:t>
      </w:r>
      <w:r>
        <w:rPr>
          <w:vertAlign w:val="baseline"/>
        </w:rPr>
        <w:t>A</w:t>
      </w:r>
      <w:r>
        <w:rPr>
          <w:spacing w:val="-1"/>
          <w:vertAlign w:val="baseline"/>
        </w:rPr>
        <w:t> </w:t>
      </w:r>
      <w:r>
        <w:rPr>
          <w:vertAlign w:val="baseline"/>
        </w:rPr>
        <w:t>forbearance</w:t>
      </w:r>
      <w:r>
        <w:rPr>
          <w:spacing w:val="-1"/>
          <w:vertAlign w:val="baseline"/>
        </w:rPr>
        <w:t> </w:t>
      </w:r>
      <w:r>
        <w:rPr>
          <w:vertAlign w:val="baseline"/>
        </w:rPr>
        <w:t>in</w:t>
      </w:r>
      <w:r>
        <w:rPr>
          <w:spacing w:val="-1"/>
          <w:vertAlign w:val="baseline"/>
        </w:rPr>
        <w:t> </w:t>
      </w:r>
      <w:r>
        <w:rPr>
          <w:vertAlign w:val="baseline"/>
        </w:rPr>
        <w:t>this</w:t>
      </w:r>
      <w:r>
        <w:rPr>
          <w:spacing w:val="-1"/>
          <w:vertAlign w:val="baseline"/>
        </w:rPr>
        <w:t> </w:t>
      </w:r>
      <w:r>
        <w:rPr>
          <w:vertAlign w:val="baseline"/>
        </w:rPr>
        <w:t>sense</w:t>
      </w:r>
      <w:r>
        <w:rPr>
          <w:spacing w:val="-1"/>
          <w:vertAlign w:val="baseline"/>
        </w:rPr>
        <w:t> </w:t>
      </w:r>
      <w:r>
        <w:rPr>
          <w:vertAlign w:val="baseline"/>
        </w:rPr>
        <w:t>may</w:t>
      </w:r>
      <w:r>
        <w:rPr>
          <w:spacing w:val="-1"/>
          <w:vertAlign w:val="baseline"/>
        </w:rPr>
        <w:t> </w:t>
      </w:r>
      <w:r>
        <w:rPr>
          <w:vertAlign w:val="baseline"/>
        </w:rPr>
        <w:t>in</w:t>
      </w:r>
      <w:r>
        <w:rPr>
          <w:spacing w:val="-1"/>
          <w:vertAlign w:val="baseline"/>
        </w:rPr>
        <w:t> </w:t>
      </w:r>
      <w:r>
        <w:rPr>
          <w:vertAlign w:val="baseline"/>
        </w:rPr>
        <w:t>certain</w:t>
      </w:r>
      <w:r>
        <w:rPr>
          <w:spacing w:val="-1"/>
          <w:vertAlign w:val="baseline"/>
        </w:rPr>
        <w:t> </w:t>
      </w:r>
      <w:r>
        <w:rPr>
          <w:vertAlign w:val="baseline"/>
        </w:rPr>
        <w:t>circumstances limit the right of the party granting it to enforce his rights under the contract. </w:t>
      </w:r>
      <w:r>
        <w:rPr>
          <w:color w:val="005DA1"/>
          <w:u w:val="single" w:color="005DA1"/>
          <w:vertAlign w:val="superscript"/>
        </w:rPr>
        <w:t>454</w:t>
      </w:r>
      <w:r>
        <w:rPr>
          <w:color w:val="005DA1"/>
          <w:vertAlign w:val="baseline"/>
        </w:rPr>
        <w:t> </w:t>
      </w:r>
      <w:r>
        <w:rPr>
          <w:vertAlign w:val="baseline"/>
        </w:rPr>
        <w:t>The exact effects of such a forbearance are discussed in Chapter 22; but something must be said here about the distinction between a forbearance and a variation.</w:t>
      </w:r>
    </w:p>
    <w:p>
      <w:pPr>
        <w:pStyle w:val="BodyText"/>
      </w:pPr>
    </w:p>
    <w:p>
      <w:pPr>
        <w:pStyle w:val="BodyText"/>
        <w:spacing w:before="34"/>
      </w:pPr>
    </w:p>
    <w:p>
      <w:pPr>
        <w:spacing w:before="0"/>
        <w:ind w:left="165" w:right="0" w:firstLine="0"/>
        <w:jc w:val="both"/>
        <w:rPr>
          <w:rFonts w:ascii="Arial"/>
          <w:b/>
          <w:sz w:val="18"/>
        </w:rPr>
      </w:pPr>
      <w:r>
        <w:rPr>
          <w:rFonts w:ascii="Arial"/>
          <w:b/>
          <w:sz w:val="18"/>
        </w:rPr>
        <w:t>Forbearance generally </w:t>
      </w:r>
      <w:r>
        <w:rPr>
          <w:rFonts w:ascii="Arial"/>
          <w:b/>
          <w:spacing w:val="-2"/>
          <w:sz w:val="18"/>
        </w:rPr>
        <w:t>revocable</w:t>
      </w:r>
    </w:p>
    <w:p>
      <w:pPr>
        <w:pStyle w:val="BodyText"/>
        <w:spacing w:before="41"/>
        <w:rPr>
          <w:rFonts w:ascii="Arial"/>
          <w:b/>
          <w:sz w:val="18"/>
        </w:rPr>
      </w:pPr>
    </w:p>
    <w:p>
      <w:pPr>
        <w:pStyle w:val="Heading2"/>
        <w:spacing w:before="1"/>
      </w:pPr>
      <w:r>
        <w:rPr/>
        <w:t>4-</w:t>
      </w:r>
      <w:r>
        <w:rPr>
          <w:spacing w:val="-5"/>
        </w:rPr>
        <w:t>083</w:t>
      </w:r>
    </w:p>
    <w:p>
      <w:pPr>
        <w:pStyle w:val="BodyText"/>
        <w:spacing w:line="235" w:lineRule="auto" w:before="202"/>
        <w:ind w:left="165" w:right="167"/>
        <w:jc w:val="both"/>
      </w:pPr>
      <w:r>
        <w:rPr/>
        <w:t>The effect of a forbearance of the kind mentioned in the preceding paragraph differs from that of a contractually binding variation which is supported by consideration in that it does not </w:t>
      </w:r>
      <w:r>
        <w:rPr>
          <w:rFonts w:ascii="Arial" w:hAnsi="Arial"/>
          <w:i/>
        </w:rPr>
        <w:t>irrevocably </w:t>
      </w:r>
      <w:r>
        <w:rPr/>
        <w:t>alter </w:t>
      </w:r>
      <w:bookmarkStart w:name="_bookmark858" w:id="860"/>
      <w:bookmarkEnd w:id="860"/>
      <w:r>
        <w:rPr/>
        <w:t>the</w:t>
      </w:r>
      <w:r>
        <w:rPr/>
        <w:t> rights of the parties under the original contract. The party granting the forbearance </w:t>
      </w:r>
      <w:r>
        <w:rPr>
          <w:rFonts w:ascii="Arial" w:hAnsi="Arial"/>
          <w:i/>
        </w:rPr>
        <w:t>can generally </w:t>
      </w:r>
      <w:bookmarkStart w:name="_bookmark859" w:id="861"/>
      <w:bookmarkEnd w:id="861"/>
      <w:r>
        <w:rPr>
          <w:rFonts w:ascii="Arial" w:hAnsi="Arial"/>
          <w:i/>
        </w:rPr>
        <w:t>retract</w:t>
      </w:r>
      <w:r>
        <w:rPr>
          <w:rFonts w:ascii="Arial" w:hAnsi="Arial"/>
          <w:i/>
        </w:rPr>
        <w:t> it</w:t>
      </w:r>
      <w:r>
        <w:rPr/>
        <w:t>, provided that he gives reasonable notice of his intention to do so to the other party. </w:t>
      </w:r>
      <w:r>
        <w:rPr>
          <w:color w:val="005DA1"/>
          <w:u w:val="single" w:color="005DA1"/>
          <w:vertAlign w:val="superscript"/>
        </w:rPr>
        <w:t>455</w:t>
      </w:r>
      <w:r>
        <w:rPr>
          <w:color w:val="005DA1"/>
          <w:vertAlign w:val="baseline"/>
        </w:rPr>
        <w:t> </w:t>
      </w:r>
      <w:r>
        <w:rPr>
          <w:vertAlign w:val="baseline"/>
        </w:rPr>
        <w:t>Thus in </w:t>
      </w:r>
      <w:r>
        <w:rPr>
          <w:rFonts w:ascii="Arial" w:hAnsi="Arial"/>
          <w:i/>
          <w:vertAlign w:val="baseline"/>
        </w:rPr>
        <w:t>Charles Rickards Ltd v Oppenhaim </w:t>
      </w:r>
      <w:r>
        <w:rPr>
          <w:color w:val="005DA1"/>
          <w:u w:val="single" w:color="005DA1"/>
          <w:vertAlign w:val="superscript"/>
        </w:rPr>
        <w:t>456</w:t>
      </w:r>
      <w:r>
        <w:rPr>
          <w:color w:val="005DA1"/>
          <w:vertAlign w:val="baseline"/>
        </w:rPr>
        <w:t> </w:t>
      </w:r>
      <w:r>
        <w:rPr>
          <w:vertAlign w:val="baseline"/>
        </w:rPr>
        <w:t>a contract for the sale of a car provided for delivery on</w:t>
      </w:r>
      <w:r>
        <w:rPr>
          <w:spacing w:val="40"/>
          <w:vertAlign w:val="baseline"/>
        </w:rPr>
        <w:t> </w:t>
      </w:r>
      <w:r>
        <w:rPr>
          <w:vertAlign w:val="baseline"/>
        </w:rPr>
        <w:t>March 20. The car was not delivered on that day but the buyer continued to press for delivery and finally told the seller on June 29 that he must have the car by July 25 at the latest. It was held that the buyer could not have refused peremptorily to accept the car merely because the original delivery date had gone by, as he had continued to press for delivery; but that he could refuse on the seller’s failure to comply with a notice to deliver within a reasonable time. As the notice had given the seller a reasonable time to deliver, the buyer was justified in refusing to take the car after July 25. A fortiori, </w:t>
      </w:r>
      <w:bookmarkStart w:name="_bookmark860" w:id="862"/>
      <w:bookmarkEnd w:id="862"/>
      <w:r>
        <w:rPr>
          <w:vertAlign w:val="baseline"/>
        </w:rPr>
        <w:t>the</w:t>
      </w:r>
      <w:r>
        <w:rPr>
          <w:spacing w:val="-2"/>
          <w:vertAlign w:val="baseline"/>
        </w:rPr>
        <w:t> </w:t>
      </w:r>
      <w:r>
        <w:rPr>
          <w:vertAlign w:val="baseline"/>
        </w:rPr>
        <w:t>buyer</w:t>
      </w:r>
      <w:r>
        <w:rPr>
          <w:spacing w:val="-2"/>
          <w:vertAlign w:val="baseline"/>
        </w:rPr>
        <w:t> </w:t>
      </w:r>
      <w:r>
        <w:rPr>
          <w:vertAlign w:val="baseline"/>
        </w:rPr>
        <w:t>could</w:t>
      </w:r>
      <w:r>
        <w:rPr>
          <w:spacing w:val="-2"/>
          <w:vertAlign w:val="baseline"/>
        </w:rPr>
        <w:t> </w:t>
      </w:r>
      <w:r>
        <w:rPr>
          <w:vertAlign w:val="baseline"/>
        </w:rPr>
        <w:t>have</w:t>
      </w:r>
      <w:r>
        <w:rPr>
          <w:spacing w:val="-2"/>
          <w:vertAlign w:val="baseline"/>
        </w:rPr>
        <w:t> </w:t>
      </w:r>
      <w:r>
        <w:rPr>
          <w:vertAlign w:val="baseline"/>
        </w:rPr>
        <w:t>refused</w:t>
      </w:r>
      <w:r>
        <w:rPr>
          <w:spacing w:val="-2"/>
          <w:vertAlign w:val="baseline"/>
        </w:rPr>
        <w:t> </w:t>
      </w:r>
      <w:r>
        <w:rPr>
          <w:vertAlign w:val="baseline"/>
        </w:rPr>
        <w:t>to</w:t>
      </w:r>
      <w:r>
        <w:rPr>
          <w:spacing w:val="-2"/>
          <w:vertAlign w:val="baseline"/>
        </w:rPr>
        <w:t> </w:t>
      </w:r>
      <w:r>
        <w:rPr>
          <w:vertAlign w:val="baseline"/>
        </w:rPr>
        <w:t>take</w:t>
      </w:r>
      <w:r>
        <w:rPr>
          <w:spacing w:val="-2"/>
          <w:vertAlign w:val="baseline"/>
        </w:rPr>
        <w:t> </w:t>
      </w:r>
      <w:r>
        <w:rPr>
          <w:vertAlign w:val="baseline"/>
        </w:rPr>
        <w:t>delivery</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original</w:t>
      </w:r>
      <w:r>
        <w:rPr>
          <w:spacing w:val="-2"/>
          <w:vertAlign w:val="baseline"/>
        </w:rPr>
        <w:t> </w:t>
      </w:r>
      <w:r>
        <w:rPr>
          <w:vertAlign w:val="baseline"/>
        </w:rPr>
        <w:t>delivery</w:t>
      </w:r>
      <w:r>
        <w:rPr>
          <w:spacing w:val="-2"/>
          <w:vertAlign w:val="baseline"/>
        </w:rPr>
        <w:t> </w:t>
      </w:r>
      <w:r>
        <w:rPr>
          <w:vertAlign w:val="baseline"/>
        </w:rPr>
        <w:t>date</w:t>
      </w:r>
      <w:r>
        <w:rPr>
          <w:spacing w:val="-2"/>
          <w:vertAlign w:val="baseline"/>
        </w:rPr>
        <w:t> </w:t>
      </w:r>
      <w:r>
        <w:rPr>
          <w:vertAlign w:val="baseline"/>
        </w:rPr>
        <w:t>had</w:t>
      </w:r>
      <w:r>
        <w:rPr>
          <w:spacing w:val="-2"/>
          <w:vertAlign w:val="baseline"/>
        </w:rPr>
        <w:t> </w:t>
      </w:r>
      <w:r>
        <w:rPr>
          <w:vertAlign w:val="baseline"/>
        </w:rPr>
        <w:t>been</w:t>
      </w:r>
      <w:r>
        <w:rPr>
          <w:spacing w:val="-2"/>
          <w:vertAlign w:val="baseline"/>
        </w:rPr>
        <w:t> </w:t>
      </w:r>
      <w:r>
        <w:rPr>
          <w:vertAlign w:val="baseline"/>
        </w:rPr>
        <w:t>extended</w:t>
      </w:r>
      <w:r>
        <w:rPr>
          <w:spacing w:val="-2"/>
          <w:vertAlign w:val="baseline"/>
        </w:rPr>
        <w:t> </w:t>
      </w:r>
      <w:r>
        <w:rPr>
          <w:vertAlign w:val="baseline"/>
        </w:rPr>
        <w:t>only</w:t>
      </w:r>
      <w:r>
        <w:rPr>
          <w:spacing w:val="-2"/>
          <w:vertAlign w:val="baseline"/>
        </w:rPr>
        <w:t> </w:t>
      </w:r>
      <w:r>
        <w:rPr>
          <w:vertAlign w:val="baseline"/>
        </w:rPr>
        <w:t>for</w:t>
      </w:r>
      <w:r>
        <w:rPr>
          <w:spacing w:val="-2"/>
          <w:vertAlign w:val="baseline"/>
        </w:rPr>
        <w:t> </w:t>
      </w:r>
      <w:r>
        <w:rPr>
          <w:vertAlign w:val="baseline"/>
        </w:rPr>
        <w:t>a fixed time and if delivery had not been made by the end of that time. </w:t>
      </w:r>
      <w:r>
        <w:rPr>
          <w:color w:val="005DA1"/>
          <w:u w:val="single" w:color="005DA1"/>
          <w:vertAlign w:val="superscript"/>
        </w:rPr>
        <w:t>457</w:t>
      </w:r>
    </w:p>
    <w:p>
      <w:pPr>
        <w:pStyle w:val="BodyText"/>
      </w:pPr>
    </w:p>
    <w:p>
      <w:pPr>
        <w:pStyle w:val="BodyText"/>
        <w:spacing w:before="34"/>
      </w:pPr>
    </w:p>
    <w:p>
      <w:pPr>
        <w:spacing w:before="0"/>
        <w:ind w:left="165" w:right="0" w:firstLine="0"/>
        <w:jc w:val="both"/>
        <w:rPr>
          <w:rFonts w:ascii="Arial"/>
          <w:b/>
          <w:sz w:val="18"/>
        </w:rPr>
      </w:pPr>
      <w:r>
        <w:rPr>
          <w:rFonts w:ascii="Arial"/>
          <w:b/>
          <w:sz w:val="18"/>
        </w:rPr>
        <w:t>Forbearance may become </w:t>
      </w:r>
      <w:r>
        <w:rPr>
          <w:rFonts w:ascii="Arial"/>
          <w:b/>
          <w:spacing w:val="-2"/>
          <w:sz w:val="18"/>
        </w:rPr>
        <w:t>irrevocable</w:t>
      </w:r>
    </w:p>
    <w:p>
      <w:pPr>
        <w:pStyle w:val="BodyText"/>
        <w:spacing w:before="41"/>
        <w:rPr>
          <w:rFonts w:ascii="Arial"/>
          <w:b/>
          <w:sz w:val="18"/>
        </w:rPr>
      </w:pPr>
    </w:p>
    <w:p>
      <w:pPr>
        <w:pStyle w:val="Heading2"/>
      </w:pPr>
      <w:r>
        <w:rPr/>
        <w:t>4-</w:t>
      </w:r>
      <w:r>
        <w:rPr>
          <w:spacing w:val="-5"/>
        </w:rPr>
        <w:t>084</w:t>
      </w:r>
    </w:p>
    <w:p>
      <w:pPr>
        <w:pStyle w:val="BodyText"/>
        <w:spacing w:before="199"/>
        <w:ind w:left="165"/>
        <w:jc w:val="both"/>
      </w:pPr>
      <w:r>
        <w:rPr/>
        <w:t>A</w:t>
      </w:r>
      <w:r>
        <w:rPr>
          <w:spacing w:val="12"/>
        </w:rPr>
        <w:t> </w:t>
      </w:r>
      <w:r>
        <w:rPr/>
        <w:t>forbearance</w:t>
      </w:r>
      <w:r>
        <w:rPr>
          <w:spacing w:val="12"/>
        </w:rPr>
        <w:t> </w:t>
      </w:r>
      <w:r>
        <w:rPr/>
        <w:t>may,</w:t>
      </w:r>
      <w:r>
        <w:rPr>
          <w:spacing w:val="12"/>
        </w:rPr>
        <w:t> </w:t>
      </w:r>
      <w:r>
        <w:rPr/>
        <w:t>however,</w:t>
      </w:r>
      <w:r>
        <w:rPr>
          <w:spacing w:val="12"/>
        </w:rPr>
        <w:t> </w:t>
      </w:r>
      <w:r>
        <w:rPr/>
        <w:t>become</w:t>
      </w:r>
      <w:r>
        <w:rPr>
          <w:spacing w:val="12"/>
        </w:rPr>
        <w:t> </w:t>
      </w:r>
      <w:r>
        <w:rPr/>
        <w:t>irrevocable</w:t>
      </w:r>
      <w:r>
        <w:rPr>
          <w:spacing w:val="12"/>
        </w:rPr>
        <w:t> </w:t>
      </w:r>
      <w:r>
        <w:rPr/>
        <w:t>as</w:t>
      </w:r>
      <w:r>
        <w:rPr>
          <w:spacing w:val="12"/>
        </w:rPr>
        <w:t> </w:t>
      </w:r>
      <w:r>
        <w:rPr/>
        <w:t>a</w:t>
      </w:r>
      <w:r>
        <w:rPr>
          <w:spacing w:val="12"/>
        </w:rPr>
        <w:t> </w:t>
      </w:r>
      <w:r>
        <w:rPr/>
        <w:t>result</w:t>
      </w:r>
      <w:r>
        <w:rPr>
          <w:spacing w:val="12"/>
        </w:rPr>
        <w:t> </w:t>
      </w:r>
      <w:r>
        <w:rPr/>
        <w:t>of</w:t>
      </w:r>
      <w:r>
        <w:rPr>
          <w:spacing w:val="12"/>
        </w:rPr>
        <w:t> </w:t>
      </w:r>
      <w:r>
        <w:rPr/>
        <w:t>subsequent</w:t>
      </w:r>
      <w:r>
        <w:rPr>
          <w:spacing w:val="12"/>
        </w:rPr>
        <w:t> </w:t>
      </w:r>
      <w:r>
        <w:rPr/>
        <w:t>events:</w:t>
      </w:r>
      <w:r>
        <w:rPr>
          <w:spacing w:val="12"/>
        </w:rPr>
        <w:t> </w:t>
      </w:r>
      <w:r>
        <w:rPr/>
        <w:t>for</w:t>
      </w:r>
      <w:r>
        <w:rPr>
          <w:spacing w:val="12"/>
        </w:rPr>
        <w:t> </w:t>
      </w:r>
      <w:r>
        <w:rPr/>
        <w:t>example</w:t>
      </w:r>
      <w:r>
        <w:rPr>
          <w:spacing w:val="12"/>
        </w:rPr>
        <w:t> </w:t>
      </w:r>
      <w:r>
        <w:rPr/>
        <w:t>if</w:t>
      </w:r>
      <w:r>
        <w:rPr>
          <w:spacing w:val="12"/>
        </w:rPr>
        <w:t> </w:t>
      </w:r>
      <w:r>
        <w:rPr>
          <w:spacing w:val="-10"/>
        </w:rPr>
        <w:t>a</w:t>
      </w:r>
    </w:p>
    <w:p>
      <w:pPr>
        <w:pStyle w:val="BodyText"/>
        <w:spacing w:after="0"/>
        <w:jc w:val="both"/>
        <w:sectPr>
          <w:pgSz w:w="11900" w:h="16840"/>
          <w:pgMar w:header="971" w:footer="0" w:top="1160" w:bottom="280" w:left="1275" w:right="1275"/>
        </w:sectPr>
      </w:pPr>
    </w:p>
    <w:p>
      <w:pPr>
        <w:pStyle w:val="BodyText"/>
        <w:spacing w:before="124"/>
      </w:pPr>
    </w:p>
    <w:p>
      <w:pPr>
        <w:pStyle w:val="BodyText"/>
        <w:spacing w:line="235" w:lineRule="auto" w:before="1"/>
        <w:ind w:left="165" w:right="167"/>
        <w:jc w:val="both"/>
      </w:pPr>
      <w:r>
        <w:rPr/>
        <w:t>buyer indicates that he is willing to accept goods of a different quality from those contracted for, </w:t>
      </w:r>
      <w:r>
        <w:rPr/>
        <w:t>and </w:t>
      </w:r>
      <w:bookmarkStart w:name="_bookmark861" w:id="863"/>
      <w:bookmarkEnd w:id="863"/>
      <w:r>
        <w:rPr/>
        <w:t>the</w:t>
      </w:r>
      <w:r>
        <w:rPr/>
        <w:t> seller, in reliance on that assurance, so conducts himself as to put it out of his power to supply goods of the contract quality within the contract period. </w:t>
      </w:r>
      <w:r>
        <w:rPr>
          <w:color w:val="005DA1"/>
          <w:u w:val="single" w:color="005DA1"/>
          <w:vertAlign w:val="superscript"/>
        </w:rPr>
        <w:t>458</w:t>
      </w:r>
    </w:p>
    <w:p>
      <w:pPr>
        <w:pStyle w:val="BodyText"/>
      </w:pPr>
    </w:p>
    <w:p>
      <w:pPr>
        <w:pStyle w:val="BodyText"/>
        <w:spacing w:before="37"/>
      </w:pPr>
    </w:p>
    <w:p>
      <w:pPr>
        <w:spacing w:before="0"/>
        <w:ind w:left="165" w:right="0" w:firstLine="0"/>
        <w:jc w:val="both"/>
        <w:rPr>
          <w:rFonts w:ascii="Arial"/>
          <w:b/>
          <w:sz w:val="18"/>
        </w:rPr>
      </w:pPr>
      <w:r>
        <w:rPr>
          <w:rFonts w:ascii="Arial"/>
          <w:b/>
          <w:sz w:val="18"/>
        </w:rPr>
        <w:t>Basis of distinction between variation and </w:t>
      </w:r>
      <w:r>
        <w:rPr>
          <w:rFonts w:ascii="Arial"/>
          <w:b/>
          <w:spacing w:val="-2"/>
          <w:sz w:val="18"/>
        </w:rPr>
        <w:t>forbearance</w:t>
      </w:r>
    </w:p>
    <w:p>
      <w:pPr>
        <w:pStyle w:val="BodyText"/>
        <w:spacing w:before="41"/>
        <w:rPr>
          <w:rFonts w:ascii="Arial"/>
          <w:b/>
          <w:sz w:val="18"/>
        </w:rPr>
      </w:pPr>
    </w:p>
    <w:p>
      <w:pPr>
        <w:pStyle w:val="Heading2"/>
        <w:spacing w:before="1"/>
      </w:pPr>
      <w:r>
        <w:rPr/>
        <w:t>4-</w:t>
      </w:r>
      <w:r>
        <w:rPr>
          <w:spacing w:val="-5"/>
        </w:rPr>
        <w:t>085</w:t>
      </w:r>
    </w:p>
    <w:p>
      <w:pPr>
        <w:pStyle w:val="BodyText"/>
        <w:spacing w:line="235" w:lineRule="auto" w:before="202"/>
        <w:ind w:left="165" w:right="167"/>
        <w:jc w:val="both"/>
      </w:pPr>
      <w:bookmarkStart w:name="_bookmark862" w:id="864"/>
      <w:bookmarkEnd w:id="864"/>
      <w:r>
        <w:rPr/>
      </w:r>
      <w:r>
        <w:rPr/>
        <w:t>The question whether a subsequent agreement amounted to a contractually binding variation or to a forbearance is sometimes said to depend on the intention of the parties. </w:t>
      </w:r>
      <w:r>
        <w:rPr>
          <w:color w:val="005DA1"/>
          <w:u w:val="single" w:color="005DA1"/>
          <w:vertAlign w:val="superscript"/>
        </w:rPr>
        <w:t>459</w:t>
      </w:r>
      <w:r>
        <w:rPr>
          <w:color w:val="005DA1"/>
          <w:vertAlign w:val="baseline"/>
        </w:rPr>
        <w:t> </w:t>
      </w:r>
      <w:r>
        <w:rPr>
          <w:vertAlign w:val="baseline"/>
        </w:rPr>
        <w:t>It seems that a statement should be a forbearance if the party making it intended to reserve a power to retract, and a variation if he intended it permanently to affect his rights. In practice, however, neither this nor any other explanation of the distinction provides any very sound basis for distinguishing between the </w:t>
      </w:r>
      <w:r>
        <w:rPr>
          <w:vertAlign w:val="baseline"/>
        </w:rPr>
        <w:t>authorities on this subject. The explanation is also open to the objection that it leads to the paradoxical result</w:t>
      </w:r>
      <w:r>
        <w:rPr>
          <w:spacing w:val="40"/>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more</w:t>
      </w:r>
      <w:r>
        <w:rPr>
          <w:spacing w:val="-1"/>
          <w:vertAlign w:val="baseline"/>
        </w:rPr>
        <w:t> </w:t>
      </w:r>
      <w:r>
        <w:rPr>
          <w:vertAlign w:val="baseline"/>
        </w:rPr>
        <w:t>a</w:t>
      </w:r>
      <w:r>
        <w:rPr>
          <w:spacing w:val="-1"/>
          <w:vertAlign w:val="baseline"/>
        </w:rPr>
        <w:t> </w:t>
      </w:r>
      <w:r>
        <w:rPr>
          <w:vertAlign w:val="baseline"/>
        </w:rPr>
        <w:t>party</w:t>
      </w:r>
      <w:r>
        <w:rPr>
          <w:spacing w:val="-1"/>
          <w:vertAlign w:val="baseline"/>
        </w:rPr>
        <w:t> </w:t>
      </w:r>
      <w:r>
        <w:rPr>
          <w:vertAlign w:val="baseline"/>
        </w:rPr>
        <w:t>tried</w:t>
      </w:r>
      <w:r>
        <w:rPr>
          <w:spacing w:val="-1"/>
          <w:vertAlign w:val="baseline"/>
        </w:rPr>
        <w:t> </w:t>
      </w:r>
      <w:r>
        <w:rPr>
          <w:vertAlign w:val="baseline"/>
        </w:rPr>
        <w:t>to</w:t>
      </w:r>
      <w:r>
        <w:rPr>
          <w:spacing w:val="-1"/>
          <w:vertAlign w:val="baseline"/>
        </w:rPr>
        <w:t> </w:t>
      </w:r>
      <w:r>
        <w:rPr>
          <w:vertAlign w:val="baseline"/>
        </w:rPr>
        <w:t>bind</w:t>
      </w:r>
      <w:r>
        <w:rPr>
          <w:spacing w:val="-1"/>
          <w:vertAlign w:val="baseline"/>
        </w:rPr>
        <w:t> </w:t>
      </w:r>
      <w:r>
        <w:rPr>
          <w:vertAlign w:val="baseline"/>
        </w:rPr>
        <w:t>himself</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subsequent</w:t>
      </w:r>
      <w:r>
        <w:rPr>
          <w:spacing w:val="-1"/>
          <w:vertAlign w:val="baseline"/>
        </w:rPr>
        <w:t> </w:t>
      </w:r>
      <w:r>
        <w:rPr>
          <w:vertAlign w:val="baseline"/>
        </w:rPr>
        <w:t>agreement,</w:t>
      </w:r>
      <w:r>
        <w:rPr>
          <w:spacing w:val="-1"/>
          <w:vertAlign w:val="baseline"/>
        </w:rPr>
        <w:t> </w:t>
      </w:r>
      <w:r>
        <w:rPr>
          <w:vertAlign w:val="baseline"/>
        </w:rPr>
        <w:t>the</w:t>
      </w:r>
      <w:r>
        <w:rPr>
          <w:spacing w:val="-1"/>
          <w:vertAlign w:val="baseline"/>
        </w:rPr>
        <w:t> </w:t>
      </w:r>
      <w:r>
        <w:rPr>
          <w:vertAlign w:val="baseline"/>
        </w:rPr>
        <w:t>less</w:t>
      </w:r>
      <w:r>
        <w:rPr>
          <w:spacing w:val="-1"/>
          <w:vertAlign w:val="baseline"/>
        </w:rPr>
        <w:t> </w:t>
      </w:r>
      <w:r>
        <w:rPr>
          <w:vertAlign w:val="baseline"/>
        </w:rPr>
        <w:t>he</w:t>
      </w:r>
      <w:r>
        <w:rPr>
          <w:spacing w:val="-1"/>
          <w:vertAlign w:val="baseline"/>
        </w:rPr>
        <w:t> </w:t>
      </w:r>
      <w:r>
        <w:rPr>
          <w:vertAlign w:val="baseline"/>
        </w:rPr>
        <w:t>was</w:t>
      </w:r>
      <w:r>
        <w:rPr>
          <w:spacing w:val="-1"/>
          <w:vertAlign w:val="baseline"/>
        </w:rPr>
        <w:t> </w:t>
      </w:r>
      <w:r>
        <w:rPr>
          <w:vertAlign w:val="baseline"/>
        </w:rPr>
        <w:t>likely</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so bound. An attempt to abandon a right altogether would be classified as a variation, and so be invalid without consideration; while an attempt merely to suspend a right would have at least a limited effect as a waiver. The courts were, however, anxious to avoid the injustice which could result from holding that a variation was not binding for want of consideration. Accordingly, they were inclined to interpret the subsequent agreement as a forbearance, so as to give it at least some legal effects.</w:t>
      </w:r>
    </w:p>
    <w:p>
      <w:pPr>
        <w:pStyle w:val="BodyText"/>
      </w:pPr>
    </w:p>
    <w:p>
      <w:pPr>
        <w:pStyle w:val="BodyText"/>
        <w:spacing w:before="35"/>
      </w:pPr>
      <w:r>
        <w:rPr/>
        <mc:AlternateContent>
          <mc:Choice Requires="wps">
            <w:drawing>
              <wp:anchor distT="0" distB="0" distL="0" distR="0" allowOverlap="1" layoutInCell="1" locked="0" behindDoc="1" simplePos="0" relativeHeight="487626752">
                <wp:simplePos x="0" y="0"/>
                <wp:positionH relativeFrom="page">
                  <wp:posOffset>914400</wp:posOffset>
                </wp:positionH>
                <wp:positionV relativeFrom="paragraph">
                  <wp:posOffset>183983</wp:posOffset>
                </wp:positionV>
                <wp:extent cx="5724525" cy="1270"/>
                <wp:effectExtent l="0" t="0" r="0" b="0"/>
                <wp:wrapTopAndBottom/>
                <wp:docPr id="143" name="Graphic 143"/>
                <wp:cNvGraphicFramePr>
                  <a:graphicFrameLocks/>
                </wp:cNvGraphicFramePr>
                <a:graphic>
                  <a:graphicData uri="http://schemas.microsoft.com/office/word/2010/wordprocessingShape">
                    <wps:wsp>
                      <wps:cNvPr id="143" name="Graphic 14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86879pt;width:450.75pt;height:.1pt;mso-position-horizontal-relative:page;mso-position-vertical-relative:paragraph;z-index:-15689728;mso-wrap-distance-left:0;mso-wrap-distance-right:0" id="docshape57" coordorigin="1440,290" coordsize="9015,0" path="m1440,290l10454,290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193920">
                <wp:simplePos x="0" y="0"/>
                <wp:positionH relativeFrom="page">
                  <wp:posOffset>914400</wp:posOffset>
                </wp:positionH>
                <wp:positionV relativeFrom="paragraph">
                  <wp:posOffset>97116</wp:posOffset>
                </wp:positionV>
                <wp:extent cx="4953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22560"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before="5"/>
      </w:pPr>
    </w:p>
    <w:p>
      <w:pPr>
        <w:tabs>
          <w:tab w:pos="705" w:val="left" w:leader="none"/>
        </w:tabs>
        <w:spacing w:line="227" w:lineRule="exact" w:before="0"/>
        <w:ind w:left="165" w:right="0" w:firstLine="0"/>
        <w:jc w:val="left"/>
        <w:rPr>
          <w:sz w:val="20"/>
        </w:rPr>
      </w:pPr>
      <w:bookmarkStart w:name="_bookmark863" w:id="865"/>
      <w:bookmarkEnd w:id="865"/>
      <w:r>
        <w:rPr/>
      </w:r>
      <w:hyperlink w:history="true" w:anchor="_bookmark854">
        <w:r>
          <w:rPr>
            <w:color w:val="005DA1"/>
            <w:spacing w:val="-4"/>
            <w:position w:val="5"/>
            <w:sz w:val="14"/>
            <w:u w:val="single" w:color="005DA1"/>
          </w:rPr>
          <w:t>451</w:t>
        </w:r>
      </w:hyperlink>
      <w:r>
        <w:rPr>
          <w:spacing w:val="-4"/>
          <w:position w:val="5"/>
          <w:sz w:val="14"/>
        </w:rPr>
        <w:t>.</w:t>
      </w:r>
      <w:r>
        <w:rPr>
          <w:position w:val="5"/>
          <w:sz w:val="14"/>
        </w:rPr>
        <w:tab/>
      </w:r>
      <w:r>
        <w:rPr>
          <w:sz w:val="20"/>
        </w:rPr>
        <w:t>Ewart,</w:t>
      </w:r>
      <w:r>
        <w:rPr>
          <w:spacing w:val="72"/>
          <w:sz w:val="20"/>
        </w:rPr>
        <w:t> </w:t>
      </w:r>
      <w:r>
        <w:rPr>
          <w:rFonts w:ascii="Arial"/>
          <w:i/>
          <w:sz w:val="20"/>
        </w:rPr>
        <w:t>Waiver</w:t>
      </w:r>
      <w:r>
        <w:rPr>
          <w:rFonts w:ascii="Arial"/>
          <w:i/>
          <w:spacing w:val="73"/>
          <w:sz w:val="20"/>
        </w:rPr>
        <w:t> </w:t>
      </w:r>
      <w:r>
        <w:rPr>
          <w:rFonts w:ascii="Arial"/>
          <w:i/>
          <w:sz w:val="20"/>
        </w:rPr>
        <w:t>Distributed</w:t>
      </w:r>
      <w:r>
        <w:rPr>
          <w:sz w:val="20"/>
        </w:rPr>
        <w:t>;</w:t>
      </w:r>
      <w:r>
        <w:rPr>
          <w:spacing w:val="73"/>
          <w:sz w:val="20"/>
        </w:rPr>
        <w:t> </w:t>
      </w:r>
      <w:r>
        <w:rPr>
          <w:sz w:val="20"/>
        </w:rPr>
        <w:t>Wilkins</w:t>
      </w:r>
      <w:r>
        <w:rPr>
          <w:spacing w:val="73"/>
          <w:sz w:val="20"/>
        </w:rPr>
        <w:t> </w:t>
      </w:r>
      <w:r>
        <w:rPr>
          <w:sz w:val="20"/>
        </w:rPr>
        <w:t>and</w:t>
      </w:r>
      <w:r>
        <w:rPr>
          <w:spacing w:val="73"/>
          <w:sz w:val="20"/>
        </w:rPr>
        <w:t> </w:t>
      </w:r>
      <w:r>
        <w:rPr>
          <w:sz w:val="20"/>
        </w:rPr>
        <w:t>Villiers,</w:t>
      </w:r>
      <w:r>
        <w:rPr>
          <w:spacing w:val="71"/>
          <w:sz w:val="20"/>
        </w:rPr>
        <w:t> </w:t>
      </w:r>
      <w:r>
        <w:rPr>
          <w:rFonts w:ascii="Arial"/>
          <w:i/>
          <w:sz w:val="20"/>
        </w:rPr>
        <w:t>Waiver,</w:t>
      </w:r>
      <w:r>
        <w:rPr>
          <w:rFonts w:ascii="Arial"/>
          <w:i/>
          <w:spacing w:val="73"/>
          <w:sz w:val="20"/>
        </w:rPr>
        <w:t> </w:t>
      </w:r>
      <w:r>
        <w:rPr>
          <w:rFonts w:ascii="Arial"/>
          <w:i/>
          <w:sz w:val="20"/>
        </w:rPr>
        <w:t>Variation</w:t>
      </w:r>
      <w:r>
        <w:rPr>
          <w:rFonts w:ascii="Arial"/>
          <w:i/>
          <w:spacing w:val="73"/>
          <w:sz w:val="20"/>
        </w:rPr>
        <w:t> </w:t>
      </w:r>
      <w:r>
        <w:rPr>
          <w:rFonts w:ascii="Arial"/>
          <w:i/>
          <w:sz w:val="20"/>
        </w:rPr>
        <w:t>and</w:t>
      </w:r>
      <w:r>
        <w:rPr>
          <w:rFonts w:ascii="Arial"/>
          <w:i/>
          <w:spacing w:val="73"/>
          <w:sz w:val="20"/>
        </w:rPr>
        <w:t> </w:t>
      </w:r>
      <w:r>
        <w:rPr>
          <w:rFonts w:ascii="Arial"/>
          <w:i/>
          <w:sz w:val="20"/>
        </w:rPr>
        <w:t>Estoppel</w:t>
      </w:r>
      <w:r>
        <w:rPr>
          <w:sz w:val="20"/>
        </w:rPr>
        <w:t>;</w:t>
      </w:r>
      <w:r>
        <w:rPr>
          <w:spacing w:val="73"/>
          <w:sz w:val="20"/>
        </w:rPr>
        <w:t> </w:t>
      </w:r>
      <w:r>
        <w:rPr>
          <w:spacing w:val="-2"/>
          <w:sz w:val="20"/>
        </w:rPr>
        <w:t>Spence,</w:t>
      </w:r>
    </w:p>
    <w:p>
      <w:pPr>
        <w:spacing w:line="225" w:lineRule="exact" w:before="0"/>
        <w:ind w:left="705" w:right="0" w:firstLine="0"/>
        <w:jc w:val="left"/>
        <w:rPr>
          <w:sz w:val="20"/>
        </w:rPr>
      </w:pPr>
      <w:r>
        <w:rPr>
          <w:rFonts w:ascii="Arial"/>
          <w:i/>
          <w:sz w:val="20"/>
        </w:rPr>
        <w:t>Protecting</w:t>
      </w:r>
      <w:r>
        <w:rPr>
          <w:rFonts w:ascii="Arial"/>
          <w:i/>
          <w:spacing w:val="2"/>
          <w:sz w:val="20"/>
        </w:rPr>
        <w:t> </w:t>
      </w:r>
      <w:r>
        <w:rPr>
          <w:rFonts w:ascii="Arial"/>
          <w:i/>
          <w:sz w:val="20"/>
        </w:rPr>
        <w:t>Reliance</w:t>
      </w:r>
      <w:r>
        <w:rPr>
          <w:sz w:val="20"/>
        </w:rPr>
        <w:t>;</w:t>
      </w:r>
      <w:r>
        <w:rPr>
          <w:spacing w:val="3"/>
          <w:sz w:val="20"/>
        </w:rPr>
        <w:t> </w:t>
      </w:r>
      <w:r>
        <w:rPr>
          <w:sz w:val="20"/>
        </w:rPr>
        <w:t>Cheshire</w:t>
      </w:r>
      <w:r>
        <w:rPr>
          <w:spacing w:val="3"/>
          <w:sz w:val="20"/>
        </w:rPr>
        <w:t> </w:t>
      </w:r>
      <w:r>
        <w:rPr>
          <w:sz w:val="20"/>
        </w:rPr>
        <w:t>and</w:t>
      </w:r>
      <w:r>
        <w:rPr>
          <w:spacing w:val="3"/>
          <w:sz w:val="20"/>
        </w:rPr>
        <w:t> </w:t>
      </w:r>
      <w:r>
        <w:rPr>
          <w:sz w:val="20"/>
        </w:rPr>
        <w:t>Fifoot</w:t>
      </w:r>
      <w:r>
        <w:rPr>
          <w:spacing w:val="3"/>
          <w:sz w:val="20"/>
        </w:rPr>
        <w:t> </w:t>
      </w:r>
      <w:r>
        <w:rPr>
          <w:sz w:val="20"/>
        </w:rPr>
        <w:t>(1947)</w:t>
      </w:r>
      <w:r>
        <w:rPr>
          <w:spacing w:val="3"/>
          <w:sz w:val="20"/>
        </w:rPr>
        <w:t> </w:t>
      </w:r>
      <w:r>
        <w:rPr>
          <w:sz w:val="20"/>
        </w:rPr>
        <w:t>63</w:t>
      </w:r>
      <w:r>
        <w:rPr>
          <w:spacing w:val="3"/>
          <w:sz w:val="20"/>
        </w:rPr>
        <w:t> </w:t>
      </w:r>
      <w:r>
        <w:rPr>
          <w:sz w:val="20"/>
        </w:rPr>
        <w:t>L.Q.R.</w:t>
      </w:r>
      <w:r>
        <w:rPr>
          <w:spacing w:val="3"/>
          <w:sz w:val="20"/>
        </w:rPr>
        <w:t> </w:t>
      </w:r>
      <w:r>
        <w:rPr>
          <w:sz w:val="20"/>
        </w:rPr>
        <w:t>283;</w:t>
      </w:r>
      <w:r>
        <w:rPr>
          <w:spacing w:val="3"/>
          <w:sz w:val="20"/>
        </w:rPr>
        <w:t> </w:t>
      </w:r>
      <w:r>
        <w:rPr>
          <w:sz w:val="20"/>
        </w:rPr>
        <w:t>Stoljar</w:t>
      </w:r>
      <w:r>
        <w:rPr>
          <w:spacing w:val="3"/>
          <w:sz w:val="20"/>
        </w:rPr>
        <w:t> </w:t>
      </w:r>
      <w:r>
        <w:rPr>
          <w:sz w:val="20"/>
        </w:rPr>
        <w:t>(1958)</w:t>
      </w:r>
      <w:r>
        <w:rPr>
          <w:spacing w:val="3"/>
          <w:sz w:val="20"/>
        </w:rPr>
        <w:t> </w:t>
      </w:r>
      <w:r>
        <w:rPr>
          <w:sz w:val="20"/>
        </w:rPr>
        <w:t>35</w:t>
      </w:r>
      <w:r>
        <w:rPr>
          <w:spacing w:val="3"/>
          <w:sz w:val="20"/>
        </w:rPr>
        <w:t> </w:t>
      </w:r>
      <w:r>
        <w:rPr>
          <w:sz w:val="20"/>
        </w:rPr>
        <w:t>Can.</w:t>
      </w:r>
      <w:r>
        <w:rPr>
          <w:spacing w:val="3"/>
          <w:sz w:val="20"/>
        </w:rPr>
        <w:t> </w:t>
      </w:r>
      <w:r>
        <w:rPr>
          <w:sz w:val="20"/>
        </w:rPr>
        <w:t>Bar</w:t>
      </w:r>
      <w:r>
        <w:rPr>
          <w:spacing w:val="3"/>
          <w:sz w:val="20"/>
        </w:rPr>
        <w:t> </w:t>
      </w:r>
      <w:r>
        <w:rPr>
          <w:spacing w:val="-4"/>
          <w:sz w:val="20"/>
        </w:rPr>
        <w:t>Rev.</w:t>
      </w:r>
    </w:p>
    <w:p>
      <w:pPr>
        <w:pStyle w:val="BodyText"/>
        <w:spacing w:line="227" w:lineRule="exact"/>
        <w:ind w:left="705"/>
      </w:pPr>
      <w:r>
        <w:rPr/>
        <w:t>485; Dugdale and Yates (1976) 39 M.L.R. </w:t>
      </w:r>
      <w:r>
        <w:rPr>
          <w:spacing w:val="-4"/>
        </w:rPr>
        <w:t>680.</w:t>
      </w:r>
    </w:p>
    <w:p>
      <w:pPr>
        <w:pStyle w:val="BodyText"/>
        <w:spacing w:before="9"/>
      </w:pPr>
    </w:p>
    <w:p>
      <w:pPr>
        <w:spacing w:line="235" w:lineRule="auto" w:before="0"/>
        <w:ind w:left="705" w:right="167" w:hanging="541"/>
        <w:jc w:val="both"/>
        <w:rPr>
          <w:rFonts w:ascii="Arial" w:hAnsi="Arial"/>
          <w:i/>
          <w:sz w:val="20"/>
        </w:rPr>
      </w:pPr>
      <w:bookmarkStart w:name="_bookmark864" w:id="866"/>
      <w:bookmarkEnd w:id="866"/>
      <w:r>
        <w:rPr/>
      </w:r>
      <w:hyperlink w:history="true" w:anchor="_bookmark855">
        <w:r>
          <w:rPr>
            <w:color w:val="005DA1"/>
            <w:position w:val="5"/>
            <w:sz w:val="14"/>
            <w:u w:val="single" w:color="005DA1"/>
          </w:rPr>
          <w:t>452</w:t>
        </w:r>
      </w:hyperlink>
      <w:r>
        <w:rPr>
          <w:position w:val="5"/>
          <w:sz w:val="14"/>
        </w:rPr>
        <w:t>.</w:t>
      </w:r>
      <w:r>
        <w:rPr>
          <w:spacing w:val="80"/>
          <w:position w:val="5"/>
          <w:sz w:val="14"/>
        </w:rPr>
        <w:t>  </w:t>
      </w:r>
      <w:r>
        <w:rPr>
          <w:rFonts w:ascii="Arial" w:hAnsi="Arial"/>
          <w:i/>
          <w:sz w:val="20"/>
        </w:rPr>
        <w:t>Mardorf Peach &amp; Co Ltd v Attica Sea Carriers Corp. of Liberia (The Laconia) [1977] A.C. </w:t>
      </w:r>
      <w:r>
        <w:rPr>
          <w:rFonts w:ascii="Arial" w:hAnsi="Arial"/>
          <w:i/>
          <w:sz w:val="20"/>
        </w:rPr>
        <w:t>850, 871</w:t>
      </w:r>
      <w:r>
        <w:rPr>
          <w:sz w:val="20"/>
        </w:rPr>
        <w:t>; cf. </w:t>
      </w:r>
      <w:r>
        <w:rPr>
          <w:rFonts w:ascii="Arial" w:hAnsi="Arial"/>
          <w:i/>
          <w:sz w:val="20"/>
        </w:rPr>
        <w:t>Kammins Ballrooms Co Ltd v Zenith Investments (Torquay) Ltd [1971] A.C. 850, 882–883</w:t>
      </w:r>
      <w:r>
        <w:rPr>
          <w:sz w:val="20"/>
        </w:rPr>
        <w:t>; </w:t>
      </w:r>
      <w:r>
        <w:rPr>
          <w:rFonts w:ascii="Arial" w:hAnsi="Arial"/>
          <w:i/>
          <w:sz w:val="20"/>
        </w:rPr>
        <w:t>Telfair Shipping Corp. v Athos Shipping Corp. (The Athos) [1981] 2 Lloyd’s Rep. 74, 87 (a passage approved on appeal: [1983] 1 Lloyd’s Rep. 127, 134)</w:t>
      </w:r>
      <w:r>
        <w:rPr>
          <w:sz w:val="20"/>
        </w:rPr>
        <w:t>; </w:t>
      </w:r>
      <w:r>
        <w:rPr>
          <w:rFonts w:ascii="Arial" w:hAnsi="Arial"/>
          <w:i/>
          <w:sz w:val="20"/>
        </w:rPr>
        <w:t>Scandinavian Trading Tanker Co A.B. v Flota Petrolera Ecuatoriana (The Scaptrade) [1981] 2 Lloyd’s Rep. 425, 430, affirmed [1983] 2 A.C. 694</w:t>
      </w:r>
      <w:r>
        <w:rPr>
          <w:sz w:val="20"/>
        </w:rPr>
        <w:t>; </w:t>
      </w:r>
      <w:r>
        <w:rPr>
          <w:rFonts w:ascii="Arial" w:hAnsi="Arial"/>
          <w:i/>
          <w:sz w:val="20"/>
        </w:rPr>
        <w:t>Motor Oil Hellas (Corinth) Refineries SA v Shipping Corp. of India (The Kanchenjunga) [1990] 1 Lloyd’s Rep. 391, 397</w:t>
      </w:r>
      <w:r>
        <w:rPr>
          <w:sz w:val="20"/>
        </w:rPr>
        <w:t>; </w:t>
      </w:r>
      <w:r>
        <w:rPr>
          <w:rFonts w:ascii="Arial" w:hAnsi="Arial"/>
          <w:i/>
          <w:sz w:val="20"/>
        </w:rPr>
        <w:t>Oliver Ashworth (Holdings) Ltd v Ballard (Kent) Ltd [2000] Ch. 12 </w:t>
      </w:r>
      <w:r>
        <w:rPr>
          <w:sz w:val="20"/>
        </w:rPr>
        <w:t>at 28; </w:t>
      </w:r>
      <w:r>
        <w:rPr>
          <w:rFonts w:ascii="Arial" w:hAnsi="Arial"/>
          <w:i/>
          <w:sz w:val="20"/>
        </w:rPr>
        <w:t>Glencore Grain Ltd v Flacker Shipping Ltd (The Happy Day) [2002]</w:t>
      </w:r>
      <w:r>
        <w:rPr>
          <w:rFonts w:ascii="Arial" w:hAnsi="Arial"/>
          <w:i/>
          <w:spacing w:val="25"/>
          <w:sz w:val="20"/>
        </w:rPr>
        <w:t> </w:t>
      </w:r>
      <w:r>
        <w:rPr>
          <w:rFonts w:ascii="Arial" w:hAnsi="Arial"/>
          <w:i/>
          <w:sz w:val="20"/>
        </w:rPr>
        <w:t>EWCA</w:t>
      </w:r>
      <w:r>
        <w:rPr>
          <w:rFonts w:ascii="Arial" w:hAnsi="Arial"/>
          <w:i/>
          <w:spacing w:val="25"/>
          <w:sz w:val="20"/>
        </w:rPr>
        <w:t> </w:t>
      </w:r>
      <w:r>
        <w:rPr>
          <w:rFonts w:ascii="Arial" w:hAnsi="Arial"/>
          <w:i/>
          <w:sz w:val="20"/>
        </w:rPr>
        <w:t>Civ</w:t>
      </w:r>
      <w:r>
        <w:rPr>
          <w:rFonts w:ascii="Arial" w:hAnsi="Arial"/>
          <w:i/>
          <w:spacing w:val="25"/>
          <w:sz w:val="20"/>
        </w:rPr>
        <w:t> </w:t>
      </w:r>
      <w:r>
        <w:rPr>
          <w:rFonts w:ascii="Arial" w:hAnsi="Arial"/>
          <w:i/>
          <w:sz w:val="20"/>
        </w:rPr>
        <w:t>1068;</w:t>
      </w:r>
      <w:r>
        <w:rPr>
          <w:rFonts w:ascii="Arial" w:hAnsi="Arial"/>
          <w:i/>
          <w:spacing w:val="25"/>
          <w:sz w:val="20"/>
        </w:rPr>
        <w:t> </w:t>
      </w:r>
      <w:r>
        <w:rPr>
          <w:rFonts w:ascii="Arial" w:hAnsi="Arial"/>
          <w:i/>
          <w:sz w:val="20"/>
        </w:rPr>
        <w:t>[2002]</w:t>
      </w:r>
      <w:r>
        <w:rPr>
          <w:rFonts w:ascii="Arial" w:hAnsi="Arial"/>
          <w:i/>
          <w:spacing w:val="25"/>
          <w:sz w:val="20"/>
        </w:rPr>
        <w:t> </w:t>
      </w:r>
      <w:r>
        <w:rPr>
          <w:rFonts w:ascii="Arial" w:hAnsi="Arial"/>
          <w:i/>
          <w:sz w:val="20"/>
        </w:rPr>
        <w:t>2</w:t>
      </w:r>
      <w:r>
        <w:rPr>
          <w:rFonts w:ascii="Arial" w:hAnsi="Arial"/>
          <w:i/>
          <w:spacing w:val="25"/>
          <w:sz w:val="20"/>
        </w:rPr>
        <w:t> </w:t>
      </w:r>
      <w:r>
        <w:rPr>
          <w:rFonts w:ascii="Arial" w:hAnsi="Arial"/>
          <w:i/>
          <w:sz w:val="20"/>
        </w:rPr>
        <w:t>Lloyd’s</w:t>
      </w:r>
      <w:r>
        <w:rPr>
          <w:rFonts w:ascii="Arial" w:hAnsi="Arial"/>
          <w:i/>
          <w:spacing w:val="25"/>
          <w:sz w:val="20"/>
        </w:rPr>
        <w:t> </w:t>
      </w:r>
      <w:r>
        <w:rPr>
          <w:rFonts w:ascii="Arial" w:hAnsi="Arial"/>
          <w:i/>
          <w:sz w:val="20"/>
        </w:rPr>
        <w:t>Rep.</w:t>
      </w:r>
      <w:r>
        <w:rPr>
          <w:rFonts w:ascii="Arial" w:hAnsi="Arial"/>
          <w:i/>
          <w:spacing w:val="25"/>
          <w:sz w:val="20"/>
        </w:rPr>
        <w:t> </w:t>
      </w:r>
      <w:r>
        <w:rPr>
          <w:rFonts w:ascii="Arial" w:hAnsi="Arial"/>
          <w:i/>
          <w:sz w:val="20"/>
        </w:rPr>
        <w:t>487</w:t>
      </w:r>
      <w:r>
        <w:rPr>
          <w:rFonts w:ascii="Arial" w:hAnsi="Arial"/>
          <w:i/>
          <w:spacing w:val="24"/>
          <w:sz w:val="20"/>
        </w:rPr>
        <w:t> </w:t>
      </w:r>
      <w:r>
        <w:rPr>
          <w:sz w:val="20"/>
        </w:rPr>
        <w:t>at</w:t>
      </w:r>
      <w:r>
        <w:rPr>
          <w:spacing w:val="25"/>
          <w:sz w:val="20"/>
        </w:rPr>
        <w:t> </w:t>
      </w:r>
      <w:r>
        <w:rPr>
          <w:sz w:val="20"/>
        </w:rPr>
        <w:t>[64];</w:t>
      </w:r>
      <w:r>
        <w:rPr>
          <w:spacing w:val="25"/>
          <w:sz w:val="20"/>
        </w:rPr>
        <w:t> </w:t>
      </w:r>
      <w:r>
        <w:rPr>
          <w:rFonts w:ascii="Arial" w:hAnsi="Arial"/>
          <w:i/>
          <w:sz w:val="20"/>
        </w:rPr>
        <w:t>Oceanografia</w:t>
      </w:r>
      <w:r>
        <w:rPr>
          <w:rFonts w:ascii="Arial" w:hAnsi="Arial"/>
          <w:i/>
          <w:spacing w:val="25"/>
          <w:sz w:val="20"/>
        </w:rPr>
        <w:t> </w:t>
      </w:r>
      <w:r>
        <w:rPr>
          <w:rFonts w:ascii="Arial" w:hAnsi="Arial"/>
          <w:i/>
          <w:sz w:val="20"/>
        </w:rPr>
        <w:t>SA</w:t>
      </w:r>
      <w:r>
        <w:rPr>
          <w:rFonts w:ascii="Arial" w:hAnsi="Arial"/>
          <w:i/>
          <w:spacing w:val="25"/>
          <w:sz w:val="20"/>
        </w:rPr>
        <w:t> </w:t>
      </w:r>
      <w:r>
        <w:rPr>
          <w:rFonts w:ascii="Arial" w:hAnsi="Arial"/>
          <w:i/>
          <w:sz w:val="20"/>
        </w:rPr>
        <w:t>de</w:t>
      </w:r>
      <w:r>
        <w:rPr>
          <w:rFonts w:ascii="Arial" w:hAnsi="Arial"/>
          <w:i/>
          <w:spacing w:val="25"/>
          <w:sz w:val="20"/>
        </w:rPr>
        <w:t> </w:t>
      </w:r>
      <w:r>
        <w:rPr>
          <w:rFonts w:ascii="Arial" w:hAnsi="Arial"/>
          <w:i/>
          <w:sz w:val="20"/>
        </w:rPr>
        <w:t>CV</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pacing w:val="-4"/>
          <w:sz w:val="20"/>
        </w:rPr>
        <w:t>DSND</w:t>
      </w:r>
    </w:p>
    <w:p>
      <w:pPr>
        <w:spacing w:line="220" w:lineRule="exact" w:before="0"/>
        <w:ind w:left="705" w:right="0" w:firstLine="0"/>
        <w:jc w:val="both"/>
        <w:rPr>
          <w:sz w:val="20"/>
        </w:rPr>
      </w:pPr>
      <w:r>
        <w:rPr>
          <w:rFonts w:ascii="Arial"/>
          <w:i/>
          <w:sz w:val="20"/>
        </w:rPr>
        <w:t>Subsea</w:t>
      </w:r>
      <w:r>
        <w:rPr>
          <w:rFonts w:ascii="Arial"/>
          <w:i/>
          <w:spacing w:val="25"/>
          <w:sz w:val="20"/>
        </w:rPr>
        <w:t> </w:t>
      </w:r>
      <w:r>
        <w:rPr>
          <w:rFonts w:ascii="Arial"/>
          <w:i/>
          <w:sz w:val="20"/>
        </w:rPr>
        <w:t>AS</w:t>
      </w:r>
      <w:r>
        <w:rPr>
          <w:rFonts w:ascii="Arial"/>
          <w:i/>
          <w:spacing w:val="25"/>
          <w:sz w:val="20"/>
        </w:rPr>
        <w:t> </w:t>
      </w:r>
      <w:r>
        <w:rPr>
          <w:rFonts w:ascii="Arial"/>
          <w:i/>
          <w:sz w:val="20"/>
        </w:rPr>
        <w:t>(The</w:t>
      </w:r>
      <w:r>
        <w:rPr>
          <w:rFonts w:ascii="Arial"/>
          <w:i/>
          <w:spacing w:val="25"/>
          <w:sz w:val="20"/>
        </w:rPr>
        <w:t> </w:t>
      </w:r>
      <w:r>
        <w:rPr>
          <w:rFonts w:ascii="Arial"/>
          <w:i/>
          <w:sz w:val="20"/>
        </w:rPr>
        <w:t>Botnica)</w:t>
      </w:r>
      <w:r>
        <w:rPr>
          <w:rFonts w:ascii="Arial"/>
          <w:i/>
          <w:spacing w:val="25"/>
          <w:sz w:val="20"/>
        </w:rPr>
        <w:t> </w:t>
      </w:r>
      <w:r>
        <w:rPr>
          <w:rFonts w:ascii="Arial"/>
          <w:i/>
          <w:sz w:val="20"/>
        </w:rPr>
        <w:t>[2006]</w:t>
      </w:r>
      <w:r>
        <w:rPr>
          <w:rFonts w:ascii="Arial"/>
          <w:i/>
          <w:spacing w:val="25"/>
          <w:sz w:val="20"/>
        </w:rPr>
        <w:t> </w:t>
      </w:r>
      <w:r>
        <w:rPr>
          <w:rFonts w:ascii="Arial"/>
          <w:i/>
          <w:sz w:val="20"/>
        </w:rPr>
        <w:t>EWHC</w:t>
      </w:r>
      <w:r>
        <w:rPr>
          <w:rFonts w:ascii="Arial"/>
          <w:i/>
          <w:spacing w:val="25"/>
          <w:sz w:val="20"/>
        </w:rPr>
        <w:t> </w:t>
      </w:r>
      <w:r>
        <w:rPr>
          <w:rFonts w:ascii="Arial"/>
          <w:i/>
          <w:sz w:val="20"/>
        </w:rPr>
        <w:t>1300</w:t>
      </w:r>
      <w:r>
        <w:rPr>
          <w:rFonts w:ascii="Arial"/>
          <w:i/>
          <w:spacing w:val="25"/>
          <w:sz w:val="20"/>
        </w:rPr>
        <w:t> </w:t>
      </w:r>
      <w:r>
        <w:rPr>
          <w:rFonts w:ascii="Arial"/>
          <w:i/>
          <w:sz w:val="20"/>
        </w:rPr>
        <w:t>(Comm),</w:t>
      </w:r>
      <w:r>
        <w:rPr>
          <w:rFonts w:ascii="Arial"/>
          <w:i/>
          <w:spacing w:val="25"/>
          <w:sz w:val="20"/>
        </w:rPr>
        <w:t> </w:t>
      </w:r>
      <w:r>
        <w:rPr>
          <w:rFonts w:ascii="Arial"/>
          <w:i/>
          <w:sz w:val="20"/>
        </w:rPr>
        <w:t>[2007]</w:t>
      </w:r>
      <w:r>
        <w:rPr>
          <w:rFonts w:ascii="Arial"/>
          <w:i/>
          <w:spacing w:val="25"/>
          <w:sz w:val="20"/>
        </w:rPr>
        <w:t> </w:t>
      </w:r>
      <w:r>
        <w:rPr>
          <w:rFonts w:ascii="Arial"/>
          <w:i/>
          <w:sz w:val="20"/>
        </w:rPr>
        <w:t>1</w:t>
      </w:r>
      <w:r>
        <w:rPr>
          <w:rFonts w:ascii="Arial"/>
          <w:i/>
          <w:spacing w:val="25"/>
          <w:sz w:val="20"/>
        </w:rPr>
        <w:t> </w:t>
      </w:r>
      <w:r>
        <w:rPr>
          <w:rFonts w:ascii="Arial"/>
          <w:i/>
          <w:sz w:val="20"/>
        </w:rPr>
        <w:t>All</w:t>
      </w:r>
      <w:r>
        <w:rPr>
          <w:rFonts w:ascii="Arial"/>
          <w:i/>
          <w:spacing w:val="25"/>
          <w:sz w:val="20"/>
        </w:rPr>
        <w:t> </w:t>
      </w:r>
      <w:r>
        <w:rPr>
          <w:rFonts w:ascii="Arial"/>
          <w:i/>
          <w:sz w:val="20"/>
        </w:rPr>
        <w:t>E.R.</w:t>
      </w:r>
      <w:r>
        <w:rPr>
          <w:rFonts w:ascii="Arial"/>
          <w:i/>
          <w:spacing w:val="25"/>
          <w:sz w:val="20"/>
        </w:rPr>
        <w:t> </w:t>
      </w:r>
      <w:r>
        <w:rPr>
          <w:rFonts w:ascii="Arial"/>
          <w:i/>
          <w:sz w:val="20"/>
        </w:rPr>
        <w:t>(Comm)</w:t>
      </w:r>
      <w:r>
        <w:rPr>
          <w:rFonts w:ascii="Arial"/>
          <w:i/>
          <w:spacing w:val="25"/>
          <w:sz w:val="20"/>
        </w:rPr>
        <w:t> </w:t>
      </w:r>
      <w:r>
        <w:rPr>
          <w:rFonts w:ascii="Arial"/>
          <w:i/>
          <w:sz w:val="20"/>
        </w:rPr>
        <w:t>28</w:t>
      </w:r>
      <w:r>
        <w:rPr>
          <w:rFonts w:ascii="Arial"/>
          <w:i/>
          <w:spacing w:val="24"/>
          <w:sz w:val="20"/>
        </w:rPr>
        <w:t> </w:t>
      </w:r>
      <w:r>
        <w:rPr>
          <w:sz w:val="20"/>
        </w:rPr>
        <w:t>at</w:t>
      </w:r>
      <w:r>
        <w:rPr>
          <w:spacing w:val="25"/>
          <w:sz w:val="20"/>
        </w:rPr>
        <w:t> </w:t>
      </w:r>
      <w:r>
        <w:rPr>
          <w:spacing w:val="-2"/>
          <w:sz w:val="20"/>
        </w:rPr>
        <w:t>[89],</w:t>
      </w:r>
    </w:p>
    <w:p>
      <w:pPr>
        <w:spacing w:line="225" w:lineRule="exact" w:before="0"/>
        <w:ind w:left="705" w:right="0" w:firstLine="0"/>
        <w:jc w:val="both"/>
        <w:rPr>
          <w:rFonts w:ascii="Arial"/>
          <w:i/>
          <w:sz w:val="20"/>
        </w:rPr>
      </w:pPr>
      <w:r>
        <w:rPr>
          <w:sz w:val="20"/>
        </w:rPr>
        <w:t>[90]; </w:t>
      </w:r>
      <w:r>
        <w:rPr>
          <w:rFonts w:ascii="Arial"/>
          <w:i/>
          <w:sz w:val="20"/>
        </w:rPr>
        <w:t>Kosmar Villa Holidays plc v Trustees of Syndicate 1243 [2008] EWCA Civ 147, [2008] 2 </w:t>
      </w:r>
      <w:r>
        <w:rPr>
          <w:rFonts w:ascii="Arial"/>
          <w:i/>
          <w:spacing w:val="-5"/>
          <w:sz w:val="20"/>
        </w:rPr>
        <w:t>All</w:t>
      </w:r>
    </w:p>
    <w:p>
      <w:pPr>
        <w:spacing w:line="235" w:lineRule="auto" w:before="1"/>
        <w:ind w:left="705" w:right="167" w:firstLine="0"/>
        <w:jc w:val="both"/>
        <w:rPr>
          <w:rFonts w:ascii="Arial" w:hAnsi="Arial"/>
          <w:i/>
          <w:sz w:val="20"/>
        </w:rPr>
      </w:pPr>
      <w:r>
        <w:rPr>
          <w:rFonts w:ascii="Arial" w:hAnsi="Arial"/>
          <w:i/>
          <w:sz w:val="20"/>
        </w:rPr>
        <w:t>E.R. (Comm) 14 </w:t>
      </w:r>
      <w:r>
        <w:rPr>
          <w:sz w:val="20"/>
        </w:rPr>
        <w:t>at [1], [36]–[37], distinguishing between “waiver by election” and “waiver by estoppel”; for this distinction, see also </w:t>
      </w:r>
      <w:r>
        <w:rPr>
          <w:rFonts w:ascii="Arial" w:hAnsi="Arial"/>
          <w:i/>
          <w:sz w:val="20"/>
        </w:rPr>
        <w:t>Lexington Insurance Co v Multinacional de </w:t>
      </w:r>
      <w:r>
        <w:rPr>
          <w:rFonts w:ascii="Arial" w:hAnsi="Arial"/>
          <w:i/>
          <w:sz w:val="20"/>
        </w:rPr>
        <w:t>Seguros [2008]</w:t>
      </w:r>
      <w:r>
        <w:rPr>
          <w:rFonts w:ascii="Arial" w:hAnsi="Arial"/>
          <w:i/>
          <w:spacing w:val="9"/>
          <w:sz w:val="20"/>
        </w:rPr>
        <w:t> </w:t>
      </w:r>
      <w:r>
        <w:rPr>
          <w:rFonts w:ascii="Arial" w:hAnsi="Arial"/>
          <w:i/>
          <w:sz w:val="20"/>
        </w:rPr>
        <w:t>EWHC</w:t>
      </w:r>
      <w:r>
        <w:rPr>
          <w:rFonts w:ascii="Arial" w:hAnsi="Arial"/>
          <w:i/>
          <w:spacing w:val="9"/>
          <w:sz w:val="20"/>
        </w:rPr>
        <w:t> </w:t>
      </w:r>
      <w:r>
        <w:rPr>
          <w:rFonts w:ascii="Arial" w:hAnsi="Arial"/>
          <w:i/>
          <w:sz w:val="20"/>
        </w:rPr>
        <w:t>1170</w:t>
      </w:r>
      <w:r>
        <w:rPr>
          <w:rFonts w:ascii="Arial" w:hAnsi="Arial"/>
          <w:i/>
          <w:spacing w:val="9"/>
          <w:sz w:val="20"/>
        </w:rPr>
        <w:t> </w:t>
      </w:r>
      <w:r>
        <w:rPr>
          <w:rFonts w:ascii="Arial" w:hAnsi="Arial"/>
          <w:i/>
          <w:sz w:val="20"/>
        </w:rPr>
        <w:t>(Comm),</w:t>
      </w:r>
      <w:r>
        <w:rPr>
          <w:rFonts w:ascii="Arial" w:hAnsi="Arial"/>
          <w:i/>
          <w:spacing w:val="9"/>
          <w:sz w:val="20"/>
        </w:rPr>
        <w:t> </w:t>
      </w:r>
      <w:r>
        <w:rPr>
          <w:rFonts w:ascii="Arial" w:hAnsi="Arial"/>
          <w:i/>
          <w:sz w:val="20"/>
        </w:rPr>
        <w:t>[2009]</w:t>
      </w:r>
      <w:r>
        <w:rPr>
          <w:rFonts w:ascii="Arial" w:hAnsi="Arial"/>
          <w:i/>
          <w:spacing w:val="9"/>
          <w:sz w:val="20"/>
        </w:rPr>
        <w:t> </w:t>
      </w:r>
      <w:r>
        <w:rPr>
          <w:rFonts w:ascii="Arial" w:hAnsi="Arial"/>
          <w:i/>
          <w:sz w:val="20"/>
        </w:rPr>
        <w:t>1</w:t>
      </w:r>
      <w:r>
        <w:rPr>
          <w:rFonts w:ascii="Arial" w:hAnsi="Arial"/>
          <w:i/>
          <w:spacing w:val="9"/>
          <w:sz w:val="20"/>
        </w:rPr>
        <w:t> </w:t>
      </w:r>
      <w:r>
        <w:rPr>
          <w:rFonts w:ascii="Arial" w:hAnsi="Arial"/>
          <w:i/>
          <w:sz w:val="20"/>
        </w:rPr>
        <w:t>All</w:t>
      </w:r>
      <w:r>
        <w:rPr>
          <w:rFonts w:ascii="Arial" w:hAnsi="Arial"/>
          <w:i/>
          <w:spacing w:val="9"/>
          <w:sz w:val="20"/>
        </w:rPr>
        <w:t> </w:t>
      </w:r>
      <w:r>
        <w:rPr>
          <w:rFonts w:ascii="Arial" w:hAnsi="Arial"/>
          <w:i/>
          <w:sz w:val="20"/>
        </w:rPr>
        <w:t>E.R.</w:t>
      </w:r>
      <w:r>
        <w:rPr>
          <w:rFonts w:ascii="Arial" w:hAnsi="Arial"/>
          <w:i/>
          <w:spacing w:val="9"/>
          <w:sz w:val="20"/>
        </w:rPr>
        <w:t> </w:t>
      </w:r>
      <w:r>
        <w:rPr>
          <w:rFonts w:ascii="Arial" w:hAnsi="Arial"/>
          <w:i/>
          <w:sz w:val="20"/>
        </w:rPr>
        <w:t>(Comm)</w:t>
      </w:r>
      <w:r>
        <w:rPr>
          <w:rFonts w:ascii="Arial" w:hAnsi="Arial"/>
          <w:i/>
          <w:spacing w:val="9"/>
          <w:sz w:val="20"/>
        </w:rPr>
        <w:t> </w:t>
      </w:r>
      <w:r>
        <w:rPr>
          <w:rFonts w:ascii="Arial" w:hAnsi="Arial"/>
          <w:i/>
          <w:sz w:val="20"/>
        </w:rPr>
        <w:t>35</w:t>
      </w:r>
      <w:r>
        <w:rPr>
          <w:rFonts w:ascii="Arial" w:hAnsi="Arial"/>
          <w:i/>
          <w:spacing w:val="8"/>
          <w:sz w:val="20"/>
        </w:rPr>
        <w:t> </w:t>
      </w:r>
      <w:r>
        <w:rPr>
          <w:sz w:val="20"/>
        </w:rPr>
        <w:t>at</w:t>
      </w:r>
      <w:r>
        <w:rPr>
          <w:spacing w:val="9"/>
          <w:sz w:val="20"/>
        </w:rPr>
        <w:t> </w:t>
      </w:r>
      <w:r>
        <w:rPr>
          <w:sz w:val="20"/>
        </w:rPr>
        <w:t>[52];</w:t>
      </w:r>
      <w:r>
        <w:rPr>
          <w:spacing w:val="9"/>
          <w:sz w:val="20"/>
        </w:rPr>
        <w:t> </w:t>
      </w:r>
      <w:r>
        <w:rPr>
          <w:rFonts w:ascii="Arial" w:hAnsi="Arial"/>
          <w:i/>
          <w:sz w:val="20"/>
        </w:rPr>
        <w:t>Argo</w:t>
      </w:r>
      <w:r>
        <w:rPr>
          <w:rFonts w:ascii="Arial" w:hAnsi="Arial"/>
          <w:i/>
          <w:spacing w:val="9"/>
          <w:sz w:val="20"/>
        </w:rPr>
        <w:t> </w:t>
      </w:r>
      <w:r>
        <w:rPr>
          <w:rFonts w:ascii="Arial" w:hAnsi="Arial"/>
          <w:i/>
          <w:sz w:val="20"/>
        </w:rPr>
        <w:t>Systems</w:t>
      </w:r>
      <w:r>
        <w:rPr>
          <w:rFonts w:ascii="Arial" w:hAnsi="Arial"/>
          <w:i/>
          <w:spacing w:val="9"/>
          <w:sz w:val="20"/>
        </w:rPr>
        <w:t> </w:t>
      </w:r>
      <w:r>
        <w:rPr>
          <w:rFonts w:ascii="Arial" w:hAnsi="Arial"/>
          <w:i/>
          <w:sz w:val="20"/>
        </w:rPr>
        <w:t>FZE</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pacing w:val="-2"/>
          <w:sz w:val="20"/>
        </w:rPr>
        <w:t>Liberty</w:t>
      </w:r>
    </w:p>
    <w:p>
      <w:pPr>
        <w:spacing w:line="235" w:lineRule="auto" w:before="0"/>
        <w:ind w:left="705" w:right="167" w:firstLine="0"/>
        <w:jc w:val="both"/>
        <w:rPr>
          <w:sz w:val="20"/>
        </w:rPr>
      </w:pPr>
      <w:r>
        <w:rPr>
          <w:rFonts w:ascii="Arial" w:hAnsi="Arial"/>
          <w:i/>
          <w:sz w:val="20"/>
        </w:rPr>
        <w:t>Insurance [2011] EWCA Civ 1572, [2012] 1 Lloyd’s Rep. 129 </w:t>
      </w:r>
      <w:r>
        <w:rPr>
          <w:sz w:val="20"/>
        </w:rPr>
        <w:t>at [38], [39]. Waiver by (or in the sense of) election is relevant to loss of a party’s right to rescind a contract on account of </w:t>
      </w:r>
      <w:r>
        <w:rPr>
          <w:sz w:val="20"/>
        </w:rPr>
        <w:t>the other party’s breach and does not call for further discussion in the present Chapter.</w:t>
      </w:r>
    </w:p>
    <w:p>
      <w:pPr>
        <w:pStyle w:val="BodyText"/>
        <w:spacing w:before="8"/>
      </w:pPr>
    </w:p>
    <w:p>
      <w:pPr>
        <w:spacing w:line="235" w:lineRule="auto" w:before="0"/>
        <w:ind w:left="705" w:right="167" w:hanging="541"/>
        <w:jc w:val="both"/>
        <w:rPr>
          <w:sz w:val="20"/>
        </w:rPr>
      </w:pPr>
      <w:bookmarkStart w:name="_bookmark865" w:id="867"/>
      <w:bookmarkEnd w:id="867"/>
      <w:r>
        <w:rPr/>
      </w:r>
      <w:hyperlink w:history="true" w:anchor="_bookmark856">
        <w:r>
          <w:rPr>
            <w:color w:val="005DA1"/>
            <w:position w:val="5"/>
            <w:sz w:val="14"/>
            <w:u w:val="single" w:color="005DA1"/>
          </w:rPr>
          <w:t>453</w:t>
        </w:r>
      </w:hyperlink>
      <w:r>
        <w:rPr>
          <w:position w:val="5"/>
          <w:sz w:val="14"/>
        </w:rPr>
        <w:t>.</w:t>
      </w:r>
      <w:r>
        <w:rPr>
          <w:spacing w:val="40"/>
          <w:position w:val="5"/>
          <w:sz w:val="14"/>
        </w:rPr>
        <w:t>  </w:t>
      </w:r>
      <w:r>
        <w:rPr>
          <w:sz w:val="20"/>
        </w:rPr>
        <w:t>e.g.</w:t>
      </w:r>
      <w:r>
        <w:rPr>
          <w:spacing w:val="40"/>
          <w:sz w:val="20"/>
        </w:rPr>
        <w:t> </w:t>
      </w:r>
      <w:r>
        <w:rPr>
          <w:sz w:val="20"/>
        </w:rPr>
        <w:t>in</w:t>
      </w:r>
      <w:r>
        <w:rPr>
          <w:spacing w:val="40"/>
          <w:sz w:val="20"/>
        </w:rPr>
        <w:t> </w:t>
      </w:r>
      <w:r>
        <w:rPr>
          <w:rFonts w:ascii="Arial" w:hAnsi="Arial"/>
          <w:i/>
          <w:sz w:val="20"/>
        </w:rPr>
        <w:t>Hickman</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Haynes</w:t>
      </w:r>
      <w:r>
        <w:rPr>
          <w:rFonts w:ascii="Arial" w:hAnsi="Arial"/>
          <w:i/>
          <w:spacing w:val="40"/>
          <w:sz w:val="20"/>
        </w:rPr>
        <w:t> </w:t>
      </w:r>
      <w:r>
        <w:rPr>
          <w:rFonts w:ascii="Arial" w:hAnsi="Arial"/>
          <w:i/>
          <w:sz w:val="20"/>
        </w:rPr>
        <w:t>(1875)</w:t>
      </w:r>
      <w:r>
        <w:rPr>
          <w:rFonts w:ascii="Arial" w:hAnsi="Arial"/>
          <w:i/>
          <w:spacing w:val="40"/>
          <w:sz w:val="20"/>
        </w:rPr>
        <w:t> </w:t>
      </w:r>
      <w:r>
        <w:rPr>
          <w:rFonts w:ascii="Arial" w:hAnsi="Arial"/>
          <w:i/>
          <w:sz w:val="20"/>
        </w:rPr>
        <w:t>L.R.</w:t>
      </w:r>
      <w:r>
        <w:rPr>
          <w:rFonts w:ascii="Arial" w:hAnsi="Arial"/>
          <w:i/>
          <w:spacing w:val="40"/>
          <w:sz w:val="20"/>
        </w:rPr>
        <w:t> </w:t>
      </w:r>
      <w:r>
        <w:rPr>
          <w:rFonts w:ascii="Arial" w:hAnsi="Arial"/>
          <w:i/>
          <w:sz w:val="20"/>
        </w:rPr>
        <w:t>10</w:t>
      </w:r>
      <w:r>
        <w:rPr>
          <w:rFonts w:ascii="Arial" w:hAnsi="Arial"/>
          <w:i/>
          <w:spacing w:val="40"/>
          <w:sz w:val="20"/>
        </w:rPr>
        <w:t> </w:t>
      </w:r>
      <w:r>
        <w:rPr>
          <w:rFonts w:ascii="Arial" w:hAnsi="Arial"/>
          <w:i/>
          <w:sz w:val="20"/>
        </w:rPr>
        <w:t>C.P.</w:t>
      </w:r>
      <w:r>
        <w:rPr>
          <w:rFonts w:ascii="Arial" w:hAnsi="Arial"/>
          <w:i/>
          <w:spacing w:val="40"/>
          <w:sz w:val="20"/>
        </w:rPr>
        <w:t> </w:t>
      </w:r>
      <w:r>
        <w:rPr>
          <w:rFonts w:ascii="Arial" w:hAnsi="Arial"/>
          <w:i/>
          <w:sz w:val="20"/>
        </w:rPr>
        <w:t>598,</w:t>
      </w:r>
      <w:r>
        <w:rPr>
          <w:rFonts w:ascii="Arial" w:hAnsi="Arial"/>
          <w:i/>
          <w:spacing w:val="40"/>
          <w:sz w:val="20"/>
        </w:rPr>
        <w:t> </w:t>
      </w:r>
      <w:r>
        <w:rPr>
          <w:rFonts w:ascii="Arial" w:hAnsi="Arial"/>
          <w:i/>
          <w:sz w:val="20"/>
        </w:rPr>
        <w:t>604</w:t>
      </w:r>
      <w:r>
        <w:rPr>
          <w:sz w:val="20"/>
        </w:rPr>
        <w:t>;</w:t>
      </w:r>
      <w:r>
        <w:rPr>
          <w:spacing w:val="40"/>
          <w:sz w:val="20"/>
        </w:rPr>
        <w:t> </w:t>
      </w:r>
      <w:r>
        <w:rPr>
          <w:sz w:val="20"/>
        </w:rPr>
        <w:t>and</w:t>
      </w:r>
      <w:r>
        <w:rPr>
          <w:spacing w:val="40"/>
          <w:sz w:val="20"/>
        </w:rPr>
        <w:t> </w:t>
      </w:r>
      <w:r>
        <w:rPr>
          <w:sz w:val="20"/>
        </w:rPr>
        <w:t>(</w:t>
      </w:r>
      <w:r>
        <w:rPr>
          <w:rFonts w:ascii="Arial" w:hAnsi="Arial"/>
          <w:i/>
          <w:sz w:val="20"/>
        </w:rPr>
        <w:t>semble</w:t>
      </w:r>
      <w:r>
        <w:rPr>
          <w:sz w:val="20"/>
        </w:rPr>
        <w:t>)</w:t>
      </w:r>
      <w:r>
        <w:rPr>
          <w:spacing w:val="40"/>
          <w:sz w:val="20"/>
        </w:rPr>
        <w:t> </w:t>
      </w:r>
      <w:r>
        <w:rPr>
          <w:sz w:val="20"/>
        </w:rPr>
        <w:t>by</w:t>
      </w:r>
      <w:r>
        <w:rPr>
          <w:spacing w:val="40"/>
          <w:sz w:val="20"/>
        </w:rPr>
        <w:t> </w:t>
      </w:r>
      <w:r>
        <w:rPr>
          <w:sz w:val="20"/>
        </w:rPr>
        <w:t>Roskill</w:t>
      </w:r>
      <w:r>
        <w:rPr>
          <w:spacing w:val="40"/>
          <w:sz w:val="20"/>
        </w:rPr>
        <w:t> </w:t>
      </w:r>
      <w:r>
        <w:rPr>
          <w:sz w:val="20"/>
        </w:rPr>
        <w:t>and Cumming-Bruce L.JJ. in </w:t>
      </w:r>
      <w:r>
        <w:rPr>
          <w:rFonts w:ascii="Arial" w:hAnsi="Arial"/>
          <w:i/>
          <w:sz w:val="20"/>
        </w:rPr>
        <w:t>Brikom Investments Ltd v Carr [1979] Q.B. 467</w:t>
      </w:r>
      <w:r>
        <w:rPr>
          <w:sz w:val="20"/>
        </w:rPr>
        <w:t>; cf. </w:t>
      </w:r>
      <w:r>
        <w:rPr>
          <w:rFonts w:ascii="Arial" w:hAnsi="Arial"/>
          <w:i/>
          <w:sz w:val="20"/>
        </w:rPr>
        <w:t>Shamsher Jute</w:t>
      </w:r>
      <w:r>
        <w:rPr>
          <w:rFonts w:ascii="Arial" w:hAnsi="Arial"/>
          <w:i/>
          <w:spacing w:val="40"/>
          <w:sz w:val="20"/>
        </w:rPr>
        <w:t> </w:t>
      </w:r>
      <w:r>
        <w:rPr>
          <w:rFonts w:ascii="Arial" w:hAnsi="Arial"/>
          <w:i/>
          <w:sz w:val="20"/>
        </w:rPr>
        <w:t>Mills v Sethia (London) Ltd [1987] 1 Lloyd’s Rep. 388, 392</w:t>
      </w:r>
      <w:r>
        <w:rPr>
          <w:sz w:val="20"/>
        </w:rPr>
        <w:t>. In </w:t>
      </w:r>
      <w:r>
        <w:rPr>
          <w:rFonts w:ascii="Arial" w:hAnsi="Arial"/>
          <w:i/>
          <w:sz w:val="20"/>
        </w:rPr>
        <w:t>Royal Boskalis Westminster NV v Mountain</w:t>
      </w:r>
      <w:r>
        <w:rPr>
          <w:rFonts w:ascii="Arial" w:hAnsi="Arial"/>
          <w:i/>
          <w:spacing w:val="-2"/>
          <w:sz w:val="20"/>
        </w:rPr>
        <w:t> </w:t>
      </w:r>
      <w:r>
        <w:rPr>
          <w:rFonts w:ascii="Arial" w:hAnsi="Arial"/>
          <w:i/>
          <w:sz w:val="20"/>
        </w:rPr>
        <w:t>[1997]</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All</w:t>
      </w:r>
      <w:r>
        <w:rPr>
          <w:rFonts w:ascii="Arial" w:hAnsi="Arial"/>
          <w:i/>
          <w:spacing w:val="-2"/>
          <w:sz w:val="20"/>
        </w:rPr>
        <w:t> </w:t>
      </w:r>
      <w:r>
        <w:rPr>
          <w:rFonts w:ascii="Arial" w:hAnsi="Arial"/>
          <w:i/>
          <w:sz w:val="20"/>
        </w:rPr>
        <w:t>E.R.</w:t>
      </w:r>
      <w:r>
        <w:rPr>
          <w:rFonts w:ascii="Arial" w:hAnsi="Arial"/>
          <w:i/>
          <w:spacing w:val="-2"/>
          <w:sz w:val="20"/>
        </w:rPr>
        <w:t> </w:t>
      </w:r>
      <w:r>
        <w:rPr>
          <w:rFonts w:ascii="Arial" w:hAnsi="Arial"/>
          <w:i/>
          <w:sz w:val="20"/>
        </w:rPr>
        <w:t>929</w:t>
      </w:r>
      <w:r>
        <w:rPr>
          <w:rFonts w:ascii="Arial" w:hAnsi="Arial"/>
          <w:i/>
          <w:spacing w:val="-3"/>
          <w:sz w:val="20"/>
        </w:rPr>
        <w:t> </w:t>
      </w:r>
      <w:r>
        <w:rPr>
          <w:sz w:val="20"/>
        </w:rPr>
        <w:t>“waiver”</w:t>
      </w:r>
      <w:r>
        <w:rPr>
          <w:spacing w:val="-2"/>
          <w:sz w:val="20"/>
        </w:rPr>
        <w:t> </w:t>
      </w:r>
      <w:r>
        <w:rPr>
          <w:sz w:val="20"/>
        </w:rPr>
        <w:t>is</w:t>
      </w:r>
      <w:r>
        <w:rPr>
          <w:spacing w:val="-2"/>
          <w:sz w:val="20"/>
        </w:rPr>
        <w:t> </w:t>
      </w:r>
      <w:r>
        <w:rPr>
          <w:sz w:val="20"/>
        </w:rPr>
        <w:t>similarly</w:t>
      </w:r>
      <w:r>
        <w:rPr>
          <w:spacing w:val="-2"/>
          <w:sz w:val="20"/>
        </w:rPr>
        <w:t> </w:t>
      </w:r>
      <w:r>
        <w:rPr>
          <w:sz w:val="20"/>
        </w:rPr>
        <w:t>used</w:t>
      </w:r>
      <w:r>
        <w:rPr>
          <w:spacing w:val="-2"/>
          <w:sz w:val="20"/>
        </w:rPr>
        <w:t> </w:t>
      </w:r>
      <w:r>
        <w:rPr>
          <w:sz w:val="20"/>
        </w:rPr>
        <w:t>to</w:t>
      </w:r>
      <w:r>
        <w:rPr>
          <w:spacing w:val="-2"/>
          <w:sz w:val="20"/>
        </w:rPr>
        <w:t> </w:t>
      </w:r>
      <w:r>
        <w:rPr>
          <w:sz w:val="20"/>
        </w:rPr>
        <w:t>refer</w:t>
      </w:r>
      <w:r>
        <w:rPr>
          <w:spacing w:val="-2"/>
          <w:sz w:val="20"/>
        </w:rPr>
        <w:t> </w:t>
      </w:r>
      <w:r>
        <w:rPr>
          <w:sz w:val="20"/>
        </w:rPr>
        <w:t>to</w:t>
      </w:r>
      <w:r>
        <w:rPr>
          <w:spacing w:val="-2"/>
          <w:sz w:val="20"/>
        </w:rPr>
        <w:t> </w:t>
      </w:r>
      <w:r>
        <w:rPr>
          <w:sz w:val="20"/>
        </w:rPr>
        <w:t>a</w:t>
      </w:r>
      <w:r>
        <w:rPr>
          <w:spacing w:val="-2"/>
          <w:sz w:val="20"/>
        </w:rPr>
        <w:t> </w:t>
      </w:r>
      <w:r>
        <w:rPr>
          <w:sz w:val="20"/>
        </w:rPr>
        <w:t>variation</w:t>
      </w:r>
      <w:r>
        <w:rPr>
          <w:spacing w:val="-2"/>
          <w:sz w:val="20"/>
        </w:rPr>
        <w:t> </w:t>
      </w:r>
      <w:r>
        <w:rPr>
          <w:sz w:val="20"/>
        </w:rPr>
        <w:t>which</w:t>
      </w:r>
      <w:r>
        <w:rPr>
          <w:spacing w:val="-2"/>
          <w:sz w:val="20"/>
        </w:rPr>
        <w:t> </w:t>
      </w:r>
      <w:r>
        <w:rPr>
          <w:sz w:val="20"/>
        </w:rPr>
        <w:t>would</w:t>
      </w:r>
      <w:r>
        <w:rPr>
          <w:spacing w:val="-2"/>
          <w:sz w:val="20"/>
        </w:rPr>
        <w:t> </w:t>
      </w:r>
      <w:r>
        <w:rPr>
          <w:sz w:val="20"/>
        </w:rPr>
        <w:t>have been contractually binding if it had not been vitiated by duress and illegality. Only Phillips L.J. took the view that there was no “meaningful” consideration. “Meaningful” here seems to mean no more than “adequate;” for it appears from the facts stated at 934 and 958–959 that in the subsequent agreement each party gave up rights existing under the original contract.</w:t>
      </w:r>
    </w:p>
    <w:p>
      <w:pPr>
        <w:pStyle w:val="BodyText"/>
        <w:spacing w:before="3"/>
      </w:pPr>
    </w:p>
    <w:p>
      <w:pPr>
        <w:pStyle w:val="BodyText"/>
        <w:tabs>
          <w:tab w:pos="705" w:val="left" w:leader="none"/>
        </w:tabs>
        <w:ind w:left="165"/>
      </w:pPr>
      <w:bookmarkStart w:name="_bookmark866" w:id="868"/>
      <w:bookmarkEnd w:id="868"/>
      <w:r>
        <w:rPr/>
      </w:r>
      <w:hyperlink w:history="true" w:anchor="_bookmark857">
        <w:r>
          <w:rPr>
            <w:color w:val="005DA1"/>
            <w:spacing w:val="-4"/>
            <w:position w:val="5"/>
            <w:sz w:val="14"/>
            <w:u w:val="single" w:color="005DA1"/>
          </w:rPr>
          <w:t>454</w:t>
        </w:r>
      </w:hyperlink>
      <w:r>
        <w:rPr>
          <w:spacing w:val="-4"/>
          <w:position w:val="5"/>
          <w:sz w:val="14"/>
        </w:rPr>
        <w:t>.</w:t>
      </w:r>
      <w:r>
        <w:rPr>
          <w:position w:val="5"/>
          <w:sz w:val="14"/>
        </w:rPr>
        <w:tab/>
      </w:r>
      <w:r>
        <w:rPr/>
        <w:t>Phipps, (2007) 123 L.Q.R. </w:t>
      </w:r>
      <w:r>
        <w:rPr>
          <w:spacing w:val="-4"/>
        </w:rPr>
        <w:t>286.</w:t>
      </w:r>
    </w:p>
    <w:p>
      <w:pPr>
        <w:pStyle w:val="BodyText"/>
        <w:spacing w:after="0"/>
        <w:sectPr>
          <w:headerReference w:type="even" r:id="rId40"/>
          <w:headerReference w:type="default" r:id="rId41"/>
          <w:pgSz w:w="11900" w:h="16840"/>
          <w:pgMar w:header="971" w:footer="0" w:top="1160" w:bottom="280" w:left="1275" w:right="1275"/>
          <w:pgNumType w:start="2"/>
        </w:sectPr>
      </w:pPr>
    </w:p>
    <w:p>
      <w:pPr>
        <w:pStyle w:val="BodyText"/>
        <w:spacing w:before="84"/>
      </w:pPr>
    </w:p>
    <w:p>
      <w:pPr>
        <w:pStyle w:val="BodyText"/>
        <w:spacing w:line="235" w:lineRule="auto" w:before="1"/>
        <w:ind w:left="705" w:right="167" w:hanging="541"/>
        <w:jc w:val="both"/>
      </w:pPr>
      <w:hyperlink w:history="true" w:anchor="_bookmark858">
        <w:r>
          <w:rPr>
            <w:color w:val="005DA1"/>
            <w:position w:val="5"/>
            <w:sz w:val="14"/>
            <w:u w:val="single" w:color="005DA1"/>
          </w:rPr>
          <w:t>455</w:t>
        </w:r>
      </w:hyperlink>
      <w:r>
        <w:rPr>
          <w:position w:val="5"/>
          <w:sz w:val="14"/>
        </w:rPr>
        <w:t>.</w:t>
      </w:r>
      <w:r>
        <w:rPr>
          <w:spacing w:val="40"/>
          <w:position w:val="5"/>
          <w:sz w:val="14"/>
        </w:rPr>
        <w:t>  </w:t>
      </w:r>
      <w:r>
        <w:rPr>
          <w:rFonts w:ascii="Arial" w:hAnsi="Arial"/>
          <w:i/>
        </w:rPr>
        <w:t>Banning v Wright [1972] 1 W.L.R. 972, 981</w:t>
      </w:r>
      <w:r>
        <w:rPr/>
        <w:t>; </w:t>
      </w:r>
      <w:r>
        <w:rPr>
          <w:rFonts w:ascii="Arial" w:hAnsi="Arial"/>
          <w:i/>
        </w:rPr>
        <w:t>Ficom SA v Sociedad Cadex Ltda. [1980] 2 Lloyd’s Rep. 118, 131</w:t>
      </w:r>
      <w:r>
        <w:rPr/>
        <w:t>. Para.3-082 of the 31st edition of this book (para.4-083 in the present edition) is cited with apparent approval in </w:t>
      </w:r>
      <w:r>
        <w:rPr>
          <w:rFonts w:ascii="Arial" w:hAnsi="Arial"/>
          <w:i/>
        </w:rPr>
        <w:t>Virulite LLC v Virulite Distribution Ltd [2014] EWHC 366 (QB), [2015] 1 All E.R. (Comm) 204 </w:t>
      </w:r>
      <w:r>
        <w:rPr/>
        <w:t>at [122], recognising that “a representation [giving rise to ‘waiver’] is</w:t>
      </w:r>
      <w:r>
        <w:rPr>
          <w:spacing w:val="-3"/>
        </w:rPr>
        <w:t> </w:t>
      </w:r>
      <w:r>
        <w:rPr/>
        <w:t>generally</w:t>
      </w:r>
      <w:r>
        <w:rPr>
          <w:spacing w:val="-3"/>
        </w:rPr>
        <w:t> </w:t>
      </w:r>
      <w:r>
        <w:rPr/>
        <w:t>revocable”</w:t>
      </w:r>
      <w:r>
        <w:rPr>
          <w:spacing w:val="-3"/>
        </w:rPr>
        <w:t> </w:t>
      </w:r>
      <w:r>
        <w:rPr/>
        <w:t>(but</w:t>
      </w:r>
      <w:r>
        <w:rPr>
          <w:spacing w:val="-3"/>
        </w:rPr>
        <w:t> </w:t>
      </w:r>
      <w:r>
        <w:rPr/>
        <w:t>may,</w:t>
      </w:r>
      <w:r>
        <w:rPr>
          <w:spacing w:val="-3"/>
        </w:rPr>
        <w:t> </w:t>
      </w:r>
      <w:r>
        <w:rPr/>
        <w:t>as</w:t>
      </w:r>
      <w:r>
        <w:rPr>
          <w:spacing w:val="-3"/>
        </w:rPr>
        <w:t> </w:t>
      </w:r>
      <w:r>
        <w:rPr/>
        <w:t>is</w:t>
      </w:r>
      <w:r>
        <w:rPr>
          <w:spacing w:val="-3"/>
        </w:rPr>
        <w:t> </w:t>
      </w:r>
      <w:r>
        <w:rPr/>
        <w:t>stated</w:t>
      </w:r>
      <w:r>
        <w:rPr>
          <w:spacing w:val="-3"/>
        </w:rPr>
        <w:t> </w:t>
      </w:r>
      <w:r>
        <w:rPr/>
        <w:t>in</w:t>
      </w:r>
      <w:r>
        <w:rPr>
          <w:spacing w:val="-3"/>
        </w:rPr>
        <w:t> </w:t>
      </w:r>
      <w:r>
        <w:rPr/>
        <w:t>para.4-084</w:t>
      </w:r>
      <w:r>
        <w:rPr>
          <w:spacing w:val="-3"/>
        </w:rPr>
        <w:t> </w:t>
      </w:r>
      <w:r>
        <w:rPr/>
        <w:t>below,</w:t>
      </w:r>
      <w:r>
        <w:rPr>
          <w:spacing w:val="-3"/>
        </w:rPr>
        <w:t> </w:t>
      </w:r>
      <w:r>
        <w:rPr/>
        <w:t>exceptionally</w:t>
      </w:r>
      <w:r>
        <w:rPr>
          <w:spacing w:val="-3"/>
        </w:rPr>
        <w:t> </w:t>
      </w:r>
      <w:r>
        <w:rPr/>
        <w:t>be</w:t>
      </w:r>
      <w:r>
        <w:rPr>
          <w:spacing w:val="-3"/>
        </w:rPr>
        <w:t> </w:t>
      </w:r>
      <w:r>
        <w:rPr/>
        <w:t>irrevocable). The case arose out of a distributorship agreement between A (the owner of intellectual property in a medical device) and B (the intended distributor) by which a payment of £25,000 was to be made by B to A on the provision by A to B of data necessary to secure the approval of a public authority (the FDA); failure to make the payment as agreed was to give A a right to terminate</w:t>
      </w:r>
      <w:r>
        <w:rPr>
          <w:spacing w:val="40"/>
        </w:rPr>
        <w:t> </w:t>
      </w:r>
      <w:r>
        <w:rPr/>
        <w:t>the contract. Later negotiations to the effect that the payment was not to be due until after FDA approval had been obtained were held to amount to a contractually binding variation of the agreement; and, if that was wrong, to amount to a representation giving rise to a promissory estoppel (below, para.4-086), which was revocable by reasonable notice (at [133], [152]; and see [134]–[135] for the length of that notice).</w:t>
      </w:r>
    </w:p>
    <w:p>
      <w:pPr>
        <w:pStyle w:val="BodyText"/>
        <w:spacing w:before="4"/>
      </w:pPr>
    </w:p>
    <w:p>
      <w:pPr>
        <w:tabs>
          <w:tab w:pos="705" w:val="left" w:leader="none"/>
        </w:tabs>
        <w:spacing w:line="235" w:lineRule="auto" w:before="0"/>
        <w:ind w:left="705" w:right="167" w:hanging="541"/>
        <w:jc w:val="left"/>
        <w:rPr>
          <w:sz w:val="20"/>
        </w:rPr>
      </w:pPr>
      <w:bookmarkStart w:name="_bookmark867" w:id="869"/>
      <w:bookmarkEnd w:id="869"/>
      <w:r>
        <w:rPr/>
      </w:r>
      <w:hyperlink w:history="true" w:anchor="_bookmark859">
        <w:r>
          <w:rPr>
            <w:color w:val="005DA1"/>
            <w:spacing w:val="-4"/>
            <w:position w:val="5"/>
            <w:sz w:val="14"/>
            <w:u w:val="single" w:color="005DA1"/>
          </w:rPr>
          <w:t>456</w:t>
        </w:r>
      </w:hyperlink>
      <w:r>
        <w:rPr>
          <w:spacing w:val="-4"/>
          <w:position w:val="5"/>
          <w:sz w:val="14"/>
        </w:rPr>
        <w:t>.</w:t>
      </w:r>
      <w:r>
        <w:rPr>
          <w:position w:val="5"/>
          <w:sz w:val="14"/>
        </w:rPr>
        <w:tab/>
      </w:r>
      <w:r>
        <w:rPr>
          <w:rFonts w:ascii="Arial" w:hAnsi="Arial"/>
          <w:i/>
          <w:sz w:val="20"/>
        </w:rPr>
        <w:t>[1950]</w:t>
      </w:r>
      <w:r>
        <w:rPr>
          <w:rFonts w:ascii="Arial" w:hAnsi="Arial"/>
          <w:i/>
          <w:spacing w:val="60"/>
          <w:sz w:val="20"/>
        </w:rPr>
        <w:t> </w:t>
      </w:r>
      <w:r>
        <w:rPr>
          <w:rFonts w:ascii="Arial" w:hAnsi="Arial"/>
          <w:i/>
          <w:sz w:val="20"/>
        </w:rPr>
        <w:t>1</w:t>
      </w:r>
      <w:r>
        <w:rPr>
          <w:rFonts w:ascii="Arial" w:hAnsi="Arial"/>
          <w:i/>
          <w:spacing w:val="60"/>
          <w:sz w:val="20"/>
        </w:rPr>
        <w:t> </w:t>
      </w:r>
      <w:r>
        <w:rPr>
          <w:rFonts w:ascii="Arial" w:hAnsi="Arial"/>
          <w:i/>
          <w:sz w:val="20"/>
        </w:rPr>
        <w:t>K.B.</w:t>
      </w:r>
      <w:r>
        <w:rPr>
          <w:rFonts w:ascii="Arial" w:hAnsi="Arial"/>
          <w:i/>
          <w:spacing w:val="60"/>
          <w:sz w:val="20"/>
        </w:rPr>
        <w:t> </w:t>
      </w:r>
      <w:r>
        <w:rPr>
          <w:rFonts w:ascii="Arial" w:hAnsi="Arial"/>
          <w:i/>
          <w:sz w:val="20"/>
        </w:rPr>
        <w:t>616</w:t>
      </w:r>
      <w:r>
        <w:rPr>
          <w:sz w:val="20"/>
        </w:rPr>
        <w:t>;</w:t>
      </w:r>
      <w:r>
        <w:rPr>
          <w:spacing w:val="60"/>
          <w:sz w:val="20"/>
        </w:rPr>
        <w:t> </w:t>
      </w:r>
      <w:r>
        <w:rPr>
          <w:sz w:val="20"/>
        </w:rPr>
        <w:t>cf.</w:t>
      </w:r>
      <w:r>
        <w:rPr>
          <w:spacing w:val="60"/>
          <w:sz w:val="20"/>
        </w:rPr>
        <w:t> </w:t>
      </w:r>
      <w:r>
        <w:rPr>
          <w:rFonts w:ascii="Arial" w:hAnsi="Arial"/>
          <w:i/>
          <w:sz w:val="20"/>
        </w:rPr>
        <w:t>State</w:t>
      </w:r>
      <w:r>
        <w:rPr>
          <w:rFonts w:ascii="Arial" w:hAnsi="Arial"/>
          <w:i/>
          <w:spacing w:val="60"/>
          <w:sz w:val="20"/>
        </w:rPr>
        <w:t> </w:t>
      </w:r>
      <w:r>
        <w:rPr>
          <w:rFonts w:ascii="Arial" w:hAnsi="Arial"/>
          <w:i/>
          <w:sz w:val="20"/>
        </w:rPr>
        <w:t>Trading</w:t>
      </w:r>
      <w:r>
        <w:rPr>
          <w:rFonts w:ascii="Arial" w:hAnsi="Arial"/>
          <w:i/>
          <w:spacing w:val="60"/>
          <w:sz w:val="20"/>
        </w:rPr>
        <w:t> </w:t>
      </w:r>
      <w:r>
        <w:rPr>
          <w:rFonts w:ascii="Arial" w:hAnsi="Arial"/>
          <w:i/>
          <w:sz w:val="20"/>
        </w:rPr>
        <w:t>Corp.</w:t>
      </w:r>
      <w:r>
        <w:rPr>
          <w:rFonts w:ascii="Arial" w:hAnsi="Arial"/>
          <w:i/>
          <w:spacing w:val="60"/>
          <w:sz w:val="20"/>
        </w:rPr>
        <w:t> </w:t>
      </w:r>
      <w:r>
        <w:rPr>
          <w:rFonts w:ascii="Arial" w:hAnsi="Arial"/>
          <w:i/>
          <w:sz w:val="20"/>
        </w:rPr>
        <w:t>of</w:t>
      </w:r>
      <w:r>
        <w:rPr>
          <w:rFonts w:ascii="Arial" w:hAnsi="Arial"/>
          <w:i/>
          <w:spacing w:val="60"/>
          <w:sz w:val="20"/>
        </w:rPr>
        <w:t> </w:t>
      </w:r>
      <w:r>
        <w:rPr>
          <w:rFonts w:ascii="Arial" w:hAnsi="Arial"/>
          <w:i/>
          <w:sz w:val="20"/>
        </w:rPr>
        <w:t>India</w:t>
      </w:r>
      <w:r>
        <w:rPr>
          <w:rFonts w:ascii="Arial" w:hAnsi="Arial"/>
          <w:i/>
          <w:spacing w:val="60"/>
          <w:sz w:val="20"/>
        </w:rPr>
        <w:t> </w:t>
      </w:r>
      <w:r>
        <w:rPr>
          <w:rFonts w:ascii="Arial" w:hAnsi="Arial"/>
          <w:i/>
          <w:sz w:val="20"/>
        </w:rPr>
        <w:t>v</w:t>
      </w:r>
      <w:r>
        <w:rPr>
          <w:rFonts w:ascii="Arial" w:hAnsi="Arial"/>
          <w:i/>
          <w:spacing w:val="60"/>
          <w:sz w:val="20"/>
        </w:rPr>
        <w:t> </w:t>
      </w:r>
      <w:r>
        <w:rPr>
          <w:rFonts w:ascii="Arial" w:hAnsi="Arial"/>
          <w:i/>
          <w:sz w:val="20"/>
        </w:rPr>
        <w:t>Cie</w:t>
      </w:r>
      <w:r>
        <w:rPr>
          <w:rFonts w:ascii="Arial" w:hAnsi="Arial"/>
          <w:i/>
          <w:spacing w:val="60"/>
          <w:sz w:val="20"/>
        </w:rPr>
        <w:t> </w:t>
      </w:r>
      <w:r>
        <w:rPr>
          <w:rFonts w:ascii="Arial" w:hAnsi="Arial"/>
          <w:i/>
          <w:sz w:val="20"/>
        </w:rPr>
        <w:t>Française</w:t>
      </w:r>
      <w:r>
        <w:rPr>
          <w:rFonts w:ascii="Arial" w:hAnsi="Arial"/>
          <w:i/>
          <w:spacing w:val="60"/>
          <w:sz w:val="20"/>
        </w:rPr>
        <w:t> </w:t>
      </w:r>
      <w:r>
        <w:rPr>
          <w:rFonts w:ascii="Arial" w:hAnsi="Arial"/>
          <w:i/>
          <w:sz w:val="20"/>
        </w:rPr>
        <w:t>d’Importation</w:t>
      </w:r>
      <w:r>
        <w:rPr>
          <w:rFonts w:ascii="Arial" w:hAnsi="Arial"/>
          <w:i/>
          <w:spacing w:val="60"/>
          <w:sz w:val="20"/>
        </w:rPr>
        <w:t> </w:t>
      </w:r>
      <w:r>
        <w:rPr>
          <w:rFonts w:ascii="Arial" w:hAnsi="Arial"/>
          <w:i/>
          <w:sz w:val="20"/>
        </w:rPr>
        <w:t>et</w:t>
      </w:r>
      <w:r>
        <w:rPr>
          <w:rFonts w:ascii="Arial" w:hAnsi="Arial"/>
          <w:i/>
          <w:spacing w:val="60"/>
          <w:sz w:val="20"/>
        </w:rPr>
        <w:t> </w:t>
      </w:r>
      <w:r>
        <w:rPr>
          <w:rFonts w:ascii="Arial" w:hAnsi="Arial"/>
          <w:i/>
          <w:sz w:val="20"/>
        </w:rPr>
        <w:t>de Distribution [1983] 2 Lloyd’s Rep. 679, 681</w:t>
      </w:r>
      <w:r>
        <w:rPr>
          <w:sz w:val="20"/>
        </w:rPr>
        <w:t>.</w:t>
      </w:r>
    </w:p>
    <w:p>
      <w:pPr>
        <w:pStyle w:val="BodyText"/>
        <w:spacing w:before="9"/>
      </w:pPr>
    </w:p>
    <w:p>
      <w:pPr>
        <w:tabs>
          <w:tab w:pos="705" w:val="left" w:leader="none"/>
        </w:tabs>
        <w:spacing w:line="235" w:lineRule="auto" w:before="1"/>
        <w:ind w:left="705" w:right="168" w:hanging="541"/>
        <w:jc w:val="left"/>
        <w:rPr>
          <w:sz w:val="20"/>
        </w:rPr>
      </w:pPr>
      <w:bookmarkStart w:name="_bookmark868" w:id="870"/>
      <w:bookmarkEnd w:id="870"/>
      <w:r>
        <w:rPr/>
      </w:r>
      <w:hyperlink w:history="true" w:anchor="_bookmark860">
        <w:r>
          <w:rPr>
            <w:color w:val="005DA1"/>
            <w:spacing w:val="-4"/>
            <w:position w:val="5"/>
            <w:sz w:val="14"/>
            <w:u w:val="single" w:color="005DA1"/>
          </w:rPr>
          <w:t>457</w:t>
        </w:r>
      </w:hyperlink>
      <w:r>
        <w:rPr>
          <w:spacing w:val="-4"/>
          <w:position w:val="5"/>
          <w:sz w:val="14"/>
        </w:rPr>
        <w:t>.</w:t>
      </w:r>
      <w:r>
        <w:rPr>
          <w:position w:val="5"/>
          <w:sz w:val="14"/>
        </w:rPr>
        <w:tab/>
      </w:r>
      <w:r>
        <w:rPr>
          <w:sz w:val="20"/>
        </w:rPr>
        <w:t>cf.</w:t>
      </w:r>
      <w:r>
        <w:rPr>
          <w:spacing w:val="27"/>
          <w:sz w:val="20"/>
        </w:rPr>
        <w:t> </w:t>
      </w:r>
      <w:r>
        <w:rPr>
          <w:rFonts w:ascii="Arial" w:hAnsi="Arial"/>
          <w:i/>
          <w:sz w:val="20"/>
        </w:rPr>
        <w:t>Nichimen</w:t>
      </w:r>
      <w:r>
        <w:rPr>
          <w:rFonts w:ascii="Arial" w:hAnsi="Arial"/>
          <w:i/>
          <w:spacing w:val="27"/>
          <w:sz w:val="20"/>
        </w:rPr>
        <w:t> </w:t>
      </w:r>
      <w:r>
        <w:rPr>
          <w:rFonts w:ascii="Arial" w:hAnsi="Arial"/>
          <w:i/>
          <w:sz w:val="20"/>
        </w:rPr>
        <w:t>Corp.</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Gatoil</w:t>
      </w:r>
      <w:r>
        <w:rPr>
          <w:rFonts w:ascii="Arial" w:hAnsi="Arial"/>
          <w:i/>
          <w:spacing w:val="27"/>
          <w:sz w:val="20"/>
        </w:rPr>
        <w:t> </w:t>
      </w:r>
      <w:r>
        <w:rPr>
          <w:rFonts w:ascii="Arial" w:hAnsi="Arial"/>
          <w:i/>
          <w:sz w:val="20"/>
        </w:rPr>
        <w:t>Overseas</w:t>
      </w:r>
      <w:r>
        <w:rPr>
          <w:rFonts w:ascii="Arial" w:hAnsi="Arial"/>
          <w:i/>
          <w:spacing w:val="27"/>
          <w:sz w:val="20"/>
        </w:rPr>
        <w:t> </w:t>
      </w:r>
      <w:r>
        <w:rPr>
          <w:rFonts w:ascii="Arial" w:hAnsi="Arial"/>
          <w:i/>
          <w:sz w:val="20"/>
        </w:rPr>
        <w:t>Inc</w:t>
      </w:r>
      <w:r>
        <w:rPr>
          <w:rFonts w:ascii="Arial" w:hAnsi="Arial"/>
          <w:i/>
          <w:spacing w:val="27"/>
          <w:sz w:val="20"/>
        </w:rPr>
        <w:t> </w:t>
      </w:r>
      <w:r>
        <w:rPr>
          <w:rFonts w:ascii="Arial" w:hAnsi="Arial"/>
          <w:i/>
          <w:sz w:val="20"/>
        </w:rPr>
        <w:t>[1987]</w:t>
      </w:r>
      <w:r>
        <w:rPr>
          <w:rFonts w:ascii="Arial" w:hAnsi="Arial"/>
          <w:i/>
          <w:spacing w:val="27"/>
          <w:sz w:val="20"/>
        </w:rPr>
        <w:t> </w:t>
      </w:r>
      <w:r>
        <w:rPr>
          <w:rFonts w:ascii="Arial" w:hAnsi="Arial"/>
          <w:i/>
          <w:sz w:val="20"/>
        </w:rPr>
        <w:t>2</w:t>
      </w:r>
      <w:r>
        <w:rPr>
          <w:rFonts w:ascii="Arial" w:hAnsi="Arial"/>
          <w:i/>
          <w:spacing w:val="27"/>
          <w:sz w:val="20"/>
        </w:rPr>
        <w:t> </w:t>
      </w:r>
      <w:r>
        <w:rPr>
          <w:rFonts w:ascii="Arial" w:hAnsi="Arial"/>
          <w:i/>
          <w:sz w:val="20"/>
        </w:rPr>
        <w:t>Lloyd’s</w:t>
      </w:r>
      <w:r>
        <w:rPr>
          <w:rFonts w:ascii="Arial" w:hAnsi="Arial"/>
          <w:i/>
          <w:spacing w:val="27"/>
          <w:sz w:val="20"/>
        </w:rPr>
        <w:t> </w:t>
      </w:r>
      <w:r>
        <w:rPr>
          <w:rFonts w:ascii="Arial" w:hAnsi="Arial"/>
          <w:i/>
          <w:sz w:val="20"/>
        </w:rPr>
        <w:t>Rep.</w:t>
      </w:r>
      <w:r>
        <w:rPr>
          <w:rFonts w:ascii="Arial" w:hAnsi="Arial"/>
          <w:i/>
          <w:spacing w:val="27"/>
          <w:sz w:val="20"/>
        </w:rPr>
        <w:t> </w:t>
      </w:r>
      <w:r>
        <w:rPr>
          <w:rFonts w:ascii="Arial" w:hAnsi="Arial"/>
          <w:i/>
          <w:sz w:val="20"/>
        </w:rPr>
        <w:t>46</w:t>
      </w:r>
      <w:r>
        <w:rPr>
          <w:sz w:val="20"/>
        </w:rPr>
        <w:t>,</w:t>
      </w:r>
      <w:r>
        <w:rPr>
          <w:spacing w:val="27"/>
          <w:sz w:val="20"/>
        </w:rPr>
        <w:t> </w:t>
      </w:r>
      <w:r>
        <w:rPr>
          <w:sz w:val="20"/>
        </w:rPr>
        <w:t>where</w:t>
      </w:r>
      <w:r>
        <w:rPr>
          <w:spacing w:val="27"/>
          <w:sz w:val="20"/>
        </w:rPr>
        <w:t> </w:t>
      </w:r>
      <w:r>
        <w:rPr>
          <w:sz w:val="20"/>
        </w:rPr>
        <w:t>similar</w:t>
      </w:r>
      <w:r>
        <w:rPr>
          <w:spacing w:val="27"/>
          <w:sz w:val="20"/>
        </w:rPr>
        <w:t> </w:t>
      </w:r>
      <w:r>
        <w:rPr>
          <w:sz w:val="20"/>
        </w:rPr>
        <w:t>fixed-</w:t>
      </w:r>
      <w:r>
        <w:rPr>
          <w:sz w:val="20"/>
        </w:rPr>
        <w:t>term extensions were granted by a seller.</w:t>
      </w:r>
    </w:p>
    <w:p>
      <w:pPr>
        <w:pStyle w:val="BodyText"/>
        <w:spacing w:before="9"/>
      </w:pPr>
    </w:p>
    <w:p>
      <w:pPr>
        <w:spacing w:line="235" w:lineRule="auto" w:before="0"/>
        <w:ind w:left="705" w:right="167" w:hanging="541"/>
        <w:jc w:val="both"/>
        <w:rPr>
          <w:sz w:val="20"/>
        </w:rPr>
      </w:pPr>
      <w:bookmarkStart w:name="_bookmark869" w:id="871"/>
      <w:bookmarkEnd w:id="871"/>
      <w:r>
        <w:rPr/>
      </w:r>
      <w:hyperlink w:history="true" w:anchor="_bookmark861">
        <w:r>
          <w:rPr>
            <w:color w:val="005DA1"/>
            <w:position w:val="5"/>
            <w:sz w:val="14"/>
            <w:u w:val="single" w:color="005DA1"/>
          </w:rPr>
          <w:t>458</w:t>
        </w:r>
      </w:hyperlink>
      <w:r>
        <w:rPr>
          <w:position w:val="5"/>
          <w:sz w:val="14"/>
        </w:rPr>
        <w:t>.</w:t>
      </w:r>
      <w:r>
        <w:rPr>
          <w:spacing w:val="40"/>
          <w:position w:val="5"/>
          <w:sz w:val="14"/>
        </w:rPr>
        <w:t>  </w:t>
      </w:r>
      <w:r>
        <w:rPr>
          <w:rFonts w:ascii="Arial" w:hAnsi="Arial"/>
          <w:i/>
          <w:sz w:val="20"/>
        </w:rPr>
        <w:t>Toepfer v Warinco A.G. [1978] 2 Lloyd’s Rep. 569, 576</w:t>
      </w:r>
      <w:r>
        <w:rPr>
          <w:sz w:val="20"/>
        </w:rPr>
        <w:t>; cf. </w:t>
      </w:r>
      <w:r>
        <w:rPr>
          <w:rFonts w:ascii="Arial" w:hAnsi="Arial"/>
          <w:i/>
          <w:sz w:val="20"/>
        </w:rPr>
        <w:t>Leather Cloth Co v </w:t>
      </w:r>
      <w:r>
        <w:rPr>
          <w:rFonts w:ascii="Arial" w:hAnsi="Arial"/>
          <w:i/>
          <w:sz w:val="20"/>
        </w:rPr>
        <w:t>Hieronimus</w:t>
      </w:r>
      <w:r>
        <w:rPr>
          <w:rFonts w:ascii="Arial" w:hAnsi="Arial"/>
          <w:i/>
          <w:spacing w:val="40"/>
          <w:sz w:val="20"/>
        </w:rPr>
        <w:t> </w:t>
      </w:r>
      <w:r>
        <w:rPr>
          <w:rFonts w:ascii="Arial" w:hAnsi="Arial"/>
          <w:i/>
          <w:sz w:val="20"/>
        </w:rPr>
        <w:t>(1875) L.R. 10 Q.B. 140 </w:t>
      </w:r>
      <w:r>
        <w:rPr>
          <w:sz w:val="20"/>
        </w:rPr>
        <w:t>(goods lost while on altered route); </w:t>
      </w:r>
      <w:r>
        <w:rPr>
          <w:rFonts w:ascii="Arial" w:hAnsi="Arial"/>
          <w:i/>
          <w:sz w:val="20"/>
        </w:rPr>
        <w:t>Bottiglieri di Navigazione SpA v Cosco Quindao Shipping Co (The Bunge Saga Lima) [2005] EWHC 244 (Comm), [2005] 2 Lloyd’s Rep. 1 </w:t>
      </w:r>
      <w:r>
        <w:rPr>
          <w:sz w:val="20"/>
        </w:rPr>
        <w:t>at [31], below para.4-098.</w:t>
      </w:r>
    </w:p>
    <w:p>
      <w:pPr>
        <w:pStyle w:val="BodyText"/>
        <w:spacing w:before="4"/>
      </w:pPr>
    </w:p>
    <w:p>
      <w:pPr>
        <w:tabs>
          <w:tab w:pos="705" w:val="left" w:leader="none"/>
        </w:tabs>
        <w:spacing w:before="1"/>
        <w:ind w:left="165" w:right="0" w:firstLine="0"/>
        <w:jc w:val="left"/>
        <w:rPr>
          <w:sz w:val="20"/>
        </w:rPr>
      </w:pPr>
      <w:bookmarkStart w:name="_bookmark870" w:id="872"/>
      <w:bookmarkEnd w:id="872"/>
      <w:r>
        <w:rPr/>
      </w:r>
      <w:hyperlink w:history="true" w:anchor="_bookmark862">
        <w:r>
          <w:rPr>
            <w:color w:val="005DA1"/>
            <w:spacing w:val="-4"/>
            <w:position w:val="5"/>
            <w:sz w:val="14"/>
            <w:u w:val="single" w:color="005DA1"/>
          </w:rPr>
          <w:t>459</w:t>
        </w:r>
      </w:hyperlink>
      <w:r>
        <w:rPr>
          <w:spacing w:val="-4"/>
          <w:position w:val="5"/>
          <w:sz w:val="14"/>
        </w:rPr>
        <w:t>.</w:t>
      </w:r>
      <w:r>
        <w:rPr>
          <w:position w:val="5"/>
          <w:sz w:val="14"/>
        </w:rPr>
        <w:tab/>
      </w:r>
      <w:r>
        <w:rPr>
          <w:rFonts w:ascii="Arial"/>
          <w:i/>
          <w:sz w:val="20"/>
        </w:rPr>
        <w:t>Stead v Dawber (1839) 10 A. &amp; E. 57, </w:t>
      </w:r>
      <w:r>
        <w:rPr>
          <w:rFonts w:ascii="Arial"/>
          <w:i/>
          <w:spacing w:val="-5"/>
          <w:sz w:val="20"/>
        </w:rPr>
        <w:t>64</w:t>
      </w:r>
      <w:r>
        <w:rPr>
          <w:spacing w:val="-5"/>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727" w:right="2730"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194432">
                <wp:simplePos x="0" y="0"/>
                <wp:positionH relativeFrom="page">
                  <wp:posOffset>4707940</wp:posOffset>
                </wp:positionH>
                <wp:positionV relativeFrom="paragraph">
                  <wp:posOffset>377436</wp:posOffset>
                </wp:positionV>
                <wp:extent cx="42545"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22048" from="370.70401pt,29.719406pt" to="374.04001pt,29.719406pt" stroked="true" strokeweight=".428pt" strokecolor="#005da1">
                <v:stroke dashstyle="solid"/>
                <w10:wrap type="none"/>
              </v:line>
            </w:pict>
          </mc:Fallback>
        </mc:AlternateContent>
      </w: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4 - Consideration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9. - Discharge and Variation of Contractual </w:t>
      </w:r>
      <w:r>
        <w:rPr>
          <w:rFonts w:ascii="Arial"/>
          <w:b/>
          <w:spacing w:val="-2"/>
          <w:sz w:val="24"/>
        </w:rPr>
        <w:t>Duties</w:t>
      </w:r>
    </w:p>
    <w:p>
      <w:pPr>
        <w:spacing w:before="194"/>
        <w:ind w:left="3898" w:right="0" w:firstLine="0"/>
        <w:jc w:val="left"/>
        <w:rPr>
          <w:rFonts w:ascii="Arial"/>
          <w:b/>
          <w:sz w:val="24"/>
        </w:rPr>
      </w:pPr>
      <w:r>
        <w:rPr>
          <w:rFonts w:ascii="Arial"/>
          <w:b/>
          <w:sz w:val="24"/>
        </w:rPr>
        <w:t>(b) - </w:t>
      </w:r>
      <w:r>
        <w:rPr>
          <w:rFonts w:ascii="Arial"/>
          <w:b/>
          <w:spacing w:val="-2"/>
          <w:sz w:val="24"/>
        </w:rPr>
        <w:t>Variation</w:t>
      </w:r>
    </w:p>
    <w:p>
      <w:pPr>
        <w:pStyle w:val="ListParagraph"/>
        <w:numPr>
          <w:ilvl w:val="0"/>
          <w:numId w:val="5"/>
        </w:numPr>
        <w:tabs>
          <w:tab w:pos="3604" w:val="left" w:leader="none"/>
        </w:tabs>
        <w:spacing w:line="240" w:lineRule="auto" w:before="194" w:after="0"/>
        <w:ind w:left="3604" w:right="0" w:hanging="426"/>
        <w:jc w:val="left"/>
        <w:rPr>
          <w:rFonts w:ascii="Arial"/>
          <w:b/>
          <w:sz w:val="24"/>
        </w:rPr>
      </w:pPr>
      <w:r>
        <w:rPr>
          <w:rFonts w:ascii="Arial"/>
          <w:b/>
          <w:sz w:val="24"/>
        </w:rPr>
        <w:t>- Equitable </w:t>
      </w:r>
      <w:r>
        <w:rPr>
          <w:rFonts w:ascii="Arial"/>
          <w:b/>
          <w:spacing w:val="-2"/>
          <w:sz w:val="24"/>
        </w:rPr>
        <w:t>Mitigations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Forbearance in </w:t>
      </w:r>
      <w:r>
        <w:rPr>
          <w:rFonts w:ascii="Arial"/>
          <w:b/>
          <w:spacing w:val="-2"/>
          <w:sz w:val="18"/>
        </w:rPr>
        <w:t>equity</w:t>
      </w:r>
    </w:p>
    <w:p>
      <w:pPr>
        <w:pStyle w:val="BodyText"/>
        <w:spacing w:before="41"/>
        <w:rPr>
          <w:rFonts w:ascii="Arial"/>
          <w:b/>
          <w:sz w:val="18"/>
        </w:rPr>
      </w:pPr>
    </w:p>
    <w:p>
      <w:pPr>
        <w:pStyle w:val="Heading2"/>
      </w:pPr>
      <w:r>
        <w:rPr/>
        <w:t>4-</w:t>
      </w:r>
      <w:r>
        <w:rPr>
          <w:spacing w:val="-5"/>
        </w:rPr>
        <w:t>086</w:t>
      </w:r>
    </w:p>
    <w:p>
      <w:pPr>
        <w:pStyle w:val="BodyText"/>
        <w:spacing w:line="235" w:lineRule="auto" w:before="203"/>
        <w:ind w:left="164" w:right="167"/>
        <w:jc w:val="both"/>
      </w:pPr>
      <w:r>
        <w:rPr/>
        <w:t>Equity developed an approach more satisfactory than that taken by the common law to the </w:t>
      </w:r>
      <w:r>
        <w:rPr/>
        <w:t>problem discussed in para.4-085 above by concentrating, not on the intention of the party granting the </w:t>
      </w:r>
      <w:bookmarkStart w:name="_bookmark871" w:id="873"/>
      <w:bookmarkEnd w:id="873"/>
      <w:r>
        <w:rPr/>
        <w:t>forbearance,</w:t>
      </w:r>
      <w:r>
        <w:rPr/>
        <w:t> but on the conduct of that party and on its effect on the position of the other party. The leading case is </w:t>
      </w:r>
      <w:r>
        <w:rPr>
          <w:rFonts w:ascii="Arial" w:hAnsi="Arial"/>
          <w:i/>
        </w:rPr>
        <w:t>Hughes v Metropolitan Ry </w:t>
      </w:r>
      <w:r>
        <w:rPr>
          <w:color w:val="005DA1"/>
          <w:u w:val="single" w:color="005DA1"/>
          <w:vertAlign w:val="superscript"/>
        </w:rPr>
        <w:t>460</w:t>
      </w:r>
      <w:r>
        <w:rPr>
          <w:color w:val="005DA1"/>
          <w:vertAlign w:val="baseline"/>
        </w:rPr>
        <w:t> </w:t>
      </w:r>
      <w:r>
        <w:rPr>
          <w:vertAlign w:val="baseline"/>
        </w:rPr>
        <w:t>where a landlord had given his tenant notice requiring him to do repairs within six months. During the six months he began to negotiate with the tenant for the purchase of his lease. When the negotiations broke down, he immediately claimed to forfeit the lease on the ground that the tenant had not done the repairs. The claim was rejected, Lord Cairns saying that if one party leads the other “to suppose that the strict rights arising under the contract will not be enforced, or will be kept in suspense, or held in abeyance, the person who otherwise might </w:t>
      </w:r>
      <w:bookmarkStart w:name="_bookmark872" w:id="874"/>
      <w:bookmarkEnd w:id="874"/>
      <w:r>
        <w:rPr>
          <w:vertAlign w:val="baseline"/>
        </w:rPr>
        <w:t>have</w:t>
      </w:r>
      <w:r>
        <w:rPr>
          <w:vertAlign w:val="baseline"/>
        </w:rPr>
        <w:t> enforced those rights will not be allowed to enforce them where it would be inequitable having regard to the dealings which have thus taken place between the parties.” </w:t>
      </w:r>
      <w:r>
        <w:rPr>
          <w:color w:val="005DA1"/>
          <w:u w:val="single" w:color="005DA1"/>
          <w:vertAlign w:val="superscript"/>
        </w:rPr>
        <w:t>461</w:t>
      </w:r>
      <w:r>
        <w:rPr>
          <w:color w:val="005DA1"/>
          <w:vertAlign w:val="baseline"/>
        </w:rPr>
        <w:t> </w:t>
      </w:r>
      <w:r>
        <w:rPr>
          <w:vertAlign w:val="baseline"/>
        </w:rPr>
        <w:t>The landlord had by his conduct during the negotiations led the tenant to suppose that he would not enforce his right to forfeit. Hence he could not forfeit immediately the negotiations broke down; he was bound to give the tenant a reasonable time from that date to do the repairs. This equitable doctrine can now be applied to </w:t>
      </w:r>
      <w:bookmarkStart w:name="_bookmark873" w:id="875"/>
      <w:bookmarkEnd w:id="875"/>
      <w:r>
        <w:rPr>
          <w:vertAlign w:val="baseline"/>
        </w:rPr>
        <w:t>arrangements</w:t>
      </w:r>
      <w:r>
        <w:rPr>
          <w:vertAlign w:val="baseline"/>
        </w:rPr>
        <w:t> which might formerly have been regarded as variations ineffective at common law for want of consideration. </w:t>
      </w:r>
      <w:r>
        <w:rPr>
          <w:color w:val="005DA1"/>
          <w:u w:val="single" w:color="005DA1"/>
          <w:vertAlign w:val="superscript"/>
        </w:rPr>
        <w:t>462</w:t>
      </w:r>
      <w:r>
        <w:rPr>
          <w:color w:val="005DA1"/>
          <w:vertAlign w:val="baseline"/>
        </w:rPr>
        <w:t> </w:t>
      </w:r>
      <w:r>
        <w:rPr>
          <w:vertAlign w:val="baseline"/>
        </w:rPr>
        <w:t>For reasons to be discussed in para.4-104 below, the doctrine is often (if rather misleadingly) referred to as “promissory” or “equitable” estoppel.</w:t>
      </w:r>
    </w:p>
    <w:p>
      <w:pPr>
        <w:pStyle w:val="BodyText"/>
      </w:pPr>
    </w:p>
    <w:p>
      <w:pPr>
        <w:pStyle w:val="BodyText"/>
        <w:spacing w:before="32"/>
      </w:pPr>
    </w:p>
    <w:p>
      <w:pPr>
        <w:spacing w:before="0"/>
        <w:ind w:left="164" w:right="0" w:firstLine="0"/>
        <w:jc w:val="left"/>
        <w:rPr>
          <w:rFonts w:ascii="Arial"/>
          <w:b/>
          <w:sz w:val="18"/>
        </w:rPr>
      </w:pPr>
      <w:r>
        <w:rPr>
          <w:rFonts w:ascii="Arial"/>
          <w:b/>
          <w:spacing w:val="-2"/>
          <w:sz w:val="18"/>
        </w:rPr>
        <w:t>Requirements</w:t>
      </w:r>
    </w:p>
    <w:p>
      <w:pPr>
        <w:pStyle w:val="BodyText"/>
        <w:spacing w:before="41"/>
        <w:rPr>
          <w:rFonts w:ascii="Arial"/>
          <w:b/>
          <w:sz w:val="18"/>
        </w:rPr>
      </w:pPr>
    </w:p>
    <w:p>
      <w:pPr>
        <w:pStyle w:val="Heading2"/>
        <w:ind w:left="164"/>
      </w:pPr>
      <w:r>
        <w:rPr/>
        <w:t>4-</w:t>
      </w:r>
      <w:r>
        <w:rPr>
          <w:spacing w:val="-5"/>
        </w:rPr>
        <w:t>087</w:t>
      </w:r>
    </w:p>
    <w:p>
      <w:pPr>
        <w:pStyle w:val="BodyText"/>
        <w:spacing w:line="235" w:lineRule="auto" w:before="203"/>
        <w:ind w:left="164" w:right="167"/>
        <w:jc w:val="both"/>
      </w:pPr>
      <w:r>
        <w:rPr/>
        <w:t>For the equitable doctrine to operate there must be a legal relationship giving rise to rights and </w:t>
      </w:r>
      <w:r>
        <w:rPr/>
        <w:t>duties between the parties; a promise or a representation by one party that he will not enforce against the </w:t>
      </w:r>
      <w:bookmarkStart w:name="_bookmark874" w:id="876"/>
      <w:bookmarkEnd w:id="876"/>
      <w:r>
        <w:rPr/>
        <w:t>other</w:t>
      </w:r>
      <w:r>
        <w:rPr/>
        <w:t> his strict legal rights arising out of that relationship; an intention on the part of the former party that the latter will rely on the representation; and such reliance by the latter party. </w:t>
      </w:r>
      <w:r>
        <w:rPr>
          <w:color w:val="005DA1"/>
          <w:u w:val="single" w:color="005DA1"/>
          <w:vertAlign w:val="superscript"/>
        </w:rPr>
        <w:t>463</w:t>
      </w:r>
      <w:r>
        <w:rPr>
          <w:color w:val="005DA1"/>
          <w:vertAlign w:val="baseline"/>
        </w:rPr>
        <w:t> </w:t>
      </w:r>
      <w:r>
        <w:rPr>
          <w:vertAlign w:val="baseline"/>
        </w:rPr>
        <w:t>Even if these requirements are satisfied, the operation of the doctrine may be excluded if it is, nevertheless, not “inequitable” for the first party to go back on his promise. The doctrine most commonly applies to promises</w:t>
      </w:r>
      <w:r>
        <w:rPr>
          <w:spacing w:val="-2"/>
          <w:vertAlign w:val="baseline"/>
        </w:rPr>
        <w:t> </w:t>
      </w:r>
      <w:r>
        <w:rPr>
          <w:vertAlign w:val="baseline"/>
        </w:rPr>
        <w:t>not</w:t>
      </w:r>
      <w:r>
        <w:rPr>
          <w:spacing w:val="-2"/>
          <w:vertAlign w:val="baseline"/>
        </w:rPr>
        <w:t> </w:t>
      </w:r>
      <w:r>
        <w:rPr>
          <w:vertAlign w:val="baseline"/>
        </w:rPr>
        <w:t>to</w:t>
      </w:r>
      <w:r>
        <w:rPr>
          <w:spacing w:val="-2"/>
          <w:vertAlign w:val="baseline"/>
        </w:rPr>
        <w:t> </w:t>
      </w:r>
      <w:r>
        <w:rPr>
          <w:vertAlign w:val="baseline"/>
        </w:rPr>
        <w:t>enforce</w:t>
      </w:r>
      <w:r>
        <w:rPr>
          <w:spacing w:val="-2"/>
          <w:vertAlign w:val="baseline"/>
        </w:rPr>
        <w:t> </w:t>
      </w:r>
      <w:r>
        <w:rPr>
          <w:vertAlign w:val="baseline"/>
        </w:rPr>
        <w:t>contractual</w:t>
      </w:r>
      <w:r>
        <w:rPr>
          <w:spacing w:val="-2"/>
          <w:vertAlign w:val="baseline"/>
        </w:rPr>
        <w:t> </w:t>
      </w:r>
      <w:r>
        <w:rPr>
          <w:vertAlign w:val="baseline"/>
        </w:rPr>
        <w:t>rights,</w:t>
      </w:r>
      <w:r>
        <w:rPr>
          <w:spacing w:val="-2"/>
          <w:vertAlign w:val="baseline"/>
        </w:rPr>
        <w:t> </w:t>
      </w:r>
      <w:r>
        <w:rPr>
          <w:vertAlign w:val="baseline"/>
        </w:rPr>
        <w:t>but</w:t>
      </w:r>
      <w:r>
        <w:rPr>
          <w:spacing w:val="-2"/>
          <w:vertAlign w:val="baseline"/>
        </w:rPr>
        <w:t> </w:t>
      </w:r>
      <w:r>
        <w:rPr>
          <w:vertAlign w:val="baseline"/>
        </w:rPr>
        <w:t>it</w:t>
      </w:r>
      <w:r>
        <w:rPr>
          <w:spacing w:val="-2"/>
          <w:vertAlign w:val="baseline"/>
        </w:rPr>
        <w:t> </w:t>
      </w:r>
      <w:r>
        <w:rPr>
          <w:vertAlign w:val="baseline"/>
        </w:rPr>
        <w:t>also</w:t>
      </w:r>
      <w:r>
        <w:rPr>
          <w:spacing w:val="-2"/>
          <w:vertAlign w:val="baseline"/>
        </w:rPr>
        <w:t> </w:t>
      </w:r>
      <w:r>
        <w:rPr>
          <w:vertAlign w:val="baseline"/>
        </w:rPr>
        <w:t>extends</w:t>
      </w:r>
      <w:r>
        <w:rPr>
          <w:spacing w:val="-2"/>
          <w:vertAlign w:val="baseline"/>
        </w:rPr>
        <w:t> </w:t>
      </w:r>
      <w:r>
        <w:rPr>
          <w:vertAlign w:val="baseline"/>
        </w:rPr>
        <w:t>to</w:t>
      </w:r>
      <w:r>
        <w:rPr>
          <w:spacing w:val="-2"/>
          <w:vertAlign w:val="baseline"/>
        </w:rPr>
        <w:t> </w:t>
      </w:r>
      <w:r>
        <w:rPr>
          <w:vertAlign w:val="baseline"/>
        </w:rPr>
        <w:t>certain</w:t>
      </w:r>
      <w:r>
        <w:rPr>
          <w:spacing w:val="-2"/>
          <w:vertAlign w:val="baseline"/>
        </w:rPr>
        <w:t> </w:t>
      </w:r>
      <w:r>
        <w:rPr>
          <w:vertAlign w:val="baseline"/>
        </w:rPr>
        <w:t>other</w:t>
      </w:r>
      <w:r>
        <w:rPr>
          <w:spacing w:val="-2"/>
          <w:vertAlign w:val="baseline"/>
        </w:rPr>
        <w:t> </w:t>
      </w:r>
      <w:r>
        <w:rPr>
          <w:vertAlign w:val="baseline"/>
        </w:rPr>
        <w:t>relationships.</w:t>
      </w:r>
      <w:r>
        <w:rPr>
          <w:spacing w:val="-2"/>
          <w:vertAlign w:val="baseline"/>
        </w:rPr>
        <w:t> </w:t>
      </w:r>
      <w:r>
        <w:rPr>
          <w:vertAlign w:val="baseline"/>
        </w:rPr>
        <w:t>The</w:t>
      </w:r>
      <w:r>
        <w:rPr>
          <w:spacing w:val="-2"/>
          <w:vertAlign w:val="baseline"/>
        </w:rPr>
        <w:t> </w:t>
      </w:r>
      <w:r>
        <w:rPr>
          <w:vertAlign w:val="baseline"/>
        </w:rPr>
        <w:t>points here summarised will be discussed in paragraphs 4-088 to 4-096 below.</w:t>
      </w:r>
    </w:p>
    <w:p>
      <w:pPr>
        <w:pStyle w:val="BodyText"/>
      </w:pPr>
    </w:p>
    <w:p>
      <w:pPr>
        <w:pStyle w:val="BodyText"/>
        <w:spacing w:before="35"/>
      </w:pPr>
    </w:p>
    <w:p>
      <w:pPr>
        <w:spacing w:before="1"/>
        <w:ind w:left="165" w:right="0" w:firstLine="0"/>
        <w:jc w:val="left"/>
        <w:rPr>
          <w:rFonts w:ascii="Arial"/>
          <w:b/>
          <w:sz w:val="18"/>
        </w:rPr>
      </w:pPr>
      <w:r>
        <w:rPr>
          <w:rFonts w:ascii="Arial"/>
          <w:b/>
          <w:sz w:val="18"/>
        </w:rPr>
        <w:t>Relationships within the </w:t>
      </w:r>
      <w:r>
        <w:rPr>
          <w:rFonts w:ascii="Arial"/>
          <w:b/>
          <w:spacing w:val="-2"/>
          <w:sz w:val="18"/>
        </w:rPr>
        <w:t>doctrine</w:t>
      </w:r>
    </w:p>
    <w:p>
      <w:pPr>
        <w:pStyle w:val="BodyText"/>
        <w:spacing w:before="41"/>
        <w:rPr>
          <w:rFonts w:ascii="Arial"/>
          <w:b/>
          <w:sz w:val="18"/>
        </w:rPr>
      </w:pPr>
    </w:p>
    <w:p>
      <w:pPr>
        <w:pStyle w:val="Heading2"/>
      </w:pPr>
      <w:r>
        <w:rPr/>
        <w:t>4-</w:t>
      </w:r>
      <w:r>
        <w:rPr>
          <w:spacing w:val="-5"/>
        </w:rPr>
        <w:t>088</w:t>
      </w:r>
    </w:p>
    <w:p>
      <w:pPr>
        <w:pStyle w:val="Heading2"/>
        <w:spacing w:after="0"/>
        <w:sectPr>
          <w:headerReference w:type="default" r:id="rId42"/>
          <w:headerReference w:type="even" r:id="rId43"/>
          <w:pgSz w:w="11900" w:h="16840"/>
          <w:pgMar w:header="971" w:footer="0" w:top="1160" w:bottom="280" w:left="1275" w:right="1275"/>
          <w:pgNumType w:start="1"/>
        </w:sectPr>
      </w:pPr>
    </w:p>
    <w:p>
      <w:pPr>
        <w:pStyle w:val="BodyText"/>
        <w:spacing w:before="124"/>
        <w:rPr>
          <w:rFonts w:ascii="Arial"/>
          <w:b/>
        </w:rPr>
      </w:pPr>
    </w:p>
    <w:p>
      <w:pPr>
        <w:pStyle w:val="BodyText"/>
        <w:spacing w:line="235" w:lineRule="auto" w:before="1"/>
        <w:ind w:left="165" w:right="167"/>
        <w:jc w:val="both"/>
      </w:pPr>
      <w:r>
        <w:rPr/>
        <w:t>The legal rights which the promisor or representor is prevented by the equitable doctrine </w:t>
      </w:r>
      <w:r>
        <w:rPr/>
        <w:t>from enforcing normally arise out of a contract between him and the other party. But the doctrine can also apply where the relationship giving rise to rights and correlative duties is non-contractual: e.g. to </w:t>
      </w:r>
      <w:bookmarkStart w:name="_bookmark875" w:id="877"/>
      <w:bookmarkEnd w:id="877"/>
      <w:r>
        <w:rPr/>
        <w:t>prevent</w:t>
      </w:r>
      <w:r>
        <w:rPr/>
        <w:t> the enforcement of a liability imposed by statute on a company director for signing a bill of </w:t>
      </w:r>
      <w:bookmarkStart w:name="_bookmark876" w:id="878"/>
      <w:bookmarkEnd w:id="878"/>
      <w:r>
        <w:rPr/>
        <w:t>exchange</w:t>
      </w:r>
      <w:r>
        <w:rPr/>
        <w:t> on which the company’s name is not correctly given</w:t>
      </w:r>
      <w:r>
        <w:rPr>
          <w:spacing w:val="-1"/>
        </w:rPr>
        <w:t> </w:t>
      </w:r>
      <w:r>
        <w:rPr>
          <w:color w:val="005DA1"/>
          <w:u w:val="single" w:color="005DA1"/>
          <w:vertAlign w:val="superscript"/>
        </w:rPr>
        <w:t>464</w:t>
      </w:r>
      <w:r>
        <w:rPr>
          <w:vertAlign w:val="baseline"/>
        </w:rPr>
        <w:t>; or to prevent a man from ejecting a </w:t>
      </w:r>
      <w:bookmarkStart w:name="_bookmark877" w:id="879"/>
      <w:bookmarkEnd w:id="879"/>
      <w:r>
        <w:rPr>
          <w:vertAlign w:val="baseline"/>
        </w:rPr>
        <w:t>woman,</w:t>
      </w:r>
      <w:r>
        <w:rPr>
          <w:vertAlign w:val="baseline"/>
        </w:rPr>
        <w:t> with whom he has been cohabitating, from the family home. </w:t>
      </w:r>
      <w:r>
        <w:rPr>
          <w:color w:val="005DA1"/>
          <w:u w:val="single" w:color="005DA1"/>
          <w:vertAlign w:val="superscript"/>
        </w:rPr>
        <w:t>465</w:t>
      </w:r>
      <w:r>
        <w:rPr>
          <w:color w:val="005DA1"/>
          <w:vertAlign w:val="baseline"/>
        </w:rPr>
        <w:t> </w:t>
      </w:r>
      <w:r>
        <w:rPr>
          <w:vertAlign w:val="baseline"/>
        </w:rPr>
        <w:t>On the other hand, it has</w:t>
      </w:r>
      <w:r>
        <w:rPr>
          <w:spacing w:val="40"/>
          <w:vertAlign w:val="baseline"/>
        </w:rPr>
        <w:t> </w:t>
      </w:r>
      <w:r>
        <w:rPr>
          <w:vertAlign w:val="baseline"/>
        </w:rPr>
        <w:t>been said that the doctrine has “no application as between landlord and trespasser.” </w:t>
      </w:r>
      <w:r>
        <w:rPr>
          <w:color w:val="005DA1"/>
          <w:u w:val="single" w:color="005DA1"/>
          <w:vertAlign w:val="superscript"/>
        </w:rPr>
        <w:t>466</w:t>
      </w:r>
      <w:r>
        <w:rPr>
          <w:color w:val="005DA1"/>
          <w:vertAlign w:val="baseline"/>
        </w:rPr>
        <w:t> </w:t>
      </w:r>
      <w:r>
        <w:rPr>
          <w:vertAlign w:val="baseline"/>
        </w:rPr>
        <w:t>Hence the </w:t>
      </w:r>
      <w:bookmarkStart w:name="_bookmark878" w:id="880"/>
      <w:bookmarkEnd w:id="880"/>
      <w:r>
        <w:rPr>
          <w:vertAlign w:val="baseline"/>
        </w:rPr>
        <w:t>mere</w:t>
      </w:r>
      <w:r>
        <w:rPr>
          <w:vertAlign w:val="baseline"/>
        </w:rPr>
        <w:t> fact that a landowner has for some time failed or neglected to enforce his rights against a </w:t>
      </w:r>
      <w:bookmarkStart w:name="_bookmark879" w:id="881"/>
      <w:bookmarkEnd w:id="881"/>
      <w:r>
        <w:rPr>
          <w:vertAlign w:val="baseline"/>
        </w:rPr>
        <w:t>trespasser</w:t>
      </w:r>
      <w:r>
        <w:rPr>
          <w:spacing w:val="-1"/>
          <w:vertAlign w:val="baseline"/>
        </w:rPr>
        <w:t> </w:t>
      </w:r>
      <w:r>
        <w:rPr>
          <w:vertAlign w:val="baseline"/>
        </w:rPr>
        <w:t>does</w:t>
      </w:r>
      <w:r>
        <w:rPr>
          <w:spacing w:val="-1"/>
          <w:vertAlign w:val="baseline"/>
        </w:rPr>
        <w:t> </w:t>
      </w:r>
      <w:r>
        <w:rPr>
          <w:vertAlign w:val="baseline"/>
        </w:rPr>
        <w:t>not</w:t>
      </w:r>
      <w:r>
        <w:rPr>
          <w:spacing w:val="-1"/>
          <w:vertAlign w:val="baseline"/>
        </w:rPr>
        <w:t> </w:t>
      </w:r>
      <w:r>
        <w:rPr>
          <w:vertAlign w:val="baseline"/>
        </w:rPr>
        <w:t>prevent</w:t>
      </w:r>
      <w:r>
        <w:rPr>
          <w:spacing w:val="-1"/>
          <w:vertAlign w:val="baseline"/>
        </w:rPr>
        <w:t> </w:t>
      </w:r>
      <w:r>
        <w:rPr>
          <w:vertAlign w:val="baseline"/>
        </w:rPr>
        <w:t>him</w:t>
      </w:r>
      <w:r>
        <w:rPr>
          <w:spacing w:val="-1"/>
          <w:vertAlign w:val="baseline"/>
        </w:rPr>
        <w:t> </w:t>
      </w:r>
      <w:r>
        <w:rPr>
          <w:vertAlign w:val="baseline"/>
        </w:rPr>
        <w:t>from</w:t>
      </w:r>
      <w:r>
        <w:rPr>
          <w:spacing w:val="-1"/>
          <w:vertAlign w:val="baseline"/>
        </w:rPr>
        <w:t> </w:t>
      </w:r>
      <w:r>
        <w:rPr>
          <w:vertAlign w:val="baseline"/>
        </w:rPr>
        <w:t>subsequently</w:t>
      </w:r>
      <w:r>
        <w:rPr>
          <w:spacing w:val="-1"/>
          <w:vertAlign w:val="baseline"/>
        </w:rPr>
        <w:t> </w:t>
      </w:r>
      <w:r>
        <w:rPr>
          <w:vertAlign w:val="baseline"/>
        </w:rPr>
        <w:t>doing</w:t>
      </w:r>
      <w:r>
        <w:rPr>
          <w:spacing w:val="-1"/>
          <w:vertAlign w:val="baseline"/>
        </w:rPr>
        <w:t> </w:t>
      </w:r>
      <w:r>
        <w:rPr>
          <w:vertAlign w:val="baseline"/>
        </w:rPr>
        <w:t>so</w:t>
      </w:r>
      <w:r>
        <w:rPr>
          <w:spacing w:val="-1"/>
          <w:vertAlign w:val="baseline"/>
        </w:rPr>
        <w:t> </w:t>
      </w:r>
      <w:r>
        <w:rPr>
          <w:vertAlign w:val="baseline"/>
        </w:rPr>
        <w:t>without</w:t>
      </w:r>
      <w:r>
        <w:rPr>
          <w:spacing w:val="-1"/>
          <w:vertAlign w:val="baseline"/>
        </w:rPr>
        <w:t> </w:t>
      </w:r>
      <w:r>
        <w:rPr>
          <w:vertAlign w:val="baseline"/>
        </w:rPr>
        <w:t>notice.</w:t>
      </w:r>
      <w:r>
        <w:rPr>
          <w:spacing w:val="-1"/>
          <w:vertAlign w:val="baseline"/>
        </w:rPr>
        <w:t> </w:t>
      </w:r>
      <w:r>
        <w:rPr>
          <w:color w:val="005DA1"/>
          <w:u w:val="single" w:color="005DA1"/>
          <w:vertAlign w:val="superscript"/>
        </w:rPr>
        <w:t>467</w:t>
      </w:r>
      <w:r>
        <w:rPr>
          <w:color w:val="005DA1"/>
          <w:spacing w:val="-1"/>
          <w:vertAlign w:val="baseline"/>
        </w:rPr>
        <w:t> </w:t>
      </w:r>
      <w:r>
        <w:rPr>
          <w:vertAlign w:val="baseline"/>
        </w:rPr>
        <w:t>The</w:t>
      </w:r>
      <w:r>
        <w:rPr>
          <w:spacing w:val="-1"/>
          <w:vertAlign w:val="baseline"/>
        </w:rPr>
        <w:t> </w:t>
      </w:r>
      <w:r>
        <w:rPr>
          <w:vertAlign w:val="baseline"/>
        </w:rPr>
        <w:t>doctrine</w:t>
      </w:r>
      <w:r>
        <w:rPr>
          <w:spacing w:val="-1"/>
          <w:vertAlign w:val="baseline"/>
        </w:rPr>
        <w:t> </w:t>
      </w:r>
      <w:r>
        <w:rPr>
          <w:vertAlign w:val="baseline"/>
        </w:rPr>
        <w:t>may</w:t>
      </w:r>
      <w:r>
        <w:rPr>
          <w:spacing w:val="-1"/>
          <w:vertAlign w:val="baseline"/>
        </w:rPr>
        <w:t> </w:t>
      </w:r>
      <w:r>
        <w:rPr>
          <w:vertAlign w:val="baseline"/>
        </w:rPr>
        <w:t>also be excluded in some situations by statute. Thus it has been held </w:t>
      </w:r>
      <w:r>
        <w:rPr>
          <w:color w:val="005DA1"/>
          <w:u w:val="single" w:color="005DA1"/>
          <w:vertAlign w:val="superscript"/>
        </w:rPr>
        <w:t>468</w:t>
      </w:r>
      <w:r>
        <w:rPr>
          <w:color w:val="005DA1"/>
          <w:vertAlign w:val="baseline"/>
        </w:rPr>
        <w:t> </w:t>
      </w:r>
      <w:r>
        <w:rPr>
          <w:vertAlign w:val="baseline"/>
        </w:rPr>
        <w:t>that estoppel or waiver could not </w:t>
      </w:r>
      <w:bookmarkStart w:name="_bookmark880" w:id="882"/>
      <w:bookmarkEnd w:id="882"/>
      <w:r>
        <w:rPr>
          <w:vertAlign w:val="baseline"/>
        </w:rPr>
        <w:t>preclude</w:t>
      </w:r>
      <w:r>
        <w:rPr>
          <w:vertAlign w:val="baseline"/>
        </w:rPr>
        <w:t> a man from withdrawing his consent to the use by a woman of his genetic material since the </w:t>
      </w:r>
      <w:bookmarkStart w:name="_bookmark881" w:id="883"/>
      <w:bookmarkEnd w:id="883"/>
      <w:r>
        <w:rPr>
          <w:vertAlign w:val="baseline"/>
        </w:rPr>
        <w:t>right</w:t>
      </w:r>
      <w:r>
        <w:rPr>
          <w:vertAlign w:val="baseline"/>
        </w:rPr>
        <w:t> to withdraw such consent was expressly given by statute </w:t>
      </w:r>
      <w:r>
        <w:rPr>
          <w:color w:val="005DA1"/>
          <w:u w:val="single" w:color="005DA1"/>
          <w:vertAlign w:val="superscript"/>
        </w:rPr>
        <w:t>469</w:t>
      </w:r>
      <w:r>
        <w:rPr>
          <w:color w:val="005DA1"/>
          <w:vertAlign w:val="baseline"/>
        </w:rPr>
        <w:t> </w:t>
      </w:r>
      <w:r>
        <w:rPr>
          <w:vertAlign w:val="baseline"/>
        </w:rPr>
        <w:t>and since the application of waiver or estoppel to limit that right “would conflict with the Parliamentary scheme.” </w:t>
      </w:r>
      <w:r>
        <w:rPr>
          <w:color w:val="005DA1"/>
          <w:u w:val="single" w:color="005DA1"/>
          <w:vertAlign w:val="superscript"/>
        </w:rPr>
        <w:t>470</w:t>
      </w:r>
    </w:p>
    <w:p>
      <w:pPr>
        <w:pStyle w:val="BodyText"/>
      </w:pPr>
    </w:p>
    <w:p>
      <w:pPr>
        <w:pStyle w:val="BodyText"/>
        <w:spacing w:before="33"/>
      </w:pPr>
    </w:p>
    <w:p>
      <w:pPr>
        <w:spacing w:before="0"/>
        <w:ind w:left="165" w:right="0" w:firstLine="0"/>
        <w:jc w:val="both"/>
        <w:rPr>
          <w:rFonts w:ascii="Arial"/>
          <w:b/>
          <w:sz w:val="18"/>
        </w:rPr>
      </w:pPr>
      <w:r>
        <w:rPr>
          <w:rFonts w:ascii="Arial"/>
          <w:b/>
          <w:sz w:val="18"/>
        </w:rPr>
        <w:t>Requirement of pre-existing legal </w:t>
      </w:r>
      <w:r>
        <w:rPr>
          <w:rFonts w:ascii="Arial"/>
          <w:b/>
          <w:spacing w:val="-2"/>
          <w:sz w:val="18"/>
        </w:rPr>
        <w:t>relationship</w:t>
      </w:r>
    </w:p>
    <w:p>
      <w:pPr>
        <w:pStyle w:val="BodyText"/>
        <w:spacing w:before="42"/>
        <w:rPr>
          <w:rFonts w:ascii="Arial"/>
          <w:b/>
          <w:sz w:val="18"/>
        </w:rPr>
      </w:pPr>
    </w:p>
    <w:p>
      <w:pPr>
        <w:pStyle w:val="Heading2"/>
      </w:pPr>
      <w:r>
        <w:rPr/>
        <w:t>4-</w:t>
      </w:r>
      <w:r>
        <w:rPr>
          <w:spacing w:val="-5"/>
        </w:rPr>
        <w:t>089</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882" w:id="884"/>
      <w:bookmarkEnd w:id="884"/>
      <w:r>
        <w:rPr>
          <w:rFonts w:ascii="Times New Roman"/>
          <w:spacing w:val="6"/>
        </w:rPr>
      </w:r>
      <w:r>
        <w:rPr/>
        <w:t>It</w:t>
      </w:r>
      <w:r>
        <w:rPr>
          <w:spacing w:val="-2"/>
        </w:rPr>
        <w:t> </w:t>
      </w:r>
      <w:r>
        <w:rPr/>
        <w:t>has,</w:t>
      </w:r>
      <w:r>
        <w:rPr>
          <w:spacing w:val="-2"/>
        </w:rPr>
        <w:t> </w:t>
      </w:r>
      <w:r>
        <w:rPr/>
        <w:t>indeed,</w:t>
      </w:r>
      <w:r>
        <w:rPr>
          <w:spacing w:val="-2"/>
        </w:rPr>
        <w:t> </w:t>
      </w:r>
      <w:r>
        <w:rPr/>
        <w:t>been</w:t>
      </w:r>
      <w:r>
        <w:rPr>
          <w:spacing w:val="-2"/>
        </w:rPr>
        <w:t> </w:t>
      </w:r>
      <w:r>
        <w:rPr/>
        <w:t>suggested</w:t>
      </w:r>
      <w:r>
        <w:rPr>
          <w:spacing w:val="-2"/>
        </w:rPr>
        <w:t> </w:t>
      </w:r>
      <w:r>
        <w:rPr/>
        <w:t>that</w:t>
      </w:r>
      <w:r>
        <w:rPr>
          <w:spacing w:val="-2"/>
        </w:rPr>
        <w:t> </w:t>
      </w:r>
      <w:r>
        <w:rPr/>
        <w:t>the</w:t>
      </w:r>
      <w:r>
        <w:rPr>
          <w:spacing w:val="-2"/>
        </w:rPr>
        <w:t> </w:t>
      </w:r>
      <w:r>
        <w:rPr/>
        <w:t>doctrine</w:t>
      </w:r>
      <w:r>
        <w:rPr>
          <w:spacing w:val="-2"/>
        </w:rPr>
        <w:t> </w:t>
      </w:r>
      <w:r>
        <w:rPr/>
        <w:t>can</w:t>
      </w:r>
      <w:r>
        <w:rPr>
          <w:spacing w:val="-2"/>
        </w:rPr>
        <w:t> </w:t>
      </w:r>
      <w:r>
        <w:rPr/>
        <w:t>apply</w:t>
      </w:r>
      <w:r>
        <w:rPr>
          <w:spacing w:val="-2"/>
        </w:rPr>
        <w:t> </w:t>
      </w:r>
      <w:r>
        <w:rPr/>
        <w:t>where,</w:t>
      </w:r>
      <w:r>
        <w:rPr>
          <w:spacing w:val="-2"/>
        </w:rPr>
        <w:t> </w:t>
      </w:r>
      <w:r>
        <w:rPr/>
        <w:t>before</w:t>
      </w:r>
      <w:r>
        <w:rPr>
          <w:spacing w:val="-2"/>
        </w:rPr>
        <w:t> </w:t>
      </w:r>
      <w:r>
        <w:rPr/>
        <w:t>the</w:t>
      </w:r>
      <w:r>
        <w:rPr>
          <w:spacing w:val="-2"/>
        </w:rPr>
        <w:t> </w:t>
      </w:r>
      <w:r>
        <w:rPr/>
        <w:t>making</w:t>
      </w:r>
      <w:r>
        <w:rPr>
          <w:spacing w:val="-2"/>
        </w:rPr>
        <w:t> </w:t>
      </w:r>
      <w:r>
        <w:rPr/>
        <w:t>of</w:t>
      </w:r>
      <w:r>
        <w:rPr>
          <w:spacing w:val="-2"/>
        </w:rPr>
        <w:t> </w:t>
      </w:r>
      <w:r>
        <w:rPr/>
        <w:t>the</w:t>
      </w:r>
      <w:r>
        <w:rPr>
          <w:spacing w:val="-2"/>
        </w:rPr>
        <w:t> </w:t>
      </w:r>
      <w:r>
        <w:rPr/>
        <w:t>promise or representation, there is no legal relationship giving rise to rights and duties between the parties, </w:t>
      </w:r>
      <w:r>
        <w:rPr>
          <w:color w:val="005DA1"/>
          <w:u w:val="single" w:color="005DA1"/>
          <w:vertAlign w:val="superscript"/>
        </w:rPr>
        <w:t>471</w:t>
      </w:r>
      <w:r>
        <w:rPr>
          <w:color w:val="005DA1"/>
          <w:vertAlign w:val="baseline"/>
        </w:rPr>
        <w:t> </w:t>
      </w:r>
      <w:r>
        <w:rPr>
          <w:vertAlign w:val="baseline"/>
        </w:rPr>
        <w:t>or where there is only a putative contract between them: e.g. where the promisee is induced to</w:t>
      </w:r>
      <w:r>
        <w:rPr>
          <w:spacing w:val="40"/>
          <w:vertAlign w:val="baseline"/>
        </w:rPr>
        <w:t> </w:t>
      </w:r>
      <w:bookmarkStart w:name="_bookmark883" w:id="885"/>
      <w:bookmarkEnd w:id="885"/>
      <w:r>
        <w:rPr>
          <w:vertAlign w:val="baseline"/>
        </w:rPr>
        <w:t>believe</w:t>
      </w:r>
      <w:r>
        <w:rPr>
          <w:spacing w:val="21"/>
          <w:vertAlign w:val="baseline"/>
        </w:rPr>
        <w:t> </w:t>
      </w:r>
      <w:r>
        <w:rPr>
          <w:vertAlign w:val="baseline"/>
        </w:rPr>
        <w:t>that</w:t>
      </w:r>
      <w:r>
        <w:rPr>
          <w:spacing w:val="23"/>
          <w:vertAlign w:val="baseline"/>
        </w:rPr>
        <w:t> </w:t>
      </w:r>
      <w:r>
        <w:rPr>
          <w:vertAlign w:val="baseline"/>
        </w:rPr>
        <w:t>a</w:t>
      </w:r>
      <w:r>
        <w:rPr>
          <w:spacing w:val="23"/>
          <w:vertAlign w:val="baseline"/>
        </w:rPr>
        <w:t> </w:t>
      </w:r>
      <w:r>
        <w:rPr>
          <w:vertAlign w:val="baseline"/>
        </w:rPr>
        <w:t>contract</w:t>
      </w:r>
      <w:r>
        <w:rPr>
          <w:spacing w:val="23"/>
          <w:vertAlign w:val="baseline"/>
        </w:rPr>
        <w:t> </w:t>
      </w:r>
      <w:r>
        <w:rPr>
          <w:vertAlign w:val="baseline"/>
        </w:rPr>
        <w:t>into</w:t>
      </w:r>
      <w:r>
        <w:rPr>
          <w:spacing w:val="23"/>
          <w:vertAlign w:val="baseline"/>
        </w:rPr>
        <w:t> </w:t>
      </w:r>
      <w:r>
        <w:rPr>
          <w:vertAlign w:val="baseline"/>
        </w:rPr>
        <w:t>which</w:t>
      </w:r>
      <w:r>
        <w:rPr>
          <w:spacing w:val="23"/>
          <w:vertAlign w:val="baseline"/>
        </w:rPr>
        <w:t> </w:t>
      </w:r>
      <w:r>
        <w:rPr>
          <w:vertAlign w:val="baseline"/>
        </w:rPr>
        <w:t>he</w:t>
      </w:r>
      <w:r>
        <w:rPr>
          <w:spacing w:val="23"/>
          <w:vertAlign w:val="baseline"/>
        </w:rPr>
        <w:t> </w:t>
      </w:r>
      <w:r>
        <w:rPr>
          <w:vertAlign w:val="baseline"/>
        </w:rPr>
        <w:t>had</w:t>
      </w:r>
      <w:r>
        <w:rPr>
          <w:spacing w:val="23"/>
          <w:vertAlign w:val="baseline"/>
        </w:rPr>
        <w:t> </w:t>
      </w:r>
      <w:r>
        <w:rPr>
          <w:vertAlign w:val="baseline"/>
        </w:rPr>
        <w:t>undoubtedly</w:t>
      </w:r>
      <w:r>
        <w:rPr>
          <w:spacing w:val="23"/>
          <w:vertAlign w:val="baseline"/>
        </w:rPr>
        <w:t> </w:t>
      </w:r>
      <w:r>
        <w:rPr>
          <w:vertAlign w:val="baseline"/>
        </w:rPr>
        <w:t>entered</w:t>
      </w:r>
      <w:r>
        <w:rPr>
          <w:spacing w:val="23"/>
          <w:vertAlign w:val="baseline"/>
        </w:rPr>
        <w:t> </w:t>
      </w:r>
      <w:r>
        <w:rPr>
          <w:vertAlign w:val="baseline"/>
        </w:rPr>
        <w:t>was</w:t>
      </w:r>
      <w:r>
        <w:rPr>
          <w:spacing w:val="23"/>
          <w:vertAlign w:val="baseline"/>
        </w:rPr>
        <w:t> </w:t>
      </w:r>
      <w:r>
        <w:rPr>
          <w:vertAlign w:val="baseline"/>
        </w:rPr>
        <w:t>between</w:t>
      </w:r>
      <w:r>
        <w:rPr>
          <w:spacing w:val="23"/>
          <w:vertAlign w:val="baseline"/>
        </w:rPr>
        <w:t> </w:t>
      </w:r>
      <w:r>
        <w:rPr>
          <w:vertAlign w:val="baseline"/>
        </w:rPr>
        <w:t>him</w:t>
      </w:r>
      <w:r>
        <w:rPr>
          <w:spacing w:val="23"/>
          <w:vertAlign w:val="baseline"/>
        </w:rPr>
        <w:t> </w:t>
      </w:r>
      <w:r>
        <w:rPr>
          <w:vertAlign w:val="baseline"/>
        </w:rPr>
        <w:t>and</w:t>
      </w:r>
      <w:r>
        <w:rPr>
          <w:spacing w:val="23"/>
          <w:vertAlign w:val="baseline"/>
        </w:rPr>
        <w:t> </w:t>
      </w:r>
      <w:r>
        <w:rPr>
          <w:vertAlign w:val="baseline"/>
        </w:rPr>
        <w:t>the</w:t>
      </w:r>
      <w:r>
        <w:rPr>
          <w:spacing w:val="23"/>
          <w:vertAlign w:val="baseline"/>
        </w:rPr>
        <w:t> </w:t>
      </w:r>
      <w:r>
        <w:rPr>
          <w:spacing w:val="-2"/>
          <w:vertAlign w:val="baseline"/>
        </w:rPr>
        <w:t>promisor,</w:t>
      </w:r>
    </w:p>
    <w:p>
      <w:pPr>
        <w:pStyle w:val="BodyText"/>
        <w:spacing w:line="235" w:lineRule="auto" w:before="119"/>
        <w:ind w:left="165" w:right="167"/>
        <w:jc w:val="both"/>
      </w:pPr>
      <w:r>
        <w:rPr/>
        <w:t>when in fact it was between the promisee and another person. </w:t>
      </w:r>
      <w:r>
        <w:rPr>
          <w:color w:val="005DA1"/>
          <w:u w:val="single" w:color="005DA1"/>
          <w:vertAlign w:val="superscript"/>
        </w:rPr>
        <w:t>472</w:t>
      </w:r>
      <w:r>
        <w:rPr>
          <w:color w:val="005DA1"/>
          <w:spacing w:val="80"/>
          <w:vertAlign w:val="baseline"/>
        </w:rPr>
        <w:t> </w:t>
      </w:r>
      <w:r>
        <w:rPr>
          <w:color w:val="005DA1"/>
          <w:spacing w:val="-3"/>
          <w:position w:val="-2"/>
          <w:vertAlign w:val="baseline"/>
        </w:rPr>
        <w:drawing>
          <wp:inline distT="0" distB="0" distL="0" distR="0">
            <wp:extent cx="107988" cy="107988"/>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color w:val="005DA1"/>
          <w:spacing w:val="-3"/>
          <w:vertAlign w:val="baseline"/>
        </w:rPr>
        <w:t> </w:t>
      </w:r>
      <w:r>
        <w:rPr>
          <w:vertAlign w:val="baseline"/>
        </w:rPr>
        <w:t>But it is submitted that these suggestions mistake the nature of the doctrine, which is to restrict the enforcement by the promisor </w:t>
      </w:r>
      <w:r>
        <w:rPr>
          <w:vertAlign w:val="baseline"/>
        </w:rPr>
        <w:t>of previously existing rights against the promisee. Such rights can arise only out of a legal relationship existing between these parties before the making of the promise or representation. To apply doctrine where there was no such relationship would contravene the rule (to be discussed in para.4-099</w:t>
      </w:r>
      <w:r>
        <w:rPr>
          <w:spacing w:val="40"/>
          <w:vertAlign w:val="baseline"/>
        </w:rPr>
        <w:t> </w:t>
      </w:r>
      <w:r>
        <w:rPr>
          <w:vertAlign w:val="baseline"/>
        </w:rPr>
        <w:t>below) that the doctrine creates no new rights.</w:t>
      </w:r>
    </w:p>
    <w:p>
      <w:pPr>
        <w:pStyle w:val="BodyText"/>
      </w:pPr>
    </w:p>
    <w:p>
      <w:pPr>
        <w:pStyle w:val="BodyText"/>
        <w:spacing w:before="36"/>
      </w:pPr>
    </w:p>
    <w:p>
      <w:pPr>
        <w:spacing w:before="0"/>
        <w:ind w:left="165" w:right="0" w:firstLine="0"/>
        <w:jc w:val="both"/>
        <w:rPr>
          <w:rFonts w:ascii="Arial"/>
          <w:b/>
          <w:sz w:val="18"/>
        </w:rPr>
      </w:pPr>
      <w:r>
        <w:rPr>
          <w:rFonts w:ascii="Arial"/>
          <w:b/>
          <w:sz w:val="18"/>
        </w:rPr>
        <w:t>A promise or </w:t>
      </w:r>
      <w:r>
        <w:rPr>
          <w:rFonts w:ascii="Arial"/>
          <w:b/>
          <w:spacing w:val="-2"/>
          <w:sz w:val="18"/>
        </w:rPr>
        <w:t>representation</w:t>
      </w:r>
    </w:p>
    <w:p>
      <w:pPr>
        <w:pStyle w:val="BodyText"/>
        <w:spacing w:before="41"/>
        <w:rPr>
          <w:rFonts w:ascii="Arial"/>
          <w:b/>
          <w:sz w:val="18"/>
        </w:rPr>
      </w:pPr>
    </w:p>
    <w:p>
      <w:pPr>
        <w:pStyle w:val="Heading2"/>
        <w:spacing w:before="1"/>
      </w:pPr>
      <w:r>
        <w:rPr/>
        <w:t>4-</w:t>
      </w:r>
      <w:r>
        <w:rPr>
          <w:spacing w:val="-5"/>
        </w:rPr>
        <w:t>090</w:t>
      </w:r>
    </w:p>
    <w:p>
      <w:pPr>
        <w:pStyle w:val="BodyText"/>
        <w:spacing w:line="235" w:lineRule="auto" w:before="202"/>
        <w:ind w:left="164" w:right="167"/>
        <w:jc w:val="both"/>
      </w:pPr>
      <w:bookmarkStart w:name="_bookmark884" w:id="886"/>
      <w:bookmarkEnd w:id="886"/>
      <w:r>
        <w:rPr/>
      </w:r>
      <w:bookmarkStart w:name="_bookmark885" w:id="887"/>
      <w:bookmarkEnd w:id="887"/>
      <w:r>
        <w:rPr/>
      </w:r>
      <w:r>
        <w:rPr/>
        <w:t>There must, next, be a promise (or an assurance or representation in the nature of a promise </w:t>
      </w:r>
      <w:r>
        <w:rPr>
          <w:color w:val="005DA1"/>
          <w:u w:val="single" w:color="005DA1"/>
          <w:vertAlign w:val="superscript"/>
        </w:rPr>
        <w:t>473</w:t>
      </w:r>
      <w:r>
        <w:rPr>
          <w:vertAlign w:val="baseline"/>
        </w:rPr>
        <w:t>) </w:t>
      </w:r>
      <w:bookmarkStart w:name="_bookmark886" w:id="888"/>
      <w:bookmarkEnd w:id="888"/>
      <w:r>
        <w:rPr>
          <w:vertAlign w:val="baseline"/>
        </w:rPr>
        <w:t>which</w:t>
      </w:r>
      <w:r>
        <w:rPr>
          <w:vertAlign w:val="baseline"/>
        </w:rPr>
        <w:t> is intended to affect the legal relationship between the parties </w:t>
      </w:r>
      <w:r>
        <w:rPr>
          <w:color w:val="005DA1"/>
          <w:u w:val="single" w:color="005DA1"/>
          <w:vertAlign w:val="superscript"/>
        </w:rPr>
        <w:t>474</w:t>
      </w:r>
      <w:r>
        <w:rPr>
          <w:color w:val="005DA1"/>
          <w:vertAlign w:val="baseline"/>
        </w:rPr>
        <w:t> </w:t>
      </w:r>
      <w:r>
        <w:rPr>
          <w:vertAlign w:val="baseline"/>
        </w:rPr>
        <w:t>and which indicates that </w:t>
      </w:r>
      <w:r>
        <w:rPr>
          <w:vertAlign w:val="baseline"/>
        </w:rPr>
        <w:t>the promisor will not insist on his strict legal rights, </w:t>
      </w:r>
      <w:r>
        <w:rPr>
          <w:color w:val="005DA1"/>
          <w:u w:val="single" w:color="005DA1"/>
          <w:vertAlign w:val="superscript"/>
        </w:rPr>
        <w:t>475</w:t>
      </w:r>
      <w:r>
        <w:rPr>
          <w:color w:val="005DA1"/>
          <w:vertAlign w:val="baseline"/>
        </w:rPr>
        <w:t> </w:t>
      </w:r>
      <w:r>
        <w:rPr>
          <w:vertAlign w:val="baseline"/>
        </w:rPr>
        <w:t>arising out of that relationship, against the </w:t>
      </w:r>
      <w:bookmarkStart w:name="_bookmark887" w:id="889"/>
      <w:bookmarkEnd w:id="889"/>
      <w:r>
        <w:rPr>
          <w:vertAlign w:val="baseline"/>
        </w:rPr>
        <w:t>promisee.</w:t>
      </w:r>
      <w:r>
        <w:rPr>
          <w:vertAlign w:val="baseline"/>
        </w:rPr>
        <w:t> Here, as elsewhere, the law applies an objective test. It is enough if the promise induces the promisee reasonably to believe that the other party will not insist on his strict legal rights. </w:t>
      </w:r>
      <w:r>
        <w:rPr>
          <w:color w:val="005DA1"/>
          <w:u w:val="single" w:color="005DA1"/>
          <w:vertAlign w:val="superscript"/>
        </w:rPr>
        <w:t>476</w:t>
      </w:r>
      <w:r>
        <w:rPr>
          <w:color w:val="005DA1"/>
          <w:vertAlign w:val="baseline"/>
        </w:rPr>
        <w:t> </w:t>
      </w:r>
      <w:r>
        <w:rPr>
          <w:vertAlign w:val="baseline"/>
        </w:rPr>
        <w:t>A mere threat to do something is not sufficient, nor, probably, is a representation or promise by a</w:t>
      </w:r>
      <w:r>
        <w:rPr>
          <w:spacing w:val="80"/>
          <w:vertAlign w:val="baseline"/>
        </w:rPr>
        <w:t> </w:t>
      </w:r>
      <w:r>
        <w:rPr>
          <w:vertAlign w:val="baseline"/>
        </w:rPr>
        <w:t>person that he will </w:t>
      </w:r>
      <w:r>
        <w:rPr>
          <w:rFonts w:ascii="Arial"/>
          <w:i/>
          <w:vertAlign w:val="baseline"/>
        </w:rPr>
        <w:t>enforce </w:t>
      </w:r>
      <w:r>
        <w:rPr>
          <w:vertAlign w:val="baseline"/>
        </w:rPr>
        <w:t>a legal right: thus the doctrine does not apply where A tells B that he will </w:t>
      </w:r>
      <w:bookmarkStart w:name="_bookmark888" w:id="890"/>
      <w:bookmarkEnd w:id="890"/>
      <w:r>
        <w:rPr>
          <w:vertAlign w:val="baseline"/>
        </w:rPr>
        <w:t>exercise</w:t>
      </w:r>
      <w:r>
        <w:rPr>
          <w:vertAlign w:val="baseline"/>
        </w:rPr>
        <w:t> his right to cancel a contract between them unless by a specified date B has paid sums due under the contract to A. </w:t>
      </w:r>
      <w:r>
        <w:rPr>
          <w:color w:val="005DA1"/>
          <w:u w:val="single" w:color="005DA1"/>
          <w:vertAlign w:val="superscript"/>
        </w:rPr>
        <w:t>477</w:t>
      </w:r>
    </w:p>
    <w:p>
      <w:pPr>
        <w:pStyle w:val="BodyText"/>
      </w:pPr>
    </w:p>
    <w:p>
      <w:pPr>
        <w:pStyle w:val="BodyText"/>
        <w:spacing w:before="35"/>
      </w:pPr>
    </w:p>
    <w:p>
      <w:pPr>
        <w:spacing w:before="0"/>
        <w:ind w:left="164" w:right="0" w:firstLine="0"/>
        <w:jc w:val="left"/>
        <w:rPr>
          <w:rFonts w:ascii="Arial" w:hAnsi="Arial"/>
          <w:b/>
          <w:sz w:val="18"/>
        </w:rPr>
      </w:pPr>
      <w:r>
        <w:rPr>
          <w:rFonts w:ascii="Arial" w:hAnsi="Arial"/>
          <w:b/>
          <w:sz w:val="18"/>
        </w:rPr>
        <w:t>The promise or representation must be “clear” or </w:t>
      </w:r>
      <w:r>
        <w:rPr>
          <w:rFonts w:ascii="Arial" w:hAnsi="Arial"/>
          <w:b/>
          <w:spacing w:val="-2"/>
          <w:sz w:val="18"/>
        </w:rPr>
        <w:t>“unequivocal”</w:t>
      </w:r>
    </w:p>
    <w:p>
      <w:pPr>
        <w:pStyle w:val="BodyText"/>
        <w:spacing w:before="42"/>
        <w:rPr>
          <w:rFonts w:ascii="Arial"/>
          <w:b/>
          <w:sz w:val="18"/>
        </w:rPr>
      </w:pPr>
    </w:p>
    <w:p>
      <w:pPr>
        <w:pStyle w:val="Heading2"/>
        <w:ind w:left="164"/>
      </w:pPr>
      <w:r>
        <w:rPr/>
        <w:t>4-</w:t>
      </w:r>
      <w:r>
        <w:rPr>
          <w:spacing w:val="-5"/>
        </w:rPr>
        <w:t>091</w:t>
      </w:r>
    </w:p>
    <w:p>
      <w:pPr>
        <w:pStyle w:val="BodyText"/>
        <w:spacing w:before="88"/>
        <w:rPr>
          <w:rFonts w:ascii="Arial"/>
          <w:b/>
        </w:rPr>
      </w:pPr>
    </w:p>
    <w:p>
      <w:pPr>
        <w:pStyle w:val="BodyText"/>
        <w:spacing w:line="360" w:lineRule="auto" w:before="1"/>
        <w:ind w:left="165" w:right="167"/>
        <w:jc w:val="both"/>
      </w:pPr>
      <w:r>
        <w:rPr>
          <w:position w:val="-2"/>
        </w:rPr>
        <w:drawing>
          <wp:inline distT="0" distB="0" distL="0" distR="0">
            <wp:extent cx="107988" cy="107988"/>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34"/>
        </w:rPr>
        <w:t> </w:t>
      </w:r>
      <w:bookmarkStart w:name="_bookmark889" w:id="891"/>
      <w:bookmarkEnd w:id="891"/>
      <w:r>
        <w:rPr>
          <w:rFonts w:ascii="Times New Roman" w:hAnsi="Times New Roman"/>
          <w:spacing w:val="-14"/>
        </w:rPr>
      </w:r>
      <w:r>
        <w:rPr/>
        <w:t>The promise or representation must be “clear” or “unequivocal,” or “precise and unambiguous.” </w:t>
      </w:r>
      <w:bookmarkStart w:name="_bookmark890" w:id="892"/>
      <w:bookmarkEnd w:id="892"/>
      <w:r>
        <w:rPr/>
        <w:t>This</w:t>
      </w:r>
      <w:r>
        <w:rPr>
          <w:spacing w:val="17"/>
        </w:rPr>
        <w:t> </w:t>
      </w:r>
      <w:r>
        <w:rPr/>
        <w:t>requirement</w:t>
      </w:r>
      <w:r>
        <w:rPr>
          <w:spacing w:val="18"/>
        </w:rPr>
        <w:t> </w:t>
      </w:r>
      <w:r>
        <w:rPr/>
        <w:t>seems</w:t>
      </w:r>
      <w:r>
        <w:rPr>
          <w:spacing w:val="18"/>
        </w:rPr>
        <w:t> </w:t>
      </w:r>
      <w:r>
        <w:rPr/>
        <w:t>to</w:t>
      </w:r>
      <w:r>
        <w:rPr>
          <w:spacing w:val="18"/>
        </w:rPr>
        <w:t> </w:t>
      </w:r>
      <w:r>
        <w:rPr/>
        <w:t>have</w:t>
      </w:r>
      <w:r>
        <w:rPr>
          <w:spacing w:val="18"/>
        </w:rPr>
        <w:t> </w:t>
      </w:r>
      <w:r>
        <w:rPr/>
        <w:t>originated</w:t>
      </w:r>
      <w:r>
        <w:rPr>
          <w:spacing w:val="18"/>
        </w:rPr>
        <w:t> </w:t>
      </w:r>
      <w:r>
        <w:rPr/>
        <w:t>in</w:t>
      </w:r>
      <w:r>
        <w:rPr>
          <w:spacing w:val="18"/>
        </w:rPr>
        <w:t> </w:t>
      </w:r>
      <w:r>
        <w:rPr/>
        <w:t>the</w:t>
      </w:r>
      <w:r>
        <w:rPr>
          <w:spacing w:val="18"/>
        </w:rPr>
        <w:t> </w:t>
      </w:r>
      <w:r>
        <w:rPr/>
        <w:t>law</w:t>
      </w:r>
      <w:r>
        <w:rPr>
          <w:spacing w:val="18"/>
        </w:rPr>
        <w:t> </w:t>
      </w:r>
      <w:r>
        <w:rPr/>
        <w:t>relating</w:t>
      </w:r>
      <w:r>
        <w:rPr>
          <w:spacing w:val="18"/>
        </w:rPr>
        <w:t> </w:t>
      </w:r>
      <w:r>
        <w:rPr/>
        <w:t>to</w:t>
      </w:r>
      <w:r>
        <w:rPr>
          <w:spacing w:val="18"/>
        </w:rPr>
        <w:t> </w:t>
      </w:r>
      <w:r>
        <w:rPr/>
        <w:t>estoppel</w:t>
      </w:r>
      <w:r>
        <w:rPr>
          <w:spacing w:val="18"/>
        </w:rPr>
        <w:t> </w:t>
      </w:r>
      <w:r>
        <w:rPr/>
        <w:t>by</w:t>
      </w:r>
      <w:r>
        <w:rPr>
          <w:spacing w:val="18"/>
        </w:rPr>
        <w:t> </w:t>
      </w:r>
      <w:r>
        <w:rPr/>
        <w:t>representation</w:t>
      </w:r>
      <w:r>
        <w:rPr>
          <w:spacing w:val="17"/>
        </w:rPr>
        <w:t> </w:t>
      </w:r>
      <w:r>
        <w:rPr>
          <w:color w:val="005DA1"/>
          <w:u w:val="single" w:color="005DA1"/>
          <w:vertAlign w:val="superscript"/>
        </w:rPr>
        <w:t>478</w:t>
      </w:r>
      <w:r>
        <w:rPr>
          <w:color w:val="005DA1"/>
          <w:spacing w:val="55"/>
          <w:vertAlign w:val="baseline"/>
        </w:rPr>
        <w:t>  </w:t>
      </w:r>
      <w:r>
        <w:rPr>
          <w:color w:val="005DA1"/>
          <w:spacing w:val="2"/>
          <w:position w:val="-2"/>
          <w:vertAlign w:val="baseline"/>
        </w:rPr>
        <w:drawing>
          <wp:inline distT="0" distB="0" distL="0" distR="0">
            <wp:extent cx="107988" cy="107988"/>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spacing w:val="-12"/>
          <w:vertAlign w:val="baseline"/>
        </w:rPr>
        <w:t>;</w:t>
      </w:r>
    </w:p>
    <w:p>
      <w:pPr>
        <w:pStyle w:val="BodyText"/>
        <w:spacing w:line="235" w:lineRule="auto" w:before="3"/>
        <w:ind w:left="164" w:right="167"/>
        <w:jc w:val="both"/>
      </w:pPr>
      <w:bookmarkStart w:name="_bookmark891" w:id="893"/>
      <w:bookmarkEnd w:id="893"/>
      <w:r>
        <w:rPr/>
      </w:r>
      <w:r>
        <w:rPr/>
        <w:t>and it is now frequently stated in relation to “waiver” </w:t>
      </w:r>
      <w:r>
        <w:rPr>
          <w:color w:val="005DA1"/>
          <w:u w:val="single" w:color="005DA1"/>
          <w:vertAlign w:val="superscript"/>
        </w:rPr>
        <w:t>479</w:t>
      </w:r>
      <w:r>
        <w:rPr>
          <w:color w:val="005DA1"/>
          <w:vertAlign w:val="baseline"/>
        </w:rPr>
        <w:t> </w:t>
      </w:r>
      <w:r>
        <w:rPr>
          <w:vertAlign w:val="baseline"/>
        </w:rPr>
        <w:t>and “promissory estoppel.” </w:t>
      </w:r>
      <w:r>
        <w:rPr>
          <w:color w:val="005DA1"/>
          <w:u w:val="single" w:color="005DA1"/>
          <w:vertAlign w:val="superscript"/>
        </w:rPr>
        <w:t>480</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36"/>
          <w:vertAlign w:val="baseline"/>
        </w:rPr>
        <w:t> </w:t>
      </w:r>
      <w:r>
        <w:rPr>
          <w:vertAlign w:val="baseline"/>
        </w:rPr>
        <w:t>It does </w:t>
      </w:r>
      <w:r>
        <w:rPr>
          <w:vertAlign w:val="baseline"/>
        </w:rPr>
        <w:t>not </w:t>
      </w:r>
      <w:bookmarkStart w:name="_bookmark892" w:id="894"/>
      <w:bookmarkEnd w:id="894"/>
      <w:r>
        <w:rPr>
          <w:vertAlign w:val="baseline"/>
        </w:rPr>
        <w:t>mean</w:t>
      </w:r>
      <w:r>
        <w:rPr>
          <w:vertAlign w:val="baseline"/>
        </w:rPr>
        <w:t> that the promise or representation must be express </w:t>
      </w:r>
      <w:r>
        <w:rPr>
          <w:color w:val="005DA1"/>
          <w:u w:val="single" w:color="005DA1"/>
          <w:vertAlign w:val="superscript"/>
        </w:rPr>
        <w:t>481</w:t>
      </w:r>
      <w:r>
        <w:rPr>
          <w:vertAlign w:val="baseline"/>
        </w:rPr>
        <w:t>; it may equally well be implied. For example, in </w:t>
      </w:r>
      <w:r>
        <w:rPr>
          <w:rFonts w:ascii="Arial" w:hAnsi="Arial"/>
          <w:i/>
          <w:vertAlign w:val="baseline"/>
        </w:rPr>
        <w:t>Hughes v Metropolitan Ry</w:t>
      </w:r>
      <w:r>
        <w:rPr>
          <w:vertAlign w:val="baseline"/>
        </w:rPr>
        <w:t>. </w:t>
      </w:r>
      <w:r>
        <w:rPr>
          <w:color w:val="005DA1"/>
          <w:u w:val="single" w:color="005DA1"/>
          <w:vertAlign w:val="superscript"/>
        </w:rPr>
        <w:t>482</w:t>
      </w:r>
      <w:r>
        <w:rPr>
          <w:color w:val="005DA1"/>
          <w:vertAlign w:val="baseline"/>
        </w:rPr>
        <w:t> </w:t>
      </w:r>
      <w:r>
        <w:rPr>
          <w:vertAlign w:val="baseline"/>
        </w:rPr>
        <w:t>itself the landlord made no express promise that he would not enforce his right to forfeit the lease; but an implication of such a promise fairly arose from the course</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negotiations</w:t>
      </w:r>
      <w:r>
        <w:rPr>
          <w:spacing w:val="15"/>
          <w:vertAlign w:val="baseline"/>
        </w:rPr>
        <w:t> </w:t>
      </w:r>
      <w:r>
        <w:rPr>
          <w:vertAlign w:val="baseline"/>
        </w:rPr>
        <w:t>between</w:t>
      </w:r>
      <w:r>
        <w:rPr>
          <w:spacing w:val="15"/>
          <w:vertAlign w:val="baseline"/>
        </w:rPr>
        <w:t> </w:t>
      </w:r>
      <w:r>
        <w:rPr>
          <w:vertAlign w:val="baseline"/>
        </w:rPr>
        <w:t>the</w:t>
      </w:r>
      <w:r>
        <w:rPr>
          <w:spacing w:val="15"/>
          <w:vertAlign w:val="baseline"/>
        </w:rPr>
        <w:t> </w:t>
      </w:r>
      <w:r>
        <w:rPr>
          <w:vertAlign w:val="baseline"/>
        </w:rPr>
        <w:t>parties.</w:t>
      </w:r>
      <w:r>
        <w:rPr>
          <w:spacing w:val="15"/>
          <w:vertAlign w:val="baseline"/>
        </w:rPr>
        <w:t> </w:t>
      </w:r>
      <w:r>
        <w:rPr>
          <w:vertAlign w:val="baseline"/>
        </w:rPr>
        <w:t>There</w:t>
      </w:r>
      <w:r>
        <w:rPr>
          <w:spacing w:val="15"/>
          <w:vertAlign w:val="baseline"/>
        </w:rPr>
        <w:t> </w:t>
      </w:r>
      <w:r>
        <w:rPr>
          <w:vertAlign w:val="baseline"/>
        </w:rPr>
        <w:t>is</w:t>
      </w:r>
      <w:r>
        <w:rPr>
          <w:spacing w:val="15"/>
          <w:vertAlign w:val="baseline"/>
        </w:rPr>
        <w:t> </w:t>
      </w:r>
      <w:r>
        <w:rPr>
          <w:vertAlign w:val="baseline"/>
        </w:rPr>
        <w:t>some</w:t>
      </w:r>
      <w:r>
        <w:rPr>
          <w:spacing w:val="15"/>
          <w:vertAlign w:val="baseline"/>
        </w:rPr>
        <w:t> </w:t>
      </w:r>
      <w:r>
        <w:rPr>
          <w:vertAlign w:val="baseline"/>
        </w:rPr>
        <w:t>support</w:t>
      </w:r>
      <w:r>
        <w:rPr>
          <w:spacing w:val="15"/>
          <w:vertAlign w:val="baseline"/>
        </w:rPr>
        <w:t> </w:t>
      </w:r>
      <w:r>
        <w:rPr>
          <w:vertAlign w:val="baseline"/>
        </w:rPr>
        <w:t>for</w:t>
      </w:r>
      <w:r>
        <w:rPr>
          <w:spacing w:val="15"/>
          <w:vertAlign w:val="baseline"/>
        </w:rPr>
        <w:t> </w:t>
      </w:r>
      <w:r>
        <w:rPr>
          <w:vertAlign w:val="baseline"/>
        </w:rPr>
        <w:t>the</w:t>
      </w:r>
      <w:r>
        <w:rPr>
          <w:spacing w:val="15"/>
          <w:vertAlign w:val="baseline"/>
        </w:rPr>
        <w:t> </w:t>
      </w:r>
      <w:r>
        <w:rPr>
          <w:vertAlign w:val="baseline"/>
        </w:rPr>
        <w:t>view</w:t>
      </w:r>
      <w:r>
        <w:rPr>
          <w:spacing w:val="15"/>
          <w:vertAlign w:val="baseline"/>
        </w:rPr>
        <w:t> </w:t>
      </w:r>
      <w:r>
        <w:rPr>
          <w:vertAlign w:val="baseline"/>
        </w:rPr>
        <w:t>that</w:t>
      </w:r>
      <w:r>
        <w:rPr>
          <w:spacing w:val="15"/>
          <w:vertAlign w:val="baseline"/>
        </w:rPr>
        <w:t> </w:t>
      </w:r>
      <w:r>
        <w:rPr>
          <w:vertAlign w:val="baseline"/>
        </w:rPr>
        <w:t>the</w:t>
      </w:r>
      <w:r>
        <w:rPr>
          <w:spacing w:val="15"/>
          <w:vertAlign w:val="baseline"/>
        </w:rPr>
        <w:t> </w:t>
      </w:r>
      <w:r>
        <w:rPr>
          <w:spacing w:val="-2"/>
          <w:vertAlign w:val="baseline"/>
        </w:rPr>
        <w:t>promise</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bookmarkStart w:name="_bookmark893" w:id="895"/>
      <w:bookmarkEnd w:id="895"/>
      <w:r>
        <w:rPr/>
      </w:r>
      <w:r>
        <w:rPr/>
        <w:t>must have the same degree of certainty as would be needed to give it contractual effect if it were </w:t>
      </w:r>
      <w:bookmarkStart w:name="_bookmark894" w:id="896"/>
      <w:bookmarkEnd w:id="896"/>
      <w:r>
        <w:rPr/>
        <w:t>supported</w:t>
      </w:r>
      <w:r>
        <w:rPr/>
        <w:t> by consideration. </w:t>
      </w:r>
      <w:r>
        <w:rPr>
          <w:color w:val="005DA1"/>
          <w:u w:val="single" w:color="005DA1"/>
          <w:vertAlign w:val="superscript"/>
        </w:rPr>
        <w:t>483</w:t>
      </w:r>
      <w:r>
        <w:rPr>
          <w:color w:val="005DA1"/>
          <w:vertAlign w:val="baseline"/>
        </w:rPr>
        <w:t> </w:t>
      </w:r>
      <w:r>
        <w:rPr>
          <w:vertAlign w:val="baseline"/>
        </w:rPr>
        <w:t>Thus if the statement could not have had contractual force because it </w:t>
      </w:r>
      <w:bookmarkStart w:name="_bookmark895" w:id="897"/>
      <w:bookmarkEnd w:id="897"/>
      <w:r>
        <w:rPr>
          <w:vertAlign w:val="baseline"/>
        </w:rPr>
        <w:t>was</w:t>
      </w:r>
      <w:r>
        <w:rPr>
          <w:vertAlign w:val="baseline"/>
        </w:rPr>
        <w:t> too vague, </w:t>
      </w:r>
      <w:r>
        <w:rPr>
          <w:color w:val="005DA1"/>
          <w:u w:val="single" w:color="005DA1"/>
          <w:vertAlign w:val="superscript"/>
        </w:rPr>
        <w:t>484</w:t>
      </w:r>
      <w:r>
        <w:rPr>
          <w:color w:val="005DA1"/>
          <w:vertAlign w:val="baseline"/>
        </w:rPr>
        <w:t> </w:t>
      </w:r>
      <w:r>
        <w:rPr>
          <w:vertAlign w:val="baseline"/>
        </w:rPr>
        <w:t>or if it was insufficiently precise to amount to an offer, </w:t>
      </w:r>
      <w:r>
        <w:rPr>
          <w:color w:val="005DA1"/>
          <w:u w:val="single" w:color="005DA1"/>
          <w:vertAlign w:val="superscript"/>
        </w:rPr>
        <w:t>485</w:t>
      </w:r>
      <w:r>
        <w:rPr>
          <w:color w:val="005DA1"/>
          <w:vertAlign w:val="baseline"/>
        </w:rPr>
        <w:t> </w:t>
      </w:r>
      <w:r>
        <w:rPr>
          <w:vertAlign w:val="baseline"/>
        </w:rPr>
        <w:t>or if it did not amount to an unqualified acceptance, </w:t>
      </w:r>
      <w:r>
        <w:rPr>
          <w:color w:val="005DA1"/>
          <w:u w:val="single" w:color="005DA1"/>
          <w:vertAlign w:val="superscript"/>
        </w:rPr>
        <w:t>486</w:t>
      </w:r>
      <w:r>
        <w:rPr>
          <w:color w:val="005DA1"/>
          <w:vertAlign w:val="baseline"/>
        </w:rPr>
        <w:t> </w:t>
      </w:r>
      <w:r>
        <w:rPr>
          <w:vertAlign w:val="baseline"/>
        </w:rPr>
        <w:t>it will not bring the equitable doctrine into operation. </w:t>
      </w:r>
      <w:r>
        <w:rPr>
          <w:color w:val="005DA1"/>
          <w:u w:val="single" w:color="005DA1"/>
          <w:vertAlign w:val="superscript"/>
        </w:rPr>
        <w:t>487</w:t>
      </w:r>
    </w:p>
    <w:p>
      <w:pPr>
        <w:pStyle w:val="BodyText"/>
        <w:spacing w:before="79"/>
      </w:pPr>
    </w:p>
    <w:p>
      <w:pPr>
        <w:pStyle w:val="Heading2"/>
        <w:spacing w:before="1"/>
      </w:pPr>
      <w:r>
        <w:rPr/>
        <w:t>4-</w:t>
      </w:r>
      <w:r>
        <w:rPr>
          <w:spacing w:val="-5"/>
        </w:rPr>
        <w:t>092</w:t>
      </w:r>
    </w:p>
    <w:p>
      <w:pPr>
        <w:pStyle w:val="BodyText"/>
        <w:spacing w:line="235" w:lineRule="auto" w:before="202"/>
        <w:ind w:left="164" w:right="167"/>
        <w:jc w:val="both"/>
      </w:pPr>
      <w:r>
        <w:rPr/>
        <w:t>The purpose of the requirement that the promise or representation must be “clear” or “unequivocal” </w:t>
      </w:r>
      <w:r>
        <w:rPr/>
        <w:t>is </w:t>
      </w:r>
      <w:bookmarkStart w:name="_bookmark896" w:id="898"/>
      <w:bookmarkEnd w:id="898"/>
      <w:r>
        <w:rPr/>
        <w:t>to</w:t>
      </w:r>
      <w:r>
        <w:rPr/>
        <w:t> prevent a party from losing his legal rights under a contract merely because he has granted some indulgence by failing to insist throughout on strict performance of the contract </w:t>
      </w:r>
      <w:r>
        <w:rPr>
          <w:color w:val="005DA1"/>
          <w:u w:val="single" w:color="005DA1"/>
          <w:vertAlign w:val="superscript"/>
        </w:rPr>
        <w:t>488</w:t>
      </w:r>
      <w:r>
        <w:rPr>
          <w:vertAlign w:val="baseline"/>
        </w:rPr>
        <w:t>; or merely because </w:t>
      </w:r>
      <w:bookmarkStart w:name="_bookmark897" w:id="899"/>
      <w:bookmarkEnd w:id="899"/>
      <w:r>
        <w:rPr>
          <w:vertAlign w:val="baseline"/>
        </w:rPr>
        <w:t>he</w:t>
      </w:r>
      <w:r>
        <w:rPr>
          <w:vertAlign w:val="baseline"/>
        </w:rPr>
        <w:t> has offered some concession in the course of negotiations for the settlement of a dispute arising </w:t>
      </w:r>
      <w:bookmarkStart w:name="_bookmark898" w:id="900"/>
      <w:bookmarkEnd w:id="900"/>
      <w:r>
        <w:rPr>
          <w:vertAlign w:val="baseline"/>
        </w:rPr>
        <w:t>out</w:t>
      </w:r>
      <w:r>
        <w:rPr>
          <w:vertAlign w:val="baseline"/>
        </w:rPr>
        <w:t> of the contract </w:t>
      </w:r>
      <w:r>
        <w:rPr>
          <w:color w:val="005DA1"/>
          <w:u w:val="single" w:color="005DA1"/>
          <w:vertAlign w:val="superscript"/>
        </w:rPr>
        <w:t>489</w:t>
      </w:r>
      <w:r>
        <w:rPr>
          <w:color w:val="005DA1"/>
          <w:vertAlign w:val="baseline"/>
        </w:rPr>
        <w:t> </w:t>
      </w:r>
      <w:r>
        <w:rPr>
          <w:vertAlign w:val="baseline"/>
        </w:rPr>
        <w:t>or merely because he has declared his willingness to continue such </w:t>
      </w:r>
      <w:bookmarkStart w:name="_bookmark899" w:id="901"/>
      <w:bookmarkEnd w:id="901"/>
      <w:r>
        <w:rPr>
          <w:vertAlign w:val="baseline"/>
        </w:rPr>
        <w:t>negotiations.</w:t>
      </w:r>
      <w:r>
        <w:rPr>
          <w:spacing w:val="-3"/>
          <w:vertAlign w:val="baseline"/>
        </w:rPr>
        <w:t> </w:t>
      </w:r>
      <w:r>
        <w:rPr>
          <w:color w:val="005DA1"/>
          <w:u w:val="single" w:color="005DA1"/>
          <w:vertAlign w:val="superscript"/>
        </w:rPr>
        <w:t>490</w:t>
      </w:r>
      <w:r>
        <w:rPr>
          <w:color w:val="005DA1"/>
          <w:spacing w:val="-3"/>
          <w:vertAlign w:val="baseline"/>
        </w:rPr>
        <w:t> </w:t>
      </w:r>
      <w:r>
        <w:rPr>
          <w:vertAlign w:val="baseline"/>
        </w:rPr>
        <w:t>Thus</w:t>
      </w:r>
      <w:r>
        <w:rPr>
          <w:spacing w:val="-2"/>
          <w:vertAlign w:val="baseline"/>
        </w:rPr>
        <w:t> </w:t>
      </w:r>
      <w:r>
        <w:rPr>
          <w:vertAlign w:val="baseline"/>
        </w:rPr>
        <w:t>the</w:t>
      </w:r>
      <w:r>
        <w:rPr>
          <w:spacing w:val="-2"/>
          <w:vertAlign w:val="baseline"/>
        </w:rPr>
        <w:t> </w:t>
      </w:r>
      <w:r>
        <w:rPr>
          <w:vertAlign w:val="baseline"/>
        </w:rPr>
        <w:t>requirement</w:t>
      </w:r>
      <w:r>
        <w:rPr>
          <w:spacing w:val="-2"/>
          <w:vertAlign w:val="baseline"/>
        </w:rPr>
        <w:t> </w:t>
      </w:r>
      <w:r>
        <w:rPr>
          <w:vertAlign w:val="baseline"/>
        </w:rPr>
        <w:t>was</w:t>
      </w:r>
      <w:r>
        <w:rPr>
          <w:spacing w:val="-2"/>
          <w:vertAlign w:val="baseline"/>
        </w:rPr>
        <w:t> </w:t>
      </w:r>
      <w:r>
        <w:rPr>
          <w:vertAlign w:val="baseline"/>
        </w:rPr>
        <w:t>not</w:t>
      </w:r>
      <w:r>
        <w:rPr>
          <w:spacing w:val="-2"/>
          <w:vertAlign w:val="baseline"/>
        </w:rPr>
        <w:t> </w:t>
      </w:r>
      <w:r>
        <w:rPr>
          <w:vertAlign w:val="baseline"/>
        </w:rPr>
        <w:t>satisfied</w:t>
      </w:r>
      <w:r>
        <w:rPr>
          <w:spacing w:val="-2"/>
          <w:vertAlign w:val="baseline"/>
        </w:rPr>
        <w:t> </w:t>
      </w:r>
      <w:r>
        <w:rPr>
          <w:vertAlign w:val="baseline"/>
        </w:rPr>
        <w:t>where</w:t>
      </w:r>
      <w:r>
        <w:rPr>
          <w:spacing w:val="-2"/>
          <w:vertAlign w:val="baseline"/>
        </w:rPr>
        <w:t> </w:t>
      </w:r>
      <w:r>
        <w:rPr>
          <w:vertAlign w:val="baseline"/>
        </w:rPr>
        <w:t>one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parties</w:t>
      </w:r>
      <w:r>
        <w:rPr>
          <w:spacing w:val="-2"/>
          <w:vertAlign w:val="baseline"/>
        </w:rPr>
        <w:t> </w:t>
      </w:r>
      <w:r>
        <w:rPr>
          <w:vertAlign w:val="baseline"/>
        </w:rPr>
        <w:t>to</w:t>
      </w:r>
      <w:r>
        <w:rPr>
          <w:spacing w:val="-2"/>
          <w:vertAlign w:val="baseline"/>
        </w:rPr>
        <w:t> </w:t>
      </w:r>
      <w:r>
        <w:rPr>
          <w:vertAlign w:val="baseline"/>
        </w:rPr>
        <w:t>such</w:t>
      </w:r>
      <w:r>
        <w:rPr>
          <w:spacing w:val="-2"/>
          <w:vertAlign w:val="baseline"/>
        </w:rPr>
        <w:t> </w:t>
      </w:r>
      <w:r>
        <w:rPr>
          <w:vertAlign w:val="baseline"/>
        </w:rPr>
        <w:t>a</w:t>
      </w:r>
      <w:r>
        <w:rPr>
          <w:spacing w:val="-2"/>
          <w:vertAlign w:val="baseline"/>
        </w:rPr>
        <w:t> </w:t>
      </w:r>
      <w:r>
        <w:rPr>
          <w:vertAlign w:val="baseline"/>
        </w:rPr>
        <w:t>negotiation </w:t>
      </w:r>
      <w:bookmarkStart w:name="_bookmark900" w:id="902"/>
      <w:bookmarkEnd w:id="902"/>
      <w:r>
        <w:rPr>
          <w:vertAlign w:val="baseline"/>
        </w:rPr>
        <w:t>throughout</w:t>
      </w:r>
      <w:r>
        <w:rPr>
          <w:vertAlign w:val="baseline"/>
        </w:rPr>
        <w:t> insisted on strict compliance with the terms of the contract </w:t>
      </w:r>
      <w:r>
        <w:rPr>
          <w:color w:val="005DA1"/>
          <w:u w:val="single" w:color="005DA1"/>
          <w:vertAlign w:val="superscript"/>
        </w:rPr>
        <w:t>491</w:t>
      </w:r>
      <w:r>
        <w:rPr>
          <w:vertAlign w:val="baseline"/>
        </w:rPr>
        <w:t>; where he accepted less than that to which he was entitled but did so subject to an express reservation of his rights </w:t>
      </w:r>
      <w:r>
        <w:rPr>
          <w:color w:val="005DA1"/>
          <w:u w:val="single" w:color="005DA1"/>
          <w:vertAlign w:val="superscript"/>
        </w:rPr>
        <w:t>492</w:t>
      </w:r>
      <w:r>
        <w:rPr>
          <w:vertAlign w:val="baseline"/>
        </w:rPr>
        <w:t>; where </w:t>
      </w:r>
      <w:bookmarkStart w:name="_bookmark901" w:id="903"/>
      <w:bookmarkEnd w:id="903"/>
      <w:r>
        <w:rPr>
          <w:vertAlign w:val="baseline"/>
        </w:rPr>
        <w:t>an</w:t>
      </w:r>
      <w:r>
        <w:rPr>
          <w:vertAlign w:val="baseline"/>
        </w:rPr>
        <w:t> admission that he was liable for certain expenses was made by his solicitor, expressly “without prejudice” </w:t>
      </w:r>
      <w:r>
        <w:rPr>
          <w:color w:val="005DA1"/>
          <w:u w:val="single" w:color="005DA1"/>
          <w:vertAlign w:val="superscript"/>
        </w:rPr>
        <w:t>493</w:t>
      </w:r>
      <w:r>
        <w:rPr>
          <w:vertAlign w:val="baseline"/>
        </w:rPr>
        <w:t>; and where a charter’s notice that the ship would be redelivered on a specified date </w:t>
      </w:r>
      <w:bookmarkStart w:name="_bookmark902" w:id="904"/>
      <w:bookmarkEnd w:id="904"/>
      <w:r>
        <w:rPr>
          <w:vertAlign w:val="baseline"/>
        </w:rPr>
        <w:t>within</w:t>
      </w:r>
      <w:r>
        <w:rPr>
          <w:vertAlign w:val="baseline"/>
        </w:rPr>
        <w:t> the contractual “redelivery window” was made expressly “without guarantee” and subject to other qualifications. </w:t>
      </w:r>
      <w:r>
        <w:rPr>
          <w:color w:val="005DA1"/>
          <w:u w:val="single" w:color="005DA1"/>
          <w:vertAlign w:val="superscript"/>
        </w:rPr>
        <w:t>494</w:t>
      </w:r>
      <w:r>
        <w:rPr>
          <w:color w:val="005DA1"/>
          <w:vertAlign w:val="baseline"/>
        </w:rPr>
        <w:t> </w:t>
      </w:r>
      <w:r>
        <w:rPr>
          <w:vertAlign w:val="baseline"/>
        </w:rPr>
        <w:t>Failure, in the course of negotiations of this kind, to object to a defect or </w:t>
      </w:r>
      <w:bookmarkStart w:name="_bookmark903" w:id="905"/>
      <w:bookmarkEnd w:id="905"/>
      <w:r>
        <w:rPr>
          <w:vertAlign w:val="baseline"/>
        </w:rPr>
        <w:t>deficiency</w:t>
      </w:r>
      <w:r>
        <w:rPr>
          <w:vertAlign w:val="baseline"/>
        </w:rPr>
        <w:t> in performance is likewise insufficient if the injured party did not know and could not </w:t>
      </w:r>
      <w:bookmarkStart w:name="_bookmark904" w:id="906"/>
      <w:bookmarkEnd w:id="906"/>
      <w:r>
        <w:rPr>
          <w:vertAlign w:val="baseline"/>
        </w:rPr>
        <w:t>reasonably</w:t>
      </w:r>
      <w:r>
        <w:rPr>
          <w:vertAlign w:val="baseline"/>
        </w:rPr>
        <w:t> have known of it </w:t>
      </w:r>
      <w:r>
        <w:rPr>
          <w:color w:val="005DA1"/>
          <w:u w:val="single" w:color="005DA1"/>
          <w:vertAlign w:val="superscript"/>
        </w:rPr>
        <w:t>495</w:t>
      </w:r>
      <w:r>
        <w:rPr>
          <w:color w:val="005DA1"/>
          <w:vertAlign w:val="baseline"/>
        </w:rPr>
        <w:t> </w:t>
      </w:r>
      <w:r>
        <w:rPr>
          <w:vertAlign w:val="baseline"/>
        </w:rPr>
        <w:t>or if full performance remained possible and continued to be </w:t>
      </w:r>
      <w:bookmarkStart w:name="_bookmark905" w:id="907"/>
      <w:bookmarkEnd w:id="907"/>
      <w:r>
        <w:rPr>
          <w:vertAlign w:val="baseline"/>
        </w:rPr>
        <w:t>demanded</w:t>
      </w:r>
      <w:r>
        <w:rPr>
          <w:vertAlign w:val="baseline"/>
        </w:rPr>
        <w:t> by that party. </w:t>
      </w:r>
      <w:r>
        <w:rPr>
          <w:color w:val="005DA1"/>
          <w:u w:val="single" w:color="005DA1"/>
          <w:vertAlign w:val="superscript"/>
        </w:rPr>
        <w:t>496</w:t>
      </w:r>
      <w:r>
        <w:rPr>
          <w:color w:val="005DA1"/>
          <w:vertAlign w:val="baseline"/>
        </w:rPr>
        <w:t> </w:t>
      </w:r>
      <w:r>
        <w:rPr>
          <w:vertAlign w:val="baseline"/>
        </w:rPr>
        <w:t>On the other hand, failure to object to a known defect or deficiency within </w:t>
      </w:r>
      <w:bookmarkStart w:name="_bookmark906" w:id="908"/>
      <w:bookmarkEnd w:id="908"/>
      <w:r>
        <w:rPr>
          <w:vertAlign w:val="baseline"/>
        </w:rPr>
        <w:t>a</w:t>
      </w:r>
      <w:r>
        <w:rPr>
          <w:vertAlign w:val="baseline"/>
        </w:rPr>
        <w:t> reasonable time of its discovery </w:t>
      </w:r>
      <w:r>
        <w:rPr>
          <w:color w:val="005DA1"/>
          <w:u w:val="single" w:color="005DA1"/>
          <w:vertAlign w:val="superscript"/>
        </w:rPr>
        <w:t>497</w:t>
      </w:r>
      <w:r>
        <w:rPr>
          <w:color w:val="005DA1"/>
          <w:vertAlign w:val="baseline"/>
        </w:rPr>
        <w:t> </w:t>
      </w:r>
      <w:r>
        <w:rPr>
          <w:vertAlign w:val="baseline"/>
        </w:rPr>
        <w:t>may be regarded as an unequivocal indication of the injured party’s</w:t>
      </w:r>
      <w:r>
        <w:rPr>
          <w:spacing w:val="-1"/>
          <w:vertAlign w:val="baseline"/>
        </w:rPr>
        <w:t> </w:t>
      </w:r>
      <w:r>
        <w:rPr>
          <w:vertAlign w:val="baseline"/>
        </w:rPr>
        <w:t>intention</w:t>
      </w:r>
      <w:r>
        <w:rPr>
          <w:spacing w:val="-1"/>
          <w:vertAlign w:val="baseline"/>
        </w:rPr>
        <w:t> </w:t>
      </w:r>
      <w:r>
        <w:rPr>
          <w:vertAlign w:val="baseline"/>
        </w:rPr>
        <w:t>not</w:t>
      </w:r>
      <w:r>
        <w:rPr>
          <w:spacing w:val="-1"/>
          <w:vertAlign w:val="baseline"/>
        </w:rPr>
        <w:t> </w:t>
      </w:r>
      <w:r>
        <w:rPr>
          <w:vertAlign w:val="baseline"/>
        </w:rPr>
        <w:t>to</w:t>
      </w:r>
      <w:r>
        <w:rPr>
          <w:spacing w:val="-1"/>
          <w:vertAlign w:val="baseline"/>
        </w:rPr>
        <w:t> </w:t>
      </w:r>
      <w:r>
        <w:rPr>
          <w:vertAlign w:val="baseline"/>
        </w:rPr>
        <w:t>insist</w:t>
      </w:r>
      <w:r>
        <w:rPr>
          <w:spacing w:val="-1"/>
          <w:vertAlign w:val="baseline"/>
        </w:rPr>
        <w:t> </w:t>
      </w:r>
      <w:r>
        <w:rPr>
          <w:vertAlign w:val="baseline"/>
        </w:rPr>
        <w:t>on</w:t>
      </w:r>
      <w:r>
        <w:rPr>
          <w:spacing w:val="-1"/>
          <w:vertAlign w:val="baseline"/>
        </w:rPr>
        <w:t> </w:t>
      </w:r>
      <w:r>
        <w:rPr>
          <w:vertAlign w:val="baseline"/>
        </w:rPr>
        <w:t>his</w:t>
      </w:r>
      <w:r>
        <w:rPr>
          <w:spacing w:val="-1"/>
          <w:vertAlign w:val="baseline"/>
        </w:rPr>
        <w:t> </w:t>
      </w:r>
      <w:r>
        <w:rPr>
          <w:vertAlign w:val="baseline"/>
        </w:rPr>
        <w:t>strict</w:t>
      </w:r>
      <w:r>
        <w:rPr>
          <w:spacing w:val="-1"/>
          <w:vertAlign w:val="baseline"/>
        </w:rPr>
        <w:t> </w:t>
      </w:r>
      <w:r>
        <w:rPr>
          <w:vertAlign w:val="baseline"/>
        </w:rPr>
        <w:t>legal</w:t>
      </w:r>
      <w:r>
        <w:rPr>
          <w:spacing w:val="-1"/>
          <w:vertAlign w:val="baseline"/>
        </w:rPr>
        <w:t> </w:t>
      </w:r>
      <w:r>
        <w:rPr>
          <w:vertAlign w:val="baseline"/>
        </w:rPr>
        <w:t>rights.</w:t>
      </w:r>
      <w:r>
        <w:rPr>
          <w:spacing w:val="-2"/>
          <w:vertAlign w:val="baseline"/>
        </w:rPr>
        <w:t> </w:t>
      </w:r>
      <w:r>
        <w:rPr>
          <w:color w:val="005DA1"/>
          <w:u w:val="single" w:color="005DA1"/>
          <w:vertAlign w:val="superscript"/>
        </w:rPr>
        <w:t>498</w:t>
      </w:r>
      <w:r>
        <w:rPr>
          <w:color w:val="005DA1"/>
          <w:spacing w:val="-1"/>
          <w:vertAlign w:val="baseline"/>
        </w:rPr>
        <w:t> </w:t>
      </w:r>
      <w:r>
        <w:rPr>
          <w:vertAlign w:val="baseline"/>
        </w:rPr>
        <w:t>The</w:t>
      </w:r>
      <w:r>
        <w:rPr>
          <w:spacing w:val="-1"/>
          <w:vertAlign w:val="baseline"/>
        </w:rPr>
        <w:t> </w:t>
      </w:r>
      <w:r>
        <w:rPr>
          <w:vertAlign w:val="baseline"/>
        </w:rPr>
        <w:t>position</w:t>
      </w:r>
      <w:r>
        <w:rPr>
          <w:spacing w:val="-1"/>
          <w:vertAlign w:val="baseline"/>
        </w:rPr>
        <w:t> </w:t>
      </w:r>
      <w:r>
        <w:rPr>
          <w:vertAlign w:val="baseline"/>
        </w:rPr>
        <w:t>seems</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where</w:t>
      </w:r>
      <w:r>
        <w:rPr>
          <w:spacing w:val="-1"/>
          <w:vertAlign w:val="baseline"/>
        </w:rPr>
        <w:t> </w:t>
      </w:r>
      <w:r>
        <w:rPr>
          <w:vertAlign w:val="baseline"/>
        </w:rPr>
        <w:t>the </w:t>
      </w:r>
      <w:bookmarkStart w:name="_bookmark907" w:id="909"/>
      <w:bookmarkEnd w:id="909"/>
      <w:r>
        <w:rPr>
          <w:vertAlign w:val="baseline"/>
        </w:rPr>
        <w:t>defect</w:t>
      </w:r>
      <w:r>
        <w:rPr>
          <w:vertAlign w:val="baseline"/>
        </w:rPr>
        <w:t> or deficiency, though not actually known to the injured party, was obvious or could have been discovered by him, if he had taken reasonable steps.</w:t>
      </w:r>
      <w:r>
        <w:rPr>
          <w:spacing w:val="-1"/>
          <w:vertAlign w:val="baseline"/>
        </w:rPr>
        <w:t> </w:t>
      </w:r>
      <w:r>
        <w:rPr>
          <w:color w:val="005DA1"/>
          <w:u w:val="single" w:color="005DA1"/>
          <w:vertAlign w:val="superscript"/>
        </w:rPr>
        <w:t>499</w:t>
      </w:r>
      <w:r>
        <w:rPr>
          <w:color w:val="005DA1"/>
          <w:vertAlign w:val="baseline"/>
        </w:rPr>
        <w:t> </w:t>
      </w:r>
      <w:r>
        <w:rPr>
          <w:vertAlign w:val="baseline"/>
        </w:rPr>
        <w:t>But where more than one matter is in dispute between the parties, “emphatic reliance upon some important disputed point does not by itself … </w:t>
      </w:r>
      <w:bookmarkStart w:name="_bookmark908" w:id="910"/>
      <w:bookmarkEnd w:id="910"/>
      <w:r>
        <w:rPr>
          <w:vertAlign w:val="baseline"/>
        </w:rPr>
        <w:t>imply</w:t>
      </w:r>
      <w:r>
        <w:rPr>
          <w:vertAlign w:val="baseline"/>
        </w:rPr>
        <w:t> any unequivocal representation that compliance with other parts of the bargain is thereby waived.” </w:t>
      </w:r>
      <w:r>
        <w:rPr>
          <w:color w:val="005DA1"/>
          <w:u w:val="single" w:color="005DA1"/>
          <w:vertAlign w:val="superscript"/>
        </w:rPr>
        <w:t>500</w:t>
      </w:r>
    </w:p>
    <w:p>
      <w:pPr>
        <w:pStyle w:val="BodyText"/>
      </w:pPr>
    </w:p>
    <w:p>
      <w:pPr>
        <w:pStyle w:val="BodyText"/>
        <w:spacing w:before="30"/>
      </w:pPr>
    </w:p>
    <w:p>
      <w:pPr>
        <w:spacing w:before="1"/>
        <w:ind w:left="165" w:right="0" w:firstLine="0"/>
        <w:jc w:val="left"/>
        <w:rPr>
          <w:rFonts w:ascii="Arial"/>
          <w:b/>
          <w:sz w:val="18"/>
        </w:rPr>
      </w:pPr>
      <w:r>
        <w:rPr>
          <w:rFonts w:ascii="Arial"/>
          <w:b/>
          <w:sz w:val="18"/>
        </w:rPr>
        <w:t>Conduct contrasted with </w:t>
      </w:r>
      <w:r>
        <w:rPr>
          <w:rFonts w:ascii="Arial"/>
          <w:b/>
          <w:spacing w:val="-2"/>
          <w:sz w:val="18"/>
        </w:rPr>
        <w:t>inactivity</w:t>
      </w:r>
    </w:p>
    <w:p>
      <w:pPr>
        <w:pStyle w:val="BodyText"/>
        <w:spacing w:before="41"/>
        <w:rPr>
          <w:rFonts w:ascii="Arial"/>
          <w:b/>
          <w:sz w:val="18"/>
        </w:rPr>
      </w:pPr>
    </w:p>
    <w:p>
      <w:pPr>
        <w:pStyle w:val="Heading2"/>
      </w:pPr>
      <w:r>
        <w:rPr/>
        <w:t>4-</w:t>
      </w:r>
      <w:r>
        <w:rPr>
          <w:spacing w:val="-5"/>
        </w:rPr>
        <w:t>093</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Although a promise or representation may be made by conduct, mere inactivity will not normally </w:t>
      </w:r>
      <w:bookmarkStart w:name="_bookmark909" w:id="911"/>
      <w:bookmarkEnd w:id="911"/>
      <w:r>
        <w:rPr/>
        <w:t>suffice</w:t>
      </w:r>
      <w:r>
        <w:rPr>
          <w:spacing w:val="-2"/>
        </w:rPr>
        <w:t> </w:t>
      </w:r>
      <w:r>
        <w:rPr/>
        <w:t>for</w:t>
      </w:r>
      <w:r>
        <w:rPr>
          <w:spacing w:val="-2"/>
        </w:rPr>
        <w:t> </w:t>
      </w:r>
      <w:r>
        <w:rPr/>
        <w:t>the</w:t>
      </w:r>
      <w:r>
        <w:rPr>
          <w:spacing w:val="-2"/>
        </w:rPr>
        <w:t> </w:t>
      </w:r>
      <w:r>
        <w:rPr/>
        <w:t>present</w:t>
      </w:r>
      <w:r>
        <w:rPr>
          <w:spacing w:val="-2"/>
        </w:rPr>
        <w:t> </w:t>
      </w:r>
      <w:r>
        <w:rPr/>
        <w:t>purpose</w:t>
      </w:r>
      <w:r>
        <w:rPr>
          <w:spacing w:val="-2"/>
        </w:rPr>
        <w:t> </w:t>
      </w:r>
      <w:r>
        <w:rPr/>
        <w:t>since</w:t>
      </w:r>
      <w:r>
        <w:rPr>
          <w:spacing w:val="-2"/>
        </w:rPr>
        <w:t> </w:t>
      </w:r>
      <w:r>
        <w:rPr/>
        <w:t>“it</w:t>
      </w:r>
      <w:r>
        <w:rPr>
          <w:spacing w:val="-2"/>
        </w:rPr>
        <w:t> </w:t>
      </w:r>
      <w:r>
        <w:rPr/>
        <w:t>is</w:t>
      </w:r>
      <w:r>
        <w:rPr>
          <w:spacing w:val="-2"/>
        </w:rPr>
        <w:t> </w:t>
      </w:r>
      <w:r>
        <w:rPr/>
        <w:t>difficult</w:t>
      </w:r>
      <w:r>
        <w:rPr>
          <w:spacing w:val="-2"/>
        </w:rPr>
        <w:t> </w:t>
      </w:r>
      <w:r>
        <w:rPr/>
        <w:t>to</w:t>
      </w:r>
      <w:r>
        <w:rPr>
          <w:spacing w:val="-2"/>
        </w:rPr>
        <w:t> </w:t>
      </w:r>
      <w:r>
        <w:rPr/>
        <w:t>imagine</w:t>
      </w:r>
      <w:r>
        <w:rPr>
          <w:spacing w:val="-2"/>
        </w:rPr>
        <w:t> </w:t>
      </w:r>
      <w:r>
        <w:rPr/>
        <w:t>how</w:t>
      </w:r>
      <w:r>
        <w:rPr>
          <w:spacing w:val="-2"/>
        </w:rPr>
        <w:t> </w:t>
      </w:r>
      <w:r>
        <w:rPr/>
        <w:t>silence</w:t>
      </w:r>
      <w:r>
        <w:rPr>
          <w:spacing w:val="-2"/>
        </w:rPr>
        <w:t> </w:t>
      </w:r>
      <w:r>
        <w:rPr/>
        <w:t>and</w:t>
      </w:r>
      <w:r>
        <w:rPr>
          <w:spacing w:val="-2"/>
        </w:rPr>
        <w:t> </w:t>
      </w:r>
      <w:r>
        <w:rPr/>
        <w:t>inaction</w:t>
      </w:r>
      <w:r>
        <w:rPr>
          <w:spacing w:val="-2"/>
        </w:rPr>
        <w:t> </w:t>
      </w:r>
      <w:r>
        <w:rPr/>
        <w:t>can</w:t>
      </w:r>
      <w:r>
        <w:rPr>
          <w:spacing w:val="-2"/>
        </w:rPr>
        <w:t> </w:t>
      </w:r>
      <w:r>
        <w:rPr/>
        <w:t>be</w:t>
      </w:r>
      <w:r>
        <w:rPr>
          <w:spacing w:val="-2"/>
        </w:rPr>
        <w:t> </w:t>
      </w:r>
      <w:r>
        <w:rPr/>
        <w:t>anything but</w:t>
      </w:r>
      <w:r>
        <w:rPr>
          <w:spacing w:val="-2"/>
        </w:rPr>
        <w:t> </w:t>
      </w:r>
      <w:r>
        <w:rPr/>
        <w:t>equivocal.”</w:t>
      </w:r>
      <w:r>
        <w:rPr>
          <w:spacing w:val="-2"/>
        </w:rPr>
        <w:t> </w:t>
      </w:r>
      <w:r>
        <w:rPr>
          <w:color w:val="005DA1"/>
          <w:u w:val="single" w:color="005DA1"/>
          <w:vertAlign w:val="superscript"/>
        </w:rPr>
        <w:t>501</w:t>
      </w:r>
      <w:r>
        <w:rPr>
          <w:color w:val="005DA1"/>
          <w:spacing w:val="-2"/>
          <w:vertAlign w:val="baseline"/>
        </w:rPr>
        <w:t> </w:t>
      </w:r>
      <w:r>
        <w:rPr>
          <w:vertAlign w:val="baseline"/>
        </w:rPr>
        <w:t>Unless</w:t>
      </w:r>
      <w:r>
        <w:rPr>
          <w:spacing w:val="-2"/>
          <w:vertAlign w:val="baseline"/>
        </w:rPr>
        <w:t> </w:t>
      </w:r>
      <w:r>
        <w:rPr>
          <w:vertAlign w:val="baseline"/>
        </w:rPr>
        <w:t>the</w:t>
      </w:r>
      <w:r>
        <w:rPr>
          <w:spacing w:val="-2"/>
          <w:vertAlign w:val="baseline"/>
        </w:rPr>
        <w:t> </w:t>
      </w:r>
      <w:r>
        <w:rPr>
          <w:vertAlign w:val="baseline"/>
        </w:rPr>
        <w:t>law</w:t>
      </w:r>
      <w:r>
        <w:rPr>
          <w:spacing w:val="-2"/>
          <w:vertAlign w:val="baseline"/>
        </w:rPr>
        <w:t> </w:t>
      </w:r>
      <w:r>
        <w:rPr>
          <w:vertAlign w:val="baseline"/>
        </w:rPr>
        <w:t>took</w:t>
      </w:r>
      <w:r>
        <w:rPr>
          <w:spacing w:val="-2"/>
          <w:vertAlign w:val="baseline"/>
        </w:rPr>
        <w:t> </w:t>
      </w:r>
      <w:r>
        <w:rPr>
          <w:vertAlign w:val="baseline"/>
        </w:rPr>
        <w:t>this</w:t>
      </w:r>
      <w:r>
        <w:rPr>
          <w:spacing w:val="-2"/>
          <w:vertAlign w:val="baseline"/>
        </w:rPr>
        <w:t> </w:t>
      </w:r>
      <w:r>
        <w:rPr>
          <w:vertAlign w:val="baseline"/>
        </w:rPr>
        <w:t>view,</w:t>
      </w:r>
      <w:r>
        <w:rPr>
          <w:spacing w:val="-2"/>
          <w:vertAlign w:val="baseline"/>
        </w:rPr>
        <w:t> </w:t>
      </w:r>
      <w:r>
        <w:rPr>
          <w:vertAlign w:val="baseline"/>
        </w:rPr>
        <w:t>mere</w:t>
      </w:r>
      <w:r>
        <w:rPr>
          <w:spacing w:val="-2"/>
          <w:vertAlign w:val="baseline"/>
        </w:rPr>
        <w:t> </w:t>
      </w:r>
      <w:r>
        <w:rPr>
          <w:vertAlign w:val="baseline"/>
        </w:rPr>
        <w:t>failure</w:t>
      </w:r>
      <w:r>
        <w:rPr>
          <w:spacing w:val="-2"/>
          <w:vertAlign w:val="baseline"/>
        </w:rPr>
        <w:t> </w:t>
      </w:r>
      <w:r>
        <w:rPr>
          <w:vertAlign w:val="baseline"/>
        </w:rPr>
        <w:t>to</w:t>
      </w:r>
      <w:r>
        <w:rPr>
          <w:spacing w:val="-2"/>
          <w:vertAlign w:val="baseline"/>
        </w:rPr>
        <w:t> </w:t>
      </w:r>
      <w:r>
        <w:rPr>
          <w:vertAlign w:val="baseline"/>
        </w:rPr>
        <w:t>assert</w:t>
      </w:r>
      <w:r>
        <w:rPr>
          <w:spacing w:val="-2"/>
          <w:vertAlign w:val="baseline"/>
        </w:rPr>
        <w:t> </w:t>
      </w:r>
      <w:r>
        <w:rPr>
          <w:vertAlign w:val="baseline"/>
        </w:rPr>
        <w:t>a</w:t>
      </w:r>
      <w:r>
        <w:rPr>
          <w:spacing w:val="-2"/>
          <w:vertAlign w:val="baseline"/>
        </w:rPr>
        <w:t> </w:t>
      </w:r>
      <w:r>
        <w:rPr>
          <w:vertAlign w:val="baseline"/>
        </w:rPr>
        <w:t>contractual</w:t>
      </w:r>
      <w:r>
        <w:rPr>
          <w:spacing w:val="-2"/>
          <w:vertAlign w:val="baseline"/>
        </w:rPr>
        <w:t> </w:t>
      </w:r>
      <w:r>
        <w:rPr>
          <w:vertAlign w:val="baseline"/>
        </w:rPr>
        <w:t>right</w:t>
      </w:r>
      <w:r>
        <w:rPr>
          <w:spacing w:val="-2"/>
          <w:vertAlign w:val="baseline"/>
        </w:rPr>
        <w:t> </w:t>
      </w:r>
      <w:r>
        <w:rPr>
          <w:vertAlign w:val="baseline"/>
        </w:rPr>
        <w:t>could</w:t>
      </w:r>
      <w:r>
        <w:rPr>
          <w:spacing w:val="-2"/>
          <w:vertAlign w:val="baseline"/>
        </w:rPr>
        <w:t> </w:t>
      </w:r>
      <w:r>
        <w:rPr>
          <w:vertAlign w:val="baseline"/>
        </w:rPr>
        <w:t>lead</w:t>
      </w:r>
      <w:r>
        <w:rPr>
          <w:spacing w:val="-2"/>
          <w:vertAlign w:val="baseline"/>
        </w:rPr>
        <w:t> </w:t>
      </w:r>
      <w:r>
        <w:rPr>
          <w:vertAlign w:val="baseline"/>
        </w:rPr>
        <w:t>to its loss; and the courts have on a number of occasions rejected this clearly undesirable conclusion. </w:t>
      </w:r>
      <w:bookmarkStart w:name="_bookmark910" w:id="912"/>
      <w:bookmarkEnd w:id="912"/>
      <w:r>
        <w:rPr>
          <w:vertAlign w:val="baseline"/>
        </w:rPr>
        <w:t>Thus</w:t>
      </w:r>
      <w:r>
        <w:rPr>
          <w:vertAlign w:val="baseline"/>
        </w:rPr>
        <w:t> it has been held that there is “no ground for saying that mere delay, however lengthy, destroys </w:t>
      </w:r>
      <w:bookmarkStart w:name="_bookmark911" w:id="913"/>
      <w:bookmarkEnd w:id="913"/>
      <w:r>
        <w:rPr>
          <w:vertAlign w:val="baseline"/>
        </w:rPr>
        <w:t>the</w:t>
      </w:r>
      <w:r>
        <w:rPr>
          <w:vertAlign w:val="baseline"/>
        </w:rPr>
        <w:t> contractual rights” </w:t>
      </w:r>
      <w:r>
        <w:rPr>
          <w:color w:val="005DA1"/>
          <w:u w:val="single" w:color="005DA1"/>
          <w:vertAlign w:val="superscript"/>
        </w:rPr>
        <w:t>502</w:t>
      </w:r>
      <w:r>
        <w:rPr>
          <w:vertAlign w:val="baseline"/>
        </w:rPr>
        <w:t>; that the mere failure to prosecute a claim regarded by both parties as hopeless did not amount to a promise to abandon it </w:t>
      </w:r>
      <w:r>
        <w:rPr>
          <w:color w:val="005DA1"/>
          <w:u w:val="single" w:color="005DA1"/>
          <w:vertAlign w:val="superscript"/>
        </w:rPr>
        <w:t>503</w:t>
      </w:r>
      <w:r>
        <w:rPr>
          <w:vertAlign w:val="baseline"/>
        </w:rPr>
        <w:t>; and that, because an insurer’s failure for </w:t>
      </w:r>
      <w:bookmarkStart w:name="_bookmark912" w:id="914"/>
      <w:bookmarkEnd w:id="914"/>
      <w:r>
        <w:rPr>
          <w:vertAlign w:val="baseline"/>
        </w:rPr>
        <w:t>seven</w:t>
      </w:r>
      <w:r>
        <w:rPr>
          <w:vertAlign w:val="baseline"/>
        </w:rPr>
        <w:t> years to raise the defence that the insured was guilty of a breach of warranty (discharging the </w:t>
      </w:r>
      <w:bookmarkStart w:name="_bookmark913" w:id="915"/>
      <w:bookmarkEnd w:id="915"/>
      <w:r>
        <w:rPr>
          <w:vertAlign w:val="baseline"/>
        </w:rPr>
        <w:t>insurer</w:t>
      </w:r>
      <w:r>
        <w:rPr>
          <w:vertAlign w:val="baseline"/>
        </w:rPr>
        <w:t> </w:t>
      </w:r>
      <w:r>
        <w:rPr>
          <w:color w:val="005DA1"/>
          <w:u w:val="single" w:color="005DA1"/>
          <w:vertAlign w:val="superscript"/>
        </w:rPr>
        <w:t>504</w:t>
      </w:r>
      <w:r>
        <w:rPr>
          <w:vertAlign w:val="baseline"/>
        </w:rPr>
        <w:t>) amounted to mere “silence and inaction”, it did not give rise to an estoppel, </w:t>
      </w:r>
      <w:r>
        <w:rPr>
          <w:color w:val="005DA1"/>
          <w:u w:val="single" w:color="005DA1"/>
          <w:vertAlign w:val="superscript"/>
        </w:rPr>
        <w:t>505</w:t>
      </w:r>
      <w:r>
        <w:rPr>
          <w:color w:val="005DA1"/>
          <w:vertAlign w:val="baseline"/>
        </w:rPr>
        <w:t> </w:t>
      </w:r>
      <w:r>
        <w:rPr>
          <w:vertAlign w:val="baseline"/>
        </w:rPr>
        <w:t>and so did </w:t>
      </w:r>
      <w:bookmarkStart w:name="_bookmark914" w:id="916"/>
      <w:bookmarkEnd w:id="916"/>
      <w:r>
        <w:rPr>
          <w:vertAlign w:val="baseline"/>
        </w:rPr>
        <w:t>not</w:t>
      </w:r>
      <w:r>
        <w:rPr>
          <w:vertAlign w:val="baseline"/>
        </w:rPr>
        <w:t> prevent the insurer from relying on that defence. </w:t>
      </w:r>
      <w:r>
        <w:rPr>
          <w:color w:val="005DA1"/>
          <w:u w:val="single" w:color="005DA1"/>
          <w:vertAlign w:val="superscript"/>
        </w:rPr>
        <w:t>506</w:t>
      </w:r>
      <w:r>
        <w:rPr>
          <w:color w:val="005DA1"/>
          <w:vertAlign w:val="baseline"/>
        </w:rPr>
        <w:t> </w:t>
      </w:r>
      <w:r>
        <w:rPr>
          <w:vertAlign w:val="baseline"/>
        </w:rPr>
        <w:t>The only circumstances in which mere</w:t>
      </w:r>
      <w:r>
        <w:rPr>
          <w:spacing w:val="40"/>
          <w:vertAlign w:val="baseline"/>
        </w:rPr>
        <w:t> </w:t>
      </w:r>
      <w:r>
        <w:rPr>
          <w:vertAlign w:val="baseline"/>
        </w:rPr>
        <w:t>“silence and inaction” can have this effect are the exceptional ones (discussed elsewhere in this book </w:t>
      </w:r>
      <w:r>
        <w:rPr>
          <w:color w:val="005DA1"/>
          <w:u w:val="single" w:color="005DA1"/>
          <w:vertAlign w:val="superscript"/>
        </w:rPr>
        <w:t>507</w:t>
      </w:r>
      <w:bookmarkStart w:name="_bookmark915" w:id="917"/>
      <w:bookmarkEnd w:id="917"/>
      <w:r>
        <w:rPr>
          <w:color w:val="005DA1"/>
          <w:spacing w:val="-1"/>
          <w:vertAlign w:val="baseline"/>
        </w:rPr>
      </w:r>
      <w:r>
        <w:rPr>
          <w:vertAlign w:val="baseline"/>
        </w:rPr>
        <w:t>)</w:t>
      </w:r>
      <w:r>
        <w:rPr>
          <w:spacing w:val="21"/>
          <w:vertAlign w:val="baseline"/>
        </w:rPr>
        <w:t> </w:t>
      </w:r>
      <w:r>
        <w:rPr>
          <w:vertAlign w:val="baseline"/>
        </w:rPr>
        <w:t>in</w:t>
      </w:r>
      <w:r>
        <w:rPr>
          <w:spacing w:val="21"/>
          <w:vertAlign w:val="baseline"/>
        </w:rPr>
        <w:t> </w:t>
      </w:r>
      <w:r>
        <w:rPr>
          <w:vertAlign w:val="baseline"/>
        </w:rPr>
        <w:t>which</w:t>
      </w:r>
      <w:r>
        <w:rPr>
          <w:spacing w:val="21"/>
          <w:vertAlign w:val="baseline"/>
        </w:rPr>
        <w:t> </w:t>
      </w:r>
      <w:r>
        <w:rPr>
          <w:vertAlign w:val="baseline"/>
        </w:rPr>
        <w:t>the</w:t>
      </w:r>
      <w:r>
        <w:rPr>
          <w:spacing w:val="21"/>
          <w:vertAlign w:val="baseline"/>
        </w:rPr>
        <w:t> </w:t>
      </w:r>
      <w:r>
        <w:rPr>
          <w:vertAlign w:val="baseline"/>
        </w:rPr>
        <w:t>law</w:t>
      </w:r>
      <w:r>
        <w:rPr>
          <w:spacing w:val="21"/>
          <w:vertAlign w:val="baseline"/>
        </w:rPr>
        <w:t> </w:t>
      </w:r>
      <w:r>
        <w:rPr>
          <w:vertAlign w:val="baseline"/>
        </w:rPr>
        <w:t>imposes</w:t>
      </w:r>
      <w:r>
        <w:rPr>
          <w:spacing w:val="21"/>
          <w:vertAlign w:val="baseline"/>
        </w:rPr>
        <w:t> </w:t>
      </w:r>
      <w:r>
        <w:rPr>
          <w:vertAlign w:val="baseline"/>
        </w:rPr>
        <w:t>a</w:t>
      </w:r>
      <w:r>
        <w:rPr>
          <w:spacing w:val="21"/>
          <w:vertAlign w:val="baseline"/>
        </w:rPr>
        <w:t> </w:t>
      </w:r>
      <w:r>
        <w:rPr>
          <w:vertAlign w:val="baseline"/>
        </w:rPr>
        <w:t>duty</w:t>
      </w:r>
      <w:r>
        <w:rPr>
          <w:spacing w:val="21"/>
          <w:vertAlign w:val="baseline"/>
        </w:rPr>
        <w:t> </w:t>
      </w:r>
      <w:r>
        <w:rPr>
          <w:vertAlign w:val="baseline"/>
        </w:rPr>
        <w:t>to</w:t>
      </w:r>
      <w:r>
        <w:rPr>
          <w:spacing w:val="21"/>
          <w:vertAlign w:val="baseline"/>
        </w:rPr>
        <w:t> </w:t>
      </w:r>
      <w:r>
        <w:rPr>
          <w:vertAlign w:val="baseline"/>
        </w:rPr>
        <w:t>disclose</w:t>
      </w:r>
      <w:r>
        <w:rPr>
          <w:spacing w:val="21"/>
          <w:vertAlign w:val="baseline"/>
        </w:rPr>
        <w:t> </w:t>
      </w:r>
      <w:r>
        <w:rPr>
          <w:vertAlign w:val="baseline"/>
        </w:rPr>
        <w:t>facts</w:t>
      </w:r>
      <w:r>
        <w:rPr>
          <w:spacing w:val="21"/>
          <w:vertAlign w:val="baseline"/>
        </w:rPr>
        <w:t> </w:t>
      </w:r>
      <w:r>
        <w:rPr>
          <w:vertAlign w:val="baseline"/>
        </w:rPr>
        <w:t>or</w:t>
      </w:r>
      <w:r>
        <w:rPr>
          <w:spacing w:val="21"/>
          <w:vertAlign w:val="baseline"/>
        </w:rPr>
        <w:t> </w:t>
      </w:r>
      <w:r>
        <w:rPr>
          <w:vertAlign w:val="baseline"/>
        </w:rPr>
        <w:t>to</w:t>
      </w:r>
      <w:r>
        <w:rPr>
          <w:spacing w:val="21"/>
          <w:vertAlign w:val="baseline"/>
        </w:rPr>
        <w:t> </w:t>
      </w:r>
      <w:r>
        <w:rPr>
          <w:vertAlign w:val="baseline"/>
        </w:rPr>
        <w:t>clarify</w:t>
      </w:r>
      <w:r>
        <w:rPr>
          <w:spacing w:val="21"/>
          <w:vertAlign w:val="baseline"/>
        </w:rPr>
        <w:t> </w:t>
      </w:r>
      <w:r>
        <w:rPr>
          <w:vertAlign w:val="baseline"/>
        </w:rPr>
        <w:t>a</w:t>
      </w:r>
      <w:r>
        <w:rPr>
          <w:spacing w:val="21"/>
          <w:vertAlign w:val="baseline"/>
        </w:rPr>
        <w:t> </w:t>
      </w:r>
      <w:r>
        <w:rPr>
          <w:vertAlign w:val="baseline"/>
        </w:rPr>
        <w:t>legal</w:t>
      </w:r>
      <w:r>
        <w:rPr>
          <w:spacing w:val="21"/>
          <w:vertAlign w:val="baseline"/>
        </w:rPr>
        <w:t> </w:t>
      </w:r>
      <w:r>
        <w:rPr>
          <w:vertAlign w:val="baseline"/>
        </w:rPr>
        <w:t>relationship</w:t>
      </w:r>
      <w:r>
        <w:rPr>
          <w:spacing w:val="21"/>
          <w:vertAlign w:val="baseline"/>
        </w:rPr>
        <w:t> </w:t>
      </w:r>
      <w:r>
        <w:rPr>
          <w:vertAlign w:val="baseline"/>
        </w:rPr>
        <w:t>and</w:t>
      </w:r>
      <w:r>
        <w:rPr>
          <w:spacing w:val="21"/>
          <w:vertAlign w:val="baseline"/>
        </w:rPr>
        <w:t> </w:t>
      </w:r>
      <w:r>
        <w:rPr>
          <w:vertAlign w:val="baseline"/>
        </w:rPr>
        <w:t>the</w:t>
      </w:r>
      <w:r>
        <w:rPr>
          <w:spacing w:val="21"/>
          <w:vertAlign w:val="baseline"/>
        </w:rPr>
        <w:t> </w:t>
      </w:r>
      <w:r>
        <w:rPr>
          <w:spacing w:val="-2"/>
          <w:vertAlign w:val="baseline"/>
        </w:rPr>
        <w:t>party</w:t>
      </w:r>
    </w:p>
    <w:p>
      <w:pPr>
        <w:pStyle w:val="BodyText"/>
        <w:spacing w:before="112"/>
        <w:ind w:left="165"/>
        <w:jc w:val="both"/>
        <w:rPr>
          <w:position w:val="-2"/>
        </w:rPr>
      </w:pPr>
      <w:r>
        <w:rPr/>
        <w:t>under the duty fails to perform it. </w:t>
      </w:r>
      <w:r>
        <w:rPr>
          <w:color w:val="005DA1"/>
          <w:u w:val="single" w:color="005DA1"/>
          <w:vertAlign w:val="superscript"/>
        </w:rPr>
        <w:t>508</w:t>
      </w:r>
      <w:r>
        <w:rPr>
          <w:color w:val="005DA1"/>
          <w:spacing w:val="80"/>
          <w:w w:val="150"/>
          <w:vertAlign w:val="baseline"/>
        </w:rPr>
        <w:t> </w:t>
      </w:r>
      <w:r>
        <w:rPr>
          <w:color w:val="005DA1"/>
          <w:position w:val="-2"/>
          <w:vertAlign w:val="baseline"/>
        </w:rPr>
        <w:drawing>
          <wp:inline distT="0" distB="0" distL="0" distR="0">
            <wp:extent cx="107988" cy="107988"/>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1"/>
        <w:ind w:left="165" w:right="0" w:firstLine="0"/>
        <w:jc w:val="left"/>
        <w:rPr>
          <w:rFonts w:ascii="Arial"/>
          <w:b/>
          <w:sz w:val="18"/>
        </w:rPr>
      </w:pPr>
      <w:r>
        <w:rPr>
          <w:rFonts w:ascii="Arial"/>
          <w:b/>
          <w:spacing w:val="-2"/>
          <w:sz w:val="18"/>
        </w:rPr>
        <w:t>Reliance</w:t>
      </w:r>
    </w:p>
    <w:p>
      <w:pPr>
        <w:pStyle w:val="BodyText"/>
        <w:spacing w:before="41"/>
        <w:rPr>
          <w:rFonts w:ascii="Arial"/>
          <w:b/>
          <w:sz w:val="18"/>
        </w:rPr>
      </w:pPr>
    </w:p>
    <w:p>
      <w:pPr>
        <w:pStyle w:val="Heading2"/>
      </w:pPr>
      <w:r>
        <w:rPr/>
        <w:t>4-</w:t>
      </w:r>
      <w:r>
        <w:rPr>
          <w:spacing w:val="-5"/>
        </w:rPr>
        <w:t>094</w:t>
      </w:r>
    </w:p>
    <w:p>
      <w:pPr>
        <w:pStyle w:val="BodyText"/>
        <w:spacing w:line="235" w:lineRule="auto" w:before="202"/>
        <w:ind w:left="165" w:right="167"/>
        <w:jc w:val="both"/>
      </w:pPr>
      <w:r>
        <w:rPr/>
        <w:t>The first requirement to be discussed under this heading is that the promise or representation must </w:t>
      </w:r>
      <w:r>
        <w:rPr/>
        <w:t>in </w:t>
      </w:r>
      <w:bookmarkStart w:name="_bookmark916" w:id="918"/>
      <w:bookmarkEnd w:id="918"/>
      <w:r>
        <w:rPr/>
        <w:t>some</w:t>
      </w:r>
      <w:r>
        <w:rPr/>
        <w:t> way have influenced the conduct of the party to whom it was made. Although the promise need not form the sole inducement, </w:t>
      </w:r>
      <w:r>
        <w:rPr>
          <w:color w:val="005DA1"/>
          <w:u w:val="single" w:color="005DA1"/>
          <w:vertAlign w:val="superscript"/>
        </w:rPr>
        <w:t>509</w:t>
      </w:r>
      <w:r>
        <w:rPr>
          <w:color w:val="005DA1"/>
          <w:vertAlign w:val="baseline"/>
        </w:rPr>
        <w:t> </w:t>
      </w:r>
      <w:r>
        <w:rPr>
          <w:vertAlign w:val="baseline"/>
        </w:rPr>
        <w:t>it must (it is submitted) be </w:t>
      </w:r>
      <w:r>
        <w:rPr>
          <w:rFonts w:ascii="Arial" w:hAnsi="Arial"/>
          <w:i/>
          <w:vertAlign w:val="baseline"/>
        </w:rPr>
        <w:t>some </w:t>
      </w:r>
      <w:r>
        <w:rPr>
          <w:vertAlign w:val="baseline"/>
        </w:rPr>
        <w:t>inducement. Hence the present </w:t>
      </w:r>
      <w:bookmarkStart w:name="_bookmark917" w:id="919"/>
      <w:bookmarkEnd w:id="919"/>
      <w:r>
        <w:rPr>
          <w:vertAlign w:val="baseline"/>
        </w:rPr>
        <w:t>requirement</w:t>
      </w:r>
      <w:r>
        <w:rPr>
          <w:vertAlign w:val="baseline"/>
        </w:rPr>
        <w:t> would not be satisfied if it could be shown that the other party’s conduct was not influenced</w:t>
      </w:r>
      <w:r>
        <w:rPr>
          <w:spacing w:val="8"/>
          <w:vertAlign w:val="baseline"/>
        </w:rPr>
        <w:t> </w:t>
      </w:r>
      <w:r>
        <w:rPr>
          <w:vertAlign w:val="baseline"/>
        </w:rPr>
        <w:t>by</w:t>
      </w:r>
      <w:r>
        <w:rPr>
          <w:spacing w:val="8"/>
          <w:vertAlign w:val="baseline"/>
        </w:rPr>
        <w:t> </w:t>
      </w:r>
      <w:r>
        <w:rPr>
          <w:vertAlign w:val="baseline"/>
        </w:rPr>
        <w:t>the</w:t>
      </w:r>
      <w:r>
        <w:rPr>
          <w:spacing w:val="9"/>
          <w:vertAlign w:val="baseline"/>
        </w:rPr>
        <w:t> </w:t>
      </w:r>
      <w:r>
        <w:rPr>
          <w:vertAlign w:val="baseline"/>
        </w:rPr>
        <w:t>promise</w:t>
      </w:r>
      <w:r>
        <w:rPr>
          <w:spacing w:val="7"/>
          <w:vertAlign w:val="baseline"/>
        </w:rPr>
        <w:t> </w:t>
      </w:r>
      <w:r>
        <w:rPr>
          <w:color w:val="005DA1"/>
          <w:u w:val="single" w:color="005DA1"/>
          <w:vertAlign w:val="superscript"/>
        </w:rPr>
        <w:t>510</w:t>
      </w:r>
      <w:r>
        <w:rPr>
          <w:color w:val="005DA1"/>
          <w:spacing w:val="9"/>
          <w:vertAlign w:val="baseline"/>
        </w:rPr>
        <w:t> </w:t>
      </w:r>
      <w:r>
        <w:rPr>
          <w:vertAlign w:val="baseline"/>
        </w:rPr>
        <w:t>so</w:t>
      </w:r>
      <w:r>
        <w:rPr>
          <w:spacing w:val="8"/>
          <w:vertAlign w:val="baseline"/>
        </w:rPr>
        <w:t> </w:t>
      </w:r>
      <w:r>
        <w:rPr>
          <w:vertAlign w:val="baseline"/>
        </w:rPr>
        <w:t>that</w:t>
      </w:r>
      <w:r>
        <w:rPr>
          <w:spacing w:val="8"/>
          <w:vertAlign w:val="baseline"/>
        </w:rPr>
        <w:t> </w:t>
      </w:r>
      <w:r>
        <w:rPr>
          <w:vertAlign w:val="baseline"/>
        </w:rPr>
        <w:t>he</w:t>
      </w:r>
      <w:r>
        <w:rPr>
          <w:spacing w:val="9"/>
          <w:vertAlign w:val="baseline"/>
        </w:rPr>
        <w:t> </w:t>
      </w:r>
      <w:r>
        <w:rPr>
          <w:vertAlign w:val="baseline"/>
        </w:rPr>
        <w:t>was</w:t>
      </w:r>
      <w:r>
        <w:rPr>
          <w:spacing w:val="8"/>
          <w:vertAlign w:val="baseline"/>
        </w:rPr>
        <w:t> </w:t>
      </w:r>
      <w:r>
        <w:rPr>
          <w:vertAlign w:val="baseline"/>
        </w:rPr>
        <w:t>not</w:t>
      </w:r>
      <w:r>
        <w:rPr>
          <w:spacing w:val="9"/>
          <w:vertAlign w:val="baseline"/>
        </w:rPr>
        <w:t> </w:t>
      </w:r>
      <w:r>
        <w:rPr>
          <w:vertAlign w:val="baseline"/>
        </w:rPr>
        <w:t>in</w:t>
      </w:r>
      <w:r>
        <w:rPr>
          <w:spacing w:val="8"/>
          <w:vertAlign w:val="baseline"/>
        </w:rPr>
        <w:t> </w:t>
      </w:r>
      <w:r>
        <w:rPr>
          <w:vertAlign w:val="baseline"/>
        </w:rPr>
        <w:t>any</w:t>
      </w:r>
      <w:r>
        <w:rPr>
          <w:spacing w:val="9"/>
          <w:vertAlign w:val="baseline"/>
        </w:rPr>
        <w:t> </w:t>
      </w:r>
      <w:r>
        <w:rPr>
          <w:vertAlign w:val="baseline"/>
        </w:rPr>
        <w:t>way</w:t>
      </w:r>
      <w:r>
        <w:rPr>
          <w:spacing w:val="8"/>
          <w:vertAlign w:val="baseline"/>
        </w:rPr>
        <w:t> </w:t>
      </w:r>
      <w:r>
        <w:rPr>
          <w:vertAlign w:val="baseline"/>
        </w:rPr>
        <w:t>prejudiced</w:t>
      </w:r>
      <w:r>
        <w:rPr>
          <w:spacing w:val="8"/>
          <w:vertAlign w:val="baseline"/>
        </w:rPr>
        <w:t> </w:t>
      </w:r>
      <w:r>
        <w:rPr>
          <w:vertAlign w:val="baseline"/>
        </w:rPr>
        <w:t>by</w:t>
      </w:r>
      <w:r>
        <w:rPr>
          <w:spacing w:val="9"/>
          <w:vertAlign w:val="baseline"/>
        </w:rPr>
        <w:t> </w:t>
      </w:r>
      <w:r>
        <w:rPr>
          <w:vertAlign w:val="baseline"/>
        </w:rPr>
        <w:t>it.</w:t>
      </w:r>
      <w:r>
        <w:rPr>
          <w:spacing w:val="7"/>
          <w:vertAlign w:val="baseline"/>
        </w:rPr>
        <w:t> </w:t>
      </w:r>
      <w:r>
        <w:rPr>
          <w:color w:val="005DA1"/>
          <w:u w:val="single" w:color="005DA1"/>
          <w:vertAlign w:val="superscript"/>
        </w:rPr>
        <w:t>511</w:t>
      </w:r>
      <w:r>
        <w:rPr>
          <w:color w:val="005DA1"/>
          <w:spacing w:val="9"/>
          <w:vertAlign w:val="baseline"/>
        </w:rPr>
        <w:t> </w:t>
      </w:r>
      <w:r>
        <w:rPr>
          <w:vertAlign w:val="baseline"/>
        </w:rPr>
        <w:t>But</w:t>
      </w:r>
      <w:r>
        <w:rPr>
          <w:spacing w:val="8"/>
          <w:vertAlign w:val="baseline"/>
        </w:rPr>
        <w:t> </w:t>
      </w:r>
      <w:r>
        <w:rPr>
          <w:vertAlign w:val="baseline"/>
        </w:rPr>
        <w:t>if</w:t>
      </w:r>
      <w:r>
        <w:rPr>
          <w:spacing w:val="9"/>
          <w:vertAlign w:val="baseline"/>
        </w:rPr>
        <w:t> </w:t>
      </w:r>
      <w:r>
        <w:rPr>
          <w:vertAlign w:val="baseline"/>
        </w:rPr>
        <w:t>this</w:t>
      </w:r>
      <w:r>
        <w:rPr>
          <w:spacing w:val="8"/>
          <w:vertAlign w:val="baseline"/>
        </w:rPr>
        <w:t> </w:t>
      </w:r>
      <w:r>
        <w:rPr>
          <w:vertAlign w:val="baseline"/>
        </w:rPr>
        <w:t>is</w:t>
      </w:r>
      <w:r>
        <w:rPr>
          <w:spacing w:val="8"/>
          <w:vertAlign w:val="baseline"/>
        </w:rPr>
        <w:t> </w:t>
      </w:r>
      <w:r>
        <w:rPr>
          <w:vertAlign w:val="baseline"/>
        </w:rPr>
        <w:t>a</w:t>
      </w:r>
      <w:r>
        <w:rPr>
          <w:spacing w:val="9"/>
          <w:vertAlign w:val="baseline"/>
        </w:rPr>
        <w:t> </w:t>
      </w:r>
      <w:r>
        <w:rPr>
          <w:spacing w:val="-2"/>
          <w:vertAlign w:val="baseline"/>
        </w:rPr>
        <w:t>matter</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918" w:id="920"/>
      <w:bookmarkEnd w:id="920"/>
      <w:r>
        <w:rPr/>
      </w:r>
      <w:r>
        <w:rPr/>
        <w:t>of</w:t>
      </w:r>
      <w:r>
        <w:rPr>
          <w:spacing w:val="-4"/>
        </w:rPr>
        <w:t> </w:t>
      </w:r>
      <w:r>
        <w:rPr/>
        <w:t>“mere</w:t>
      </w:r>
      <w:r>
        <w:rPr>
          <w:spacing w:val="-4"/>
        </w:rPr>
        <w:t> </w:t>
      </w:r>
      <w:r>
        <w:rPr/>
        <w:t>speculation,”</w:t>
      </w:r>
      <w:r>
        <w:rPr>
          <w:spacing w:val="-4"/>
        </w:rPr>
        <w:t> </w:t>
      </w:r>
      <w:r>
        <w:rPr>
          <w:color w:val="005DA1"/>
          <w:u w:val="single" w:color="005DA1"/>
          <w:vertAlign w:val="superscript"/>
        </w:rPr>
        <w:t>512</w:t>
      </w:r>
      <w:r>
        <w:rPr>
          <w:color w:val="005DA1"/>
          <w:spacing w:val="-4"/>
          <w:vertAlign w:val="baseline"/>
        </w:rPr>
        <w:t> </w:t>
      </w:r>
      <w:r>
        <w:rPr>
          <w:vertAlign w:val="baseline"/>
        </w:rPr>
        <w:t>or</w:t>
      </w:r>
      <w:r>
        <w:rPr>
          <w:spacing w:val="-4"/>
          <w:vertAlign w:val="baseline"/>
        </w:rPr>
        <w:t> </w:t>
      </w:r>
      <w:r>
        <w:rPr>
          <w:vertAlign w:val="baseline"/>
        </w:rPr>
        <w:t>if</w:t>
      </w:r>
      <w:r>
        <w:rPr>
          <w:spacing w:val="-4"/>
          <w:vertAlign w:val="baseline"/>
        </w:rPr>
        <w:t> </w:t>
      </w:r>
      <w:r>
        <w:rPr>
          <w:vertAlign w:val="baseline"/>
        </w:rPr>
        <w:t>the</w:t>
      </w:r>
      <w:r>
        <w:rPr>
          <w:spacing w:val="-4"/>
          <w:vertAlign w:val="baseline"/>
        </w:rPr>
        <w:t> </w:t>
      </w:r>
      <w:r>
        <w:rPr>
          <w:vertAlign w:val="baseline"/>
        </w:rPr>
        <w:t>promise</w:t>
      </w:r>
      <w:r>
        <w:rPr>
          <w:spacing w:val="-4"/>
          <w:vertAlign w:val="baseline"/>
        </w:rPr>
        <w:t> </w:t>
      </w:r>
      <w:r>
        <w:rPr>
          <w:vertAlign w:val="baseline"/>
        </w:rPr>
        <w:t>or</w:t>
      </w:r>
      <w:r>
        <w:rPr>
          <w:spacing w:val="-4"/>
          <w:vertAlign w:val="baseline"/>
        </w:rPr>
        <w:t> </w:t>
      </w:r>
      <w:r>
        <w:rPr>
          <w:vertAlign w:val="baseline"/>
        </w:rPr>
        <w:t>representation</w:t>
      </w:r>
      <w:r>
        <w:rPr>
          <w:spacing w:val="-4"/>
          <w:vertAlign w:val="baseline"/>
        </w:rPr>
        <w:t> </w:t>
      </w:r>
      <w:r>
        <w:rPr>
          <w:vertAlign w:val="baseline"/>
        </w:rPr>
        <w:t>“was</w:t>
      </w:r>
      <w:r>
        <w:rPr>
          <w:spacing w:val="-4"/>
          <w:vertAlign w:val="baseline"/>
        </w:rPr>
        <w:t> </w:t>
      </w:r>
      <w:r>
        <w:rPr>
          <w:vertAlign w:val="baseline"/>
        </w:rPr>
        <w:t>one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factors</w:t>
      </w:r>
      <w:r>
        <w:rPr>
          <w:spacing w:val="-4"/>
          <w:vertAlign w:val="baseline"/>
        </w:rPr>
        <w:t> </w:t>
      </w:r>
      <w:r>
        <w:rPr>
          <w:vertAlign w:val="baseline"/>
        </w:rPr>
        <w:t>…</w:t>
      </w:r>
      <w:r>
        <w:rPr>
          <w:spacing w:val="-4"/>
          <w:vertAlign w:val="baseline"/>
        </w:rPr>
        <w:t> </w:t>
      </w:r>
      <w:r>
        <w:rPr>
          <w:vertAlign w:val="baseline"/>
        </w:rPr>
        <w:t>relied</w:t>
      </w:r>
      <w:r>
        <w:rPr>
          <w:spacing w:val="-4"/>
          <w:vertAlign w:val="baseline"/>
        </w:rPr>
        <w:t> </w:t>
      </w:r>
      <w:r>
        <w:rPr>
          <w:vertAlign w:val="baseline"/>
        </w:rPr>
        <w:t>upon,”</w:t>
      </w:r>
      <w:r>
        <w:rPr>
          <w:spacing w:val="-5"/>
          <w:vertAlign w:val="baseline"/>
        </w:rPr>
        <w:t> </w:t>
      </w:r>
      <w:r>
        <w:rPr>
          <w:color w:val="005DA1"/>
          <w:u w:val="single" w:color="005DA1"/>
          <w:vertAlign w:val="superscript"/>
        </w:rPr>
        <w:t>513</w:t>
      </w:r>
      <w:r>
        <w:rPr>
          <w:color w:val="005DA1"/>
          <w:vertAlign w:val="baseline"/>
        </w:rPr>
        <w:t> </w:t>
      </w:r>
      <w:r>
        <w:rPr>
          <w:vertAlign w:val="baseline"/>
        </w:rPr>
        <w:t>it would form a sufficient inducement. Where the promisee has, after the promise, conducted </w:t>
      </w:r>
      <w:r>
        <w:rPr>
          <w:vertAlign w:val="baseline"/>
        </w:rPr>
        <w:t>himself </w:t>
      </w:r>
      <w:bookmarkStart w:name="_bookmark919" w:id="921"/>
      <w:bookmarkEnd w:id="921"/>
      <w:r>
        <w:rPr>
          <w:vertAlign w:val="baseline"/>
        </w:rPr>
        <w:t>in</w:t>
      </w:r>
      <w:r>
        <w:rPr>
          <w:vertAlign w:val="baseline"/>
        </w:rPr>
        <w:t> the way intended by the promisor, it will be up to the promisor to establish that this conduct was not induced by the promise. </w:t>
      </w:r>
      <w:r>
        <w:rPr>
          <w:color w:val="005DA1"/>
          <w:u w:val="single" w:color="005DA1"/>
          <w:vertAlign w:val="superscript"/>
        </w:rPr>
        <w:t>514</w:t>
      </w:r>
    </w:p>
    <w:p>
      <w:pPr>
        <w:pStyle w:val="BodyText"/>
      </w:pPr>
    </w:p>
    <w:p>
      <w:pPr>
        <w:pStyle w:val="BodyText"/>
        <w:spacing w:before="37"/>
      </w:pPr>
    </w:p>
    <w:p>
      <w:pPr>
        <w:spacing w:before="0"/>
        <w:ind w:left="165" w:right="0" w:firstLine="0"/>
        <w:jc w:val="both"/>
        <w:rPr>
          <w:rFonts w:ascii="Arial" w:hAnsi="Arial"/>
          <w:b/>
          <w:sz w:val="18"/>
        </w:rPr>
      </w:pPr>
      <w:r>
        <w:rPr>
          <w:rFonts w:ascii="Arial" w:hAnsi="Arial"/>
          <w:b/>
          <w:sz w:val="18"/>
        </w:rPr>
        <w:t>Whether “detriment” </w:t>
      </w:r>
      <w:r>
        <w:rPr>
          <w:rFonts w:ascii="Arial" w:hAnsi="Arial"/>
          <w:b/>
          <w:spacing w:val="-2"/>
          <w:sz w:val="18"/>
        </w:rPr>
        <w:t>required</w:t>
      </w:r>
    </w:p>
    <w:p>
      <w:pPr>
        <w:pStyle w:val="BodyText"/>
        <w:spacing w:before="41"/>
        <w:rPr>
          <w:rFonts w:ascii="Arial"/>
          <w:b/>
          <w:sz w:val="18"/>
        </w:rPr>
      </w:pPr>
    </w:p>
    <w:p>
      <w:pPr>
        <w:pStyle w:val="Heading2"/>
      </w:pPr>
      <w:r>
        <w:rPr/>
        <w:t>4-</w:t>
      </w:r>
      <w:r>
        <w:rPr>
          <w:spacing w:val="-5"/>
        </w:rPr>
        <w:t>095</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920" w:id="922"/>
      <w:bookmarkEnd w:id="922"/>
      <w:r>
        <w:rPr>
          <w:rFonts w:ascii="Times New Roman" w:hAnsi="Times New Roman"/>
          <w:spacing w:val="10"/>
        </w:rPr>
      </w:r>
      <w:r>
        <w:rPr/>
        <w:t>There is sometimes said to be a further requirement, namely that the promisee must have </w:t>
      </w:r>
      <w:r>
        <w:rPr/>
        <w:t>suffered “detriment”</w:t>
      </w:r>
      <w:r>
        <w:rPr>
          <w:spacing w:val="-2"/>
        </w:rPr>
        <w:t> </w:t>
      </w:r>
      <w:r>
        <w:rPr/>
        <w:t>by</w:t>
      </w:r>
      <w:r>
        <w:rPr>
          <w:spacing w:val="-2"/>
        </w:rPr>
        <w:t> </w:t>
      </w:r>
      <w:r>
        <w:rPr/>
        <w:t>acting</w:t>
      </w:r>
      <w:r>
        <w:rPr>
          <w:spacing w:val="-2"/>
        </w:rPr>
        <w:t> </w:t>
      </w:r>
      <w:r>
        <w:rPr/>
        <w:t>in</w:t>
      </w:r>
      <w:r>
        <w:rPr>
          <w:spacing w:val="-2"/>
        </w:rPr>
        <w:t> </w:t>
      </w:r>
      <w:r>
        <w:rPr/>
        <w:t>reliance</w:t>
      </w:r>
      <w:r>
        <w:rPr>
          <w:spacing w:val="-2"/>
        </w:rPr>
        <w:t> </w:t>
      </w:r>
      <w:r>
        <w:rPr/>
        <w:t>on</w:t>
      </w:r>
      <w:r>
        <w:rPr>
          <w:spacing w:val="-2"/>
        </w:rPr>
        <w:t> </w:t>
      </w:r>
      <w:r>
        <w:rPr/>
        <w:t>the</w:t>
      </w:r>
      <w:r>
        <w:rPr>
          <w:spacing w:val="-2"/>
        </w:rPr>
        <w:t> </w:t>
      </w:r>
      <w:r>
        <w:rPr/>
        <w:t>promise.</w:t>
      </w:r>
      <w:r>
        <w:rPr>
          <w:spacing w:val="-2"/>
        </w:rPr>
        <w:t> </w:t>
      </w:r>
      <w:r>
        <w:rPr>
          <w:color w:val="005DA1"/>
          <w:u w:val="single" w:color="005DA1"/>
          <w:vertAlign w:val="superscript"/>
        </w:rPr>
        <w:t>515</w:t>
      </w:r>
      <w:r>
        <w:rPr>
          <w:color w:val="005DA1"/>
          <w:spacing w:val="-2"/>
          <w:vertAlign w:val="baseline"/>
        </w:rPr>
        <w:t> </w:t>
      </w:r>
      <w:r>
        <w:rPr>
          <w:vertAlign w:val="baseline"/>
        </w:rPr>
        <w:t>This</w:t>
      </w:r>
      <w:r>
        <w:rPr>
          <w:spacing w:val="-2"/>
          <w:vertAlign w:val="baseline"/>
        </w:rPr>
        <w:t> </w:t>
      </w:r>
      <w:r>
        <w:rPr>
          <w:vertAlign w:val="baseline"/>
        </w:rPr>
        <w:t>may</w:t>
      </w:r>
      <w:r>
        <w:rPr>
          <w:spacing w:val="-2"/>
          <w:vertAlign w:val="baseline"/>
        </w:rPr>
        <w:t> </w:t>
      </w:r>
      <w:r>
        <w:rPr>
          <w:vertAlign w:val="baseline"/>
        </w:rPr>
        <w:t>mean</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promisee</w:t>
      </w:r>
      <w:r>
        <w:rPr>
          <w:spacing w:val="-2"/>
          <w:vertAlign w:val="baseline"/>
        </w:rPr>
        <w:t> </w:t>
      </w:r>
      <w:r>
        <w:rPr>
          <w:vertAlign w:val="baseline"/>
        </w:rPr>
        <w:t>must</w:t>
      </w:r>
      <w:r>
        <w:rPr>
          <w:spacing w:val="-2"/>
          <w:vertAlign w:val="baseline"/>
        </w:rPr>
        <w:t> </w:t>
      </w:r>
      <w:r>
        <w:rPr>
          <w:vertAlign w:val="baseline"/>
        </w:rPr>
        <w:t>have</w:t>
      </w:r>
      <w:r>
        <w:rPr>
          <w:spacing w:val="-2"/>
          <w:vertAlign w:val="baseline"/>
        </w:rPr>
        <w:t> </w:t>
      </w:r>
      <w:r>
        <w:rPr>
          <w:vertAlign w:val="baseline"/>
        </w:rPr>
        <w:t>done something that he was not previously bound to do and as a result have suffered loss: for example, by </w:t>
      </w:r>
      <w:bookmarkStart w:name="_bookmark921" w:id="923"/>
      <w:bookmarkEnd w:id="923"/>
      <w:r>
        <w:rPr>
          <w:vertAlign w:val="baseline"/>
        </w:rPr>
        <w:t>incurring</w:t>
      </w:r>
      <w:r>
        <w:rPr>
          <w:vertAlign w:val="baseline"/>
        </w:rPr>
        <w:t> some expenditure in reliance on the promise. This alleged requirement of “detriment” is </w:t>
      </w:r>
      <w:bookmarkStart w:name="_bookmark922" w:id="924"/>
      <w:bookmarkEnd w:id="924"/>
      <w:r>
        <w:rPr>
          <w:vertAlign w:val="baseline"/>
        </w:rPr>
        <w:t>based</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analogy</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doctrine</w:t>
      </w:r>
      <w:r>
        <w:rPr>
          <w:spacing w:val="-2"/>
          <w:vertAlign w:val="baseline"/>
        </w:rPr>
        <w:t> </w:t>
      </w:r>
      <w:r>
        <w:rPr>
          <w:vertAlign w:val="baseline"/>
        </w:rPr>
        <w:t>of</w:t>
      </w:r>
      <w:r>
        <w:rPr>
          <w:spacing w:val="-2"/>
          <w:vertAlign w:val="baseline"/>
        </w:rPr>
        <w:t> </w:t>
      </w:r>
      <w:r>
        <w:rPr>
          <w:vertAlign w:val="baseline"/>
        </w:rPr>
        <w:t>estoppel</w:t>
      </w:r>
      <w:r>
        <w:rPr>
          <w:spacing w:val="-2"/>
          <w:vertAlign w:val="baseline"/>
        </w:rPr>
        <w:t> </w:t>
      </w:r>
      <w:r>
        <w:rPr>
          <w:vertAlign w:val="baseline"/>
        </w:rPr>
        <w:t>by</w:t>
      </w:r>
      <w:r>
        <w:rPr>
          <w:spacing w:val="-2"/>
          <w:vertAlign w:val="baseline"/>
        </w:rPr>
        <w:t> </w:t>
      </w:r>
      <w:r>
        <w:rPr>
          <w:vertAlign w:val="baseline"/>
        </w:rPr>
        <w:t>representation.</w:t>
      </w:r>
      <w:r>
        <w:rPr>
          <w:spacing w:val="-3"/>
          <w:vertAlign w:val="baseline"/>
        </w:rPr>
        <w:t> </w:t>
      </w:r>
      <w:r>
        <w:rPr>
          <w:color w:val="005DA1"/>
          <w:u w:val="single" w:color="005DA1"/>
          <w:vertAlign w:val="superscript"/>
        </w:rPr>
        <w:t>516</w:t>
      </w:r>
      <w:r>
        <w:rPr>
          <w:color w:val="005DA1"/>
          <w:spacing w:val="-2"/>
          <w:vertAlign w:val="baseline"/>
        </w:rPr>
        <w:t> </w:t>
      </w:r>
      <w:r>
        <w:rPr>
          <w:vertAlign w:val="baseline"/>
        </w:rPr>
        <w:t>But</w:t>
      </w:r>
      <w:r>
        <w:rPr>
          <w:spacing w:val="-2"/>
          <w:vertAlign w:val="baseline"/>
        </w:rPr>
        <w:t> </w:t>
      </w:r>
      <w:r>
        <w:rPr>
          <w:vertAlign w:val="baseline"/>
        </w:rPr>
        <w:t>that</w:t>
      </w:r>
      <w:r>
        <w:rPr>
          <w:spacing w:val="-2"/>
          <w:vertAlign w:val="baseline"/>
        </w:rPr>
        <w:t> </w:t>
      </w:r>
      <w:r>
        <w:rPr>
          <w:vertAlign w:val="baseline"/>
        </w:rPr>
        <w:t>analogy</w:t>
      </w:r>
      <w:r>
        <w:rPr>
          <w:spacing w:val="-2"/>
          <w:vertAlign w:val="baseline"/>
        </w:rPr>
        <w:t> </w:t>
      </w:r>
      <w:r>
        <w:rPr>
          <w:vertAlign w:val="baseline"/>
        </w:rPr>
        <w:t>is</w:t>
      </w:r>
      <w:r>
        <w:rPr>
          <w:spacing w:val="-2"/>
          <w:vertAlign w:val="baseline"/>
        </w:rPr>
        <w:t> </w:t>
      </w:r>
      <w:r>
        <w:rPr>
          <w:vertAlign w:val="baseline"/>
        </w:rPr>
        <w:t>(as</w:t>
      </w:r>
      <w:r>
        <w:rPr>
          <w:spacing w:val="-2"/>
          <w:vertAlign w:val="baseline"/>
        </w:rPr>
        <w:t> </w:t>
      </w:r>
      <w:r>
        <w:rPr>
          <w:vertAlign w:val="baseline"/>
        </w:rPr>
        <w:t>we</w:t>
      </w:r>
      <w:r>
        <w:rPr>
          <w:spacing w:val="-2"/>
          <w:vertAlign w:val="baseline"/>
        </w:rPr>
        <w:t> </w:t>
      </w:r>
      <w:r>
        <w:rPr>
          <w:vertAlign w:val="baseline"/>
        </w:rPr>
        <w:t>shall </w:t>
      </w:r>
      <w:bookmarkStart w:name="_bookmark923" w:id="925"/>
      <w:bookmarkEnd w:id="925"/>
      <w:r>
        <w:rPr>
          <w:vertAlign w:val="baseline"/>
        </w:rPr>
        <w:t>see)</w:t>
      </w:r>
      <w:r>
        <w:rPr>
          <w:spacing w:val="4"/>
          <w:vertAlign w:val="baseline"/>
        </w:rPr>
        <w:t> </w:t>
      </w:r>
      <w:r>
        <w:rPr>
          <w:color w:val="005DA1"/>
          <w:u w:val="single" w:color="005DA1"/>
          <w:vertAlign w:val="superscript"/>
        </w:rPr>
        <w:t>517</w:t>
      </w:r>
      <w:r>
        <w:rPr>
          <w:color w:val="005DA1"/>
          <w:spacing w:val="5"/>
          <w:vertAlign w:val="baseline"/>
        </w:rPr>
        <w:t> </w:t>
      </w:r>
      <w:r>
        <w:rPr>
          <w:vertAlign w:val="baseline"/>
        </w:rPr>
        <w:t>inexact,</w:t>
      </w:r>
      <w:r>
        <w:rPr>
          <w:spacing w:val="5"/>
          <w:vertAlign w:val="baseline"/>
        </w:rPr>
        <w:t> </w:t>
      </w:r>
      <w:r>
        <w:rPr>
          <w:vertAlign w:val="baseline"/>
        </w:rPr>
        <w:t>and</w:t>
      </w:r>
      <w:r>
        <w:rPr>
          <w:spacing w:val="5"/>
          <w:vertAlign w:val="baseline"/>
        </w:rPr>
        <w:t> </w:t>
      </w:r>
      <w:r>
        <w:rPr>
          <w:vertAlign w:val="baseline"/>
        </w:rPr>
        <w:t>the</w:t>
      </w:r>
      <w:r>
        <w:rPr>
          <w:spacing w:val="5"/>
          <w:vertAlign w:val="baseline"/>
        </w:rPr>
        <w:t> </w:t>
      </w:r>
      <w:r>
        <w:rPr>
          <w:vertAlign w:val="baseline"/>
        </w:rPr>
        <w:t>equitable</w:t>
      </w:r>
      <w:r>
        <w:rPr>
          <w:spacing w:val="5"/>
          <w:vertAlign w:val="baseline"/>
        </w:rPr>
        <w:t> </w:t>
      </w:r>
      <w:r>
        <w:rPr>
          <w:vertAlign w:val="baseline"/>
        </w:rPr>
        <w:t>doctrine</w:t>
      </w:r>
      <w:r>
        <w:rPr>
          <w:spacing w:val="5"/>
          <w:vertAlign w:val="baseline"/>
        </w:rPr>
        <w:t> </w:t>
      </w:r>
      <w:r>
        <w:rPr>
          <w:vertAlign w:val="baseline"/>
        </w:rPr>
        <w:t>may</w:t>
      </w:r>
      <w:r>
        <w:rPr>
          <w:spacing w:val="5"/>
          <w:vertAlign w:val="baseline"/>
        </w:rPr>
        <w:t> </w:t>
      </w:r>
      <w:r>
        <w:rPr>
          <w:vertAlign w:val="baseline"/>
        </w:rPr>
        <w:t>be</w:t>
      </w:r>
      <w:r>
        <w:rPr>
          <w:spacing w:val="5"/>
          <w:vertAlign w:val="baseline"/>
        </w:rPr>
        <w:t> </w:t>
      </w:r>
      <w:r>
        <w:rPr>
          <w:vertAlign w:val="baseline"/>
        </w:rPr>
        <w:t>applied</w:t>
      </w:r>
      <w:r>
        <w:rPr>
          <w:spacing w:val="5"/>
          <w:vertAlign w:val="baseline"/>
        </w:rPr>
        <w:t> </w:t>
      </w:r>
      <w:r>
        <w:rPr>
          <w:vertAlign w:val="baseline"/>
        </w:rPr>
        <w:t>even</w:t>
      </w:r>
      <w:r>
        <w:rPr>
          <w:spacing w:val="5"/>
          <w:vertAlign w:val="baseline"/>
        </w:rPr>
        <w:t> </w:t>
      </w:r>
      <w:r>
        <w:rPr>
          <w:vertAlign w:val="baseline"/>
        </w:rPr>
        <w:t>though</w:t>
      </w:r>
      <w:r>
        <w:rPr>
          <w:spacing w:val="5"/>
          <w:vertAlign w:val="baseline"/>
        </w:rPr>
        <w:t> </w:t>
      </w:r>
      <w:r>
        <w:rPr>
          <w:vertAlign w:val="baseline"/>
        </w:rPr>
        <w:t>there</w:t>
      </w:r>
      <w:r>
        <w:rPr>
          <w:spacing w:val="5"/>
          <w:vertAlign w:val="baseline"/>
        </w:rPr>
        <w:t> </w:t>
      </w:r>
      <w:r>
        <w:rPr>
          <w:vertAlign w:val="baseline"/>
        </w:rPr>
        <w:t>is</w:t>
      </w:r>
      <w:r>
        <w:rPr>
          <w:spacing w:val="5"/>
          <w:vertAlign w:val="baseline"/>
        </w:rPr>
        <w:t> </w:t>
      </w:r>
      <w:r>
        <w:rPr>
          <w:vertAlign w:val="baseline"/>
        </w:rPr>
        <w:t>no</w:t>
      </w:r>
      <w:r>
        <w:rPr>
          <w:spacing w:val="5"/>
          <w:vertAlign w:val="baseline"/>
        </w:rPr>
        <w:t> </w:t>
      </w:r>
      <w:r>
        <w:rPr>
          <w:vertAlign w:val="baseline"/>
        </w:rPr>
        <w:t>“detriment”</w:t>
      </w:r>
      <w:r>
        <w:rPr>
          <w:spacing w:val="5"/>
          <w:vertAlign w:val="baseline"/>
        </w:rPr>
        <w:t> </w:t>
      </w:r>
      <w:r>
        <w:rPr>
          <w:vertAlign w:val="baseline"/>
        </w:rPr>
        <w:t>in</w:t>
      </w:r>
      <w:r>
        <w:rPr>
          <w:spacing w:val="5"/>
          <w:vertAlign w:val="baseline"/>
        </w:rPr>
        <w:t> </w:t>
      </w:r>
      <w:r>
        <w:rPr>
          <w:spacing w:val="-4"/>
          <w:vertAlign w:val="baseline"/>
        </w:rPr>
        <w:t>this</w:t>
      </w:r>
    </w:p>
    <w:p>
      <w:pPr>
        <w:pStyle w:val="BodyText"/>
        <w:spacing w:line="235" w:lineRule="auto" w:before="117"/>
        <w:ind w:left="164" w:right="167"/>
        <w:jc w:val="both"/>
      </w:pPr>
      <w:bookmarkStart w:name="_bookmark924" w:id="926"/>
      <w:bookmarkEnd w:id="926"/>
      <w:r>
        <w:rPr/>
      </w:r>
      <w:r>
        <w:rPr/>
        <w:t>sense. </w:t>
      </w:r>
      <w:r>
        <w:rPr>
          <w:color w:val="005DA1"/>
          <w:u w:val="single" w:color="005DA1"/>
          <w:vertAlign w:val="superscript"/>
        </w:rPr>
        <w:t>518</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7"/>
          <w:vertAlign w:val="baseline"/>
        </w:rPr>
        <w:t> </w:t>
      </w:r>
      <w:r>
        <w:rPr>
          <w:vertAlign w:val="baseline"/>
        </w:rPr>
        <w:t>It is enough if the promisee has altered his position in reliance on the promise so that it would be inequitable to allow the promisor to act inconsistently with it </w:t>
      </w:r>
      <w:r>
        <w:rPr>
          <w:color w:val="005DA1"/>
          <w:u w:val="single" w:color="005DA1"/>
          <w:vertAlign w:val="superscript"/>
        </w:rPr>
        <w:t>519</w:t>
      </w:r>
      <w:r>
        <w:rPr>
          <w:vertAlign w:val="baseline"/>
        </w:rPr>
        <w:t>: for example, if the </w:t>
      </w:r>
      <w:r>
        <w:rPr>
          <w:vertAlign w:val="baseline"/>
        </w:rPr>
        <w:t>promisee </w:t>
      </w:r>
      <w:bookmarkStart w:name="_bookmark925" w:id="927"/>
      <w:bookmarkEnd w:id="927"/>
      <w:r>
        <w:rPr>
          <w:vertAlign w:val="baseline"/>
        </w:rPr>
        <w:t>has</w:t>
      </w:r>
      <w:r>
        <w:rPr>
          <w:vertAlign w:val="baseline"/>
        </w:rPr>
        <w:t> forborne from taking steps that he would otherwise have taken to safeguard his legal position (as in </w:t>
      </w:r>
      <w:r>
        <w:rPr>
          <w:rFonts w:ascii="Arial" w:hAnsi="Arial"/>
          <w:i/>
          <w:vertAlign w:val="baseline"/>
        </w:rPr>
        <w:t>Hughes v Metropolitan Ry</w:t>
      </w:r>
      <w:r>
        <w:rPr>
          <w:vertAlign w:val="baseline"/>
        </w:rPr>
        <w:t>. </w:t>
      </w:r>
      <w:r>
        <w:rPr>
          <w:color w:val="005DA1"/>
          <w:u w:val="single" w:color="005DA1"/>
          <w:vertAlign w:val="superscript"/>
        </w:rPr>
        <w:t>520</w:t>
      </w:r>
      <w:r>
        <w:rPr>
          <w:color w:val="005DA1"/>
          <w:vertAlign w:val="baseline"/>
        </w:rPr>
        <w:t> </w:t>
      </w:r>
      <w:r>
        <w:rPr>
          <w:vertAlign w:val="baseline"/>
        </w:rPr>
        <w:t>itself); or if he has performed, or made efforts to perform the altered obligation (for example, where a seller after being promised extra time for delivery has continued his efforts to perform after the originally agreed delivery date had gone by). On the other hand, the fact that the promisee has not suffered any prejudice by acting in reliance on the promise may be relevant </w:t>
      </w:r>
      <w:bookmarkStart w:name="_bookmark926" w:id="928"/>
      <w:bookmarkEnd w:id="928"/>
      <w:r>
        <w:rPr>
          <w:vertAlign w:val="baseline"/>
        </w:rPr>
        <w:t>for</w:t>
      </w:r>
      <w:r>
        <w:rPr>
          <w:vertAlign w:val="baseline"/>
        </w:rPr>
        <w:t> the purpose of the requirement to be discussed in para.4-096 below; for in such circumstances it may not be “inequitable” for the promisor to go back on his promise. </w:t>
      </w:r>
      <w:r>
        <w:rPr>
          <w:color w:val="005DA1"/>
          <w:u w:val="single" w:color="005DA1"/>
          <w:vertAlign w:val="superscript"/>
        </w:rPr>
        <w:t>521</w:t>
      </w:r>
    </w:p>
    <w:p>
      <w:pPr>
        <w:pStyle w:val="BodyText"/>
      </w:pPr>
    </w:p>
    <w:p>
      <w:pPr>
        <w:pStyle w:val="BodyText"/>
        <w:spacing w:before="36"/>
      </w:pPr>
    </w:p>
    <w:p>
      <w:pPr>
        <w:spacing w:before="0"/>
        <w:ind w:left="165" w:right="0" w:firstLine="0"/>
        <w:jc w:val="left"/>
        <w:rPr>
          <w:rFonts w:ascii="Arial"/>
          <w:b/>
          <w:sz w:val="18"/>
        </w:rPr>
      </w:pPr>
      <w:r>
        <w:rPr>
          <w:rFonts w:ascii="Arial"/>
          <w:b/>
          <w:spacing w:val="-2"/>
          <w:sz w:val="18"/>
        </w:rPr>
        <w:t>Inequitable</w:t>
      </w:r>
    </w:p>
    <w:p>
      <w:pPr>
        <w:pStyle w:val="BodyText"/>
        <w:spacing w:before="41"/>
        <w:rPr>
          <w:rFonts w:ascii="Arial"/>
          <w:b/>
          <w:sz w:val="18"/>
        </w:rPr>
      </w:pPr>
    </w:p>
    <w:p>
      <w:pPr>
        <w:pStyle w:val="Heading2"/>
      </w:pPr>
      <w:r>
        <w:rPr/>
        <w:t>4-</w:t>
      </w:r>
      <w:r>
        <w:rPr>
          <w:spacing w:val="-5"/>
        </w:rPr>
        <w:t>096</w:t>
      </w:r>
    </w:p>
    <w:p>
      <w:pPr>
        <w:pStyle w:val="BodyText"/>
        <w:spacing w:line="235" w:lineRule="auto" w:before="203"/>
        <w:ind w:left="164" w:right="167"/>
        <w:jc w:val="both"/>
      </w:pPr>
      <w:r>
        <w:rPr/>
        <w:t>It must be “inequitable” for the promisor to go back on the promise. This requirement cannot </w:t>
      </w:r>
      <w:r>
        <w:rPr/>
        <w:t>be defined with anything approaching precision, but the underlying idea is that the promisee must have </w:t>
      </w:r>
      <w:bookmarkStart w:name="_bookmark927" w:id="929"/>
      <w:bookmarkEnd w:id="929"/>
      <w:r>
        <w:rPr/>
        <w:t>acted</w:t>
      </w:r>
      <w:r>
        <w:rPr/>
        <w:t> in reliance on the promise in one of the ways described in para.4-095 above, so that he can no </w:t>
      </w:r>
      <w:bookmarkStart w:name="_bookmark928" w:id="930"/>
      <w:bookmarkEnd w:id="930"/>
      <w:r>
        <w:rPr/>
        <w:t>longer</w:t>
      </w:r>
      <w:r>
        <w:rPr/>
        <w:t> be restored to the position in which he was before he took such action. </w:t>
      </w:r>
      <w:r>
        <w:rPr>
          <w:color w:val="005DA1"/>
          <w:u w:val="single" w:color="005DA1"/>
          <w:vertAlign w:val="superscript"/>
        </w:rPr>
        <w:t>522</w:t>
      </w:r>
      <w:r>
        <w:rPr>
          <w:color w:val="005DA1"/>
          <w:vertAlign w:val="baseline"/>
        </w:rPr>
        <w:t> </w:t>
      </w:r>
      <w:r>
        <w:rPr>
          <w:vertAlign w:val="baseline"/>
        </w:rPr>
        <w:t>If the promisee can </w:t>
      </w:r>
      <w:bookmarkStart w:name="_bookmark929" w:id="931"/>
      <w:bookmarkEnd w:id="931"/>
      <w:r>
        <w:rPr>
          <w:vertAlign w:val="baseline"/>
        </w:rPr>
        <w:t>be</w:t>
      </w:r>
      <w:r>
        <w:rPr>
          <w:vertAlign w:val="baseline"/>
        </w:rPr>
        <w:t> </w:t>
      </w:r>
      <w:r>
        <w:rPr>
          <w:color w:val="005DA1"/>
          <w:u w:val="single" w:color="005DA1"/>
          <w:vertAlign w:val="superscript"/>
        </w:rPr>
        <w:t>523</w:t>
      </w:r>
      <w:r>
        <w:rPr>
          <w:color w:val="005DA1"/>
          <w:vertAlign w:val="baseline"/>
        </w:rPr>
        <w:t> </w:t>
      </w:r>
      <w:r>
        <w:rPr>
          <w:vertAlign w:val="baseline"/>
        </w:rPr>
        <w:t>restored to that position, it will not be inequitable for the promisor to go back on the promise. In one case </w:t>
      </w:r>
      <w:r>
        <w:rPr>
          <w:color w:val="005DA1"/>
          <w:u w:val="single" w:color="005DA1"/>
          <w:vertAlign w:val="superscript"/>
        </w:rPr>
        <w:t>524</w:t>
      </w:r>
      <w:r>
        <w:rPr>
          <w:color w:val="005DA1"/>
          <w:vertAlign w:val="baseline"/>
        </w:rPr>
        <w:t> </w:t>
      </w:r>
      <w:r>
        <w:rPr>
          <w:vertAlign w:val="baseline"/>
        </w:rPr>
        <w:t>the promisor reasserted his strict legal rights only two days after the promise had been made. It was held that this was not “inequitable” since the promisee had not, in this short period, suffered any prejudice by acting in reliance on the promise: he could be, and was, restored to exactly the position in which he had been before the promise was made. Sometimes, moreover, extraneous </w:t>
      </w:r>
      <w:bookmarkStart w:name="_bookmark930" w:id="932"/>
      <w:bookmarkEnd w:id="932"/>
      <w:r>
        <w:rPr>
          <w:vertAlign w:val="baseline"/>
        </w:rPr>
        <w:t>circumstances</w:t>
      </w:r>
      <w:r>
        <w:rPr>
          <w:vertAlign w:val="baseline"/>
        </w:rPr>
        <w:t> may justify the promisor in going back on the promise even without giving reasonable notice of his intention to do so. </w:t>
      </w:r>
      <w:r>
        <w:rPr>
          <w:color w:val="005DA1"/>
          <w:u w:val="single" w:color="005DA1"/>
          <w:vertAlign w:val="superscript"/>
        </w:rPr>
        <w:t>525</w:t>
      </w:r>
      <w:r>
        <w:rPr>
          <w:color w:val="005DA1"/>
          <w:vertAlign w:val="baseline"/>
        </w:rPr>
        <w:t> </w:t>
      </w:r>
      <w:r>
        <w:rPr>
          <w:vertAlign w:val="baseline"/>
        </w:rPr>
        <w:t>In </w:t>
      </w:r>
      <w:r>
        <w:rPr>
          <w:rFonts w:ascii="Arial" w:hAnsi="Arial"/>
          <w:i/>
          <w:vertAlign w:val="baseline"/>
        </w:rPr>
        <w:t>Williams v Stern </w:t>
      </w:r>
      <w:r>
        <w:rPr>
          <w:color w:val="005DA1"/>
          <w:u w:val="single" w:color="005DA1"/>
          <w:vertAlign w:val="superscript"/>
        </w:rPr>
        <w:t>526</w:t>
      </w:r>
      <w:r>
        <w:rPr>
          <w:color w:val="005DA1"/>
          <w:vertAlign w:val="baseline"/>
        </w:rPr>
        <w:t> </w:t>
      </w:r>
      <w:r>
        <w:rPr>
          <w:vertAlign w:val="baseline"/>
        </w:rPr>
        <w:t>the plaintiff gave the defendant a bill of sale of furniture as security for a loan; the bill entitled the defendant to seize the furniture if the plaintiff defaulted in making payments under it. When the fourteenth instalment became due, the plaintiff asked for extra time, and the defendant said that he “would not look to a week.” Three days later he seized the furniture because he had heard that the plaintiff’s landlord intended to distrain it for arrears of rent. It was held that the defendant’s seizure was justified. The defendant’s promise to give time was not binding contractually as the plaintiff had given no consideration for it; nor did it, in the circumstances, bring the equitable doctrine into operation. Brett L.J. said: “Has there been any misconduct on the part of the defendant? I think not: it appears that a distress by the plaintiff’s</w:t>
      </w:r>
      <w:r>
        <w:rPr>
          <w:spacing w:val="40"/>
          <w:vertAlign w:val="baseline"/>
        </w:rPr>
        <w:t> </w:t>
      </w:r>
      <w:bookmarkStart w:name="_bookmark931" w:id="933"/>
      <w:bookmarkEnd w:id="933"/>
      <w:r>
        <w:rPr>
          <w:vertAlign w:val="baseline"/>
        </w:rPr>
        <w:t>landlord</w:t>
      </w:r>
      <w:r>
        <w:rPr>
          <w:vertAlign w:val="baseline"/>
        </w:rPr>
        <w:t> has been threatened; and under these circumstances I do not blame the defendant for </w:t>
      </w:r>
      <w:bookmarkStart w:name="_bookmark932" w:id="934"/>
      <w:bookmarkEnd w:id="934"/>
      <w:r>
        <w:rPr>
          <w:vertAlign w:val="baseline"/>
        </w:rPr>
        <w:t>changing</w:t>
      </w:r>
      <w:r>
        <w:rPr>
          <w:vertAlign w:val="baseline"/>
        </w:rPr>
        <w:t> his mind.” </w:t>
      </w:r>
      <w:r>
        <w:rPr>
          <w:color w:val="005DA1"/>
          <w:u w:val="single" w:color="005DA1"/>
          <w:vertAlign w:val="superscript"/>
        </w:rPr>
        <w:t>527</w:t>
      </w:r>
      <w:r>
        <w:rPr>
          <w:color w:val="005DA1"/>
          <w:vertAlign w:val="baseline"/>
        </w:rPr>
        <w:t> </w:t>
      </w:r>
      <w:r>
        <w:rPr>
          <w:vertAlign w:val="baseline"/>
        </w:rPr>
        <w:t>The conduct of the promisee in obtaining the promise may also be relevant to the issue whether the promisor has acted “inequitably” in going back on it. </w:t>
      </w:r>
      <w:r>
        <w:rPr>
          <w:color w:val="005DA1"/>
          <w:u w:val="single" w:color="005DA1"/>
          <w:vertAlign w:val="superscript"/>
        </w:rPr>
        <w:t>528</w:t>
      </w:r>
    </w:p>
    <w:p>
      <w:pPr>
        <w:pStyle w:val="BodyText"/>
      </w:pPr>
    </w:p>
    <w:p>
      <w:pPr>
        <w:pStyle w:val="BodyText"/>
        <w:spacing w:before="30"/>
      </w:pPr>
    </w:p>
    <w:p>
      <w:pPr>
        <w:spacing w:before="0"/>
        <w:ind w:left="165" w:right="0" w:firstLine="0"/>
        <w:jc w:val="left"/>
        <w:rPr>
          <w:rFonts w:ascii="Arial"/>
          <w:b/>
          <w:sz w:val="18"/>
        </w:rPr>
      </w:pPr>
      <w:r>
        <w:rPr>
          <w:rFonts w:ascii="Arial"/>
          <w:b/>
          <w:sz w:val="18"/>
        </w:rPr>
        <w:t>Effect of the doctrine generally </w:t>
      </w:r>
      <w:r>
        <w:rPr>
          <w:rFonts w:ascii="Arial"/>
          <w:b/>
          <w:spacing w:val="-2"/>
          <w:sz w:val="18"/>
        </w:rPr>
        <w:t>suspensive</w:t>
      </w:r>
    </w:p>
    <w:p>
      <w:pPr>
        <w:pStyle w:val="BodyText"/>
        <w:spacing w:before="41"/>
        <w:rPr>
          <w:rFonts w:ascii="Arial"/>
          <w:b/>
          <w:sz w:val="18"/>
        </w:rPr>
      </w:pPr>
    </w:p>
    <w:p>
      <w:pPr>
        <w:pStyle w:val="Heading2"/>
      </w:pPr>
      <w:r>
        <w:rPr/>
        <w:t>4-</w:t>
      </w:r>
      <w:r>
        <w:rPr>
          <w:spacing w:val="-5"/>
        </w:rPr>
        <w:t>097</w:t>
      </w:r>
    </w:p>
    <w:p>
      <w:pPr>
        <w:pStyle w:val="Heading2"/>
        <w:spacing w:after="0"/>
        <w:sectPr>
          <w:pgSz w:w="11900" w:h="16840"/>
          <w:pgMar w:header="971" w:footer="0" w:top="1160" w:bottom="280" w:left="1275" w:right="1275"/>
        </w:sectPr>
      </w:pPr>
    </w:p>
    <w:p>
      <w:pPr>
        <w:pStyle w:val="BodyText"/>
        <w:rPr>
          <w:rFonts w:ascii="Arial"/>
          <w:b/>
        </w:rPr>
      </w:pPr>
    </w:p>
    <w:p>
      <w:pPr>
        <w:pStyle w:val="BodyText"/>
        <w:spacing w:before="15"/>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933" w:id="935"/>
      <w:bookmarkEnd w:id="935"/>
      <w:r>
        <w:rPr>
          <w:rFonts w:ascii="Times New Roman"/>
          <w:spacing w:val="17"/>
        </w:rPr>
      </w:r>
      <w:r>
        <w:rPr/>
        <w:t>The equitable doctrine, like the common law doctrine of waiver, generally does not extinguish, but only suspends rights. </w:t>
      </w:r>
      <w:r>
        <w:rPr>
          <w:color w:val="005DA1"/>
          <w:u w:val="single" w:color="005DA1"/>
          <w:vertAlign w:val="superscript"/>
        </w:rPr>
        <w:t>529</w:t>
      </w:r>
      <w:r>
        <w:rPr>
          <w:color w:val="005DA1"/>
          <w:vertAlign w:val="baseline"/>
        </w:rPr>
        <w:t> </w:t>
      </w:r>
      <w:r>
        <w:rPr>
          <w:vertAlign w:val="baseline"/>
        </w:rPr>
        <w:t>The landlord in </w:t>
      </w:r>
      <w:r>
        <w:rPr>
          <w:rFonts w:ascii="Arial"/>
          <w:i/>
          <w:vertAlign w:val="baseline"/>
        </w:rPr>
        <w:t>Hughes v Metropolitan Ry </w:t>
      </w:r>
      <w:r>
        <w:rPr>
          <w:color w:val="005DA1"/>
          <w:u w:val="single" w:color="005DA1"/>
          <w:vertAlign w:val="superscript"/>
        </w:rPr>
        <w:t>530</w:t>
      </w:r>
      <w:r>
        <w:rPr>
          <w:color w:val="005DA1"/>
          <w:vertAlign w:val="baseline"/>
        </w:rPr>
        <w:t> </w:t>
      </w:r>
      <w:r>
        <w:rPr>
          <w:vertAlign w:val="baseline"/>
        </w:rPr>
        <w:t>was not permanently debarred </w:t>
      </w:r>
      <w:bookmarkStart w:name="_bookmark934" w:id="936"/>
      <w:bookmarkEnd w:id="936"/>
      <w:r>
        <w:rPr>
          <w:vertAlign w:val="baseline"/>
        </w:rPr>
        <w:t>from</w:t>
      </w:r>
      <w:r>
        <w:rPr>
          <w:spacing w:val="20"/>
          <w:vertAlign w:val="baseline"/>
        </w:rPr>
        <w:t> </w:t>
      </w:r>
      <w:r>
        <w:rPr>
          <w:vertAlign w:val="baseline"/>
        </w:rPr>
        <w:t>enforcing</w:t>
      </w:r>
      <w:r>
        <w:rPr>
          <w:spacing w:val="20"/>
          <w:vertAlign w:val="baseline"/>
        </w:rPr>
        <w:t> </w:t>
      </w:r>
      <w:r>
        <w:rPr>
          <w:vertAlign w:val="baseline"/>
        </w:rPr>
        <w:t>the</w:t>
      </w:r>
      <w:r>
        <w:rPr>
          <w:spacing w:val="20"/>
          <w:vertAlign w:val="baseline"/>
        </w:rPr>
        <w:t> </w:t>
      </w:r>
      <w:r>
        <w:rPr>
          <w:vertAlign w:val="baseline"/>
        </w:rPr>
        <w:t>covenant</w:t>
      </w:r>
      <w:r>
        <w:rPr>
          <w:spacing w:val="20"/>
          <w:vertAlign w:val="baseline"/>
        </w:rPr>
        <w:t> </w:t>
      </w:r>
      <w:r>
        <w:rPr>
          <w:vertAlign w:val="baseline"/>
        </w:rPr>
        <w:t>to</w:t>
      </w:r>
      <w:r>
        <w:rPr>
          <w:spacing w:val="20"/>
          <w:vertAlign w:val="baseline"/>
        </w:rPr>
        <w:t> </w:t>
      </w:r>
      <w:r>
        <w:rPr>
          <w:vertAlign w:val="baseline"/>
        </w:rPr>
        <w:t>repair.</w:t>
      </w:r>
      <w:r>
        <w:rPr>
          <w:spacing w:val="20"/>
          <w:vertAlign w:val="baseline"/>
        </w:rPr>
        <w:t> </w:t>
      </w:r>
      <w:r>
        <w:rPr>
          <w:vertAlign w:val="baseline"/>
        </w:rPr>
        <w:t>He</w:t>
      </w:r>
      <w:r>
        <w:rPr>
          <w:spacing w:val="20"/>
          <w:vertAlign w:val="baseline"/>
        </w:rPr>
        <w:t> </w:t>
      </w:r>
      <w:r>
        <w:rPr>
          <w:vertAlign w:val="baseline"/>
        </w:rPr>
        <w:t>could</w:t>
      </w:r>
      <w:r>
        <w:rPr>
          <w:spacing w:val="20"/>
          <w:vertAlign w:val="baseline"/>
        </w:rPr>
        <w:t> </w:t>
      </w:r>
      <w:r>
        <w:rPr>
          <w:vertAlign w:val="baseline"/>
        </w:rPr>
        <w:t>have</w:t>
      </w:r>
      <w:r>
        <w:rPr>
          <w:spacing w:val="20"/>
          <w:vertAlign w:val="baseline"/>
        </w:rPr>
        <w:t> </w:t>
      </w:r>
      <w:r>
        <w:rPr>
          <w:vertAlign w:val="baseline"/>
        </w:rPr>
        <w:t>enforced</w:t>
      </w:r>
      <w:r>
        <w:rPr>
          <w:spacing w:val="20"/>
          <w:vertAlign w:val="baseline"/>
        </w:rPr>
        <w:t> </w:t>
      </w:r>
      <w:r>
        <w:rPr>
          <w:vertAlign w:val="baseline"/>
        </w:rPr>
        <w:t>it</w:t>
      </w:r>
      <w:r>
        <w:rPr>
          <w:spacing w:val="20"/>
          <w:vertAlign w:val="baseline"/>
        </w:rPr>
        <w:t> </w:t>
      </w:r>
      <w:r>
        <w:rPr>
          <w:vertAlign w:val="baseline"/>
        </w:rPr>
        <w:t>by</w:t>
      </w:r>
      <w:r>
        <w:rPr>
          <w:spacing w:val="20"/>
          <w:vertAlign w:val="baseline"/>
        </w:rPr>
        <w:t> </w:t>
      </w:r>
      <w:r>
        <w:rPr>
          <w:vertAlign w:val="baseline"/>
        </w:rPr>
        <w:t>giving</w:t>
      </w:r>
      <w:r>
        <w:rPr>
          <w:spacing w:val="20"/>
          <w:vertAlign w:val="baseline"/>
        </w:rPr>
        <w:t> </w:t>
      </w:r>
      <w:r>
        <w:rPr>
          <w:vertAlign w:val="baseline"/>
        </w:rPr>
        <w:t>reasonable</w:t>
      </w:r>
      <w:r>
        <w:rPr>
          <w:spacing w:val="20"/>
          <w:vertAlign w:val="baseline"/>
        </w:rPr>
        <w:t> </w:t>
      </w:r>
      <w:r>
        <w:rPr>
          <w:vertAlign w:val="baseline"/>
        </w:rPr>
        <w:t>notice</w:t>
      </w:r>
      <w:r>
        <w:rPr>
          <w:spacing w:val="20"/>
          <w:vertAlign w:val="baseline"/>
        </w:rPr>
        <w:t> </w:t>
      </w:r>
      <w:r>
        <w:rPr>
          <w:vertAlign w:val="baseline"/>
        </w:rPr>
        <w:t>to</w:t>
      </w:r>
      <w:r>
        <w:rPr>
          <w:spacing w:val="20"/>
          <w:vertAlign w:val="baseline"/>
        </w:rPr>
        <w:t> </w:t>
      </w:r>
      <w:r>
        <w:rPr>
          <w:spacing w:val="-5"/>
          <w:vertAlign w:val="baseline"/>
        </w:rPr>
        <w:t>the</w:t>
      </w:r>
    </w:p>
    <w:p>
      <w:pPr>
        <w:pStyle w:val="BodyText"/>
        <w:spacing w:line="235" w:lineRule="auto" w:before="119"/>
        <w:ind w:left="164" w:right="167"/>
        <w:jc w:val="both"/>
      </w:pPr>
      <w:r>
        <w:rPr/>
        <w:t>tenant requiring him to repair. </w:t>
      </w:r>
      <w:r>
        <w:rPr>
          <w:color w:val="005DA1"/>
          <w:u w:val="single" w:color="005DA1"/>
          <w:vertAlign w:val="superscript"/>
        </w:rPr>
        <w:t>531</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spacing w:val="-3"/>
          <w:vertAlign w:val="baseline"/>
        </w:rPr>
        <w:t> </w:t>
      </w:r>
      <w:r>
        <w:rPr>
          <w:vertAlign w:val="baseline"/>
        </w:rPr>
        <w:t>The reason for the general rule is that, in equity, the effect of the </w:t>
      </w:r>
      <w:bookmarkStart w:name="_bookmark935" w:id="937"/>
      <w:bookmarkEnd w:id="937"/>
      <w:r>
        <w:rPr>
          <w:vertAlign w:val="baseline"/>
        </w:rPr>
        <w:t>representation</w:t>
      </w:r>
      <w:r>
        <w:rPr>
          <w:vertAlign w:val="baseline"/>
        </w:rPr>
        <w:t> is to give the court a discretion to give such relief as is just and equitable in all </w:t>
      </w:r>
      <w:r>
        <w:rPr>
          <w:vertAlign w:val="baseline"/>
        </w:rPr>
        <w:t>the circumstances</w:t>
      </w:r>
      <w:r>
        <w:rPr>
          <w:spacing w:val="-1"/>
          <w:vertAlign w:val="baseline"/>
        </w:rPr>
        <w:t> </w:t>
      </w:r>
      <w:r>
        <w:rPr>
          <w:color w:val="005DA1"/>
          <w:u w:val="single" w:color="005DA1"/>
          <w:vertAlign w:val="superscript"/>
        </w:rPr>
        <w:t>532</w:t>
      </w:r>
      <w:r>
        <w:rPr>
          <w:vertAlign w:val="baseline"/>
        </w:rPr>
        <w:t>;</w:t>
      </w:r>
      <w:r>
        <w:rPr>
          <w:spacing w:val="-1"/>
          <w:vertAlign w:val="baseline"/>
        </w:rPr>
        <w:t> </w:t>
      </w:r>
      <w:r>
        <w:rPr>
          <w:vertAlign w:val="baseline"/>
        </w:rPr>
        <w:t>and</w:t>
      </w:r>
      <w:r>
        <w:rPr>
          <w:spacing w:val="-1"/>
          <w:vertAlign w:val="baseline"/>
        </w:rPr>
        <w:t> </w:t>
      </w:r>
      <w:r>
        <w:rPr>
          <w:vertAlign w:val="baseline"/>
        </w:rPr>
        <w:t>in</w:t>
      </w:r>
      <w:r>
        <w:rPr>
          <w:spacing w:val="-1"/>
          <w:vertAlign w:val="baseline"/>
        </w:rPr>
        <w:t> </w:t>
      </w:r>
      <w:r>
        <w:rPr>
          <w:vertAlign w:val="baseline"/>
        </w:rPr>
        <w:t>cases</w:t>
      </w:r>
      <w:r>
        <w:rPr>
          <w:spacing w:val="-1"/>
          <w:vertAlign w:val="baseline"/>
        </w:rPr>
        <w:t> </w:t>
      </w:r>
      <w:r>
        <w:rPr>
          <w:vertAlign w:val="baseline"/>
        </w:rPr>
        <w:t>such</w:t>
      </w:r>
      <w:r>
        <w:rPr>
          <w:spacing w:val="-1"/>
          <w:vertAlign w:val="baseline"/>
        </w:rPr>
        <w:t> </w:t>
      </w:r>
      <w:r>
        <w:rPr>
          <w:vertAlign w:val="baseline"/>
        </w:rPr>
        <w:t>as</w:t>
      </w:r>
      <w:r>
        <w:rPr>
          <w:spacing w:val="-1"/>
          <w:vertAlign w:val="baseline"/>
        </w:rPr>
        <w:t> </w:t>
      </w:r>
      <w:r>
        <w:rPr>
          <w:rFonts w:ascii="Arial" w:hAnsi="Arial"/>
          <w:i/>
          <w:vertAlign w:val="baseline"/>
        </w:rPr>
        <w:t>Hughes</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Metropolitan</w:t>
      </w:r>
      <w:r>
        <w:rPr>
          <w:rFonts w:ascii="Arial" w:hAnsi="Arial"/>
          <w:i/>
          <w:spacing w:val="-1"/>
          <w:vertAlign w:val="baseline"/>
        </w:rPr>
        <w:t> </w:t>
      </w:r>
      <w:r>
        <w:rPr>
          <w:rFonts w:ascii="Arial" w:hAnsi="Arial"/>
          <w:i/>
          <w:vertAlign w:val="baseline"/>
        </w:rPr>
        <w:t>Ry</w:t>
      </w:r>
      <w:r>
        <w:rPr>
          <w:rFonts w:ascii="Arial" w:hAnsi="Arial"/>
          <w:i/>
          <w:spacing w:val="-1"/>
          <w:vertAlign w:val="baseline"/>
        </w:rPr>
        <w:t> </w:t>
      </w:r>
      <w:r>
        <w:rPr>
          <w:vertAlign w:val="baseline"/>
        </w:rPr>
        <w:t>it</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neither</w:t>
      </w:r>
      <w:r>
        <w:rPr>
          <w:spacing w:val="-1"/>
          <w:vertAlign w:val="baseline"/>
        </w:rPr>
        <w:t> </w:t>
      </w:r>
      <w:r>
        <w:rPr>
          <w:vertAlign w:val="baseline"/>
        </w:rPr>
        <w:t>equitable</w:t>
      </w:r>
      <w:r>
        <w:rPr>
          <w:spacing w:val="-1"/>
          <w:vertAlign w:val="baseline"/>
        </w:rPr>
        <w:t> </w:t>
      </w:r>
      <w:r>
        <w:rPr>
          <w:vertAlign w:val="baseline"/>
        </w:rPr>
        <w:t>nor</w:t>
      </w:r>
      <w:r>
        <w:rPr>
          <w:spacing w:val="-1"/>
          <w:vertAlign w:val="baseline"/>
        </w:rPr>
        <w:t> </w:t>
      </w:r>
      <w:r>
        <w:rPr>
          <w:vertAlign w:val="baseline"/>
        </w:rPr>
        <w:t>in </w:t>
      </w:r>
      <w:bookmarkStart w:name="_bookmark936" w:id="938"/>
      <w:bookmarkEnd w:id="938"/>
      <w:r>
        <w:rPr>
          <w:vertAlign w:val="baseline"/>
        </w:rPr>
        <w:t>accordance</w:t>
      </w:r>
      <w:r>
        <w:rPr>
          <w:vertAlign w:val="baseline"/>
        </w:rPr>
        <w:t> with the intention of the parties to treat the promisor’s rights as having been wholly extinguished. </w:t>
      </w:r>
      <w:r>
        <w:rPr>
          <w:color w:val="005DA1"/>
          <w:u w:val="single" w:color="005DA1"/>
          <w:vertAlign w:val="superscript"/>
        </w:rPr>
        <w:t>533</w:t>
      </w:r>
    </w:p>
    <w:p>
      <w:pPr>
        <w:pStyle w:val="BodyText"/>
      </w:pPr>
    </w:p>
    <w:p>
      <w:pPr>
        <w:pStyle w:val="BodyText"/>
        <w:spacing w:before="36"/>
      </w:pPr>
    </w:p>
    <w:p>
      <w:pPr>
        <w:spacing w:before="0"/>
        <w:ind w:left="164" w:right="0" w:firstLine="0"/>
        <w:jc w:val="both"/>
        <w:rPr>
          <w:rFonts w:ascii="Arial"/>
          <w:b/>
          <w:sz w:val="18"/>
        </w:rPr>
      </w:pPr>
      <w:r>
        <w:rPr>
          <w:rFonts w:ascii="Arial"/>
          <w:b/>
          <w:sz w:val="18"/>
        </w:rPr>
        <w:t>Extinctive effect in exceptional </w:t>
      </w:r>
      <w:r>
        <w:rPr>
          <w:rFonts w:ascii="Arial"/>
          <w:b/>
          <w:spacing w:val="-2"/>
          <w:sz w:val="18"/>
        </w:rPr>
        <w:t>cases</w:t>
      </w:r>
    </w:p>
    <w:p>
      <w:pPr>
        <w:pStyle w:val="BodyText"/>
        <w:spacing w:before="41"/>
        <w:rPr>
          <w:rFonts w:ascii="Arial"/>
          <w:b/>
          <w:sz w:val="18"/>
        </w:rPr>
      </w:pPr>
    </w:p>
    <w:p>
      <w:pPr>
        <w:pStyle w:val="Heading2"/>
        <w:spacing w:before="1"/>
        <w:ind w:left="164"/>
      </w:pPr>
      <w:r>
        <w:rPr/>
        <w:t>4-</w:t>
      </w:r>
      <w:r>
        <w:rPr>
          <w:spacing w:val="-5"/>
        </w:rPr>
        <w:t>098</w:t>
      </w:r>
    </w:p>
    <w:p>
      <w:pPr>
        <w:pStyle w:val="BodyText"/>
        <w:spacing w:line="235" w:lineRule="auto" w:before="202"/>
        <w:ind w:left="164" w:right="167"/>
        <w:jc w:val="both"/>
      </w:pPr>
      <w:bookmarkStart w:name="_bookmark937" w:id="939"/>
      <w:bookmarkEnd w:id="939"/>
      <w:r>
        <w:rPr/>
      </w:r>
      <w:r>
        <w:rPr/>
        <w:t>Subsequent events may, however, give the doctrine an extinctive effect, by way of exception to </w:t>
      </w:r>
      <w:r>
        <w:rPr/>
        <w:t>the general rule stated in para.4-097 above. </w:t>
      </w:r>
      <w:r>
        <w:rPr>
          <w:color w:val="005DA1"/>
          <w:u w:val="single" w:color="005DA1"/>
          <w:vertAlign w:val="superscript"/>
        </w:rPr>
        <w:t>534</w:t>
      </w:r>
      <w:r>
        <w:rPr>
          <w:color w:val="005DA1"/>
          <w:vertAlign w:val="baseline"/>
        </w:rPr>
        <w:t> </w:t>
      </w:r>
      <w:r>
        <w:rPr>
          <w:vertAlign w:val="baseline"/>
        </w:rPr>
        <w:t>They can most obviously lead to this result where they </w:t>
      </w:r>
      <w:bookmarkStart w:name="_bookmark938" w:id="940"/>
      <w:bookmarkEnd w:id="940"/>
      <w:r>
        <w:rPr>
          <w:vertAlign w:val="baseline"/>
        </w:rPr>
        <w:t>make</w:t>
      </w:r>
      <w:r>
        <w:rPr>
          <w:vertAlign w:val="baseline"/>
        </w:rPr>
        <w:t> it impossible for the promisee to perform his original obligation. For example, in </w:t>
      </w:r>
      <w:r>
        <w:rPr>
          <w:rFonts w:ascii="Arial" w:hAnsi="Arial"/>
          <w:i/>
          <w:vertAlign w:val="baseline"/>
        </w:rPr>
        <w:t>Birmingham &amp; District Land Co v L. &amp; N.W. Ry </w:t>
      </w:r>
      <w:r>
        <w:rPr>
          <w:color w:val="005DA1"/>
          <w:u w:val="single" w:color="005DA1"/>
          <w:vertAlign w:val="superscript"/>
        </w:rPr>
        <w:t>535</w:t>
      </w:r>
      <w:r>
        <w:rPr>
          <w:color w:val="005DA1"/>
          <w:vertAlign w:val="baseline"/>
        </w:rPr>
        <w:t> </w:t>
      </w:r>
      <w:r>
        <w:rPr>
          <w:vertAlign w:val="baseline"/>
        </w:rPr>
        <w:t>a building lease bound the tenant to build by 1885. The lessor agreed to suspend this obligation; but in 1886, while the suspension was still in force, the land was compulsorily acquired by a railway company, so that performance of the tenant’s obligation became impossible. The tenant recovered statutory compensation from the railway company on the footing that the building lease was still binding; but clearly his obligation to build was utterly extinguished. Even where performance of the original obligation has not literally become impossible, the doctrine may sometimes have an extinctive effect. For example, where a vendor of land on August 15 </w:t>
      </w:r>
      <w:bookmarkStart w:name="_bookmark939" w:id="941"/>
      <w:bookmarkEnd w:id="941"/>
      <w:r>
        <w:rPr>
          <w:vertAlign w:val="baseline"/>
        </w:rPr>
        <w:t>indicated</w:t>
      </w:r>
      <w:r>
        <w:rPr>
          <w:vertAlign w:val="baseline"/>
        </w:rPr>
        <w:t> that he would not insist on the contractual completion date of August 30, it was held that no question of reinstating that date could arise “because the time was far too short.” </w:t>
      </w:r>
      <w:r>
        <w:rPr>
          <w:color w:val="005DA1"/>
          <w:u w:val="single" w:color="005DA1"/>
          <w:vertAlign w:val="superscript"/>
        </w:rPr>
        <w:t>536</w:t>
      </w:r>
      <w:r>
        <w:rPr>
          <w:color w:val="005DA1"/>
          <w:vertAlign w:val="baseline"/>
        </w:rPr>
        <w:t> </w:t>
      </w:r>
      <w:r>
        <w:rPr>
          <w:vertAlign w:val="baseline"/>
        </w:rPr>
        <w:t>And where a shipowner represented to a charterer that he would not rely, by way of defence to claims under the charterparty, on a one-year time bar (which had expired) it was held that he could not, after nearly </w:t>
      </w:r>
      <w:bookmarkStart w:name="_bookmark940" w:id="942"/>
      <w:bookmarkEnd w:id="942"/>
      <w:r>
        <w:rPr>
          <w:vertAlign w:val="baseline"/>
        </w:rPr>
        <w:t>another</w:t>
      </w:r>
      <w:r>
        <w:rPr>
          <w:vertAlign w:val="baseline"/>
        </w:rPr>
        <w:t> year had passed, go back on the representation, since it would by then have been too late to restore the charterer to his original position. </w:t>
      </w:r>
      <w:r>
        <w:rPr>
          <w:color w:val="005DA1"/>
          <w:u w:val="single" w:color="005DA1"/>
          <w:vertAlign w:val="superscript"/>
        </w:rPr>
        <w:t>537</w:t>
      </w:r>
      <w:r>
        <w:rPr>
          <w:color w:val="005DA1"/>
          <w:vertAlign w:val="baseline"/>
        </w:rPr>
        <w:t> </w:t>
      </w:r>
      <w:r>
        <w:rPr>
          <w:vertAlign w:val="baseline"/>
        </w:rPr>
        <w:t>In all these cases the doctrine has an extinctive effect because subsequent events or the passage of time, though not making performance of the original </w:t>
      </w:r>
      <w:bookmarkStart w:name="_bookmark941" w:id="943"/>
      <w:bookmarkEnd w:id="943"/>
      <w:r>
        <w:rPr>
          <w:vertAlign w:val="baseline"/>
        </w:rPr>
        <w:t>obligation</w:t>
      </w:r>
      <w:r>
        <w:rPr>
          <w:vertAlign w:val="baseline"/>
        </w:rPr>
        <w:t> impossible, have made it highly inequitable to require such performance, even after reasonable notice. </w:t>
      </w:r>
      <w:r>
        <w:rPr>
          <w:color w:val="005DA1"/>
          <w:u w:val="single" w:color="005DA1"/>
          <w:vertAlign w:val="superscript"/>
        </w:rPr>
        <w:t>538</w:t>
      </w:r>
    </w:p>
    <w:p>
      <w:pPr>
        <w:pStyle w:val="BodyText"/>
      </w:pPr>
    </w:p>
    <w:p>
      <w:pPr>
        <w:pStyle w:val="BodyText"/>
        <w:spacing w:before="32"/>
      </w:pPr>
    </w:p>
    <w:p>
      <w:pPr>
        <w:spacing w:before="0"/>
        <w:ind w:left="165" w:right="0" w:firstLine="0"/>
        <w:jc w:val="left"/>
        <w:rPr>
          <w:rFonts w:ascii="Arial"/>
          <w:b/>
          <w:sz w:val="18"/>
        </w:rPr>
      </w:pPr>
      <w:r>
        <w:rPr>
          <w:rFonts w:ascii="Arial"/>
          <w:b/>
          <w:sz w:val="18"/>
        </w:rPr>
        <w:t>Defensive nature of the </w:t>
      </w:r>
      <w:r>
        <w:rPr>
          <w:rFonts w:ascii="Arial"/>
          <w:b/>
          <w:spacing w:val="-2"/>
          <w:sz w:val="18"/>
        </w:rPr>
        <w:t>doctrine</w:t>
      </w:r>
    </w:p>
    <w:p>
      <w:pPr>
        <w:pStyle w:val="BodyText"/>
        <w:spacing w:before="41"/>
        <w:rPr>
          <w:rFonts w:ascii="Arial"/>
          <w:b/>
          <w:sz w:val="18"/>
        </w:rPr>
      </w:pPr>
    </w:p>
    <w:p>
      <w:pPr>
        <w:pStyle w:val="Heading2"/>
      </w:pPr>
      <w:r>
        <w:rPr/>
        <w:t>4-</w:t>
      </w:r>
      <w:r>
        <w:rPr>
          <w:spacing w:val="-5"/>
        </w:rPr>
        <w:t>099</w:t>
      </w:r>
    </w:p>
    <w:p>
      <w:pPr>
        <w:pStyle w:val="BodyText"/>
        <w:spacing w:before="92"/>
        <w:rPr>
          <w:rFonts w:ascii="Arial"/>
          <w:b/>
        </w:rPr>
      </w:pPr>
    </w:p>
    <w:p>
      <w:pPr>
        <w:pStyle w:val="BodyText"/>
        <w:spacing w:line="235" w:lineRule="auto" w:before="1"/>
        <w:ind w:left="164" w:right="167"/>
        <w:jc w:val="both"/>
      </w:pPr>
      <w:r>
        <w:rPr>
          <w:position w:val="-2"/>
        </w:rPr>
        <w:drawing>
          <wp:inline distT="0" distB="0" distL="0" distR="0">
            <wp:extent cx="107988" cy="107988"/>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942" w:id="944"/>
      <w:bookmarkEnd w:id="944"/>
      <w:r>
        <w:rPr>
          <w:rFonts w:ascii="Times New Roman" w:hAnsi="Times New Roman"/>
          <w:spacing w:val="-10"/>
        </w:rPr>
      </w:r>
      <w:r>
        <w:rPr/>
        <w:t>The equitable doctrine prevents the enforcement of existing rights; but it does not “create new causes of action where none existed before.” </w:t>
      </w:r>
      <w:r>
        <w:rPr>
          <w:color w:val="005DA1"/>
          <w:u w:val="single" w:color="005DA1"/>
          <w:vertAlign w:val="superscript"/>
        </w:rPr>
        <w:t>539</w:t>
      </w:r>
      <w:r>
        <w:rPr>
          <w:color w:val="005DA1"/>
          <w:vertAlign w:val="baseline"/>
        </w:rPr>
        <w:t> </w:t>
      </w:r>
      <w:r>
        <w:rPr>
          <w:vertAlign w:val="baseline"/>
        </w:rPr>
        <w:t>The point was decided in </w:t>
      </w:r>
      <w:r>
        <w:rPr>
          <w:rFonts w:ascii="Arial" w:hAnsi="Arial"/>
          <w:i/>
          <w:vertAlign w:val="baseline"/>
        </w:rPr>
        <w:t>Combe v Combe </w:t>
      </w:r>
      <w:r>
        <w:rPr>
          <w:color w:val="005DA1"/>
          <w:u w:val="single" w:color="005DA1"/>
          <w:vertAlign w:val="superscript"/>
        </w:rPr>
        <w:t>540</w:t>
      </w:r>
      <w:r>
        <w:rPr>
          <w:color w:val="005DA1"/>
          <w:vertAlign w:val="baseline"/>
        </w:rPr>
        <w:t> </w:t>
      </w:r>
      <w:r>
        <w:rPr>
          <w:vertAlign w:val="baseline"/>
        </w:rPr>
        <w:t>where a husband, during divorce proceedings, promised to pay £100 per annum to his wife, who in </w:t>
      </w:r>
      <w:r>
        <w:rPr>
          <w:vertAlign w:val="baseline"/>
        </w:rPr>
        <w:t>reliance </w:t>
      </w:r>
      <w:bookmarkStart w:name="_bookmark943" w:id="945"/>
      <w:bookmarkEnd w:id="945"/>
      <w:r>
        <w:rPr>
          <w:vertAlign w:val="baseline"/>
        </w:rPr>
        <w:t>on</w:t>
      </w:r>
      <w:r>
        <w:rPr>
          <w:vertAlign w:val="baseline"/>
        </w:rPr>
        <w:t> the husband’s promise, forbore from applying to the court for maintenance; and this forbearance did not constitute consideration for the husband’s promise. </w:t>
      </w:r>
      <w:r>
        <w:rPr>
          <w:color w:val="005DA1"/>
          <w:u w:val="single" w:color="005DA1"/>
          <w:vertAlign w:val="superscript"/>
        </w:rPr>
        <w:t>541</w:t>
      </w:r>
      <w:r>
        <w:rPr>
          <w:color w:val="005DA1"/>
          <w:vertAlign w:val="baseline"/>
        </w:rPr>
        <w:t> </w:t>
      </w:r>
      <w:r>
        <w:rPr>
          <w:vertAlign w:val="baseline"/>
        </w:rPr>
        <w:t>It was held that the equitable doctrine did not entitle the wife to recover the promised payments; nor is there any support in English cases</w:t>
      </w:r>
      <w:r>
        <w:rPr>
          <w:spacing w:val="80"/>
          <w:vertAlign w:val="baseline"/>
        </w:rPr>
        <w:t> </w:t>
      </w:r>
      <w:bookmarkStart w:name="_bookmark944" w:id="946"/>
      <w:bookmarkEnd w:id="946"/>
      <w:r>
        <w:rPr>
          <w:vertAlign w:val="baseline"/>
        </w:rPr>
        <w:t>for</w:t>
      </w:r>
      <w:r>
        <w:rPr>
          <w:vertAlign w:val="baseline"/>
        </w:rPr>
        <w:t> the view that it could create a cause of action in the narrower sense of creating a new right but </w:t>
      </w:r>
      <w:bookmarkStart w:name="_bookmark945" w:id="947"/>
      <w:bookmarkEnd w:id="947"/>
      <w:r>
        <w:rPr>
          <w:vertAlign w:val="baseline"/>
        </w:rPr>
        <w:t>“limiting</w:t>
      </w:r>
      <w:r>
        <w:rPr>
          <w:spacing w:val="-3"/>
          <w:vertAlign w:val="baseline"/>
        </w:rPr>
        <w:t> </w:t>
      </w:r>
      <w:r>
        <w:rPr>
          <w:vertAlign w:val="baseline"/>
        </w:rPr>
        <w:t>recovery</w:t>
      </w:r>
      <w:r>
        <w:rPr>
          <w:spacing w:val="-3"/>
          <w:vertAlign w:val="baseline"/>
        </w:rPr>
        <w:t> </w:t>
      </w:r>
      <w:r>
        <w:rPr>
          <w:vertAlign w:val="baseline"/>
        </w:rPr>
        <w:t>to</w:t>
      </w:r>
      <w:r>
        <w:rPr>
          <w:spacing w:val="-3"/>
          <w:vertAlign w:val="baseline"/>
        </w:rPr>
        <w:t> </w:t>
      </w:r>
      <w:r>
        <w:rPr>
          <w:vertAlign w:val="baseline"/>
        </w:rPr>
        <w:t>reliance</w:t>
      </w:r>
      <w:r>
        <w:rPr>
          <w:spacing w:val="-3"/>
          <w:vertAlign w:val="baseline"/>
        </w:rPr>
        <w:t> </w:t>
      </w:r>
      <w:r>
        <w:rPr>
          <w:vertAlign w:val="baseline"/>
        </w:rPr>
        <w:t>loss.”</w:t>
      </w:r>
      <w:r>
        <w:rPr>
          <w:spacing w:val="-3"/>
          <w:vertAlign w:val="baseline"/>
        </w:rPr>
        <w:t> </w:t>
      </w:r>
      <w:r>
        <w:rPr>
          <w:color w:val="005DA1"/>
          <w:u w:val="single" w:color="005DA1"/>
          <w:vertAlign w:val="superscript"/>
        </w:rPr>
        <w:t>542</w:t>
      </w:r>
      <w:r>
        <w:rPr>
          <w:color w:val="005DA1"/>
          <w:spacing w:val="-3"/>
          <w:vertAlign w:val="baseline"/>
        </w:rPr>
        <w:t> </w:t>
      </w:r>
      <w:r>
        <w:rPr>
          <w:vertAlign w:val="baseline"/>
        </w:rPr>
        <w:t>The</w:t>
      </w:r>
      <w:r>
        <w:rPr>
          <w:spacing w:val="-3"/>
          <w:vertAlign w:val="baseline"/>
        </w:rPr>
        <w:t> </w:t>
      </w:r>
      <w:r>
        <w:rPr>
          <w:vertAlign w:val="baseline"/>
        </w:rPr>
        <w:t>view</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doctrine</w:t>
      </w:r>
      <w:r>
        <w:rPr>
          <w:spacing w:val="-3"/>
          <w:vertAlign w:val="baseline"/>
        </w:rPr>
        <w:t> </w:t>
      </w:r>
      <w:r>
        <w:rPr>
          <w:vertAlign w:val="baseline"/>
        </w:rPr>
        <w:t>gave</w:t>
      </w:r>
      <w:r>
        <w:rPr>
          <w:spacing w:val="-3"/>
          <w:vertAlign w:val="baseline"/>
        </w:rPr>
        <w:t> </w:t>
      </w:r>
      <w:r>
        <w:rPr>
          <w:vertAlign w:val="baseline"/>
        </w:rPr>
        <w:t>rise</w:t>
      </w:r>
      <w:r>
        <w:rPr>
          <w:spacing w:val="-3"/>
          <w:vertAlign w:val="baseline"/>
        </w:rPr>
        <w:t> </w:t>
      </w:r>
      <w:r>
        <w:rPr>
          <w:vertAlign w:val="baseline"/>
        </w:rPr>
        <w:t>to</w:t>
      </w:r>
      <w:r>
        <w:rPr>
          <w:spacing w:val="-3"/>
          <w:vertAlign w:val="baseline"/>
        </w:rPr>
        <w:t> </w:t>
      </w:r>
      <w:r>
        <w:rPr>
          <w:vertAlign w:val="baseline"/>
        </w:rPr>
        <w:t>no</w:t>
      </w:r>
      <w:r>
        <w:rPr>
          <w:spacing w:val="-3"/>
          <w:vertAlign w:val="baseline"/>
        </w:rPr>
        <w:t> </w:t>
      </w:r>
      <w:r>
        <w:rPr>
          <w:vertAlign w:val="baseline"/>
        </w:rPr>
        <w:t>new</w:t>
      </w:r>
      <w:r>
        <w:rPr>
          <w:spacing w:val="-3"/>
          <w:vertAlign w:val="baseline"/>
        </w:rPr>
        <w:t> </w:t>
      </w:r>
      <w:r>
        <w:rPr>
          <w:vertAlign w:val="baseline"/>
        </w:rPr>
        <w:t>rights</w:t>
      </w:r>
      <w:r>
        <w:rPr>
          <w:spacing w:val="-3"/>
          <w:vertAlign w:val="baseline"/>
        </w:rPr>
        <w:t> </w:t>
      </w:r>
      <w:r>
        <w:rPr>
          <w:vertAlign w:val="baseline"/>
        </w:rPr>
        <w:t>came</w:t>
      </w:r>
      <w:r>
        <w:rPr>
          <w:spacing w:val="-3"/>
          <w:vertAlign w:val="baseline"/>
        </w:rPr>
        <w:t> </w:t>
      </w:r>
      <w:r>
        <w:rPr>
          <w:vertAlign w:val="baseline"/>
        </w:rPr>
        <w:t>to</w:t>
      </w:r>
      <w:r>
        <w:rPr>
          <w:spacing w:val="-3"/>
          <w:vertAlign w:val="baseline"/>
        </w:rPr>
        <w:t> </w:t>
      </w:r>
      <w:r>
        <w:rPr>
          <w:vertAlign w:val="baseline"/>
        </w:rPr>
        <w:t>be associated with its description as a kind of estoppel (known as “promissory estoppel” </w:t>
      </w:r>
      <w:r>
        <w:rPr>
          <w:color w:val="005DA1"/>
          <w:u w:val="single" w:color="005DA1"/>
          <w:vertAlign w:val="superscript"/>
        </w:rPr>
        <w:t>543</w:t>
      </w:r>
      <w:r>
        <w:rPr>
          <w:vertAlign w:val="baseline"/>
        </w:rPr>
        <w:t>) and hence </w:t>
      </w:r>
      <w:bookmarkStart w:name="_bookmark946" w:id="948"/>
      <w:bookmarkEnd w:id="948"/>
      <w:r>
        <w:rPr>
          <w:vertAlign w:val="baseline"/>
        </w:rPr>
        <w:t>with</w:t>
      </w:r>
      <w:r>
        <w:rPr>
          <w:vertAlign w:val="baseline"/>
        </w:rPr>
        <w:t> the rule, established in relation to another kind of estoppel (known as “estoppel by</w:t>
      </w:r>
      <w:r>
        <w:rPr>
          <w:spacing w:val="40"/>
          <w:vertAlign w:val="baseline"/>
        </w:rPr>
        <w:t> </w:t>
      </w:r>
      <w:bookmarkStart w:name="_bookmark947" w:id="949"/>
      <w:bookmarkEnd w:id="949"/>
      <w:r>
        <w:rPr>
          <w:vertAlign w:val="baseline"/>
        </w:rPr>
        <w:t>representation”</w:t>
      </w:r>
      <w:r>
        <w:rPr>
          <w:vertAlign w:val="baseline"/>
        </w:rPr>
        <w:t> </w:t>
      </w:r>
      <w:r>
        <w:rPr>
          <w:color w:val="005DA1"/>
          <w:u w:val="single" w:color="005DA1"/>
          <w:vertAlign w:val="superscript"/>
        </w:rPr>
        <w:t>544</w:t>
      </w:r>
      <w:r>
        <w:rPr>
          <w:vertAlign w:val="baseline"/>
        </w:rPr>
        <w:t>), that “you cannot found a cause of action on an estoppel.” </w:t>
      </w:r>
      <w:r>
        <w:rPr>
          <w:color w:val="005DA1"/>
          <w:u w:val="single" w:color="005DA1"/>
          <w:vertAlign w:val="superscript"/>
        </w:rPr>
        <w:t>545</w:t>
      </w:r>
      <w:r>
        <w:rPr>
          <w:color w:val="005DA1"/>
          <w:vertAlign w:val="baseline"/>
        </w:rPr>
        <w:t> </w:t>
      </w:r>
      <w:r>
        <w:rPr>
          <w:vertAlign w:val="baseline"/>
        </w:rPr>
        <w:t>It will be submitted below </w:t>
      </w:r>
      <w:r>
        <w:rPr>
          <w:color w:val="005DA1"/>
          <w:u w:val="single" w:color="005DA1"/>
          <w:vertAlign w:val="superscript"/>
        </w:rPr>
        <w:t>546</w:t>
      </w:r>
      <w:r>
        <w:rPr>
          <w:color w:val="005DA1"/>
          <w:vertAlign w:val="baseline"/>
        </w:rPr>
        <w:t> </w:t>
      </w:r>
      <w:r>
        <w:rPr>
          <w:vertAlign w:val="baseline"/>
        </w:rPr>
        <w:t>that the analogy between the two kinds of estoppel is (to say the least) imperfect and that it does not satisfactorily account for the rule that the equitable doctrine (or “promissory estoppel”) gives rise to no new rights. The more plausible explanation for this restriction on the scope of the equitable doctrine is that the restriction is needed to prevent that doctrine from coming into head-on collision with the rules which lay down the requirements for the creation of a binding contract. The significant point in the present context is that the restriction preserves consistency between the equitable </w:t>
      </w:r>
      <w:bookmarkStart w:name="_bookmark948" w:id="950"/>
      <w:bookmarkEnd w:id="950"/>
      <w:r>
        <w:rPr>
          <w:vertAlign w:val="baseline"/>
        </w:rPr>
        <w:t>doctrine</w:t>
      </w:r>
      <w:r>
        <w:rPr>
          <w:vertAlign w:val="baseline"/>
        </w:rPr>
        <w:t> and the rule that a promise is not binding as a contract unless it is supported by</w:t>
      </w:r>
      <w:r>
        <w:rPr>
          <w:spacing w:val="40"/>
          <w:vertAlign w:val="baseline"/>
        </w:rPr>
        <w:t> </w:t>
      </w:r>
      <w:r>
        <w:rPr>
          <w:vertAlign w:val="baseline"/>
        </w:rPr>
        <w:t>consideration or made in a deed. </w:t>
      </w:r>
      <w:r>
        <w:rPr>
          <w:color w:val="005DA1"/>
          <w:u w:val="single" w:color="005DA1"/>
          <w:vertAlign w:val="superscript"/>
        </w:rPr>
        <w:t>547</w:t>
      </w:r>
      <w:r>
        <w:rPr>
          <w:color w:val="005DA1"/>
          <w:vertAlign w:val="baseline"/>
        </w:rPr>
        <w:t> </w:t>
      </w:r>
      <w:r>
        <w:rPr>
          <w:rFonts w:ascii="Arial" w:hAnsi="Arial"/>
          <w:i/>
          <w:vertAlign w:val="baseline"/>
        </w:rPr>
        <w:t>Combe v Combe </w:t>
      </w:r>
      <w:r>
        <w:rPr>
          <w:vertAlign w:val="baseline"/>
        </w:rPr>
        <w:t>has likewise been relied on in support of the view</w:t>
      </w:r>
      <w:r>
        <w:rPr>
          <w:spacing w:val="21"/>
          <w:vertAlign w:val="baseline"/>
        </w:rPr>
        <w:t> </w:t>
      </w:r>
      <w:r>
        <w:rPr>
          <w:vertAlign w:val="baseline"/>
        </w:rPr>
        <w:t>that</w:t>
      </w:r>
      <w:r>
        <w:rPr>
          <w:spacing w:val="21"/>
          <w:vertAlign w:val="baseline"/>
        </w:rPr>
        <w:t> </w:t>
      </w:r>
      <w:r>
        <w:rPr>
          <w:vertAlign w:val="baseline"/>
        </w:rPr>
        <w:t>the</w:t>
      </w:r>
      <w:r>
        <w:rPr>
          <w:spacing w:val="21"/>
          <w:vertAlign w:val="baseline"/>
        </w:rPr>
        <w:t> </w:t>
      </w:r>
      <w:r>
        <w:rPr>
          <w:vertAlign w:val="baseline"/>
        </w:rPr>
        <w:t>equitable</w:t>
      </w:r>
      <w:r>
        <w:rPr>
          <w:spacing w:val="21"/>
          <w:vertAlign w:val="baseline"/>
        </w:rPr>
        <w:t> </w:t>
      </w:r>
      <w:r>
        <w:rPr>
          <w:vertAlign w:val="baseline"/>
        </w:rPr>
        <w:t>doctrine</w:t>
      </w:r>
      <w:r>
        <w:rPr>
          <w:spacing w:val="21"/>
          <w:vertAlign w:val="baseline"/>
        </w:rPr>
        <w:t> </w:t>
      </w:r>
      <w:r>
        <w:rPr>
          <w:vertAlign w:val="baseline"/>
        </w:rPr>
        <w:t>could</w:t>
      </w:r>
      <w:r>
        <w:rPr>
          <w:spacing w:val="21"/>
          <w:vertAlign w:val="baseline"/>
        </w:rPr>
        <w:t> </w:t>
      </w:r>
      <w:r>
        <w:rPr>
          <w:vertAlign w:val="baseline"/>
        </w:rPr>
        <w:t>not</w:t>
      </w:r>
      <w:r>
        <w:rPr>
          <w:spacing w:val="21"/>
          <w:vertAlign w:val="baseline"/>
        </w:rPr>
        <w:t> </w:t>
      </w:r>
      <w:r>
        <w:rPr>
          <w:vertAlign w:val="baseline"/>
        </w:rPr>
        <w:t>give</w:t>
      </w:r>
      <w:r>
        <w:rPr>
          <w:spacing w:val="21"/>
          <w:vertAlign w:val="baseline"/>
        </w:rPr>
        <w:t> </w:t>
      </w:r>
      <w:r>
        <w:rPr>
          <w:vertAlign w:val="baseline"/>
        </w:rPr>
        <w:t>rise</w:t>
      </w:r>
      <w:r>
        <w:rPr>
          <w:spacing w:val="21"/>
          <w:vertAlign w:val="baseline"/>
        </w:rPr>
        <w:t> </w:t>
      </w:r>
      <w:r>
        <w:rPr>
          <w:vertAlign w:val="baseline"/>
        </w:rPr>
        <w:t>to</w:t>
      </w:r>
      <w:r>
        <w:rPr>
          <w:spacing w:val="21"/>
          <w:vertAlign w:val="baseline"/>
        </w:rPr>
        <w:t> </w:t>
      </w:r>
      <w:r>
        <w:rPr>
          <w:vertAlign w:val="baseline"/>
        </w:rPr>
        <w:t>a</w:t>
      </w:r>
      <w:r>
        <w:rPr>
          <w:spacing w:val="21"/>
          <w:vertAlign w:val="baseline"/>
        </w:rPr>
        <w:t> </w:t>
      </w:r>
      <w:r>
        <w:rPr>
          <w:vertAlign w:val="baseline"/>
        </w:rPr>
        <w:t>cause</w:t>
      </w:r>
      <w:r>
        <w:rPr>
          <w:spacing w:val="21"/>
          <w:vertAlign w:val="baseline"/>
        </w:rPr>
        <w:t> </w:t>
      </w:r>
      <w:r>
        <w:rPr>
          <w:vertAlign w:val="baseline"/>
        </w:rPr>
        <w:t>of</w:t>
      </w:r>
      <w:r>
        <w:rPr>
          <w:spacing w:val="21"/>
          <w:vertAlign w:val="baseline"/>
        </w:rPr>
        <w:t> </w:t>
      </w:r>
      <w:r>
        <w:rPr>
          <w:vertAlign w:val="baseline"/>
        </w:rPr>
        <w:t>action</w:t>
      </w:r>
      <w:r>
        <w:rPr>
          <w:spacing w:val="21"/>
          <w:vertAlign w:val="baseline"/>
        </w:rPr>
        <w:t> </w:t>
      </w:r>
      <w:r>
        <w:rPr>
          <w:vertAlign w:val="baseline"/>
        </w:rPr>
        <w:t>on</w:t>
      </w:r>
      <w:r>
        <w:rPr>
          <w:spacing w:val="21"/>
          <w:vertAlign w:val="baseline"/>
        </w:rPr>
        <w:t> </w:t>
      </w:r>
      <w:r>
        <w:rPr>
          <w:vertAlign w:val="baseline"/>
        </w:rPr>
        <w:t>a</w:t>
      </w:r>
      <w:r>
        <w:rPr>
          <w:spacing w:val="21"/>
          <w:vertAlign w:val="baseline"/>
        </w:rPr>
        <w:t> </w:t>
      </w:r>
      <w:r>
        <w:rPr>
          <w:vertAlign w:val="baseline"/>
        </w:rPr>
        <w:t>promise</w:t>
      </w:r>
      <w:r>
        <w:rPr>
          <w:spacing w:val="21"/>
          <w:vertAlign w:val="baseline"/>
        </w:rPr>
        <w:t> </w:t>
      </w:r>
      <w:r>
        <w:rPr>
          <w:vertAlign w:val="baseline"/>
        </w:rPr>
        <w:t>which</w:t>
      </w:r>
      <w:r>
        <w:rPr>
          <w:spacing w:val="21"/>
          <w:vertAlign w:val="baseline"/>
        </w:rPr>
        <w:t> </w:t>
      </w:r>
      <w:r>
        <w:rPr>
          <w:spacing w:val="-2"/>
          <w:vertAlign w:val="baseline"/>
        </w:rPr>
        <w:t>lacked</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949" w:id="951"/>
      <w:bookmarkEnd w:id="951"/>
      <w:r>
        <w:rPr/>
      </w:r>
      <w:r>
        <w:rPr/>
        <w:t>contractual force for want, not of consideration, but of certainty and contractual intention. </w:t>
      </w:r>
      <w:r>
        <w:rPr>
          <w:color w:val="005DA1"/>
          <w:u w:val="single" w:color="005DA1"/>
          <w:vertAlign w:val="superscript"/>
        </w:rPr>
        <w:t>548</w:t>
      </w:r>
      <w:r>
        <w:rPr>
          <w:color w:val="005DA1"/>
          <w:vertAlign w:val="baseline"/>
        </w:rPr>
        <w:t> </w:t>
      </w:r>
      <w:r>
        <w:rPr>
          <w:vertAlign w:val="baseline"/>
        </w:rPr>
        <w:t>There seems, with respect, to be no reason in principle for distinguishing for the present purpose between promises which lack contractual effect for want of consideration and those which lack such effect for some other reason: the danger of collision between the equitable doctrine and the requirements for </w:t>
      </w:r>
      <w:bookmarkStart w:name="_bookmark950" w:id="952"/>
      <w:bookmarkEnd w:id="952"/>
      <w:r>
        <w:rPr>
          <w:vertAlign w:val="baseline"/>
        </w:rPr>
        <w:t>the</w:t>
      </w:r>
      <w:r>
        <w:rPr>
          <w:vertAlign w:val="baseline"/>
        </w:rPr>
        <w:t> creation of a contract exists, whatever the reason may be why a particular promise lacks </w:t>
      </w:r>
      <w:bookmarkStart w:name="_bookmark951" w:id="953"/>
      <w:bookmarkEnd w:id="953"/>
      <w:r>
        <w:rPr>
          <w:vertAlign w:val="baseline"/>
        </w:rPr>
        <w:t>contractual</w:t>
      </w:r>
      <w:r>
        <w:rPr>
          <w:vertAlign w:val="baseline"/>
        </w:rPr>
        <w:t> force. </w:t>
      </w:r>
      <w:r>
        <w:rPr>
          <w:color w:val="005DA1"/>
          <w:u w:val="single" w:color="005DA1"/>
          <w:vertAlign w:val="superscript"/>
        </w:rPr>
        <w:t>549</w:t>
      </w:r>
      <w:r>
        <w:rPr>
          <w:color w:val="005DA1"/>
          <w:vertAlign w:val="baseline"/>
        </w:rPr>
        <w:t> </w:t>
      </w:r>
      <w:r>
        <w:rPr>
          <w:vertAlign w:val="baseline"/>
        </w:rPr>
        <w:t>The view that the equitable doctrine does not create new causes of action seems, indeed, to have been doubted </w:t>
      </w:r>
      <w:r>
        <w:rPr>
          <w:color w:val="005DA1"/>
          <w:u w:val="single" w:color="005DA1"/>
          <w:vertAlign w:val="superscript"/>
        </w:rPr>
        <w:t>550</w:t>
      </w:r>
      <w:r>
        <w:rPr>
          <w:color w:val="005DA1"/>
          <w:vertAlign w:val="baseline"/>
        </w:rPr>
        <w:t> </w:t>
      </w:r>
      <w:r>
        <w:rPr>
          <w:vertAlign w:val="baseline"/>
        </w:rPr>
        <w:t>or ignored </w:t>
      </w:r>
      <w:r>
        <w:rPr>
          <w:color w:val="005DA1"/>
          <w:u w:val="single" w:color="005DA1"/>
          <w:vertAlign w:val="superscript"/>
        </w:rPr>
        <w:t>551</w:t>
      </w:r>
      <w:r>
        <w:rPr>
          <w:color w:val="005DA1"/>
          <w:vertAlign w:val="baseline"/>
        </w:rPr>
        <w:t> </w:t>
      </w:r>
      <w:r>
        <w:rPr>
          <w:vertAlign w:val="baseline"/>
        </w:rPr>
        <w:t>by dicta in later cases; but the promises in </w:t>
      </w:r>
      <w:bookmarkStart w:name="_bookmark952" w:id="954"/>
      <w:bookmarkEnd w:id="954"/>
      <w:r>
        <w:rPr>
          <w:vertAlign w:val="baseline"/>
        </w:rPr>
        <w:t>these</w:t>
      </w:r>
      <w:r>
        <w:rPr>
          <w:vertAlign w:val="baseline"/>
        </w:rPr>
        <w:t> cases created new rights on the perfectly orthodox ground that they were, in fact, supported by </w:t>
      </w:r>
      <w:bookmarkStart w:name="_bookmark953" w:id="955"/>
      <w:bookmarkEnd w:id="955"/>
      <w:r>
        <w:rPr>
          <w:vertAlign w:val="baseline"/>
        </w:rPr>
        <w:t>consideration.</w:t>
      </w:r>
      <w:r>
        <w:rPr>
          <w:vertAlign w:val="baseline"/>
        </w:rPr>
        <w:t> </w:t>
      </w:r>
      <w:r>
        <w:rPr>
          <w:color w:val="005DA1"/>
          <w:u w:val="single" w:color="005DA1"/>
          <w:vertAlign w:val="superscript"/>
        </w:rPr>
        <w:t>552</w:t>
      </w:r>
      <w:r>
        <w:rPr>
          <w:color w:val="005DA1"/>
          <w:vertAlign w:val="baseline"/>
        </w:rPr>
        <w:t> </w:t>
      </w:r>
      <w:r>
        <w:rPr>
          <w:rFonts w:ascii="Arial"/>
          <w:i/>
          <w:vertAlign w:val="baseline"/>
        </w:rPr>
        <w:t>Combe v Combe </w:t>
      </w:r>
      <w:r>
        <w:rPr>
          <w:vertAlign w:val="baseline"/>
        </w:rPr>
        <w:t>therefore still stands as the leading English </w:t>
      </w:r>
      <w:r>
        <w:rPr>
          <w:color w:val="005DA1"/>
          <w:u w:val="single" w:color="005DA1"/>
          <w:vertAlign w:val="superscript"/>
        </w:rPr>
        <w:t>553</w:t>
      </w:r>
      <w:r>
        <w:rPr>
          <w:color w:val="005DA1"/>
          <w:vertAlign w:val="baseline"/>
        </w:rPr>
        <w:t> </w:t>
      </w:r>
      <w:r>
        <w:rPr>
          <w:vertAlign w:val="baseline"/>
        </w:rPr>
        <w:t>authority for the </w:t>
      </w:r>
      <w:bookmarkStart w:name="_bookmark954" w:id="956"/>
      <w:bookmarkEnd w:id="956"/>
      <w:r>
        <w:rPr>
          <w:vertAlign w:val="baseline"/>
        </w:rPr>
        <w:t>proposition</w:t>
      </w:r>
      <w:r>
        <w:rPr>
          <w:spacing w:val="50"/>
          <w:vertAlign w:val="baseline"/>
        </w:rPr>
        <w:t> </w:t>
      </w:r>
      <w:r>
        <w:rPr>
          <w:vertAlign w:val="baseline"/>
        </w:rPr>
        <w:t>that</w:t>
      </w:r>
      <w:r>
        <w:rPr>
          <w:spacing w:val="51"/>
          <w:vertAlign w:val="baseline"/>
        </w:rPr>
        <w:t> </w:t>
      </w:r>
      <w:r>
        <w:rPr>
          <w:vertAlign w:val="baseline"/>
        </w:rPr>
        <w:t>the</w:t>
      </w:r>
      <w:r>
        <w:rPr>
          <w:spacing w:val="51"/>
          <w:vertAlign w:val="baseline"/>
        </w:rPr>
        <w:t> </w:t>
      </w:r>
      <w:r>
        <w:rPr>
          <w:vertAlign w:val="baseline"/>
        </w:rPr>
        <w:t>equitable</w:t>
      </w:r>
      <w:r>
        <w:rPr>
          <w:spacing w:val="50"/>
          <w:vertAlign w:val="baseline"/>
        </w:rPr>
        <w:t> </w:t>
      </w:r>
      <w:r>
        <w:rPr>
          <w:vertAlign w:val="baseline"/>
        </w:rPr>
        <w:t>doctrine</w:t>
      </w:r>
      <w:r>
        <w:rPr>
          <w:spacing w:val="51"/>
          <w:vertAlign w:val="baseline"/>
        </w:rPr>
        <w:t> </w:t>
      </w:r>
      <w:r>
        <w:rPr>
          <w:vertAlign w:val="baseline"/>
        </w:rPr>
        <w:t>creates</w:t>
      </w:r>
      <w:r>
        <w:rPr>
          <w:spacing w:val="51"/>
          <w:vertAlign w:val="baseline"/>
        </w:rPr>
        <w:t> </w:t>
      </w:r>
      <w:r>
        <w:rPr>
          <w:vertAlign w:val="baseline"/>
        </w:rPr>
        <w:t>no</w:t>
      </w:r>
      <w:r>
        <w:rPr>
          <w:spacing w:val="50"/>
          <w:vertAlign w:val="baseline"/>
        </w:rPr>
        <w:t> </w:t>
      </w:r>
      <w:r>
        <w:rPr>
          <w:vertAlign w:val="baseline"/>
        </w:rPr>
        <w:t>new</w:t>
      </w:r>
      <w:r>
        <w:rPr>
          <w:spacing w:val="51"/>
          <w:vertAlign w:val="baseline"/>
        </w:rPr>
        <w:t> </w:t>
      </w:r>
      <w:r>
        <w:rPr>
          <w:vertAlign w:val="baseline"/>
        </w:rPr>
        <w:t>rights</w:t>
      </w:r>
      <w:r>
        <w:rPr>
          <w:spacing w:val="50"/>
          <w:vertAlign w:val="baseline"/>
        </w:rPr>
        <w:t> </w:t>
      </w:r>
      <w:r>
        <w:rPr>
          <w:color w:val="005DA1"/>
          <w:u w:val="single" w:color="005DA1"/>
          <w:vertAlign w:val="superscript"/>
        </w:rPr>
        <w:t>554</w:t>
      </w:r>
      <w:r>
        <w:rPr>
          <w:vertAlign w:val="baseline"/>
        </w:rPr>
        <w:t>;</w:t>
      </w:r>
      <w:r>
        <w:rPr>
          <w:spacing w:val="50"/>
          <w:vertAlign w:val="baseline"/>
        </w:rPr>
        <w:t> </w:t>
      </w:r>
      <w:r>
        <w:rPr>
          <w:vertAlign w:val="baseline"/>
        </w:rPr>
        <w:t>and</w:t>
      </w:r>
      <w:r>
        <w:rPr>
          <w:spacing w:val="51"/>
          <w:vertAlign w:val="baseline"/>
        </w:rPr>
        <w:t> </w:t>
      </w:r>
      <w:r>
        <w:rPr>
          <w:vertAlign w:val="baseline"/>
        </w:rPr>
        <w:t>this</w:t>
      </w:r>
      <w:r>
        <w:rPr>
          <w:spacing w:val="51"/>
          <w:vertAlign w:val="baseline"/>
        </w:rPr>
        <w:t> </w:t>
      </w:r>
      <w:r>
        <w:rPr>
          <w:vertAlign w:val="baseline"/>
        </w:rPr>
        <w:t>proposition</w:t>
      </w:r>
      <w:r>
        <w:rPr>
          <w:spacing w:val="50"/>
          <w:vertAlign w:val="baseline"/>
        </w:rPr>
        <w:t> </w:t>
      </w:r>
      <w:r>
        <w:rPr>
          <w:vertAlign w:val="baseline"/>
        </w:rPr>
        <w:t>has</w:t>
      </w:r>
      <w:r>
        <w:rPr>
          <w:spacing w:val="51"/>
          <w:vertAlign w:val="baseline"/>
        </w:rPr>
        <w:t> </w:t>
      </w:r>
      <w:r>
        <w:rPr>
          <w:spacing w:val="-4"/>
          <w:vertAlign w:val="baseline"/>
        </w:rPr>
        <w:t>been</w:t>
      </w:r>
    </w:p>
    <w:p>
      <w:pPr>
        <w:pStyle w:val="BodyText"/>
        <w:spacing w:before="112"/>
        <w:ind w:left="164"/>
        <w:jc w:val="both"/>
        <w:rPr>
          <w:position w:val="-2"/>
        </w:rPr>
      </w:pPr>
      <w:r>
        <w:rPr/>
        <w:t>reaffirmed in a number of later cases. </w:t>
      </w:r>
      <w:r>
        <w:rPr>
          <w:color w:val="005DA1"/>
          <w:u w:val="single" w:color="005DA1"/>
          <w:vertAlign w:val="superscript"/>
        </w:rPr>
        <w:t>555</w:t>
      </w:r>
      <w:r>
        <w:rPr>
          <w:color w:val="005DA1"/>
          <w:spacing w:val="80"/>
          <w:w w:val="150"/>
          <w:vertAlign w:val="baseline"/>
        </w:rPr>
        <w:t> </w:t>
      </w:r>
      <w:r>
        <w:rPr>
          <w:color w:val="005DA1"/>
          <w:position w:val="-2"/>
          <w:vertAlign w:val="baseline"/>
        </w:rPr>
        <w:drawing>
          <wp:inline distT="0" distB="0" distL="0" distR="0">
            <wp:extent cx="107988" cy="107988"/>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1"/>
        <w:ind w:left="165" w:right="0" w:firstLine="0"/>
        <w:jc w:val="left"/>
        <w:rPr>
          <w:rFonts w:ascii="Arial" w:hAnsi="Arial"/>
          <w:b/>
          <w:sz w:val="18"/>
        </w:rPr>
      </w:pPr>
      <w:r>
        <w:rPr>
          <w:rFonts w:ascii="Arial" w:hAnsi="Arial"/>
          <w:b/>
          <w:sz w:val="18"/>
        </w:rPr>
        <w:t>Modifications increasing a party’s </w:t>
      </w:r>
      <w:r>
        <w:rPr>
          <w:rFonts w:ascii="Arial" w:hAnsi="Arial"/>
          <w:b/>
          <w:spacing w:val="-2"/>
          <w:sz w:val="18"/>
        </w:rPr>
        <w:t>obligation</w:t>
      </w:r>
    </w:p>
    <w:p>
      <w:pPr>
        <w:pStyle w:val="BodyText"/>
        <w:spacing w:before="41"/>
        <w:rPr>
          <w:rFonts w:ascii="Arial"/>
          <w:b/>
          <w:sz w:val="18"/>
        </w:rPr>
      </w:pPr>
    </w:p>
    <w:p>
      <w:pPr>
        <w:pStyle w:val="Heading2"/>
      </w:pPr>
      <w:r>
        <w:rPr/>
        <w:t>4-</w:t>
      </w:r>
      <w:r>
        <w:rPr>
          <w:spacing w:val="-5"/>
        </w:rPr>
        <w:t>100</w:t>
      </w:r>
    </w:p>
    <w:p>
      <w:pPr>
        <w:pStyle w:val="BodyText"/>
        <w:spacing w:line="235" w:lineRule="auto" w:before="202"/>
        <w:ind w:left="164" w:right="167"/>
        <w:jc w:val="both"/>
      </w:pPr>
      <w:bookmarkStart w:name="_bookmark955" w:id="957"/>
      <w:bookmarkEnd w:id="957"/>
      <w:r>
        <w:rPr/>
      </w:r>
      <w:r>
        <w:rPr/>
        <w:t>It appears to follow from the proposition stated at the end of para.4-099 above that the equitable </w:t>
      </w:r>
      <w:bookmarkStart w:name="_bookmark956" w:id="958"/>
      <w:bookmarkEnd w:id="958"/>
      <w:r>
        <w:rPr/>
        <w:t>doctrine</w:t>
      </w:r>
      <w:r>
        <w:rPr/>
        <w:t> would not enable employees in a case like </w:t>
      </w:r>
      <w:r>
        <w:rPr>
          <w:rFonts w:ascii="Arial" w:hAnsi="Arial"/>
          <w:i/>
        </w:rPr>
        <w:t>Stilk v Myrick </w:t>
      </w:r>
      <w:r>
        <w:rPr>
          <w:color w:val="005DA1"/>
          <w:u w:val="single" w:color="005DA1"/>
          <w:vertAlign w:val="superscript"/>
        </w:rPr>
        <w:t>556</w:t>
      </w:r>
      <w:r>
        <w:rPr>
          <w:color w:val="005DA1"/>
          <w:vertAlign w:val="baseline"/>
        </w:rPr>
        <w:t> </w:t>
      </w:r>
      <w:r>
        <w:rPr>
          <w:vertAlign w:val="baseline"/>
        </w:rPr>
        <w:t>to recover the extra pay which they had been promised. It could, indeed, be argued </w:t>
      </w:r>
      <w:r>
        <w:rPr>
          <w:color w:val="005DA1"/>
          <w:u w:val="single" w:color="005DA1"/>
          <w:vertAlign w:val="superscript"/>
        </w:rPr>
        <w:t>557</w:t>
      </w:r>
      <w:r>
        <w:rPr>
          <w:color w:val="005DA1"/>
          <w:vertAlign w:val="baseline"/>
        </w:rPr>
        <w:t> </w:t>
      </w:r>
      <w:r>
        <w:rPr>
          <w:vertAlign w:val="baseline"/>
        </w:rPr>
        <w:t>that in such a case the cause of action was the original contract of employment and that the subsequent agreement fell within the principle stated </w:t>
      </w:r>
      <w:bookmarkStart w:name="_bookmark957" w:id="959"/>
      <w:bookmarkEnd w:id="959"/>
      <w:r>
        <w:rPr>
          <w:vertAlign w:val="baseline"/>
        </w:rPr>
        <w:t>by</w:t>
      </w:r>
      <w:r>
        <w:rPr>
          <w:vertAlign w:val="baseline"/>
        </w:rPr>
        <w:t> Denning L.J. in </w:t>
      </w:r>
      <w:r>
        <w:rPr>
          <w:rFonts w:ascii="Arial" w:hAnsi="Arial"/>
          <w:i/>
          <w:vertAlign w:val="baseline"/>
        </w:rPr>
        <w:t>Combe v Combe </w:t>
      </w:r>
      <w:r>
        <w:rPr>
          <w:vertAlign w:val="baseline"/>
        </w:rPr>
        <w:t>that consideration was not necessary for the “modification or discharge” </w:t>
      </w:r>
      <w:r>
        <w:rPr>
          <w:color w:val="005DA1"/>
          <w:u w:val="single" w:color="005DA1"/>
          <w:vertAlign w:val="superscript"/>
        </w:rPr>
        <w:t>558</w:t>
      </w:r>
      <w:r>
        <w:rPr>
          <w:color w:val="005DA1"/>
          <w:vertAlign w:val="baseline"/>
        </w:rPr>
        <w:t> </w:t>
      </w:r>
      <w:r>
        <w:rPr>
          <w:vertAlign w:val="baseline"/>
        </w:rPr>
        <w:t>of a contract where the conditions required for the operation of the equitable </w:t>
      </w:r>
      <w:r>
        <w:rPr>
          <w:vertAlign w:val="baseline"/>
        </w:rPr>
        <w:t>doctrine </w:t>
      </w:r>
      <w:bookmarkStart w:name="_bookmark958" w:id="960"/>
      <w:bookmarkEnd w:id="960"/>
      <w:r>
        <w:rPr>
          <w:vertAlign w:val="baseline"/>
        </w:rPr>
        <w:t>were</w:t>
      </w:r>
      <w:r>
        <w:rPr>
          <w:vertAlign w:val="baseline"/>
        </w:rPr>
        <w:t> otherwise satisfied. This argument may derive some judicial support from a dictum that promissory estoppel “may enlarge the effect of an agreement” </w:t>
      </w:r>
      <w:r>
        <w:rPr>
          <w:color w:val="005DA1"/>
          <w:u w:val="single" w:color="005DA1"/>
          <w:vertAlign w:val="superscript"/>
        </w:rPr>
        <w:t>559</w:t>
      </w:r>
      <w:r>
        <w:rPr>
          <w:vertAlign w:val="baseline"/>
        </w:rPr>
        <w:t>; for this could mean that a promise of extra pay on facts such as those of</w:t>
      </w:r>
      <w:r>
        <w:rPr>
          <w:spacing w:val="-1"/>
          <w:vertAlign w:val="baseline"/>
        </w:rPr>
        <w:t> </w:t>
      </w:r>
      <w:r>
        <w:rPr>
          <w:rFonts w:ascii="Arial" w:hAnsi="Arial"/>
          <w:i/>
          <w:vertAlign w:val="baseline"/>
        </w:rPr>
        <w:t>Stilk v Myrick </w:t>
      </w:r>
      <w:r>
        <w:rPr>
          <w:vertAlign w:val="baseline"/>
        </w:rPr>
        <w:t>could create a cause of action even though it was </w:t>
      </w:r>
      <w:bookmarkStart w:name="_bookmark959" w:id="961"/>
      <w:bookmarkEnd w:id="961"/>
      <w:r>
        <w:rPr>
          <w:vertAlign w:val="baseline"/>
        </w:rPr>
        <w:t>not</w:t>
      </w:r>
      <w:r>
        <w:rPr>
          <w:vertAlign w:val="baseline"/>
        </w:rPr>
        <w:t> supported by consideration. This view is, however, hard to reconcile with the treatment of </w:t>
      </w:r>
      <w:r>
        <w:rPr>
          <w:rFonts w:ascii="Arial" w:hAnsi="Arial"/>
          <w:i/>
          <w:vertAlign w:val="baseline"/>
        </w:rPr>
        <w:t>Stilk v </w:t>
      </w:r>
      <w:bookmarkStart w:name="_bookmark960" w:id="962"/>
      <w:bookmarkEnd w:id="962"/>
      <w:r>
        <w:rPr>
          <w:rFonts w:ascii="Arial" w:hAnsi="Arial"/>
          <w:i/>
          <w:vertAlign w:val="baseline"/>
        </w:rPr>
        <w:t>Myrick</w:t>
      </w:r>
      <w:r>
        <w:rPr>
          <w:rFonts w:ascii="Arial" w:hAnsi="Arial"/>
          <w:i/>
          <w:vertAlign w:val="baseline"/>
        </w:rPr>
        <w:t> </w:t>
      </w:r>
      <w:r>
        <w:rPr>
          <w:vertAlign w:val="baseline"/>
        </w:rPr>
        <w:t>in </w:t>
      </w:r>
      <w:r>
        <w:rPr>
          <w:rFonts w:ascii="Arial" w:hAnsi="Arial"/>
          <w:i/>
          <w:vertAlign w:val="baseline"/>
        </w:rPr>
        <w:t>Williams v Roffey Bros </w:t>
      </w:r>
      <w:r>
        <w:rPr>
          <w:color w:val="005DA1"/>
          <w:u w:val="single" w:color="005DA1"/>
          <w:vertAlign w:val="superscript"/>
        </w:rPr>
        <w:t>560</w:t>
      </w:r>
      <w:r>
        <w:rPr>
          <w:color w:val="005DA1"/>
          <w:vertAlign w:val="baseline"/>
        </w:rPr>
        <w:t> </w:t>
      </w:r>
      <w:r>
        <w:rPr>
          <w:vertAlign w:val="baseline"/>
        </w:rPr>
        <w:t>and with the fact that the decision in the latter case was based, not on estoppel, </w:t>
      </w:r>
      <w:r>
        <w:rPr>
          <w:color w:val="005DA1"/>
          <w:u w:val="single" w:color="005DA1"/>
          <w:vertAlign w:val="superscript"/>
        </w:rPr>
        <w:t>561</w:t>
      </w:r>
      <w:r>
        <w:rPr>
          <w:color w:val="005DA1"/>
          <w:vertAlign w:val="baseline"/>
        </w:rPr>
        <w:t> </w:t>
      </w:r>
      <w:r>
        <w:rPr>
          <w:vertAlign w:val="baseline"/>
        </w:rPr>
        <w:t>but on the ground that the promise of extra pay there was supported by </w:t>
      </w:r>
      <w:bookmarkStart w:name="_bookmark961" w:id="963"/>
      <w:bookmarkEnd w:id="963"/>
      <w:r>
        <w:rPr>
          <w:vertAlign w:val="baseline"/>
        </w:rPr>
        <w:t>consideration.</w:t>
      </w:r>
      <w:r>
        <w:rPr>
          <w:vertAlign w:val="baseline"/>
        </w:rPr>
        <w:t> It is submitted that, when in </w:t>
      </w:r>
      <w:r>
        <w:rPr>
          <w:rFonts w:ascii="Arial" w:hAnsi="Arial"/>
          <w:i/>
          <w:vertAlign w:val="baseline"/>
        </w:rPr>
        <w:t>Combe v Combe </w:t>
      </w:r>
      <w:r>
        <w:rPr>
          <w:vertAlign w:val="baseline"/>
        </w:rPr>
        <w:t>Denning L.J. used the phrase “modification or discharge”, he had in mind a modification which </w:t>
      </w:r>
      <w:r>
        <w:rPr>
          <w:rFonts w:ascii="Arial" w:hAnsi="Arial"/>
          <w:i/>
          <w:vertAlign w:val="baseline"/>
        </w:rPr>
        <w:t>reduced </w:t>
      </w:r>
      <w:r>
        <w:rPr>
          <w:vertAlign w:val="baseline"/>
        </w:rPr>
        <w:t>a party’s obligations </w:t>
      </w:r>
      <w:r>
        <w:rPr>
          <w:color w:val="005DA1"/>
          <w:u w:val="single" w:color="005DA1"/>
          <w:vertAlign w:val="superscript"/>
        </w:rPr>
        <w:t>562</w:t>
      </w:r>
      <w:r>
        <w:rPr>
          <w:vertAlign w:val="baseline"/>
        </w:rPr>
        <w:t>; for to apply it to a case in which it had the effect of </w:t>
      </w:r>
      <w:r>
        <w:rPr>
          <w:rFonts w:ascii="Arial" w:hAnsi="Arial"/>
          <w:i/>
          <w:vertAlign w:val="baseline"/>
        </w:rPr>
        <w:t>increasing </w:t>
      </w:r>
      <w:r>
        <w:rPr>
          <w:vertAlign w:val="baseline"/>
        </w:rPr>
        <w:t>them necessarily amounts to giving the other party new rights of action as a result of a promise for which he has not provided any </w:t>
      </w:r>
      <w:bookmarkStart w:name="_bookmark962" w:id="964"/>
      <w:bookmarkEnd w:id="964"/>
      <w:r>
        <w:rPr>
          <w:vertAlign w:val="baseline"/>
        </w:rPr>
        <w:t>consideration;</w:t>
      </w:r>
      <w:r>
        <w:rPr>
          <w:vertAlign w:val="baseline"/>
        </w:rPr>
        <w:t> and Combe v Combe decides that this is not the effect of the equitable doctrine here under discussion. </w:t>
      </w:r>
      <w:r>
        <w:rPr>
          <w:color w:val="005DA1"/>
          <w:u w:val="single" w:color="005DA1"/>
          <w:vertAlign w:val="superscript"/>
        </w:rPr>
        <w:t>563</w:t>
      </w:r>
      <w:r>
        <w:rPr>
          <w:color w:val="005DA1"/>
          <w:vertAlign w:val="baseline"/>
        </w:rPr>
        <w:t> </w:t>
      </w:r>
      <w:r>
        <w:rPr>
          <w:vertAlign w:val="baseline"/>
        </w:rPr>
        <w:t>A cause of action on a promise unsupported by consideration may, however, </w:t>
      </w:r>
      <w:bookmarkStart w:name="_bookmark963" w:id="965"/>
      <w:bookmarkEnd w:id="965"/>
      <w:r>
        <w:rPr>
          <w:vertAlign w:val="baseline"/>
        </w:rPr>
        <w:t>arise</w:t>
      </w:r>
      <w:r>
        <w:rPr>
          <w:spacing w:val="-1"/>
          <w:vertAlign w:val="baseline"/>
        </w:rPr>
        <w:t> </w:t>
      </w:r>
      <w:r>
        <w:rPr>
          <w:vertAlign w:val="baseline"/>
        </w:rPr>
        <w:t>under</w:t>
      </w:r>
      <w:r>
        <w:rPr>
          <w:spacing w:val="-1"/>
          <w:vertAlign w:val="baseline"/>
        </w:rPr>
        <w:t> </w:t>
      </w:r>
      <w:r>
        <w:rPr>
          <w:vertAlign w:val="baseline"/>
        </w:rPr>
        <w:t>other</w:t>
      </w:r>
      <w:r>
        <w:rPr>
          <w:spacing w:val="-1"/>
          <w:vertAlign w:val="baseline"/>
        </w:rPr>
        <w:t> </w:t>
      </w:r>
      <w:r>
        <w:rPr>
          <w:vertAlign w:val="baseline"/>
        </w:rPr>
        <w:t>equitable</w:t>
      </w:r>
      <w:r>
        <w:rPr>
          <w:spacing w:val="-1"/>
          <w:vertAlign w:val="baseline"/>
        </w:rPr>
        <w:t> </w:t>
      </w:r>
      <w:r>
        <w:rPr>
          <w:vertAlign w:val="baseline"/>
        </w:rPr>
        <w:t>doctrines:</w:t>
      </w:r>
      <w:r>
        <w:rPr>
          <w:spacing w:val="-1"/>
          <w:vertAlign w:val="baseline"/>
        </w:rPr>
        <w:t> </w:t>
      </w:r>
      <w:r>
        <w:rPr>
          <w:vertAlign w:val="baseline"/>
        </w:rPr>
        <w:t>e.g.</w:t>
      </w:r>
      <w:r>
        <w:rPr>
          <w:spacing w:val="-1"/>
          <w:vertAlign w:val="baseline"/>
        </w:rPr>
        <w:t> </w:t>
      </w:r>
      <w:r>
        <w:rPr>
          <w:vertAlign w:val="baseline"/>
        </w:rPr>
        <w:t>under</w:t>
      </w:r>
      <w:r>
        <w:rPr>
          <w:spacing w:val="-1"/>
          <w:vertAlign w:val="baseline"/>
        </w:rPr>
        <w:t> </w:t>
      </w:r>
      <w:r>
        <w:rPr>
          <w:vertAlign w:val="baseline"/>
        </w:rPr>
        <w:t>the</w:t>
      </w:r>
      <w:r>
        <w:rPr>
          <w:spacing w:val="-1"/>
          <w:vertAlign w:val="baseline"/>
        </w:rPr>
        <w:t> </w:t>
      </w:r>
      <w:r>
        <w:rPr>
          <w:vertAlign w:val="baseline"/>
        </w:rPr>
        <w:t>doctrine</w:t>
      </w:r>
      <w:r>
        <w:rPr>
          <w:spacing w:val="-1"/>
          <w:vertAlign w:val="baseline"/>
        </w:rPr>
        <w:t> </w:t>
      </w:r>
      <w:r>
        <w:rPr>
          <w:vertAlign w:val="baseline"/>
        </w:rPr>
        <w:t>of</w:t>
      </w:r>
      <w:r>
        <w:rPr>
          <w:spacing w:val="-1"/>
          <w:vertAlign w:val="baseline"/>
        </w:rPr>
        <w:t> </w:t>
      </w:r>
      <w:r>
        <w:rPr>
          <w:vertAlign w:val="baseline"/>
        </w:rPr>
        <w:t>“proprietary</w:t>
      </w:r>
      <w:r>
        <w:rPr>
          <w:spacing w:val="-1"/>
          <w:vertAlign w:val="baseline"/>
        </w:rPr>
        <w:t> </w:t>
      </w:r>
      <w:r>
        <w:rPr>
          <w:vertAlign w:val="baseline"/>
        </w:rPr>
        <w:t>estoppel,”</w:t>
      </w:r>
      <w:r>
        <w:rPr>
          <w:spacing w:val="-1"/>
          <w:vertAlign w:val="baseline"/>
        </w:rPr>
        <w:t> </w:t>
      </w:r>
      <w:r>
        <w:rPr>
          <w:vertAlign w:val="baseline"/>
        </w:rPr>
        <w:t>discussed</w:t>
      </w:r>
      <w:r>
        <w:rPr>
          <w:spacing w:val="-1"/>
          <w:vertAlign w:val="baseline"/>
        </w:rPr>
        <w:t> </w:t>
      </w:r>
      <w:r>
        <w:rPr>
          <w:vertAlign w:val="baseline"/>
        </w:rPr>
        <w:t>later in this chapter. </w:t>
      </w:r>
      <w:r>
        <w:rPr>
          <w:color w:val="005DA1"/>
          <w:u w:val="single" w:color="005DA1"/>
          <w:vertAlign w:val="superscript"/>
        </w:rPr>
        <w:t>564</w:t>
      </w:r>
    </w:p>
    <w:p>
      <w:pPr>
        <w:pStyle w:val="BodyText"/>
      </w:pPr>
    </w:p>
    <w:p>
      <w:pPr>
        <w:pStyle w:val="BodyText"/>
        <w:spacing w:before="31"/>
      </w:pPr>
    </w:p>
    <w:p>
      <w:pPr>
        <w:spacing w:before="1"/>
        <w:ind w:left="165" w:right="0" w:firstLine="0"/>
        <w:jc w:val="left"/>
        <w:rPr>
          <w:rFonts w:ascii="Arial" w:hAnsi="Arial"/>
          <w:b/>
          <w:sz w:val="18"/>
        </w:rPr>
      </w:pPr>
      <w:r>
        <w:rPr>
          <w:rFonts w:ascii="Arial" w:hAnsi="Arial"/>
          <w:b/>
          <w:sz w:val="18"/>
        </w:rPr>
        <w:t>“Shield and not a </w:t>
      </w:r>
      <w:r>
        <w:rPr>
          <w:rFonts w:ascii="Arial" w:hAnsi="Arial"/>
          <w:b/>
          <w:spacing w:val="-2"/>
          <w:sz w:val="18"/>
        </w:rPr>
        <w:t>sword”</w:t>
      </w:r>
    </w:p>
    <w:p>
      <w:pPr>
        <w:pStyle w:val="BodyText"/>
        <w:spacing w:before="41"/>
        <w:rPr>
          <w:rFonts w:ascii="Arial"/>
          <w:b/>
          <w:sz w:val="18"/>
        </w:rPr>
      </w:pPr>
    </w:p>
    <w:p>
      <w:pPr>
        <w:pStyle w:val="Heading2"/>
      </w:pPr>
      <w:r>
        <w:rPr/>
        <w:t>4-</w:t>
      </w:r>
      <w:r>
        <w:rPr>
          <w:spacing w:val="-5"/>
        </w:rPr>
        <w:t>101</w:t>
      </w:r>
    </w:p>
    <w:p>
      <w:pPr>
        <w:pStyle w:val="BodyText"/>
        <w:spacing w:line="235" w:lineRule="auto" w:before="202"/>
        <w:ind w:left="165" w:right="167"/>
        <w:jc w:val="both"/>
      </w:pPr>
      <w:bookmarkStart w:name="_bookmark964" w:id="966"/>
      <w:bookmarkEnd w:id="966"/>
      <w:r>
        <w:rPr/>
      </w:r>
      <w:r>
        <w:rPr/>
        <w:t>The essentially defensive nature of the equitable doctrine here under discussion is </w:t>
      </w:r>
      <w:r>
        <w:rPr/>
        <w:t>sometimes expressed by saying that it operates as a shield and not as a sword. </w:t>
      </w:r>
      <w:r>
        <w:rPr>
          <w:color w:val="005DA1"/>
          <w:u w:val="single" w:color="005DA1"/>
          <w:vertAlign w:val="superscript"/>
        </w:rPr>
        <w:t>565</w:t>
      </w:r>
      <w:r>
        <w:rPr>
          <w:color w:val="005DA1"/>
          <w:vertAlign w:val="baseline"/>
        </w:rPr>
        <w:t> </w:t>
      </w:r>
      <w:r>
        <w:rPr>
          <w:vertAlign w:val="baseline"/>
        </w:rPr>
        <w:t>This is true in most cases: </w:t>
      </w:r>
      <w:bookmarkStart w:name="_bookmark965" w:id="967"/>
      <w:bookmarkEnd w:id="967"/>
      <w:r>
        <w:rPr>
          <w:vertAlign w:val="baseline"/>
        </w:rPr>
        <w:t>usually</w:t>
      </w:r>
      <w:r>
        <w:rPr>
          <w:vertAlign w:val="baseline"/>
        </w:rPr>
        <w:t> the doctrine protects a promisee (wholly or in part) against enforcement of his original obligation. But the metaphor is apt to mislead </w:t>
      </w:r>
      <w:r>
        <w:rPr>
          <w:color w:val="005DA1"/>
          <w:u w:val="single" w:color="005DA1"/>
          <w:vertAlign w:val="superscript"/>
        </w:rPr>
        <w:t>566</w:t>
      </w:r>
      <w:r>
        <w:rPr>
          <w:vertAlign w:val="baseline"/>
        </w:rPr>
        <w:t>: the essential point is that the doctrine excuses (at </w:t>
      </w:r>
      <w:bookmarkStart w:name="_bookmark966" w:id="968"/>
      <w:bookmarkEnd w:id="968"/>
      <w:r>
        <w:rPr>
          <w:vertAlign w:val="baseline"/>
        </w:rPr>
        <w:t>least</w:t>
      </w:r>
      <w:r>
        <w:rPr>
          <w:vertAlign w:val="baseline"/>
        </w:rPr>
        <w:t> temporarily) the performance of the original obligation; and such an excuse may benefit a claimant no less than a defendant. For example, if the creditor’s conduct in </w:t>
      </w:r>
      <w:r>
        <w:rPr>
          <w:rFonts w:ascii="Arial" w:hAnsi="Arial"/>
          <w:i/>
          <w:vertAlign w:val="baseline"/>
        </w:rPr>
        <w:t>Williams v Stern </w:t>
      </w:r>
      <w:r>
        <w:rPr>
          <w:color w:val="005DA1"/>
          <w:u w:val="single" w:color="005DA1"/>
          <w:vertAlign w:val="superscript"/>
        </w:rPr>
        <w:t>567</w:t>
      </w:r>
      <w:r>
        <w:rPr>
          <w:color w:val="005DA1"/>
          <w:vertAlign w:val="baseline"/>
        </w:rPr>
        <w:t> </w:t>
      </w:r>
      <w:r>
        <w:rPr>
          <w:vertAlign w:val="baseline"/>
        </w:rPr>
        <w:t>(discussed in para.4-096 above) had been “inequitable” the debtor could no doubt have obtained an injunction against a </w:t>
      </w:r>
      <w:r>
        <w:rPr>
          <w:rFonts w:ascii="Arial" w:hAnsi="Arial"/>
          <w:i/>
          <w:vertAlign w:val="baseline"/>
        </w:rPr>
        <w:t>threatened </w:t>
      </w:r>
      <w:r>
        <w:rPr>
          <w:vertAlign w:val="baseline"/>
        </w:rPr>
        <w:t>seizure of his property. Similarly, a seller may tender delivery after the </w:t>
      </w:r>
      <w:bookmarkStart w:name="_bookmark967" w:id="969"/>
      <w:bookmarkEnd w:id="969"/>
      <w:r>
        <w:rPr>
          <w:vertAlign w:val="baseline"/>
        </w:rPr>
        <w:t>originally</w:t>
      </w:r>
      <w:r>
        <w:rPr>
          <w:vertAlign w:val="baseline"/>
        </w:rPr>
        <w:t> agreed date in reliance on the buyer’s promise to accept such delivery. If the buyer then refuses to accept the delivery, the seller can claim damages. </w:t>
      </w:r>
      <w:r>
        <w:rPr>
          <w:color w:val="005DA1"/>
          <w:u w:val="single" w:color="005DA1"/>
          <w:vertAlign w:val="superscript"/>
        </w:rPr>
        <w:t>568</w:t>
      </w:r>
    </w:p>
    <w:p>
      <w:pPr>
        <w:pStyle w:val="BodyText"/>
      </w:pPr>
    </w:p>
    <w:p>
      <w:pPr>
        <w:pStyle w:val="BodyText"/>
        <w:spacing w:before="35"/>
      </w:pPr>
    </w:p>
    <w:p>
      <w:pPr>
        <w:spacing w:before="0"/>
        <w:ind w:left="165" w:right="0" w:firstLine="0"/>
        <w:jc w:val="left"/>
        <w:rPr>
          <w:rFonts w:ascii="Arial"/>
          <w:b/>
          <w:sz w:val="18"/>
        </w:rPr>
      </w:pPr>
      <w:r>
        <w:rPr>
          <w:rFonts w:ascii="Arial"/>
          <w:b/>
          <w:sz w:val="18"/>
        </w:rPr>
        <w:t>Doctrine may deprive promisor of certain </w:t>
      </w:r>
      <w:r>
        <w:rPr>
          <w:rFonts w:ascii="Arial"/>
          <w:b/>
          <w:spacing w:val="-2"/>
          <w:sz w:val="18"/>
        </w:rPr>
        <w:t>defences</w:t>
      </w:r>
    </w:p>
    <w:p>
      <w:pPr>
        <w:pStyle w:val="BodyText"/>
        <w:spacing w:before="41"/>
        <w:rPr>
          <w:rFonts w:ascii="Arial"/>
          <w:b/>
          <w:sz w:val="18"/>
        </w:rPr>
      </w:pPr>
    </w:p>
    <w:p>
      <w:pPr>
        <w:pStyle w:val="Heading2"/>
        <w:spacing w:before="1"/>
      </w:pPr>
      <w:r>
        <w:rPr/>
        <w:t>4-</w:t>
      </w:r>
      <w:r>
        <w:rPr>
          <w:spacing w:val="-5"/>
        </w:rPr>
        <w:t>102</w:t>
      </w:r>
    </w:p>
    <w:p>
      <w:pPr>
        <w:pStyle w:val="BodyText"/>
        <w:spacing w:before="199"/>
        <w:ind w:left="165"/>
        <w:jc w:val="both"/>
      </w:pPr>
      <w:r>
        <w:rPr/>
        <w:t>The</w:t>
      </w:r>
      <w:r>
        <w:rPr>
          <w:spacing w:val="19"/>
        </w:rPr>
        <w:t> </w:t>
      </w:r>
      <w:r>
        <w:rPr/>
        <w:t>equitable</w:t>
      </w:r>
      <w:r>
        <w:rPr>
          <w:spacing w:val="19"/>
        </w:rPr>
        <w:t> </w:t>
      </w:r>
      <w:r>
        <w:rPr/>
        <w:t>doctrine</w:t>
      </w:r>
      <w:r>
        <w:rPr>
          <w:spacing w:val="19"/>
        </w:rPr>
        <w:t> </w:t>
      </w:r>
      <w:r>
        <w:rPr/>
        <w:t>can</w:t>
      </w:r>
      <w:r>
        <w:rPr>
          <w:spacing w:val="19"/>
        </w:rPr>
        <w:t> </w:t>
      </w:r>
      <w:r>
        <w:rPr/>
        <w:t>also</w:t>
      </w:r>
      <w:r>
        <w:rPr>
          <w:spacing w:val="19"/>
        </w:rPr>
        <w:t> </w:t>
      </w:r>
      <w:r>
        <w:rPr/>
        <w:t>assist</w:t>
      </w:r>
      <w:r>
        <w:rPr>
          <w:spacing w:val="19"/>
        </w:rPr>
        <w:t> </w:t>
      </w:r>
      <w:r>
        <w:rPr/>
        <w:t>the</w:t>
      </w:r>
      <w:r>
        <w:rPr>
          <w:spacing w:val="19"/>
        </w:rPr>
        <w:t> </w:t>
      </w:r>
      <w:r>
        <w:rPr/>
        <w:t>promisee</w:t>
      </w:r>
      <w:r>
        <w:rPr>
          <w:spacing w:val="19"/>
        </w:rPr>
        <w:t> </w:t>
      </w:r>
      <w:r>
        <w:rPr/>
        <w:t>as</w:t>
      </w:r>
      <w:r>
        <w:rPr>
          <w:spacing w:val="19"/>
        </w:rPr>
        <w:t> </w:t>
      </w:r>
      <w:r>
        <w:rPr/>
        <w:t>claimant</w:t>
      </w:r>
      <w:r>
        <w:rPr>
          <w:spacing w:val="19"/>
        </w:rPr>
        <w:t> </w:t>
      </w:r>
      <w:r>
        <w:rPr/>
        <w:t>in</w:t>
      </w:r>
      <w:r>
        <w:rPr>
          <w:spacing w:val="19"/>
        </w:rPr>
        <w:t> </w:t>
      </w:r>
      <w:r>
        <w:rPr/>
        <w:t>that</w:t>
      </w:r>
      <w:r>
        <w:rPr>
          <w:spacing w:val="19"/>
        </w:rPr>
        <w:t> </w:t>
      </w:r>
      <w:r>
        <w:rPr/>
        <w:t>it</w:t>
      </w:r>
      <w:r>
        <w:rPr>
          <w:spacing w:val="19"/>
        </w:rPr>
        <w:t> </w:t>
      </w:r>
      <w:r>
        <w:rPr/>
        <w:t>may</w:t>
      </w:r>
      <w:r>
        <w:rPr>
          <w:spacing w:val="19"/>
        </w:rPr>
        <w:t> </w:t>
      </w:r>
      <w:r>
        <w:rPr/>
        <w:t>prevent</w:t>
      </w:r>
      <w:r>
        <w:rPr>
          <w:spacing w:val="19"/>
        </w:rPr>
        <w:t> </w:t>
      </w:r>
      <w:r>
        <w:rPr/>
        <w:t>the</w:t>
      </w:r>
      <w:r>
        <w:rPr>
          <w:spacing w:val="19"/>
        </w:rPr>
        <w:t> </w:t>
      </w:r>
      <w:r>
        <w:rPr>
          <w:spacing w:val="-2"/>
        </w:rPr>
        <w:t>promisor</w:t>
      </w:r>
    </w:p>
    <w:p>
      <w:pPr>
        <w:pStyle w:val="BodyText"/>
        <w:spacing w:after="0"/>
        <w:jc w:val="both"/>
        <w:sectPr>
          <w:pgSz w:w="11900" w:h="16840"/>
          <w:pgMar w:header="971" w:footer="0" w:top="1160" w:bottom="280" w:left="1275" w:right="1275"/>
        </w:sectPr>
      </w:pPr>
    </w:p>
    <w:p>
      <w:pPr>
        <w:pStyle w:val="BodyText"/>
        <w:spacing w:before="124"/>
      </w:pPr>
    </w:p>
    <w:p>
      <w:pPr>
        <w:pStyle w:val="BodyText"/>
        <w:spacing w:line="235" w:lineRule="auto" w:before="1"/>
        <w:ind w:left="165" w:right="167"/>
        <w:jc w:val="both"/>
      </w:pPr>
      <w:bookmarkStart w:name="_bookmark968" w:id="970"/>
      <w:bookmarkEnd w:id="970"/>
      <w:r>
        <w:rPr/>
      </w:r>
      <w:r>
        <w:rPr/>
        <w:t>from relying on a defence that would, but for the promise, have been available to him: e.g. </w:t>
      </w:r>
      <w:r>
        <w:rPr/>
        <w:t>the</w:t>
      </w:r>
      <w:r>
        <w:rPr>
          <w:spacing w:val="40"/>
        </w:rPr>
        <w:t> </w:t>
      </w:r>
      <w:bookmarkStart w:name="_bookmark969" w:id="971"/>
      <w:bookmarkEnd w:id="971"/>
      <w:r>
        <w:rPr/>
        <w:t>defence</w:t>
      </w:r>
      <w:r>
        <w:rPr/>
        <w:t> that a claim which the promisee has made against him is time-barred, </w:t>
      </w:r>
      <w:r>
        <w:rPr>
          <w:color w:val="005DA1"/>
          <w:u w:val="single" w:color="005DA1"/>
          <w:vertAlign w:val="superscript"/>
        </w:rPr>
        <w:t>569</w:t>
      </w:r>
      <w:r>
        <w:rPr>
          <w:color w:val="005DA1"/>
          <w:vertAlign w:val="baseline"/>
        </w:rPr>
        <w:t> </w:t>
      </w:r>
      <w:r>
        <w:rPr>
          <w:vertAlign w:val="baseline"/>
        </w:rPr>
        <w:t>or that the claim</w:t>
      </w:r>
      <w:r>
        <w:rPr>
          <w:spacing w:val="40"/>
          <w:vertAlign w:val="baseline"/>
        </w:rPr>
        <w:t> </w:t>
      </w:r>
      <w:bookmarkStart w:name="_bookmark970" w:id="972"/>
      <w:bookmarkEnd w:id="972"/>
      <w:r>
        <w:rPr>
          <w:vertAlign w:val="baseline"/>
        </w:rPr>
        <w:t>has</w:t>
      </w:r>
      <w:r>
        <w:rPr>
          <w:vertAlign w:val="baseline"/>
        </w:rPr>
        <w:t> been satisfied, </w:t>
      </w:r>
      <w:r>
        <w:rPr>
          <w:color w:val="005DA1"/>
          <w:u w:val="single" w:color="005DA1"/>
          <w:vertAlign w:val="superscript"/>
        </w:rPr>
        <w:t>570</w:t>
      </w:r>
      <w:r>
        <w:rPr>
          <w:color w:val="005DA1"/>
          <w:vertAlign w:val="baseline"/>
        </w:rPr>
        <w:t> </w:t>
      </w:r>
      <w:r>
        <w:rPr>
          <w:vertAlign w:val="baseline"/>
        </w:rPr>
        <w:t>or that it has been lost by reason of the promisee’s breach of the contract</w:t>
      </w:r>
      <w:r>
        <w:rPr>
          <w:spacing w:val="40"/>
          <w:vertAlign w:val="baseline"/>
        </w:rPr>
        <w:t> </w:t>
      </w:r>
      <w:r>
        <w:rPr>
          <w:vertAlign w:val="baseline"/>
        </w:rPr>
        <w:t>which would, but for the breach, have given rise to the claim, </w:t>
      </w:r>
      <w:r>
        <w:rPr>
          <w:color w:val="005DA1"/>
          <w:u w:val="single" w:color="005DA1"/>
          <w:vertAlign w:val="superscript"/>
        </w:rPr>
        <w:t>571</w:t>
      </w:r>
      <w:r>
        <w:rPr>
          <w:color w:val="005DA1"/>
          <w:vertAlign w:val="baseline"/>
        </w:rPr>
        <w:t> </w:t>
      </w:r>
      <w:r>
        <w:rPr>
          <w:vertAlign w:val="baseline"/>
        </w:rPr>
        <w:t>or that the contractual document </w:t>
      </w:r>
      <w:bookmarkStart w:name="_bookmark971" w:id="973"/>
      <w:bookmarkEnd w:id="973"/>
      <w:r>
        <w:rPr>
          <w:vertAlign w:val="baseline"/>
        </w:rPr>
        <w:t>suffers</w:t>
      </w:r>
      <w:r>
        <w:rPr>
          <w:vertAlign w:val="baseline"/>
        </w:rPr>
        <w:t> from some minor formal defect, the effect of which on the validity of the contract is not </w:t>
      </w:r>
      <w:bookmarkStart w:name="_bookmark972" w:id="974"/>
      <w:bookmarkEnd w:id="974"/>
      <w:r>
        <w:rPr>
          <w:vertAlign w:val="baseline"/>
        </w:rPr>
        <w:t>specified</w:t>
      </w:r>
      <w:r>
        <w:rPr>
          <w:vertAlign w:val="baseline"/>
        </w:rPr>
        <w:t> by the statute imposing the formal requirement. </w:t>
      </w:r>
      <w:r>
        <w:rPr>
          <w:color w:val="005DA1"/>
          <w:u w:val="single" w:color="005DA1"/>
          <w:vertAlign w:val="superscript"/>
        </w:rPr>
        <w:t>572</w:t>
      </w:r>
      <w:r>
        <w:rPr>
          <w:color w:val="005DA1"/>
          <w:vertAlign w:val="baseline"/>
        </w:rPr>
        <w:t> </w:t>
      </w:r>
      <w:r>
        <w:rPr>
          <w:vertAlign w:val="baseline"/>
        </w:rPr>
        <w:t>In such cases, the doctrine will, once again, enable the promisee to win an action which, but for the doctrine, he would have lost. </w:t>
      </w:r>
      <w:r>
        <w:rPr>
          <w:color w:val="005DA1"/>
          <w:u w:val="single" w:color="005DA1"/>
          <w:vertAlign w:val="superscript"/>
        </w:rPr>
        <w:t>573</w:t>
      </w:r>
      <w:r>
        <w:rPr>
          <w:color w:val="005DA1"/>
          <w:vertAlign w:val="baseline"/>
        </w:rPr>
        <w:t> </w:t>
      </w:r>
      <w:r>
        <w:rPr>
          <w:vertAlign w:val="baseline"/>
        </w:rPr>
        <w:t>But it must be stressed that, in cases of this kind, the promisee’s cause of action will have arisen independently of the promise which brought the equitable doctrine into operation: the effect of the doctrine is merely to prevent the promisor from relying on some circumstance which would, if the promise had not been made, </w:t>
      </w:r>
      <w:r>
        <w:rPr>
          <w:rFonts w:ascii="Arial" w:hAnsi="Arial"/>
          <w:i/>
          <w:vertAlign w:val="baseline"/>
        </w:rPr>
        <w:t>have destroyed the promisee’s original cause of action</w:t>
      </w:r>
      <w:r>
        <w:rPr>
          <w:vertAlign w:val="baseline"/>
        </w:rPr>
        <w:t>. This situation must be distinguished from that in which the promisor’s “defence” is that (apart from the promise) the promisee’s alleged </w:t>
      </w:r>
      <w:r>
        <w:rPr>
          <w:rFonts w:ascii="Arial" w:hAnsi="Arial"/>
          <w:i/>
          <w:vertAlign w:val="baseline"/>
        </w:rPr>
        <w:t>cause of action never existed at all</w:t>
      </w:r>
      <w:r>
        <w:rPr>
          <w:vertAlign w:val="baseline"/>
        </w:rPr>
        <w:t>. It is submitted that the equitable doctrine should not prevent the promisor from relying on a “defence” of this kind. To allow the doctrine to operate in this way would amount to giving the promisee a new cause of action based on the promise </w:t>
      </w:r>
      <w:bookmarkStart w:name="_bookmark973" w:id="975"/>
      <w:bookmarkEnd w:id="975"/>
      <w:r>
        <w:rPr>
          <w:vertAlign w:val="baseline"/>
        </w:rPr>
        <w:t>though</w:t>
      </w:r>
      <w:r>
        <w:rPr>
          <w:vertAlign w:val="baseline"/>
        </w:rPr>
        <w:t> it was unsupported by consideration; and such a result would be inconsistent with the essentially defensive nature of the equitable doctrine. </w:t>
      </w:r>
      <w:r>
        <w:rPr>
          <w:color w:val="005DA1"/>
          <w:u w:val="single" w:color="005DA1"/>
          <w:vertAlign w:val="superscript"/>
        </w:rPr>
        <w:t>574</w:t>
      </w:r>
    </w:p>
    <w:p>
      <w:pPr>
        <w:pStyle w:val="BodyText"/>
      </w:pPr>
    </w:p>
    <w:p>
      <w:pPr>
        <w:pStyle w:val="BodyText"/>
        <w:spacing w:before="32"/>
      </w:pPr>
    </w:p>
    <w:p>
      <w:pPr>
        <w:spacing w:before="0"/>
        <w:ind w:left="164" w:right="0" w:firstLine="0"/>
        <w:jc w:val="both"/>
        <w:rPr>
          <w:rFonts w:ascii="Arial"/>
          <w:b/>
          <w:sz w:val="18"/>
        </w:rPr>
      </w:pPr>
      <w:r>
        <w:rPr>
          <w:rFonts w:ascii="Arial"/>
          <w:b/>
          <w:sz w:val="18"/>
        </w:rPr>
        <w:t>Doctrine may deprive promisee of a </w:t>
      </w:r>
      <w:r>
        <w:rPr>
          <w:rFonts w:ascii="Arial"/>
          <w:b/>
          <w:spacing w:val="-2"/>
          <w:sz w:val="18"/>
        </w:rPr>
        <w:t>defence</w:t>
      </w:r>
    </w:p>
    <w:p>
      <w:pPr>
        <w:pStyle w:val="BodyText"/>
        <w:spacing w:before="41"/>
        <w:rPr>
          <w:rFonts w:ascii="Arial"/>
          <w:b/>
          <w:sz w:val="18"/>
        </w:rPr>
      </w:pPr>
    </w:p>
    <w:p>
      <w:pPr>
        <w:pStyle w:val="Heading2"/>
        <w:ind w:left="164"/>
      </w:pPr>
      <w:r>
        <w:rPr/>
        <w:t>4-</w:t>
      </w:r>
      <w:r>
        <w:rPr>
          <w:spacing w:val="-5"/>
        </w:rPr>
        <w:t>103</w:t>
      </w:r>
    </w:p>
    <w:p>
      <w:pPr>
        <w:pStyle w:val="BodyText"/>
        <w:spacing w:line="235" w:lineRule="auto" w:before="203"/>
        <w:ind w:left="165" w:right="167"/>
        <w:jc w:val="both"/>
      </w:pPr>
      <w:bookmarkStart w:name="_bookmark974" w:id="976"/>
      <w:bookmarkEnd w:id="976"/>
      <w:r>
        <w:rPr/>
      </w:r>
      <w:r>
        <w:rPr/>
        <w:t>The doctrine may also, some what paradoxically, deprive a </w:t>
      </w:r>
      <w:r>
        <w:rPr>
          <w:rFonts w:ascii="Arial" w:hAnsi="Arial"/>
          <w:i/>
        </w:rPr>
        <w:t>promisee </w:t>
      </w:r>
      <w:r>
        <w:rPr/>
        <w:t>of a defence. This was the position in </w:t>
      </w:r>
      <w:r>
        <w:rPr>
          <w:rFonts w:ascii="Arial" w:hAnsi="Arial"/>
          <w:i/>
        </w:rPr>
        <w:t>Smith v Lawson </w:t>
      </w:r>
      <w:r>
        <w:rPr>
          <w:color w:val="005DA1"/>
          <w:u w:val="single" w:color="005DA1"/>
          <w:vertAlign w:val="superscript"/>
        </w:rPr>
        <w:t>575</w:t>
      </w:r>
      <w:r>
        <w:rPr>
          <w:color w:val="005DA1"/>
          <w:vertAlign w:val="baseline"/>
        </w:rPr>
        <w:t> </w:t>
      </w:r>
      <w:r>
        <w:rPr>
          <w:vertAlign w:val="baseline"/>
        </w:rPr>
        <w:t>where a lessor told the lessee that he would not trouble to collect </w:t>
      </w:r>
      <w:r>
        <w:rPr>
          <w:vertAlign w:val="baseline"/>
        </w:rPr>
        <w:t>the small rent which the lessee had previously paid. It was held that the lessee’s rent-free occupation did not amount to adverse possession since the lessor was precluded by the doctrine of promissory estoppel from obtaining possession on the ground of non-payment of rent. It followed that the lessee could not rely on her occupation to defeat the lessor’s claim for the declaration that he remained freehold owner of the land.</w:t>
      </w:r>
    </w:p>
    <w:p>
      <w:pPr>
        <w:pStyle w:val="BodyText"/>
      </w:pPr>
    </w:p>
    <w:p>
      <w:pPr>
        <w:pStyle w:val="BodyText"/>
        <w:spacing w:before="36"/>
      </w:pPr>
    </w:p>
    <w:p>
      <w:pPr>
        <w:spacing w:before="0"/>
        <w:ind w:left="165" w:right="0" w:firstLine="0"/>
        <w:jc w:val="left"/>
        <w:rPr>
          <w:rFonts w:ascii="Arial"/>
          <w:b/>
          <w:sz w:val="18"/>
        </w:rPr>
      </w:pPr>
      <w:r>
        <w:rPr>
          <w:rFonts w:ascii="Arial"/>
          <w:b/>
          <w:sz w:val="18"/>
        </w:rPr>
        <w:t>Analogy with </w:t>
      </w:r>
      <w:r>
        <w:rPr>
          <w:rFonts w:ascii="Arial"/>
          <w:b/>
          <w:spacing w:val="-2"/>
          <w:sz w:val="18"/>
        </w:rPr>
        <w:t>estoppel</w:t>
      </w:r>
    </w:p>
    <w:p>
      <w:pPr>
        <w:pStyle w:val="BodyText"/>
        <w:spacing w:before="41"/>
        <w:rPr>
          <w:rFonts w:ascii="Arial"/>
          <w:b/>
          <w:sz w:val="18"/>
        </w:rPr>
      </w:pPr>
    </w:p>
    <w:p>
      <w:pPr>
        <w:pStyle w:val="Heading2"/>
      </w:pPr>
      <w:r>
        <w:rPr/>
        <w:t>4-</w:t>
      </w:r>
      <w:r>
        <w:rPr>
          <w:spacing w:val="-5"/>
        </w:rPr>
        <w:t>104</w:t>
      </w:r>
    </w:p>
    <w:p>
      <w:pPr>
        <w:pStyle w:val="BodyText"/>
        <w:spacing w:before="93"/>
        <w:rPr>
          <w:rFonts w:ascii="Arial"/>
          <w:b/>
        </w:rPr>
      </w:pPr>
    </w:p>
    <w:p>
      <w:pPr>
        <w:pStyle w:val="BodyText"/>
        <w:spacing w:line="235" w:lineRule="auto"/>
        <w:ind w:left="165" w:right="166"/>
        <w:jc w:val="both"/>
      </w:pPr>
      <w:r>
        <w:rPr>
          <w:position w:val="-2"/>
        </w:rPr>
        <w:drawing>
          <wp:inline distT="0" distB="0" distL="0" distR="0">
            <wp:extent cx="107988" cy="107988"/>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equitable doctrine is sometimes compared with the doctrine of estoppel by representation and the two have, indeed, certain features in common. Each is based on a representation followed </w:t>
      </w:r>
      <w:r>
        <w:rPr/>
        <w:t>by reliance, and the nature of each is defensive in the sense that neither is capable of giving rise to new </w:t>
      </w:r>
      <w:bookmarkStart w:name="_bookmark975" w:id="977"/>
      <w:bookmarkEnd w:id="977"/>
      <w:r>
        <w:rPr/>
        <w:t>rights.</w:t>
      </w:r>
      <w:r>
        <w:rPr/>
        <w:t> On the other hand, there are many significant differences between the two, even though the word</w:t>
      </w:r>
      <w:r>
        <w:rPr>
          <w:spacing w:val="-2"/>
        </w:rPr>
        <w:t> </w:t>
      </w:r>
      <w:r>
        <w:rPr/>
        <w:t>“estoppel”</w:t>
      </w:r>
      <w:r>
        <w:rPr>
          <w:spacing w:val="-2"/>
        </w:rPr>
        <w:t> </w:t>
      </w:r>
      <w:r>
        <w:rPr/>
        <w:t>is</w:t>
      </w:r>
      <w:r>
        <w:rPr>
          <w:spacing w:val="-2"/>
        </w:rPr>
        <w:t> </w:t>
      </w:r>
      <w:r>
        <w:rPr/>
        <w:t>now</w:t>
      </w:r>
      <w:r>
        <w:rPr>
          <w:spacing w:val="-2"/>
        </w:rPr>
        <w:t> </w:t>
      </w:r>
      <w:r>
        <w:rPr/>
        <w:t>often</w:t>
      </w:r>
      <w:r>
        <w:rPr>
          <w:spacing w:val="-2"/>
        </w:rPr>
        <w:t> </w:t>
      </w:r>
      <w:r>
        <w:rPr/>
        <w:t>used</w:t>
      </w:r>
      <w:r>
        <w:rPr>
          <w:spacing w:val="-2"/>
        </w:rPr>
        <w:t> </w:t>
      </w:r>
      <w:r>
        <w:rPr/>
        <w:t>to</w:t>
      </w:r>
      <w:r>
        <w:rPr>
          <w:spacing w:val="-2"/>
        </w:rPr>
        <w:t> </w:t>
      </w:r>
      <w:r>
        <w:rPr/>
        <w:t>refer</w:t>
      </w:r>
      <w:r>
        <w:rPr>
          <w:spacing w:val="-2"/>
        </w:rPr>
        <w:t> </w:t>
      </w:r>
      <w:r>
        <w:rPr/>
        <w:t>to</w:t>
      </w:r>
      <w:r>
        <w:rPr>
          <w:spacing w:val="-2"/>
        </w:rPr>
        <w:t> </w:t>
      </w:r>
      <w:r>
        <w:rPr/>
        <w:t>the</w:t>
      </w:r>
      <w:r>
        <w:rPr>
          <w:spacing w:val="-2"/>
        </w:rPr>
        <w:t> </w:t>
      </w:r>
      <w:r>
        <w:rPr/>
        <w:t>equitable</w:t>
      </w:r>
      <w:r>
        <w:rPr>
          <w:spacing w:val="-2"/>
        </w:rPr>
        <w:t> </w:t>
      </w:r>
      <w:r>
        <w:rPr/>
        <w:t>doctrine.</w:t>
      </w:r>
      <w:r>
        <w:rPr>
          <w:spacing w:val="-3"/>
        </w:rPr>
        <w:t> </w:t>
      </w:r>
      <w:r>
        <w:rPr>
          <w:color w:val="005DA1"/>
          <w:u w:val="single" w:color="005DA1"/>
          <w:vertAlign w:val="superscript"/>
        </w:rPr>
        <w:t>576</w:t>
      </w:r>
      <w:r>
        <w:rPr>
          <w:color w:val="005DA1"/>
          <w:spacing w:val="-2"/>
          <w:vertAlign w:val="baseline"/>
        </w:rPr>
        <w:t> </w:t>
      </w:r>
      <w:r>
        <w:rPr>
          <w:vertAlign w:val="baseline"/>
        </w:rPr>
        <w:t>These</w:t>
      </w:r>
      <w:r>
        <w:rPr>
          <w:spacing w:val="-2"/>
          <w:vertAlign w:val="baseline"/>
        </w:rPr>
        <w:t> </w:t>
      </w:r>
      <w:r>
        <w:rPr>
          <w:vertAlign w:val="baseline"/>
        </w:rPr>
        <w:t>differences</w:t>
      </w:r>
      <w:r>
        <w:rPr>
          <w:spacing w:val="-2"/>
          <w:vertAlign w:val="baseline"/>
        </w:rPr>
        <w:t> </w:t>
      </w:r>
      <w:r>
        <w:rPr>
          <w:vertAlign w:val="baseline"/>
        </w:rPr>
        <w:t>are</w:t>
      </w:r>
      <w:r>
        <w:rPr>
          <w:spacing w:val="-2"/>
          <w:vertAlign w:val="baseline"/>
        </w:rPr>
        <w:t> </w:t>
      </w:r>
      <w:r>
        <w:rPr>
          <w:vertAlign w:val="baseline"/>
        </w:rPr>
        <w:t>reflected in the statement of Millett L.J. that “the attempt … to demonstrate that all estoppels … are now </w:t>
      </w:r>
      <w:bookmarkStart w:name="_bookmark976" w:id="978"/>
      <w:bookmarkEnd w:id="978"/>
      <w:r>
        <w:rPr>
          <w:vertAlign w:val="baseline"/>
        </w:rPr>
        <w:t>subsumed</w:t>
      </w:r>
      <w:r>
        <w:rPr>
          <w:spacing w:val="15"/>
          <w:vertAlign w:val="baseline"/>
        </w:rPr>
        <w:t> </w:t>
      </w:r>
      <w:r>
        <w:rPr>
          <w:vertAlign w:val="baseline"/>
        </w:rPr>
        <w:t>in</w:t>
      </w:r>
      <w:r>
        <w:rPr>
          <w:spacing w:val="15"/>
          <w:vertAlign w:val="baseline"/>
        </w:rPr>
        <w:t> </w:t>
      </w:r>
      <w:r>
        <w:rPr>
          <w:vertAlign w:val="baseline"/>
        </w:rPr>
        <w:t>the</w:t>
      </w:r>
      <w:r>
        <w:rPr>
          <w:spacing w:val="15"/>
          <w:vertAlign w:val="baseline"/>
        </w:rPr>
        <w:t> </w:t>
      </w:r>
      <w:r>
        <w:rPr>
          <w:vertAlign w:val="baseline"/>
        </w:rPr>
        <w:t>single</w:t>
      </w:r>
      <w:r>
        <w:rPr>
          <w:spacing w:val="15"/>
          <w:vertAlign w:val="baseline"/>
        </w:rPr>
        <w:t> </w:t>
      </w:r>
      <w:r>
        <w:rPr>
          <w:vertAlign w:val="baseline"/>
        </w:rPr>
        <w:t>and</w:t>
      </w:r>
      <w:r>
        <w:rPr>
          <w:spacing w:val="15"/>
          <w:vertAlign w:val="baseline"/>
        </w:rPr>
        <w:t> </w:t>
      </w:r>
      <w:r>
        <w:rPr>
          <w:vertAlign w:val="baseline"/>
        </w:rPr>
        <w:t>all-embracing</w:t>
      </w:r>
      <w:r>
        <w:rPr>
          <w:spacing w:val="15"/>
          <w:vertAlign w:val="baseline"/>
        </w:rPr>
        <w:t> </w:t>
      </w:r>
      <w:r>
        <w:rPr>
          <w:vertAlign w:val="baseline"/>
        </w:rPr>
        <w:t>estoppel</w:t>
      </w:r>
      <w:r>
        <w:rPr>
          <w:spacing w:val="15"/>
          <w:vertAlign w:val="baseline"/>
        </w:rPr>
        <w:t> </w:t>
      </w:r>
      <w:r>
        <w:rPr>
          <w:vertAlign w:val="baseline"/>
        </w:rPr>
        <w:t>by</w:t>
      </w:r>
      <w:r>
        <w:rPr>
          <w:spacing w:val="15"/>
          <w:vertAlign w:val="baseline"/>
        </w:rPr>
        <w:t> </w:t>
      </w:r>
      <w:r>
        <w:rPr>
          <w:vertAlign w:val="baseline"/>
        </w:rPr>
        <w:t>representation</w:t>
      </w:r>
      <w:r>
        <w:rPr>
          <w:spacing w:val="15"/>
          <w:vertAlign w:val="baseline"/>
        </w:rPr>
        <w:t> </w:t>
      </w:r>
      <w:r>
        <w:rPr>
          <w:vertAlign w:val="baseline"/>
        </w:rPr>
        <w:t>and</w:t>
      </w:r>
      <w:r>
        <w:rPr>
          <w:spacing w:val="15"/>
          <w:vertAlign w:val="baseline"/>
        </w:rPr>
        <w:t> </w:t>
      </w:r>
      <w:r>
        <w:rPr>
          <w:vertAlign w:val="baseline"/>
        </w:rPr>
        <w:t>that</w:t>
      </w:r>
      <w:r>
        <w:rPr>
          <w:spacing w:val="15"/>
          <w:vertAlign w:val="baseline"/>
        </w:rPr>
        <w:t> </w:t>
      </w:r>
      <w:r>
        <w:rPr>
          <w:vertAlign w:val="baseline"/>
        </w:rPr>
        <w:t>they</w:t>
      </w:r>
      <w:r>
        <w:rPr>
          <w:spacing w:val="15"/>
          <w:vertAlign w:val="baseline"/>
        </w:rPr>
        <w:t> </w:t>
      </w:r>
      <w:r>
        <w:rPr>
          <w:vertAlign w:val="baseline"/>
        </w:rPr>
        <w:t>are</w:t>
      </w:r>
      <w:r>
        <w:rPr>
          <w:spacing w:val="15"/>
          <w:vertAlign w:val="baseline"/>
        </w:rPr>
        <w:t> </w:t>
      </w:r>
      <w:r>
        <w:rPr>
          <w:vertAlign w:val="baseline"/>
        </w:rPr>
        <w:t>all</w:t>
      </w:r>
      <w:r>
        <w:rPr>
          <w:spacing w:val="15"/>
          <w:vertAlign w:val="baseline"/>
        </w:rPr>
        <w:t> </w:t>
      </w:r>
      <w:r>
        <w:rPr>
          <w:spacing w:val="-2"/>
          <w:vertAlign w:val="baseline"/>
        </w:rPr>
        <w:t>governed</w:t>
      </w:r>
    </w:p>
    <w:p>
      <w:pPr>
        <w:pStyle w:val="BodyText"/>
        <w:spacing w:line="235" w:lineRule="auto" w:before="117"/>
        <w:ind w:left="164" w:right="167"/>
        <w:jc w:val="both"/>
      </w:pPr>
      <w:bookmarkStart w:name="_bookmark977" w:id="979"/>
      <w:bookmarkEnd w:id="979"/>
      <w:r>
        <w:rPr/>
      </w:r>
      <w:r>
        <w:rPr/>
        <w:t>by the same principle” </w:t>
      </w:r>
      <w:r>
        <w:rPr>
          <w:color w:val="005DA1"/>
          <w:u w:val="single" w:color="005DA1"/>
          <w:vertAlign w:val="superscript"/>
        </w:rPr>
        <w:t>577</w:t>
      </w:r>
      <w:r>
        <w:rPr>
          <w:color w:val="005DA1"/>
          <w:vertAlign w:val="baseline"/>
        </w:rPr>
        <w:t> </w:t>
      </w:r>
      <w:r>
        <w:rPr>
          <w:vertAlign w:val="baseline"/>
        </w:rPr>
        <w:t>has “never won general acceptance.” </w:t>
      </w:r>
      <w:r>
        <w:rPr>
          <w:color w:val="005DA1"/>
          <w:u w:val="single" w:color="005DA1"/>
          <w:vertAlign w:val="superscript"/>
        </w:rPr>
        <w:t>578</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33"/>
          <w:vertAlign w:val="baseline"/>
        </w:rPr>
        <w:t> </w:t>
      </w:r>
      <w:r>
        <w:rPr>
          <w:vertAlign w:val="baseline"/>
        </w:rPr>
        <w:t>The various kinds of </w:t>
      </w:r>
      <w:r>
        <w:rPr>
          <w:vertAlign w:val="baseline"/>
        </w:rPr>
        <w:t>estoppel discussed in this book </w:t>
      </w:r>
      <w:r>
        <w:rPr>
          <w:color w:val="005DA1"/>
          <w:u w:val="single" w:color="005DA1"/>
          <w:vertAlign w:val="superscript"/>
        </w:rPr>
        <w:t>579</w:t>
      </w:r>
      <w:r>
        <w:rPr>
          <w:color w:val="005DA1"/>
          <w:vertAlign w:val="baseline"/>
        </w:rPr>
        <w:t> </w:t>
      </w:r>
      <w:r>
        <w:rPr>
          <w:vertAlign w:val="baseline"/>
        </w:rPr>
        <w:t>are linked only by the broadest of general principles, that a person’s taking </w:t>
      </w:r>
      <w:bookmarkStart w:name="_bookmark978" w:id="980"/>
      <w:bookmarkEnd w:id="980"/>
      <w:r>
        <w:rPr>
          <w:vertAlign w:val="baseline"/>
        </w:rPr>
        <w:t>of</w:t>
      </w:r>
      <w:r>
        <w:rPr>
          <w:vertAlign w:val="baseline"/>
        </w:rPr>
        <w:t> inconsistent positions is in some situations to be discouraged by law: in this sense it can be said </w:t>
      </w:r>
      <w:bookmarkStart w:name="_bookmark979" w:id="981"/>
      <w:bookmarkEnd w:id="981"/>
      <w:r>
        <w:rPr>
          <w:vertAlign w:val="baseline"/>
        </w:rPr>
        <w:t>that</w:t>
      </w:r>
      <w:r>
        <w:rPr>
          <w:vertAlign w:val="baseline"/>
        </w:rPr>
        <w:t> “unconscionability … provides the link between them.” </w:t>
      </w:r>
      <w:r>
        <w:rPr>
          <w:color w:val="005DA1"/>
          <w:u w:val="single" w:color="005DA1"/>
          <w:vertAlign w:val="superscript"/>
        </w:rPr>
        <w:t>580</w:t>
      </w:r>
      <w:r>
        <w:rPr>
          <w:color w:val="005DA1"/>
          <w:vertAlign w:val="baseline"/>
        </w:rPr>
        <w:t> </w:t>
      </w:r>
      <w:r>
        <w:rPr>
          <w:vertAlign w:val="baseline"/>
        </w:rPr>
        <w:t>But they nevertheless have “separate </w:t>
      </w:r>
      <w:bookmarkStart w:name="_bookmark980" w:id="982"/>
      <w:bookmarkEnd w:id="982"/>
      <w:r>
        <w:rPr>
          <w:vertAlign w:val="baseline"/>
        </w:rPr>
        <w:t>requirements</w:t>
      </w:r>
      <w:r>
        <w:rPr>
          <w:vertAlign w:val="baseline"/>
        </w:rPr>
        <w:t> and different terrains of application” </w:t>
      </w:r>
      <w:r>
        <w:rPr>
          <w:color w:val="005DA1"/>
          <w:u w:val="single" w:color="005DA1"/>
          <w:vertAlign w:val="superscript"/>
        </w:rPr>
        <w:t>581</w:t>
      </w:r>
      <w:r>
        <w:rPr>
          <w:color w:val="005DA1"/>
          <w:vertAlign w:val="baseline"/>
        </w:rPr>
        <w:t> </w:t>
      </w:r>
      <w:r>
        <w:rPr>
          <w:vertAlign w:val="baseline"/>
        </w:rPr>
        <w:t>and therefore “cannot be accommodated within</w:t>
      </w:r>
      <w:r>
        <w:rPr>
          <w:spacing w:val="40"/>
          <w:vertAlign w:val="baseline"/>
        </w:rPr>
        <w:t> </w:t>
      </w:r>
      <w:bookmarkStart w:name="_bookmark981" w:id="983"/>
      <w:bookmarkEnd w:id="983"/>
      <w:r>
        <w:rPr>
          <w:vertAlign w:val="baseline"/>
        </w:rPr>
        <w:t>a</w:t>
      </w:r>
      <w:r>
        <w:rPr>
          <w:vertAlign w:val="baseline"/>
        </w:rPr>
        <w:t> single principle.” </w:t>
      </w:r>
      <w:r>
        <w:rPr>
          <w:color w:val="005DA1"/>
          <w:u w:val="single" w:color="005DA1"/>
          <w:vertAlign w:val="superscript"/>
        </w:rPr>
        <w:t>582</w:t>
      </w:r>
      <w:r>
        <w:rPr>
          <w:color w:val="005DA1"/>
          <w:vertAlign w:val="baseline"/>
        </w:rPr>
        <w:t> </w:t>
      </w:r>
      <w:r>
        <w:rPr>
          <w:vertAlign w:val="baseline"/>
        </w:rPr>
        <w:t>An important difference between the two types of estoppel at this stage under discussion </w:t>
      </w:r>
      <w:r>
        <w:rPr>
          <w:color w:val="005DA1"/>
          <w:u w:val="single" w:color="005DA1"/>
          <w:vertAlign w:val="superscript"/>
        </w:rPr>
        <w:t>583</w:t>
      </w:r>
      <w:r>
        <w:rPr>
          <w:color w:val="005DA1"/>
          <w:vertAlign w:val="baseline"/>
        </w:rPr>
        <w:t> </w:t>
      </w:r>
      <w:r>
        <w:rPr>
          <w:vertAlign w:val="baseline"/>
        </w:rPr>
        <w:t>relates to the types of representations required to bring them into operation. For the </w:t>
      </w:r>
      <w:bookmarkStart w:name="_bookmark982" w:id="984"/>
      <w:bookmarkEnd w:id="984"/>
      <w:r>
        <w:rPr>
          <w:vertAlign w:val="baseline"/>
        </w:rPr>
        <w:t>purpose</w:t>
      </w:r>
      <w:r>
        <w:rPr>
          <w:vertAlign w:val="baseline"/>
        </w:rPr>
        <w:t> of true estoppel by representation, the traditional view is that there must be a representation </w:t>
      </w:r>
      <w:bookmarkStart w:name="_bookmark983" w:id="985"/>
      <w:bookmarkEnd w:id="985"/>
      <w:r>
        <w:rPr>
          <w:vertAlign w:val="baseline"/>
        </w:rPr>
        <w:t>of</w:t>
      </w:r>
      <w:r>
        <w:rPr>
          <w:vertAlign w:val="baseline"/>
        </w:rPr>
        <w:t> existing fact. </w:t>
      </w:r>
      <w:r>
        <w:rPr>
          <w:color w:val="005DA1"/>
          <w:u w:val="single" w:color="005DA1"/>
          <w:vertAlign w:val="superscript"/>
        </w:rPr>
        <w:t>584</w:t>
      </w:r>
      <w:r>
        <w:rPr>
          <w:color w:val="005DA1"/>
          <w:vertAlign w:val="baseline"/>
        </w:rPr>
        <w:t> </w:t>
      </w:r>
      <w:r>
        <w:rPr>
          <w:vertAlign w:val="baseline"/>
        </w:rPr>
        <w:t>Recent authority has modified this view to the extent that “it is now </w:t>
      </w:r>
      <w:r>
        <w:rPr>
          <w:color w:val="005DA1"/>
          <w:u w:val="single" w:color="005DA1"/>
          <w:vertAlign w:val="superscript"/>
        </w:rPr>
        <w:t>585</w:t>
      </w:r>
      <w:r>
        <w:rPr>
          <w:color w:val="005DA1"/>
          <w:vertAlign w:val="baseline"/>
        </w:rPr>
        <w:t> </w:t>
      </w:r>
      <w:r>
        <w:rPr>
          <w:vertAlign w:val="baseline"/>
        </w:rPr>
        <w:t>possible for </w:t>
      </w:r>
      <w:bookmarkStart w:name="_bookmark984" w:id="986"/>
      <w:bookmarkEnd w:id="986"/>
      <w:r>
        <w:rPr>
          <w:vertAlign w:val="baseline"/>
        </w:rPr>
        <w:t>an</w:t>
      </w:r>
      <w:r>
        <w:rPr>
          <w:vertAlign w:val="baseline"/>
        </w:rPr>
        <w:t> estoppel by representation to be based on a representation of law” </w:t>
      </w:r>
      <w:r>
        <w:rPr>
          <w:color w:val="005DA1"/>
          <w:u w:val="single" w:color="005DA1"/>
          <w:vertAlign w:val="superscript"/>
        </w:rPr>
        <w:t>586</w:t>
      </w:r>
      <w:r>
        <w:rPr>
          <w:vertAlign w:val="baseline"/>
        </w:rPr>
        <w:t>; but the scope of this possibility is somewhat limited. </w:t>
      </w:r>
      <w:r>
        <w:rPr>
          <w:color w:val="005DA1"/>
          <w:u w:val="single" w:color="005DA1"/>
          <w:vertAlign w:val="superscript"/>
        </w:rPr>
        <w:t>587</w:t>
      </w:r>
      <w:r>
        <w:rPr>
          <w:color w:val="005DA1"/>
          <w:vertAlign w:val="baseline"/>
        </w:rPr>
        <w:t> </w:t>
      </w:r>
      <w:r>
        <w:rPr>
          <w:vertAlign w:val="baseline"/>
        </w:rPr>
        <w:t>The important point to be made here is that this extension of the scope of estoppel by representation is that it does not affect the further rule that such an estoppel cannot arise where the representation is one of intention as to the promisor’s future conduct (or a promise), while this is precisely the type of representation or promise which can bring the equitable </w:t>
      </w:r>
      <w:bookmarkStart w:name="_bookmark985" w:id="987"/>
      <w:bookmarkEnd w:id="987"/>
      <w:r>
        <w:rPr>
          <w:vertAlign w:val="baseline"/>
        </w:rPr>
        <w:t>doctrine</w:t>
      </w:r>
      <w:r>
        <w:rPr>
          <w:spacing w:val="46"/>
          <w:vertAlign w:val="baseline"/>
        </w:rPr>
        <w:t> </w:t>
      </w:r>
      <w:r>
        <w:rPr>
          <w:vertAlign w:val="baseline"/>
        </w:rPr>
        <w:t>into</w:t>
      </w:r>
      <w:r>
        <w:rPr>
          <w:spacing w:val="46"/>
          <w:vertAlign w:val="baseline"/>
        </w:rPr>
        <w:t> </w:t>
      </w:r>
      <w:r>
        <w:rPr>
          <w:vertAlign w:val="baseline"/>
        </w:rPr>
        <w:t>operation.</w:t>
      </w:r>
      <w:r>
        <w:rPr>
          <w:spacing w:val="46"/>
          <w:vertAlign w:val="baseline"/>
        </w:rPr>
        <w:t> </w:t>
      </w:r>
      <w:r>
        <w:rPr>
          <w:vertAlign w:val="baseline"/>
        </w:rPr>
        <w:t>For</w:t>
      </w:r>
      <w:r>
        <w:rPr>
          <w:spacing w:val="46"/>
          <w:vertAlign w:val="baseline"/>
        </w:rPr>
        <w:t> </w:t>
      </w:r>
      <w:r>
        <w:rPr>
          <w:vertAlign w:val="baseline"/>
        </w:rPr>
        <w:t>this</w:t>
      </w:r>
      <w:r>
        <w:rPr>
          <w:spacing w:val="46"/>
          <w:vertAlign w:val="baseline"/>
        </w:rPr>
        <w:t> </w:t>
      </w:r>
      <w:r>
        <w:rPr>
          <w:vertAlign w:val="baseline"/>
        </w:rPr>
        <w:t>reason,</w:t>
      </w:r>
      <w:r>
        <w:rPr>
          <w:spacing w:val="46"/>
          <w:vertAlign w:val="baseline"/>
        </w:rPr>
        <w:t> </w:t>
      </w:r>
      <w:r>
        <w:rPr>
          <w:vertAlign w:val="baseline"/>
        </w:rPr>
        <w:t>and</w:t>
      </w:r>
      <w:r>
        <w:rPr>
          <w:spacing w:val="46"/>
          <w:vertAlign w:val="baseline"/>
        </w:rPr>
        <w:t> </w:t>
      </w:r>
      <w:r>
        <w:rPr>
          <w:vertAlign w:val="baseline"/>
        </w:rPr>
        <w:t>because</w:t>
      </w:r>
      <w:r>
        <w:rPr>
          <w:spacing w:val="46"/>
          <w:vertAlign w:val="baseline"/>
        </w:rPr>
        <w:t> </w:t>
      </w:r>
      <w:r>
        <w:rPr>
          <w:vertAlign w:val="baseline"/>
        </w:rPr>
        <w:t>the</w:t>
      </w:r>
      <w:r>
        <w:rPr>
          <w:spacing w:val="46"/>
          <w:vertAlign w:val="baseline"/>
        </w:rPr>
        <w:t> </w:t>
      </w:r>
      <w:r>
        <w:rPr>
          <w:vertAlign w:val="baseline"/>
        </w:rPr>
        <w:t>doctrine</w:t>
      </w:r>
      <w:r>
        <w:rPr>
          <w:spacing w:val="46"/>
          <w:vertAlign w:val="baseline"/>
        </w:rPr>
        <w:t> </w:t>
      </w:r>
      <w:r>
        <w:rPr>
          <w:vertAlign w:val="baseline"/>
        </w:rPr>
        <w:t>was</w:t>
      </w:r>
      <w:r>
        <w:rPr>
          <w:spacing w:val="46"/>
          <w:vertAlign w:val="baseline"/>
        </w:rPr>
        <w:t> </w:t>
      </w:r>
      <w:r>
        <w:rPr>
          <w:vertAlign w:val="baseline"/>
        </w:rPr>
        <w:t>developed</w:t>
      </w:r>
      <w:r>
        <w:rPr>
          <w:spacing w:val="46"/>
          <w:vertAlign w:val="baseline"/>
        </w:rPr>
        <w:t> </w:t>
      </w:r>
      <w:r>
        <w:rPr>
          <w:vertAlign w:val="baseline"/>
        </w:rPr>
        <w:t>in</w:t>
      </w:r>
      <w:r>
        <w:rPr>
          <w:spacing w:val="46"/>
          <w:vertAlign w:val="baseline"/>
        </w:rPr>
        <w:t> </w:t>
      </w:r>
      <w:r>
        <w:rPr>
          <w:vertAlign w:val="baseline"/>
        </w:rPr>
        <w:t>equity,</w:t>
      </w:r>
      <w:r>
        <w:rPr>
          <w:spacing w:val="46"/>
          <w:vertAlign w:val="baseline"/>
        </w:rPr>
        <w:t> </w:t>
      </w:r>
      <w:r>
        <w:rPr>
          <w:spacing w:val="-5"/>
          <w:vertAlign w:val="baseline"/>
        </w:rPr>
        <w:t>the</w:t>
      </w:r>
    </w:p>
    <w:p>
      <w:pPr>
        <w:pStyle w:val="BodyText"/>
        <w:spacing w:before="111"/>
        <w:ind w:left="165"/>
        <w:jc w:val="both"/>
      </w:pPr>
      <w:r>
        <w:rPr/>
        <w:t>doctrine</w:t>
      </w:r>
      <w:r>
        <w:rPr>
          <w:spacing w:val="28"/>
        </w:rPr>
        <w:t> </w:t>
      </w:r>
      <w:r>
        <w:rPr/>
        <w:t>is</w:t>
      </w:r>
      <w:r>
        <w:rPr>
          <w:spacing w:val="29"/>
        </w:rPr>
        <w:t> </w:t>
      </w:r>
      <w:r>
        <w:rPr/>
        <w:t>sometimes</w:t>
      </w:r>
      <w:r>
        <w:rPr>
          <w:spacing w:val="29"/>
        </w:rPr>
        <w:t> </w:t>
      </w:r>
      <w:r>
        <w:rPr/>
        <w:t>called</w:t>
      </w:r>
      <w:r>
        <w:rPr>
          <w:spacing w:val="29"/>
        </w:rPr>
        <w:t> </w:t>
      </w:r>
      <w:r>
        <w:rPr/>
        <w:t>“promissory”</w:t>
      </w:r>
      <w:r>
        <w:rPr>
          <w:spacing w:val="29"/>
        </w:rPr>
        <w:t> </w:t>
      </w:r>
      <w:r>
        <w:rPr/>
        <w:t>or</w:t>
      </w:r>
      <w:r>
        <w:rPr>
          <w:spacing w:val="29"/>
        </w:rPr>
        <w:t> </w:t>
      </w:r>
      <w:r>
        <w:rPr/>
        <w:t>“equitable”</w:t>
      </w:r>
      <w:r>
        <w:rPr>
          <w:spacing w:val="29"/>
        </w:rPr>
        <w:t> </w:t>
      </w:r>
      <w:r>
        <w:rPr/>
        <w:t>estoppel.</w:t>
      </w:r>
      <w:r>
        <w:rPr>
          <w:spacing w:val="27"/>
        </w:rPr>
        <w:t> </w:t>
      </w:r>
      <w:r>
        <w:rPr>
          <w:color w:val="005DA1"/>
          <w:u w:val="single" w:color="005DA1"/>
          <w:vertAlign w:val="superscript"/>
        </w:rPr>
        <w:t>588</w:t>
      </w:r>
      <w:r>
        <w:rPr>
          <w:color w:val="005DA1"/>
          <w:spacing w:val="72"/>
          <w:vertAlign w:val="baseline"/>
        </w:rPr>
        <w:t>  </w:t>
      </w:r>
      <w:r>
        <w:rPr>
          <w:color w:val="005DA1"/>
          <w:spacing w:val="-19"/>
          <w:position w:val="-2"/>
          <w:vertAlign w:val="baseline"/>
        </w:rPr>
        <w:drawing>
          <wp:inline distT="0" distB="0" distL="0" distR="0">
            <wp:extent cx="107988" cy="107988"/>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hAnsi="Times New Roman"/>
          <w:color w:val="005DA1"/>
          <w:spacing w:val="54"/>
          <w:vertAlign w:val="baseline"/>
        </w:rPr>
        <w:t> </w:t>
      </w:r>
      <w:r>
        <w:rPr>
          <w:vertAlign w:val="baseline"/>
        </w:rPr>
        <w:t>The</w:t>
      </w:r>
      <w:r>
        <w:rPr>
          <w:spacing w:val="29"/>
          <w:vertAlign w:val="baseline"/>
        </w:rPr>
        <w:t> </w:t>
      </w:r>
      <w:r>
        <w:rPr>
          <w:vertAlign w:val="baseline"/>
        </w:rPr>
        <w:t>latter</w:t>
      </w:r>
      <w:r>
        <w:rPr>
          <w:spacing w:val="29"/>
          <w:vertAlign w:val="baseline"/>
        </w:rPr>
        <w:t> </w:t>
      </w:r>
      <w:r>
        <w:rPr>
          <w:vertAlign w:val="baseline"/>
        </w:rPr>
        <w:t>description</w:t>
      </w:r>
      <w:r>
        <w:rPr>
          <w:spacing w:val="29"/>
          <w:vertAlign w:val="baseline"/>
        </w:rPr>
        <w:t> </w:t>
      </w:r>
      <w:r>
        <w:rPr>
          <w:spacing w:val="-5"/>
          <w:vertAlign w:val="baseline"/>
        </w:rPr>
        <w:t>is,</w:t>
      </w:r>
    </w:p>
    <w:p>
      <w:pPr>
        <w:pStyle w:val="BodyText"/>
        <w:spacing w:after="0"/>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bookmarkStart w:name="_bookmark986" w:id="988"/>
      <w:bookmarkEnd w:id="988"/>
      <w:r>
        <w:rPr/>
      </w:r>
      <w:r>
        <w:rPr/>
        <w:t>however, misleading as the requirement of a representation of existing fact for the purposes of estoppel by representation was recognised in equity </w:t>
      </w:r>
      <w:r>
        <w:rPr>
          <w:color w:val="005DA1"/>
          <w:u w:val="single" w:color="005DA1"/>
          <w:vertAlign w:val="superscript"/>
        </w:rPr>
        <w:t>589</w:t>
      </w:r>
      <w:r>
        <w:rPr>
          <w:color w:val="005DA1"/>
          <w:vertAlign w:val="baseline"/>
        </w:rPr>
        <w:t> </w:t>
      </w:r>
      <w:r>
        <w:rPr>
          <w:vertAlign w:val="baseline"/>
        </w:rPr>
        <w:t>no less than at common law. </w:t>
      </w:r>
      <w:r>
        <w:rPr>
          <w:color w:val="005DA1"/>
          <w:u w:val="single" w:color="005DA1"/>
          <w:vertAlign w:val="superscript"/>
        </w:rPr>
        <w:t>590</w:t>
      </w:r>
      <w:r>
        <w:rPr>
          <w:color w:val="005DA1"/>
          <w:vertAlign w:val="baseline"/>
        </w:rPr>
        <w:t> </w:t>
      </w:r>
      <w:r>
        <w:rPr>
          <w:vertAlign w:val="baseline"/>
        </w:rPr>
        <w:t>There are, moreover, other significant differences between the two doctrines. The first such difference relates </w:t>
      </w:r>
      <w:r>
        <w:rPr>
          <w:vertAlign w:val="baseline"/>
        </w:rPr>
        <w:t>to </w:t>
      </w:r>
      <w:bookmarkStart w:name="_bookmark987" w:id="989"/>
      <w:bookmarkEnd w:id="989"/>
      <w:r>
        <w:rPr>
          <w:vertAlign w:val="baseline"/>
        </w:rPr>
        <w:t>the</w:t>
      </w:r>
      <w:r>
        <w:rPr>
          <w:vertAlign w:val="baseline"/>
        </w:rPr>
        <w:t> requirements of the two doctrines; the equitable doctrine can operate even though there is no</w:t>
      </w:r>
      <w:r>
        <w:rPr>
          <w:spacing w:val="40"/>
          <w:vertAlign w:val="baseline"/>
        </w:rPr>
        <w:t> </w:t>
      </w:r>
      <w:bookmarkStart w:name="_bookmark988" w:id="990"/>
      <w:bookmarkEnd w:id="990"/>
      <w:r>
        <w:rPr>
          <w:vertAlign w:val="baseline"/>
        </w:rPr>
        <w:t>such</w:t>
      </w:r>
      <w:r>
        <w:rPr>
          <w:vertAlign w:val="baseline"/>
        </w:rPr>
        <w:t> “detriment” as is required to bring the doctrine of estoppel by representation into play. </w:t>
      </w:r>
      <w:r>
        <w:rPr>
          <w:color w:val="005DA1"/>
          <w:u w:val="single" w:color="005DA1"/>
          <w:vertAlign w:val="superscript"/>
        </w:rPr>
        <w:t>591</w:t>
      </w:r>
      <w:r>
        <w:rPr>
          <w:color w:val="005DA1"/>
          <w:vertAlign w:val="baseline"/>
        </w:rPr>
        <w:t> </w:t>
      </w:r>
      <w:r>
        <w:rPr>
          <w:vertAlign w:val="baseline"/>
        </w:rPr>
        <w:t>A second relates to their effects: in general, the equitable doctrine only suspends rights, </w:t>
      </w:r>
      <w:r>
        <w:rPr>
          <w:color w:val="005DA1"/>
          <w:u w:val="single" w:color="005DA1"/>
          <w:vertAlign w:val="superscript"/>
        </w:rPr>
        <w:t>592</w:t>
      </w:r>
      <w:r>
        <w:rPr>
          <w:color w:val="005DA1"/>
          <w:vertAlign w:val="baseline"/>
        </w:rPr>
        <w:t> </w:t>
      </w:r>
      <w:r>
        <w:rPr>
          <w:vertAlign w:val="baseline"/>
        </w:rPr>
        <w:t>while estoppel by representation, where it operates, has a permanent effect. And thirdly there is a</w:t>
      </w:r>
      <w:r>
        <w:rPr>
          <w:spacing w:val="40"/>
          <w:vertAlign w:val="baseline"/>
        </w:rPr>
        <w:t> </w:t>
      </w:r>
      <w:r>
        <w:rPr>
          <w:vertAlign w:val="baseline"/>
        </w:rPr>
        <w:t>difference in the legal nature of the two doctrines. Estoppel by representation prevents a party from </w:t>
      </w:r>
      <w:bookmarkStart w:name="_bookmark989" w:id="991"/>
      <w:bookmarkEnd w:id="991"/>
      <w:r>
        <w:rPr>
          <w:vertAlign w:val="baseline"/>
        </w:rPr>
        <w:t>establishing</w:t>
      </w:r>
      <w:r>
        <w:rPr>
          <w:vertAlign w:val="baseline"/>
        </w:rPr>
        <w:t> </w:t>
      </w:r>
      <w:r>
        <w:rPr>
          <w:rFonts w:ascii="Arial" w:hAnsi="Arial"/>
          <w:i/>
          <w:vertAlign w:val="baseline"/>
        </w:rPr>
        <w:t>facts</w:t>
      </w:r>
      <w:r>
        <w:rPr>
          <w:vertAlign w:val="baseline"/>
        </w:rPr>
        <w:t>: i.e. from alleging that the facts represented by him are untrue, even where that is actually the case. </w:t>
      </w:r>
      <w:r>
        <w:rPr>
          <w:color w:val="005DA1"/>
          <w:u w:val="single" w:color="005DA1"/>
          <w:vertAlign w:val="superscript"/>
        </w:rPr>
        <w:t>593</w:t>
      </w:r>
      <w:r>
        <w:rPr>
          <w:color w:val="005DA1"/>
          <w:vertAlign w:val="baseline"/>
        </w:rPr>
        <w:t> </w:t>
      </w:r>
      <w:r>
        <w:rPr>
          <w:vertAlign w:val="baseline"/>
        </w:rPr>
        <w:t>The equitable doctrine, by contrast, has nothing to do with proof of facts; it is </w:t>
      </w:r>
      <w:bookmarkStart w:name="_bookmark990" w:id="992"/>
      <w:bookmarkEnd w:id="992"/>
      <w:r>
        <w:rPr>
          <w:vertAlign w:val="baseline"/>
        </w:rPr>
        <w:t>concerned</w:t>
      </w:r>
      <w:r>
        <w:rPr>
          <w:vertAlign w:val="baseline"/>
        </w:rPr>
        <w:t> with the </w:t>
      </w:r>
      <w:r>
        <w:rPr>
          <w:rFonts w:ascii="Arial" w:hAnsi="Arial"/>
          <w:i/>
          <w:vertAlign w:val="baseline"/>
        </w:rPr>
        <w:t>legal effects </w:t>
      </w:r>
      <w:r>
        <w:rPr>
          <w:vertAlign w:val="baseline"/>
        </w:rPr>
        <w:t>of a promise. There was, for example, no dispute about facts in </w:t>
      </w:r>
      <w:r>
        <w:rPr>
          <w:rFonts w:ascii="Arial" w:hAnsi="Arial"/>
          <w:i/>
          <w:vertAlign w:val="baseline"/>
        </w:rPr>
        <w:t>Hughes v Metropolitan Ry </w:t>
      </w:r>
      <w:r>
        <w:rPr>
          <w:color w:val="005DA1"/>
          <w:u w:val="single" w:color="005DA1"/>
          <w:vertAlign w:val="superscript"/>
        </w:rPr>
        <w:t>594</w:t>
      </w:r>
      <w:r>
        <w:rPr>
          <w:vertAlign w:val="baseline"/>
        </w:rPr>
        <w:t>: the issue was not whether the repairs had been done or whether the landlord had promised or represented that he would not forfeit the lease; it was simply whether he</w:t>
      </w:r>
      <w:r>
        <w:rPr>
          <w:spacing w:val="40"/>
          <w:vertAlign w:val="baseline"/>
        </w:rPr>
        <w:t> </w:t>
      </w:r>
      <w:r>
        <w:rPr>
          <w:vertAlign w:val="baseline"/>
        </w:rPr>
        <w:t>was (to some extent, at least) bound by that undoubted promise.</w:t>
      </w:r>
    </w:p>
    <w:p>
      <w:pPr>
        <w:pStyle w:val="BodyText"/>
      </w:pPr>
    </w:p>
    <w:p>
      <w:pPr>
        <w:pStyle w:val="BodyText"/>
        <w:spacing w:before="33"/>
      </w:pPr>
    </w:p>
    <w:p>
      <w:pPr>
        <w:spacing w:before="0"/>
        <w:ind w:left="165" w:right="0" w:firstLine="0"/>
        <w:jc w:val="both"/>
        <w:rPr>
          <w:rFonts w:ascii="Arial"/>
          <w:b/>
          <w:sz w:val="18"/>
        </w:rPr>
      </w:pPr>
      <w:r>
        <w:rPr>
          <w:rFonts w:ascii="Arial"/>
          <w:b/>
          <w:sz w:val="18"/>
        </w:rPr>
        <w:t>Analogy with </w:t>
      </w:r>
      <w:r>
        <w:rPr>
          <w:rFonts w:ascii="Arial"/>
          <w:b/>
          <w:spacing w:val="-2"/>
          <w:sz w:val="18"/>
        </w:rPr>
        <w:t>waiver</w:t>
      </w:r>
    </w:p>
    <w:p>
      <w:pPr>
        <w:pStyle w:val="BodyText"/>
        <w:spacing w:before="41"/>
        <w:rPr>
          <w:rFonts w:ascii="Arial"/>
          <w:b/>
          <w:sz w:val="18"/>
        </w:rPr>
      </w:pPr>
    </w:p>
    <w:p>
      <w:pPr>
        <w:pStyle w:val="Heading2"/>
      </w:pPr>
      <w:r>
        <w:rPr/>
        <w:t>4-</w:t>
      </w:r>
      <w:r>
        <w:rPr>
          <w:spacing w:val="-5"/>
        </w:rPr>
        <w:t>105</w:t>
      </w:r>
    </w:p>
    <w:p>
      <w:pPr>
        <w:pStyle w:val="BodyText"/>
        <w:spacing w:line="235" w:lineRule="auto" w:before="203"/>
        <w:ind w:left="165" w:right="167"/>
        <w:jc w:val="both"/>
      </w:pPr>
      <w:r>
        <w:rPr/>
        <w:t>It is submitted that the characteristics of the equitable doctrine, described in para.4-104, </w:t>
      </w:r>
      <w:r>
        <w:rPr/>
        <w:t>above, indicate</w:t>
      </w:r>
      <w:r>
        <w:rPr>
          <w:spacing w:val="-1"/>
        </w:rPr>
        <w:t> </w:t>
      </w:r>
      <w:r>
        <w:rPr/>
        <w:t>that</w:t>
      </w:r>
      <w:r>
        <w:rPr>
          <w:spacing w:val="-1"/>
        </w:rPr>
        <w:t> </w:t>
      </w:r>
      <w:r>
        <w:rPr/>
        <w:t>the</w:t>
      </w:r>
      <w:r>
        <w:rPr>
          <w:spacing w:val="-1"/>
        </w:rPr>
        <w:t> </w:t>
      </w:r>
      <w:r>
        <w:rPr/>
        <w:t>equitable</w:t>
      </w:r>
      <w:r>
        <w:rPr>
          <w:spacing w:val="-1"/>
        </w:rPr>
        <w:t> </w:t>
      </w:r>
      <w:r>
        <w:rPr/>
        <w:t>doctrine</w:t>
      </w:r>
      <w:r>
        <w:rPr>
          <w:spacing w:val="-1"/>
        </w:rPr>
        <w:t> </w:t>
      </w:r>
      <w:r>
        <w:rPr/>
        <w:t>is</w:t>
      </w:r>
      <w:r>
        <w:rPr>
          <w:spacing w:val="-1"/>
        </w:rPr>
        <w:t> </w:t>
      </w:r>
      <w:r>
        <w:rPr/>
        <w:t>not</w:t>
      </w:r>
      <w:r>
        <w:rPr>
          <w:spacing w:val="-1"/>
        </w:rPr>
        <w:t> </w:t>
      </w:r>
      <w:r>
        <w:rPr/>
        <w:t>truly</w:t>
      </w:r>
      <w:r>
        <w:rPr>
          <w:spacing w:val="-1"/>
        </w:rPr>
        <w:t> </w:t>
      </w:r>
      <w:r>
        <w:rPr/>
        <w:t>analogous</w:t>
      </w:r>
      <w:r>
        <w:rPr>
          <w:spacing w:val="-1"/>
        </w:rPr>
        <w:t> </w:t>
      </w:r>
      <w:r>
        <w:rPr/>
        <w:t>to</w:t>
      </w:r>
      <w:r>
        <w:rPr>
          <w:spacing w:val="-1"/>
        </w:rPr>
        <w:t> </w:t>
      </w:r>
      <w:r>
        <w:rPr/>
        <w:t>estoppel</w:t>
      </w:r>
      <w:r>
        <w:rPr>
          <w:spacing w:val="-1"/>
        </w:rPr>
        <w:t> </w:t>
      </w:r>
      <w:r>
        <w:rPr/>
        <w:t>by</w:t>
      </w:r>
      <w:r>
        <w:rPr>
          <w:spacing w:val="-1"/>
        </w:rPr>
        <w:t> </w:t>
      </w:r>
      <w:r>
        <w:rPr/>
        <w:t>representation.</w:t>
      </w:r>
      <w:r>
        <w:rPr>
          <w:spacing w:val="-1"/>
        </w:rPr>
        <w:t> </w:t>
      </w:r>
      <w:r>
        <w:rPr/>
        <w:t>As</w:t>
      </w:r>
      <w:r>
        <w:rPr>
          <w:spacing w:val="-1"/>
        </w:rPr>
        <w:t> </w:t>
      </w:r>
      <w:r>
        <w:rPr/>
        <w:t>Denning</w:t>
      </w:r>
      <w:r>
        <w:rPr>
          <w:spacing w:val="-1"/>
        </w:rPr>
        <w:t> </w:t>
      </w:r>
      <w:r>
        <w:rPr/>
        <w:t>J. </w:t>
      </w:r>
      <w:bookmarkStart w:name="_bookmark991" w:id="993"/>
      <w:bookmarkEnd w:id="993"/>
      <w:r>
        <w:rPr/>
        <w:t>(a</w:t>
      </w:r>
      <w:r>
        <w:rPr/>
        <w:t> leading proponent of the modern equitable doctrine) has pointed out, the authorities which support </w:t>
      </w:r>
      <w:bookmarkStart w:name="_bookmark992" w:id="994"/>
      <w:bookmarkEnd w:id="994"/>
      <w:r>
        <w:rPr/>
        <w:t>that</w:t>
      </w:r>
      <w:r>
        <w:rPr/>
        <w:t> doctrine, “although they are said to be cases of estoppel, are not really such”. </w:t>
      </w:r>
      <w:r>
        <w:rPr>
          <w:color w:val="005DA1"/>
          <w:u w:val="single" w:color="005DA1"/>
          <w:vertAlign w:val="superscript"/>
        </w:rPr>
        <w:t>595</w:t>
      </w:r>
      <w:r>
        <w:rPr>
          <w:color w:val="005DA1"/>
          <w:vertAlign w:val="baseline"/>
        </w:rPr>
        <w:t> </w:t>
      </w:r>
      <w:r>
        <w:rPr>
          <w:vertAlign w:val="baseline"/>
        </w:rPr>
        <w:t>The doctrine</w:t>
      </w:r>
      <w:r>
        <w:rPr>
          <w:spacing w:val="40"/>
          <w:vertAlign w:val="baseline"/>
        </w:rPr>
        <w:t> </w:t>
      </w:r>
      <w:r>
        <w:rPr>
          <w:vertAlign w:val="baseline"/>
        </w:rPr>
        <w:t>has closer affinities with the common law rules of waiver, in the sense of forbearance </w:t>
      </w:r>
      <w:r>
        <w:rPr>
          <w:color w:val="005DA1"/>
          <w:u w:val="single" w:color="005DA1"/>
          <w:vertAlign w:val="superscript"/>
        </w:rPr>
        <w:t>596</w:t>
      </w:r>
      <w:r>
        <w:rPr>
          <w:vertAlign w:val="baseline"/>
        </w:rPr>
        <w:t>: both are based on promises, or representations of intention; both are suspensive (rather than extinctive) in nature and both are concerned with the legal effects of promises rather than with proof of disputed </w:t>
      </w:r>
      <w:bookmarkStart w:name="_bookmark993" w:id="995"/>
      <w:bookmarkEnd w:id="995"/>
      <w:r>
        <w:rPr>
          <w:vertAlign w:val="baseline"/>
        </w:rPr>
        <w:t>facts.</w:t>
      </w:r>
      <w:r>
        <w:rPr>
          <w:vertAlign w:val="baseline"/>
        </w:rPr>
        <w:t> The main difference between them is that the equitable doctrine avoids the difficulties encountered at common law in distinguishing between a variation and a forbearance. </w:t>
      </w:r>
      <w:r>
        <w:rPr>
          <w:color w:val="005DA1"/>
          <w:u w:val="single" w:color="005DA1"/>
          <w:vertAlign w:val="superscript"/>
        </w:rPr>
        <w:t>597</w:t>
      </w:r>
    </w:p>
    <w:p>
      <w:pPr>
        <w:pStyle w:val="BodyText"/>
        <w:spacing w:before="206"/>
      </w:pPr>
    </w:p>
    <w:p>
      <w:pPr>
        <w:pStyle w:val="BodyText"/>
        <w:spacing w:line="235" w:lineRule="auto" w:before="1"/>
        <w:ind w:left="165" w:right="167"/>
        <w:jc w:val="both"/>
      </w:pPr>
      <w:r>
        <w:rPr>
          <w:position w:val="-2"/>
        </w:rPr>
        <w:drawing>
          <wp:inline distT="0" distB="0" distL="0" distR="0">
            <wp:extent cx="107988" cy="107988"/>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There is now much judicial support for these submissions. Thus Lord Pearson in </w:t>
      </w:r>
      <w:r>
        <w:rPr>
          <w:rFonts w:ascii="Arial" w:hAnsi="Arial"/>
          <w:i/>
        </w:rPr>
        <w:t>Woodhouse A.C. Israel Cocoa Ltd v Nigerian Produce Marketing Co Ltd </w:t>
      </w:r>
      <w:r>
        <w:rPr/>
        <w:t>said that “promissory estoppel” was </w:t>
      </w:r>
      <w:r>
        <w:rPr/>
        <w:t>“far </w:t>
      </w:r>
      <w:bookmarkStart w:name="_bookmark994" w:id="996"/>
      <w:bookmarkEnd w:id="996"/>
      <w:r>
        <w:rPr/>
        <w:t>removed</w:t>
      </w:r>
      <w:r>
        <w:rPr/>
        <w:t> from the familiar estoppel by representation of fact and seems, at any rate in a case of this </w:t>
      </w:r>
      <w:bookmarkStart w:name="_bookmark995" w:id="997"/>
      <w:bookmarkEnd w:id="997"/>
      <w:r>
        <w:rPr/>
        <w:t>kind,</w:t>
      </w:r>
      <w:r>
        <w:rPr/>
        <w:t> to be more like a waiver of contractual rights.” </w:t>
      </w:r>
      <w:r>
        <w:rPr>
          <w:color w:val="005DA1"/>
          <w:u w:val="single" w:color="005DA1"/>
          <w:vertAlign w:val="superscript"/>
        </w:rPr>
        <w:t>598</w:t>
      </w:r>
      <w:r>
        <w:rPr>
          <w:color w:val="005DA1"/>
          <w:vertAlign w:val="baseline"/>
        </w:rPr>
        <w:t> </w:t>
      </w:r>
      <w:r>
        <w:rPr>
          <w:vertAlign w:val="baseline"/>
        </w:rPr>
        <w:t>In a number of later cases, “waiver” and </w:t>
      </w:r>
      <w:bookmarkStart w:name="_bookmark996" w:id="998"/>
      <w:bookmarkEnd w:id="998"/>
      <w:r>
        <w:rPr>
          <w:vertAlign w:val="baseline"/>
        </w:rPr>
        <w:t>“promissory</w:t>
      </w:r>
      <w:r>
        <w:rPr>
          <w:spacing w:val="4"/>
          <w:vertAlign w:val="baseline"/>
        </w:rPr>
        <w:t> </w:t>
      </w:r>
      <w:r>
        <w:rPr>
          <w:vertAlign w:val="baseline"/>
        </w:rPr>
        <w:t>estoppel”</w:t>
      </w:r>
      <w:r>
        <w:rPr>
          <w:spacing w:val="5"/>
          <w:vertAlign w:val="baseline"/>
        </w:rPr>
        <w:t> </w:t>
      </w:r>
      <w:r>
        <w:rPr>
          <w:vertAlign w:val="baseline"/>
        </w:rPr>
        <w:t>(or</w:t>
      </w:r>
      <w:r>
        <w:rPr>
          <w:spacing w:val="5"/>
          <w:vertAlign w:val="baseline"/>
        </w:rPr>
        <w:t> </w:t>
      </w:r>
      <w:r>
        <w:rPr>
          <w:vertAlign w:val="baseline"/>
        </w:rPr>
        <w:t>the</w:t>
      </w:r>
      <w:r>
        <w:rPr>
          <w:spacing w:val="5"/>
          <w:vertAlign w:val="baseline"/>
        </w:rPr>
        <w:t> </w:t>
      </w:r>
      <w:r>
        <w:rPr>
          <w:vertAlign w:val="baseline"/>
        </w:rPr>
        <w:t>rule</w:t>
      </w:r>
      <w:r>
        <w:rPr>
          <w:spacing w:val="4"/>
          <w:vertAlign w:val="baseline"/>
        </w:rPr>
        <w:t> </w:t>
      </w:r>
      <w:r>
        <w:rPr>
          <w:vertAlign w:val="baseline"/>
        </w:rPr>
        <w:t>in</w:t>
      </w:r>
      <w:r>
        <w:rPr>
          <w:spacing w:val="5"/>
          <w:vertAlign w:val="baseline"/>
        </w:rPr>
        <w:t> </w:t>
      </w:r>
      <w:r>
        <w:rPr>
          <w:rFonts w:ascii="Arial" w:hAnsi="Arial"/>
          <w:i/>
          <w:vertAlign w:val="baseline"/>
        </w:rPr>
        <w:t>Hughes</w:t>
      </w:r>
      <w:r>
        <w:rPr>
          <w:rFonts w:ascii="Arial" w:hAnsi="Arial"/>
          <w:i/>
          <w:spacing w:val="5"/>
          <w:vertAlign w:val="baseline"/>
        </w:rPr>
        <w:t> </w:t>
      </w:r>
      <w:r>
        <w:rPr>
          <w:rFonts w:ascii="Arial" w:hAnsi="Arial"/>
          <w:i/>
          <w:vertAlign w:val="baseline"/>
        </w:rPr>
        <w:t>v</w:t>
      </w:r>
      <w:r>
        <w:rPr>
          <w:rFonts w:ascii="Arial" w:hAnsi="Arial"/>
          <w:i/>
          <w:spacing w:val="5"/>
          <w:vertAlign w:val="baseline"/>
        </w:rPr>
        <w:t> </w:t>
      </w:r>
      <w:r>
        <w:rPr>
          <w:rFonts w:ascii="Arial" w:hAnsi="Arial"/>
          <w:i/>
          <w:vertAlign w:val="baseline"/>
        </w:rPr>
        <w:t>Metropolitan</w:t>
      </w:r>
      <w:r>
        <w:rPr>
          <w:rFonts w:ascii="Arial" w:hAnsi="Arial"/>
          <w:i/>
          <w:spacing w:val="4"/>
          <w:vertAlign w:val="baseline"/>
        </w:rPr>
        <w:t> </w:t>
      </w:r>
      <w:r>
        <w:rPr>
          <w:rFonts w:ascii="Arial" w:hAnsi="Arial"/>
          <w:i/>
          <w:vertAlign w:val="baseline"/>
        </w:rPr>
        <w:t>Ry</w:t>
      </w:r>
      <w:r>
        <w:rPr>
          <w:vertAlign w:val="baseline"/>
        </w:rPr>
        <w:t>)</w:t>
      </w:r>
      <w:r>
        <w:rPr>
          <w:spacing w:val="5"/>
          <w:vertAlign w:val="baseline"/>
        </w:rPr>
        <w:t> </w:t>
      </w:r>
      <w:r>
        <w:rPr>
          <w:color w:val="005DA1"/>
          <w:u w:val="single" w:color="005DA1"/>
          <w:vertAlign w:val="superscript"/>
        </w:rPr>
        <w:t>599</w:t>
      </w:r>
      <w:r>
        <w:rPr>
          <w:color w:val="005DA1"/>
          <w:spacing w:val="5"/>
          <w:vertAlign w:val="baseline"/>
        </w:rPr>
        <w:t> </w:t>
      </w:r>
      <w:r>
        <w:rPr>
          <w:vertAlign w:val="baseline"/>
        </w:rPr>
        <w:t>are</w:t>
      </w:r>
      <w:r>
        <w:rPr>
          <w:spacing w:val="5"/>
          <w:vertAlign w:val="baseline"/>
        </w:rPr>
        <w:t> </w:t>
      </w:r>
      <w:r>
        <w:rPr>
          <w:vertAlign w:val="baseline"/>
        </w:rPr>
        <w:t>treated</w:t>
      </w:r>
      <w:r>
        <w:rPr>
          <w:spacing w:val="5"/>
          <w:vertAlign w:val="baseline"/>
        </w:rPr>
        <w:t> </w:t>
      </w:r>
      <w:r>
        <w:rPr>
          <w:vertAlign w:val="baseline"/>
        </w:rPr>
        <w:t>as</w:t>
      </w:r>
      <w:r>
        <w:rPr>
          <w:spacing w:val="4"/>
          <w:vertAlign w:val="baseline"/>
        </w:rPr>
        <w:t> </w:t>
      </w:r>
      <w:r>
        <w:rPr>
          <w:vertAlign w:val="baseline"/>
        </w:rPr>
        <w:t>substantially</w:t>
      </w:r>
      <w:r>
        <w:rPr>
          <w:spacing w:val="5"/>
          <w:vertAlign w:val="baseline"/>
        </w:rPr>
        <w:t> </w:t>
      </w:r>
      <w:r>
        <w:rPr>
          <w:spacing w:val="-2"/>
          <w:vertAlign w:val="baseline"/>
        </w:rPr>
        <w:t>similar</w:t>
      </w:r>
    </w:p>
    <w:p>
      <w:pPr>
        <w:pStyle w:val="BodyText"/>
        <w:spacing w:line="235" w:lineRule="auto" w:before="118"/>
        <w:ind w:left="165" w:right="167"/>
        <w:jc w:val="both"/>
      </w:pPr>
      <w:bookmarkStart w:name="_bookmark997" w:id="999"/>
      <w:bookmarkEnd w:id="999"/>
      <w:r>
        <w:rPr/>
      </w:r>
      <w:r>
        <w:rPr/>
        <w:t>doctrines, </w:t>
      </w:r>
      <w:r>
        <w:rPr>
          <w:color w:val="005DA1"/>
          <w:u w:val="single" w:color="005DA1"/>
          <w:vertAlign w:val="superscript"/>
        </w:rPr>
        <w:t>600</w:t>
      </w:r>
      <w:r>
        <w:rPr>
          <w:color w:val="005DA1"/>
          <w:spacing w:val="80"/>
          <w:w w:val="150"/>
          <w:vertAlign w:val="baseline"/>
        </w:rPr>
        <w:t> </w:t>
      </w:r>
      <w:r>
        <w:rPr>
          <w:color w:val="005DA1"/>
          <w:spacing w:val="-16"/>
          <w:position w:val="-2"/>
          <w:vertAlign w:val="baseline"/>
        </w:rPr>
        <w:drawing>
          <wp:inline distT="0" distB="0" distL="0" distR="0">
            <wp:extent cx="107988" cy="107988"/>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29"/>
          <w:vertAlign w:val="baseline"/>
        </w:rPr>
        <w:t> </w:t>
      </w:r>
      <w:r>
        <w:rPr>
          <w:vertAlign w:val="baseline"/>
        </w:rPr>
        <w:t>the requirements and effects of the one being stated in terms equally applicable </w:t>
      </w:r>
      <w:r>
        <w:rPr>
          <w:vertAlign w:val="baseline"/>
        </w:rPr>
        <w:t>to </w:t>
      </w:r>
      <w:bookmarkStart w:name="_bookmark998" w:id="1000"/>
      <w:bookmarkEnd w:id="1000"/>
      <w:r>
        <w:rPr>
          <w:vertAlign w:val="baseline"/>
        </w:rPr>
        <w:t>the</w:t>
      </w:r>
      <w:r>
        <w:rPr>
          <w:vertAlign w:val="baseline"/>
        </w:rPr>
        <w:t> other. </w:t>
      </w:r>
      <w:r>
        <w:rPr>
          <w:color w:val="005DA1"/>
          <w:u w:val="single" w:color="005DA1"/>
          <w:vertAlign w:val="superscript"/>
        </w:rPr>
        <w:t>601</w:t>
      </w:r>
      <w:r>
        <w:rPr>
          <w:color w:val="005DA1"/>
          <w:vertAlign w:val="baseline"/>
        </w:rPr>
        <w:t> </w:t>
      </w:r>
      <w:r>
        <w:rPr>
          <w:vertAlign w:val="baseline"/>
        </w:rPr>
        <w:t>Indeed, the expressions “waiver” and “promissory estoppel” have been judicially described as “two ways of saying exactly the same thing,” </w:t>
      </w:r>
      <w:r>
        <w:rPr>
          <w:color w:val="005DA1"/>
          <w:u w:val="single" w:color="005DA1"/>
          <w:vertAlign w:val="superscript"/>
        </w:rPr>
        <w:t>602</w:t>
      </w:r>
      <w:r>
        <w:rPr>
          <w:color w:val="005DA1"/>
          <w:vertAlign w:val="baseline"/>
        </w:rPr>
        <w:t> </w:t>
      </w:r>
      <w:r>
        <w:rPr>
          <w:vertAlign w:val="baseline"/>
        </w:rPr>
        <w:t>and the courts often use them </w:t>
      </w:r>
      <w:bookmarkStart w:name="_bookmark999" w:id="1001"/>
      <w:bookmarkEnd w:id="1001"/>
      <w:r>
        <w:rPr>
          <w:vertAlign w:val="baseline"/>
        </w:rPr>
        <w:t>interchangeably</w:t>
      </w:r>
      <w:r>
        <w:rPr>
          <w:vertAlign w:val="baseline"/>
        </w:rPr>
        <w:t> when discussing situations in which it is alleged that one party to a legal relationship has indicated that he will not enforce his strict legal rights against the other. </w:t>
      </w:r>
      <w:r>
        <w:rPr>
          <w:color w:val="005DA1"/>
          <w:u w:val="single" w:color="005DA1"/>
          <w:vertAlign w:val="superscript"/>
        </w:rPr>
        <w:t>603</w:t>
      </w:r>
      <w:r>
        <w:rPr>
          <w:color w:val="005DA1"/>
          <w:vertAlign w:val="baseline"/>
        </w:rPr>
        <w:t> </w:t>
      </w:r>
      <w:r>
        <w:rPr>
          <w:vertAlign w:val="baseline"/>
        </w:rPr>
        <w:t>This usage further supports the view that the equitable doctrine is more closely akin to waiver (in the sense of forbearance) than to true estoppel by representation of fact.</w:t>
      </w:r>
    </w:p>
    <w:p>
      <w:pPr>
        <w:pStyle w:val="BodyText"/>
      </w:pPr>
    </w:p>
    <w:p>
      <w:pPr>
        <w:pStyle w:val="BodyText"/>
        <w:spacing w:before="35"/>
      </w:pPr>
    </w:p>
    <w:p>
      <w:pPr>
        <w:spacing w:before="1"/>
        <w:ind w:left="165" w:right="0" w:firstLine="0"/>
        <w:jc w:val="both"/>
        <w:rPr>
          <w:rFonts w:ascii="Arial"/>
          <w:b/>
          <w:sz w:val="18"/>
        </w:rPr>
      </w:pPr>
      <w:r>
        <w:rPr>
          <w:rFonts w:ascii="Arial"/>
          <w:b/>
          <w:sz w:val="18"/>
        </w:rPr>
        <w:t>Distinguished from promises supported by </w:t>
      </w:r>
      <w:r>
        <w:rPr>
          <w:rFonts w:ascii="Arial"/>
          <w:b/>
          <w:spacing w:val="-2"/>
          <w:sz w:val="18"/>
        </w:rPr>
        <w:t>consideration</w:t>
      </w:r>
    </w:p>
    <w:p>
      <w:pPr>
        <w:pStyle w:val="BodyText"/>
        <w:spacing w:before="41"/>
        <w:rPr>
          <w:rFonts w:ascii="Arial"/>
          <w:b/>
          <w:sz w:val="18"/>
        </w:rPr>
      </w:pPr>
    </w:p>
    <w:p>
      <w:pPr>
        <w:pStyle w:val="Heading2"/>
      </w:pPr>
      <w:r>
        <w:rPr/>
        <w:t>4-</w:t>
      </w:r>
      <w:r>
        <w:rPr>
          <w:spacing w:val="-5"/>
        </w:rPr>
        <w:t>106</w:t>
      </w:r>
    </w:p>
    <w:p>
      <w:pPr>
        <w:pStyle w:val="BodyText"/>
        <w:spacing w:line="235" w:lineRule="auto" w:before="203"/>
        <w:ind w:left="165" w:right="167"/>
        <w:jc w:val="both"/>
      </w:pPr>
      <w:r>
        <w:rPr/>
        <w:t>Under the equitable doctrine, certain limited effects are given to a promise without consideration. </w:t>
      </w:r>
      <w:r>
        <w:rPr/>
        <w:t>But</w:t>
      </w:r>
      <w:r>
        <w:rPr>
          <w:spacing w:val="40"/>
        </w:rPr>
        <w:t> </w:t>
      </w:r>
      <w:r>
        <w:rPr/>
        <w:t>it is nevertheless in the interests of the promisee to show, if he can, that he did provide consideration so that the promise amounted to a contractually binding variation. Such proof will free him from the many rules that restrict the scope of the equitable doctrine: he need not then show that he has in any way “relied” on the promise, or that it would be “inequitable” for the other party to go back on it; the variation will permanently affect the rights of the promisor and not merely suspend them (unless it is expressed so as to have only a temporary effect); and a contractual variation can not only reduce or extinguish existing rights but also create new ones. Where parties agree to modify an existing </w:t>
      </w:r>
      <w:bookmarkStart w:name="_bookmark1000" w:id="1002"/>
      <w:bookmarkEnd w:id="1002"/>
      <w:r>
        <w:rPr/>
        <w:t>contract,</w:t>
      </w:r>
      <w:r>
        <w:rPr/>
        <w:t> the equitable doctrine and its common law counterpart may have reduced, but they have by no means eliminated, the practical importance of the doctrine of consideration. </w:t>
      </w:r>
      <w:r>
        <w:rPr>
          <w:color w:val="005DA1"/>
          <w:u w:val="single" w:color="005DA1"/>
          <w:vertAlign w:val="superscript"/>
        </w:rPr>
        <w:t>604</w:t>
      </w:r>
    </w:p>
    <w:p>
      <w:pPr>
        <w:pStyle w:val="BodyText"/>
        <w:spacing w:after="0" w:line="235" w:lineRule="auto"/>
        <w:jc w:val="both"/>
        <w:sectPr>
          <w:pgSz w:w="11900" w:h="16840"/>
          <w:pgMar w:header="971" w:footer="0" w:top="1160" w:bottom="280" w:left="1275" w:right="1275"/>
        </w:sectPr>
      </w:pPr>
    </w:p>
    <w:p>
      <w:pPr>
        <w:pStyle w:val="BodyText"/>
        <w:rPr>
          <w:sz w:val="18"/>
        </w:rPr>
      </w:pPr>
    </w:p>
    <w:p>
      <w:pPr>
        <w:pStyle w:val="BodyText"/>
        <w:spacing w:before="119"/>
        <w:rPr>
          <w:sz w:val="18"/>
        </w:rPr>
      </w:pPr>
    </w:p>
    <w:p>
      <w:pPr>
        <w:spacing w:before="0"/>
        <w:ind w:left="165" w:right="0" w:firstLine="0"/>
        <w:jc w:val="left"/>
        <w:rPr>
          <w:rFonts w:ascii="Arial"/>
          <w:b/>
          <w:sz w:val="18"/>
        </w:rPr>
      </w:pPr>
      <w:r>
        <w:rPr>
          <w:rFonts w:ascii="Arial"/>
          <w:b/>
          <w:sz w:val="18"/>
        </w:rPr>
        <w:t>Other </w:t>
      </w:r>
      <w:r>
        <w:rPr>
          <w:rFonts w:ascii="Arial"/>
          <w:b/>
          <w:spacing w:val="-2"/>
          <w:sz w:val="18"/>
        </w:rPr>
        <w:t>jurisdictions</w:t>
      </w:r>
    </w:p>
    <w:p>
      <w:pPr>
        <w:pStyle w:val="BodyText"/>
        <w:spacing w:before="41"/>
        <w:rPr>
          <w:rFonts w:ascii="Arial"/>
          <w:b/>
          <w:sz w:val="18"/>
        </w:rPr>
      </w:pPr>
    </w:p>
    <w:p>
      <w:pPr>
        <w:pStyle w:val="Heading2"/>
        <w:spacing w:before="1"/>
      </w:pPr>
      <w:r>
        <w:rPr/>
        <w:t>4-</w:t>
      </w:r>
      <w:r>
        <w:rPr>
          <w:spacing w:val="-5"/>
        </w:rPr>
        <w:t>107</w:t>
      </w:r>
    </w:p>
    <w:p>
      <w:pPr>
        <w:pStyle w:val="BodyText"/>
        <w:spacing w:line="235" w:lineRule="auto" w:before="202"/>
        <w:ind w:left="164" w:right="167"/>
        <w:jc w:val="both"/>
      </w:pPr>
      <w:r>
        <w:rPr/>
        <w:t>The English view that the doctrine of promissory estoppel gives rise to no cause of action has not been followed in other common law jurisdictions. In the United States, a similar doctrine has </w:t>
      </w:r>
      <w:r>
        <w:rPr/>
        <w:t>long</w:t>
      </w:r>
      <w:r>
        <w:rPr>
          <w:spacing w:val="40"/>
        </w:rPr>
        <w:t> </w:t>
      </w:r>
      <w:bookmarkStart w:name="_bookmark1001" w:id="1003"/>
      <w:bookmarkEnd w:id="1003"/>
      <w:r>
        <w:rPr/>
        <w:t>been</w:t>
      </w:r>
      <w:r>
        <w:rPr/>
        <w:t> regarded as being capable of creating new rights, though both the existence and the content of the resulting rights are matters for the discretion of the courts. </w:t>
      </w:r>
      <w:r>
        <w:rPr>
          <w:color w:val="005DA1"/>
          <w:u w:val="single" w:color="005DA1"/>
          <w:vertAlign w:val="superscript"/>
        </w:rPr>
        <w:t>605</w:t>
      </w:r>
      <w:r>
        <w:rPr>
          <w:color w:val="005DA1"/>
          <w:vertAlign w:val="baseline"/>
        </w:rPr>
        <w:t> </w:t>
      </w:r>
      <w:r>
        <w:rPr>
          <w:vertAlign w:val="baseline"/>
        </w:rPr>
        <w:t>A line of Australian cases likewise supports the view that promises or representations which, for want of consideration or of contractual </w:t>
      </w:r>
      <w:bookmarkStart w:name="_bookmark1002" w:id="1004"/>
      <w:bookmarkEnd w:id="1004"/>
      <w:r>
        <w:rPr>
          <w:vertAlign w:val="baseline"/>
        </w:rPr>
        <w:t>intention,</w:t>
      </w:r>
      <w:r>
        <w:rPr>
          <w:vertAlign w:val="baseline"/>
        </w:rPr>
        <w:t> lack contractual force may nevertheless (by virtue of an estoppel) be enforceable as if they were binding contracts. The leading Australian case is </w:t>
      </w:r>
      <w:r>
        <w:rPr>
          <w:rFonts w:ascii="Arial" w:hAnsi="Arial"/>
          <w:i/>
          <w:vertAlign w:val="baseline"/>
        </w:rPr>
        <w:t>Waltons Stores (Interstate) Ltd v Maher</w:t>
      </w:r>
      <w:r>
        <w:rPr>
          <w:vertAlign w:val="baseline"/>
        </w:rPr>
        <w:t>, </w:t>
      </w:r>
      <w:r>
        <w:rPr>
          <w:color w:val="005DA1"/>
          <w:u w:val="single" w:color="005DA1"/>
          <w:vertAlign w:val="superscript"/>
        </w:rPr>
        <w:t>606</w:t>
      </w:r>
      <w:r>
        <w:rPr>
          <w:color w:val="005DA1"/>
          <w:vertAlign w:val="baseline"/>
        </w:rPr>
        <w:t> </w:t>
      </w:r>
      <w:bookmarkStart w:name="_bookmark1003" w:id="1005"/>
      <w:bookmarkEnd w:id="1005"/>
      <w:r>
        <w:rPr>
          <w:color w:val="005DA1"/>
          <w:w w:val="92"/>
          <w:vertAlign w:val="baseline"/>
        </w:rPr>
      </w:r>
      <w:r>
        <w:rPr>
          <w:vertAlign w:val="baseline"/>
        </w:rPr>
        <w:t>where</w:t>
      </w:r>
      <w:r>
        <w:rPr>
          <w:spacing w:val="-1"/>
          <w:vertAlign w:val="baseline"/>
        </w:rPr>
        <w:t> </w:t>
      </w:r>
      <w:r>
        <w:rPr>
          <w:vertAlign w:val="baseline"/>
        </w:rPr>
        <w:t>A,</w:t>
      </w:r>
      <w:r>
        <w:rPr>
          <w:spacing w:val="-1"/>
          <w:vertAlign w:val="baseline"/>
        </w:rPr>
        <w:t> </w:t>
      </w:r>
      <w:r>
        <w:rPr>
          <w:vertAlign w:val="baseline"/>
        </w:rPr>
        <w:t>a</w:t>
      </w:r>
      <w:r>
        <w:rPr>
          <w:spacing w:val="-1"/>
          <w:vertAlign w:val="baseline"/>
        </w:rPr>
        <w:t> </w:t>
      </w:r>
      <w:r>
        <w:rPr>
          <w:vertAlign w:val="baseline"/>
        </w:rPr>
        <w:t>prospective</w:t>
      </w:r>
      <w:r>
        <w:rPr>
          <w:spacing w:val="-1"/>
          <w:vertAlign w:val="baseline"/>
        </w:rPr>
        <w:t> </w:t>
      </w:r>
      <w:r>
        <w:rPr>
          <w:vertAlign w:val="baseline"/>
        </w:rPr>
        <w:t>lessor</w:t>
      </w:r>
      <w:r>
        <w:rPr>
          <w:spacing w:val="-1"/>
          <w:vertAlign w:val="baseline"/>
        </w:rPr>
        <w:t> </w:t>
      </w:r>
      <w:r>
        <w:rPr>
          <w:vertAlign w:val="baseline"/>
        </w:rPr>
        <w:t>of</w:t>
      </w:r>
      <w:r>
        <w:rPr>
          <w:spacing w:val="-1"/>
          <w:vertAlign w:val="baseline"/>
        </w:rPr>
        <w:t> </w:t>
      </w:r>
      <w:r>
        <w:rPr>
          <w:vertAlign w:val="baseline"/>
        </w:rPr>
        <w:t>business</w:t>
      </w:r>
      <w:r>
        <w:rPr>
          <w:spacing w:val="-1"/>
          <w:vertAlign w:val="baseline"/>
        </w:rPr>
        <w:t> </w:t>
      </w:r>
      <w:r>
        <w:rPr>
          <w:vertAlign w:val="baseline"/>
        </w:rPr>
        <w:t>premises,</w:t>
      </w:r>
      <w:r>
        <w:rPr>
          <w:spacing w:val="-1"/>
          <w:vertAlign w:val="baseline"/>
        </w:rPr>
        <w:t> </w:t>
      </w:r>
      <w:r>
        <w:rPr>
          <w:vertAlign w:val="baseline"/>
        </w:rPr>
        <w:t>did</w:t>
      </w:r>
      <w:r>
        <w:rPr>
          <w:spacing w:val="-1"/>
          <w:vertAlign w:val="baseline"/>
        </w:rPr>
        <w:t> </w:t>
      </w:r>
      <w:r>
        <w:rPr>
          <w:vertAlign w:val="baseline"/>
        </w:rPr>
        <w:t>demolition</w:t>
      </w:r>
      <w:r>
        <w:rPr>
          <w:spacing w:val="-1"/>
          <w:vertAlign w:val="baseline"/>
        </w:rPr>
        <w:t> </w:t>
      </w:r>
      <w:r>
        <w:rPr>
          <w:vertAlign w:val="baseline"/>
        </w:rPr>
        <w:t>and</w:t>
      </w:r>
      <w:r>
        <w:rPr>
          <w:spacing w:val="-1"/>
          <w:vertAlign w:val="baseline"/>
        </w:rPr>
        <w:t> </w:t>
      </w:r>
      <w:r>
        <w:rPr>
          <w:vertAlign w:val="baseline"/>
        </w:rPr>
        <w:t>building</w:t>
      </w:r>
      <w:r>
        <w:rPr>
          <w:spacing w:val="-1"/>
          <w:vertAlign w:val="baseline"/>
        </w:rPr>
        <w:t> </w:t>
      </w:r>
      <w:r>
        <w:rPr>
          <w:vertAlign w:val="baseline"/>
        </w:rPr>
        <w:t>work</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premises while the agreement for the lease lacked contractual force because it was still subject to contract </w:t>
      </w:r>
      <w:r>
        <w:rPr>
          <w:color w:val="005DA1"/>
          <w:u w:val="single" w:color="005DA1"/>
          <w:vertAlign w:val="superscript"/>
        </w:rPr>
        <w:t>607</w:t>
      </w:r>
      <w:r>
        <w:rPr>
          <w:vertAlign w:val="baseline"/>
        </w:rPr>
        <w:t>; he had done so to meet the prospective lessee’s (B’s) requirements and on the assumption, of which B must have known, that a binding contract would be brought into existence. B withdrew from the agreement (relying on his solicitor’s advice that he was not bound by it); and it was held that he was estopped from denying that a contract had come into existence and that the agreement for the lease was therefore specifically enforceable against him. The reasoning of the High Court is complex, but </w:t>
      </w:r>
      <w:bookmarkStart w:name="_bookmark1004" w:id="1006"/>
      <w:bookmarkEnd w:id="1006"/>
      <w:r>
        <w:rPr>
          <w:vertAlign w:val="baseline"/>
        </w:rPr>
        <w:t>the</w:t>
      </w:r>
      <w:r>
        <w:rPr>
          <w:vertAlign w:val="baseline"/>
        </w:rPr>
        <w:t> basis of the decision appears to be that B had knowingly induced A to believe that a binding contract would be brought into existence by exchange of contracts </w:t>
      </w:r>
      <w:r>
        <w:rPr>
          <w:color w:val="005DA1"/>
          <w:u w:val="single" w:color="005DA1"/>
          <w:vertAlign w:val="superscript"/>
        </w:rPr>
        <w:t>608</w:t>
      </w:r>
      <w:r>
        <w:rPr>
          <w:color w:val="005DA1"/>
          <w:vertAlign w:val="baseline"/>
        </w:rPr>
        <w:t> </w:t>
      </w:r>
      <w:r>
        <w:rPr>
          <w:vertAlign w:val="baseline"/>
        </w:rPr>
        <w:t>and to act in reasonable reliance on that belief. In English law, such reliance is, in appropriate circumstances, capable of</w:t>
      </w:r>
      <w:r>
        <w:rPr>
          <w:spacing w:val="80"/>
          <w:vertAlign w:val="baseline"/>
        </w:rPr>
        <w:t> </w:t>
      </w:r>
      <w:r>
        <w:rPr>
          <w:vertAlign w:val="baseline"/>
        </w:rPr>
        <w:t>giving rise to a variety of remedies, even where the promise or representation which induces it lacks </w:t>
      </w:r>
      <w:bookmarkStart w:name="_bookmark1005" w:id="1007"/>
      <w:bookmarkEnd w:id="1007"/>
      <w:r>
        <w:rPr>
          <w:vertAlign w:val="baseline"/>
        </w:rPr>
        <w:t>contractual</w:t>
      </w:r>
      <w:r>
        <w:rPr>
          <w:vertAlign w:val="baseline"/>
        </w:rPr>
        <w:t> force. Sometimes the remedy may be the enforcement of the promise according to its terms, as in cases of proprietary estoppel (to be discussed later in this Chapter) </w:t>
      </w:r>
      <w:r>
        <w:rPr>
          <w:color w:val="005DA1"/>
          <w:u w:val="single" w:color="005DA1"/>
          <w:vertAlign w:val="superscript"/>
        </w:rPr>
        <w:t>609</w:t>
      </w:r>
      <w:r>
        <w:rPr>
          <w:vertAlign w:val="baseline"/>
        </w:rPr>
        <w:t>; sometimes it may </w:t>
      </w:r>
      <w:bookmarkStart w:name="_bookmark1006" w:id="1008"/>
      <w:bookmarkEnd w:id="1008"/>
      <w:r>
        <w:rPr>
          <w:vertAlign w:val="baseline"/>
        </w:rPr>
        <w:t>be</w:t>
      </w:r>
      <w:r>
        <w:rPr>
          <w:vertAlign w:val="baseline"/>
        </w:rPr>
        <w:t> an award of the reasonable value of work done in the belief that a contract had, or would, come into existence. </w:t>
      </w:r>
      <w:r>
        <w:rPr>
          <w:color w:val="005DA1"/>
          <w:u w:val="single" w:color="005DA1"/>
          <w:vertAlign w:val="superscript"/>
        </w:rPr>
        <w:t>610</w:t>
      </w:r>
      <w:r>
        <w:rPr>
          <w:color w:val="005DA1"/>
          <w:vertAlign w:val="baseline"/>
        </w:rPr>
        <w:t> </w:t>
      </w:r>
      <w:r>
        <w:rPr>
          <w:vertAlign w:val="baseline"/>
        </w:rPr>
        <w:t>Neither of these remedies would have been available in the </w:t>
      </w:r>
      <w:r>
        <w:rPr>
          <w:rFonts w:ascii="Arial" w:hAnsi="Arial"/>
          <w:i/>
          <w:vertAlign w:val="baseline"/>
        </w:rPr>
        <w:t>Waltons Stores </w:t>
      </w:r>
      <w:r>
        <w:rPr>
          <w:vertAlign w:val="baseline"/>
        </w:rPr>
        <w:t>case </w:t>
      </w:r>
      <w:bookmarkStart w:name="_bookmark1007" w:id="1009"/>
      <w:bookmarkEnd w:id="1009"/>
      <w:r>
        <w:rPr>
          <w:vertAlign w:val="baseline"/>
        </w:rPr>
        <w:t>since</w:t>
      </w:r>
      <w:r>
        <w:rPr>
          <w:vertAlign w:val="baseline"/>
        </w:rPr>
        <w:t> proprietary estoppel does not arise where work is done on the promisee’s (rather than on the </w:t>
      </w:r>
      <w:bookmarkStart w:name="_bookmark1008" w:id="1010"/>
      <w:bookmarkEnd w:id="1010"/>
      <w:r>
        <w:rPr>
          <w:vertAlign w:val="baseline"/>
        </w:rPr>
        <w:t>promisor’s)</w:t>
      </w:r>
      <w:r>
        <w:rPr>
          <w:vertAlign w:val="baseline"/>
        </w:rPr>
        <w:t> land </w:t>
      </w:r>
      <w:r>
        <w:rPr>
          <w:color w:val="005DA1"/>
          <w:u w:val="single" w:color="005DA1"/>
          <w:vertAlign w:val="superscript"/>
        </w:rPr>
        <w:t>611</w:t>
      </w:r>
      <w:r>
        <w:rPr>
          <w:color w:val="005DA1"/>
          <w:vertAlign w:val="baseline"/>
        </w:rPr>
        <w:t> </w:t>
      </w:r>
      <w:r>
        <w:rPr>
          <w:vertAlign w:val="baseline"/>
        </w:rPr>
        <w:t>and a claim for the reasonable value of the claimant’s work is not available where the promisor is not unjustly enriched by the promisee’s work </w:t>
      </w:r>
      <w:r>
        <w:rPr>
          <w:color w:val="005DA1"/>
          <w:u w:val="single" w:color="005DA1"/>
          <w:vertAlign w:val="superscript"/>
        </w:rPr>
        <w:t>612</w:t>
      </w:r>
      <w:r>
        <w:rPr>
          <w:color w:val="005DA1"/>
          <w:vertAlign w:val="baseline"/>
        </w:rPr>
        <w:t> </w:t>
      </w:r>
      <w:r>
        <w:rPr>
          <w:vertAlign w:val="baseline"/>
        </w:rPr>
        <w:t>and the promisee is aware of the fact </w:t>
      </w:r>
      <w:bookmarkStart w:name="_bookmark1009" w:id="1011"/>
      <w:bookmarkEnd w:id="1011"/>
      <w:r>
        <w:rPr>
          <w:vertAlign w:val="baseline"/>
        </w:rPr>
        <w:t>that</w:t>
      </w:r>
      <w:r>
        <w:rPr>
          <w:vertAlign w:val="baseline"/>
        </w:rPr>
        <w:t> no binding agreement has come into existence and so takes the risk that the negotiations may fail.</w:t>
      </w:r>
      <w:r>
        <w:rPr>
          <w:spacing w:val="-1"/>
          <w:vertAlign w:val="baseline"/>
        </w:rPr>
        <w:t> </w:t>
      </w:r>
      <w:r>
        <w:rPr>
          <w:color w:val="005DA1"/>
          <w:u w:val="single" w:color="005DA1"/>
          <w:vertAlign w:val="superscript"/>
        </w:rPr>
        <w:t>613</w:t>
      </w:r>
      <w:r>
        <w:rPr>
          <w:color w:val="005DA1"/>
          <w:spacing w:val="-1"/>
          <w:vertAlign w:val="baseline"/>
        </w:rPr>
        <w:t> </w:t>
      </w:r>
      <w:r>
        <w:rPr>
          <w:vertAlign w:val="baseline"/>
        </w:rPr>
        <w:t>Even</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second</w:t>
      </w:r>
      <w:r>
        <w:rPr>
          <w:spacing w:val="-1"/>
          <w:vertAlign w:val="baseline"/>
        </w:rPr>
        <w:t> </w:t>
      </w:r>
      <w:r>
        <w:rPr>
          <w:vertAlign w:val="baseline"/>
        </w:rPr>
        <w:t>of</w:t>
      </w:r>
      <w:r>
        <w:rPr>
          <w:spacing w:val="-1"/>
          <w:vertAlign w:val="baseline"/>
        </w:rPr>
        <w:t> </w:t>
      </w:r>
      <w:r>
        <w:rPr>
          <w:vertAlign w:val="baseline"/>
        </w:rPr>
        <w:t>these</w:t>
      </w:r>
      <w:r>
        <w:rPr>
          <w:spacing w:val="-1"/>
          <w:vertAlign w:val="baseline"/>
        </w:rPr>
        <w:t> </w:t>
      </w:r>
      <w:r>
        <w:rPr>
          <w:vertAlign w:val="baseline"/>
        </w:rPr>
        <w:t>objections</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overcome</w:t>
      </w:r>
      <w:r>
        <w:rPr>
          <w:spacing w:val="-1"/>
          <w:vertAlign w:val="baseline"/>
        </w:rPr>
        <w:t> </w:t>
      </w:r>
      <w:r>
        <w:rPr>
          <w:vertAlign w:val="baseline"/>
        </w:rPr>
        <w:t>(e.g.</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ground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work was done at the request of the promisor and as a result of his assurance that an exchange of </w:t>
      </w:r>
      <w:bookmarkStart w:name="_bookmark1010" w:id="1012"/>
      <w:bookmarkEnd w:id="1012"/>
      <w:r>
        <w:rPr>
          <w:vertAlign w:val="baseline"/>
        </w:rPr>
        <w:t>contracts</w:t>
      </w:r>
      <w:r>
        <w:rPr>
          <w:vertAlign w:val="baseline"/>
        </w:rPr>
        <w:t> would take place) it does not follow that the appropriate remedy is enforcement of the supposed or anticipated contract in its terms </w:t>
      </w:r>
      <w:r>
        <w:rPr>
          <w:color w:val="005DA1"/>
          <w:u w:val="single" w:color="005DA1"/>
          <w:vertAlign w:val="superscript"/>
        </w:rPr>
        <w:t>614</w:t>
      </w:r>
      <w:r>
        <w:rPr>
          <w:vertAlign w:val="baseline"/>
        </w:rPr>
        <w:t>: if the basis of “Australian estoppel” </w:t>
      </w:r>
      <w:r>
        <w:rPr>
          <w:color w:val="005DA1"/>
          <w:u w:val="single" w:color="005DA1"/>
          <w:vertAlign w:val="superscript"/>
        </w:rPr>
        <w:t>615</w:t>
      </w:r>
      <w:r>
        <w:rPr>
          <w:color w:val="005DA1"/>
          <w:vertAlign w:val="baseline"/>
        </w:rPr>
        <w:t> </w:t>
      </w:r>
      <w:r>
        <w:rPr>
          <w:vertAlign w:val="baseline"/>
        </w:rPr>
        <w:t>is reliance induced by the promisor, compensation for reliance loss would appear to be the more appropriate remedy.</w:t>
      </w:r>
      <w:r>
        <w:rPr>
          <w:spacing w:val="-2"/>
          <w:vertAlign w:val="baseline"/>
        </w:rPr>
        <w:t> </w:t>
      </w:r>
      <w:r>
        <w:rPr>
          <w:vertAlign w:val="baseline"/>
        </w:rPr>
        <w:t>The</w:t>
      </w:r>
      <w:r>
        <w:rPr>
          <w:spacing w:val="-2"/>
          <w:vertAlign w:val="baseline"/>
        </w:rPr>
        <w:t> </w:t>
      </w:r>
      <w:r>
        <w:rPr>
          <w:vertAlign w:val="baseline"/>
        </w:rPr>
        <w:t>Australian</w:t>
      </w:r>
      <w:r>
        <w:rPr>
          <w:spacing w:val="-2"/>
          <w:vertAlign w:val="baseline"/>
        </w:rPr>
        <w:t> </w:t>
      </w:r>
      <w:r>
        <w:rPr>
          <w:vertAlign w:val="baseline"/>
        </w:rPr>
        <w:t>doctrine</w:t>
      </w:r>
      <w:r>
        <w:rPr>
          <w:spacing w:val="-2"/>
          <w:vertAlign w:val="baseline"/>
        </w:rPr>
        <w:t> </w:t>
      </w:r>
      <w:r>
        <w:rPr>
          <w:vertAlign w:val="baseline"/>
        </w:rPr>
        <w:t>also</w:t>
      </w:r>
      <w:r>
        <w:rPr>
          <w:spacing w:val="-2"/>
          <w:vertAlign w:val="baseline"/>
        </w:rPr>
        <w:t> </w:t>
      </w:r>
      <w:r>
        <w:rPr>
          <w:vertAlign w:val="baseline"/>
        </w:rPr>
        <w:t>gives</w:t>
      </w:r>
      <w:r>
        <w:rPr>
          <w:spacing w:val="-2"/>
          <w:vertAlign w:val="baseline"/>
        </w:rPr>
        <w:t> </w:t>
      </w:r>
      <w:r>
        <w:rPr>
          <w:vertAlign w:val="baseline"/>
        </w:rPr>
        <w:t>rise</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difficulties</w:t>
      </w:r>
      <w:r>
        <w:rPr>
          <w:spacing w:val="-2"/>
          <w:vertAlign w:val="baseline"/>
        </w:rPr>
        <w:t> </w:t>
      </w:r>
      <w:r>
        <w:rPr>
          <w:vertAlign w:val="baseline"/>
        </w:rPr>
        <w:t>that</w:t>
      </w:r>
      <w:r>
        <w:rPr>
          <w:spacing w:val="-2"/>
          <w:vertAlign w:val="baseline"/>
        </w:rPr>
        <w:t> </w:t>
      </w:r>
      <w:r>
        <w:rPr>
          <w:vertAlign w:val="baseline"/>
        </w:rPr>
        <w:t>there</w:t>
      </w:r>
      <w:r>
        <w:rPr>
          <w:spacing w:val="-2"/>
          <w:vertAlign w:val="baseline"/>
        </w:rPr>
        <w:t> </w:t>
      </w:r>
      <w:r>
        <w:rPr>
          <w:vertAlign w:val="baseline"/>
        </w:rPr>
        <w:t>appear</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no</w:t>
      </w:r>
      <w:r>
        <w:rPr>
          <w:spacing w:val="-2"/>
          <w:vertAlign w:val="baseline"/>
        </w:rPr>
        <w:t> </w:t>
      </w:r>
      <w:r>
        <w:rPr>
          <w:vertAlign w:val="baseline"/>
        </w:rPr>
        <w:t>clear</w:t>
      </w:r>
      <w:r>
        <w:rPr>
          <w:spacing w:val="-2"/>
          <w:vertAlign w:val="baseline"/>
        </w:rPr>
        <w:t> </w:t>
      </w:r>
      <w:r>
        <w:rPr>
          <w:vertAlign w:val="baseline"/>
        </w:rPr>
        <w:t>limits to its scope, and that this lack of clarity is a regrettable source of uncertainty. The doctrine is, </w:t>
      </w:r>
      <w:bookmarkStart w:name="_bookmark1011" w:id="1013"/>
      <w:bookmarkEnd w:id="1013"/>
      <w:r>
        <w:rPr>
          <w:vertAlign w:val="baseline"/>
        </w:rPr>
        <w:t>moreover,</w:t>
      </w:r>
      <w:r>
        <w:rPr>
          <w:spacing w:val="35"/>
          <w:vertAlign w:val="baseline"/>
        </w:rPr>
        <w:t> </w:t>
      </w:r>
      <w:r>
        <w:rPr>
          <w:vertAlign w:val="baseline"/>
        </w:rPr>
        <w:t>hard</w:t>
      </w:r>
      <w:r>
        <w:rPr>
          <w:spacing w:val="35"/>
          <w:vertAlign w:val="baseline"/>
        </w:rPr>
        <w:t> </w:t>
      </w:r>
      <w:r>
        <w:rPr>
          <w:vertAlign w:val="baseline"/>
        </w:rPr>
        <w:t>to</w:t>
      </w:r>
      <w:r>
        <w:rPr>
          <w:spacing w:val="35"/>
          <w:vertAlign w:val="baseline"/>
        </w:rPr>
        <w:t> </w:t>
      </w:r>
      <w:r>
        <w:rPr>
          <w:vertAlign w:val="baseline"/>
        </w:rPr>
        <w:t>reconcile</w:t>
      </w:r>
      <w:r>
        <w:rPr>
          <w:spacing w:val="35"/>
          <w:vertAlign w:val="baseline"/>
        </w:rPr>
        <w:t> </w:t>
      </w:r>
      <w:r>
        <w:rPr>
          <w:vertAlign w:val="baseline"/>
        </w:rPr>
        <w:t>with</w:t>
      </w:r>
      <w:r>
        <w:rPr>
          <w:spacing w:val="35"/>
          <w:vertAlign w:val="baseline"/>
        </w:rPr>
        <w:t> </w:t>
      </w:r>
      <w:r>
        <w:rPr>
          <w:vertAlign w:val="baseline"/>
        </w:rPr>
        <w:t>a</w:t>
      </w:r>
      <w:r>
        <w:rPr>
          <w:spacing w:val="35"/>
          <w:vertAlign w:val="baseline"/>
        </w:rPr>
        <w:t> </w:t>
      </w:r>
      <w:r>
        <w:rPr>
          <w:vertAlign w:val="baseline"/>
        </w:rPr>
        <w:t>number</w:t>
      </w:r>
      <w:r>
        <w:rPr>
          <w:spacing w:val="35"/>
          <w:vertAlign w:val="baseline"/>
        </w:rPr>
        <w:t> </w:t>
      </w:r>
      <w:r>
        <w:rPr>
          <w:vertAlign w:val="baseline"/>
        </w:rPr>
        <w:t>of</w:t>
      </w:r>
      <w:r>
        <w:rPr>
          <w:spacing w:val="35"/>
          <w:vertAlign w:val="baseline"/>
        </w:rPr>
        <w:t> </w:t>
      </w:r>
      <w:r>
        <w:rPr>
          <w:vertAlign w:val="baseline"/>
        </w:rPr>
        <w:t>fundamental</w:t>
      </w:r>
      <w:r>
        <w:rPr>
          <w:spacing w:val="35"/>
          <w:vertAlign w:val="baseline"/>
        </w:rPr>
        <w:t> </w:t>
      </w:r>
      <w:r>
        <w:rPr>
          <w:vertAlign w:val="baseline"/>
        </w:rPr>
        <w:t>principles</w:t>
      </w:r>
      <w:r>
        <w:rPr>
          <w:spacing w:val="35"/>
          <w:vertAlign w:val="baseline"/>
        </w:rPr>
        <w:t> </w:t>
      </w:r>
      <w:r>
        <w:rPr>
          <w:vertAlign w:val="baseline"/>
        </w:rPr>
        <w:t>of</w:t>
      </w:r>
      <w:r>
        <w:rPr>
          <w:spacing w:val="35"/>
          <w:vertAlign w:val="baseline"/>
        </w:rPr>
        <w:t> </w:t>
      </w:r>
      <w:r>
        <w:rPr>
          <w:vertAlign w:val="baseline"/>
        </w:rPr>
        <w:t>English</w:t>
      </w:r>
      <w:r>
        <w:rPr>
          <w:spacing w:val="35"/>
          <w:vertAlign w:val="baseline"/>
        </w:rPr>
        <w:t> </w:t>
      </w:r>
      <w:r>
        <w:rPr>
          <w:vertAlign w:val="baseline"/>
        </w:rPr>
        <w:t>law,</w:t>
      </w:r>
      <w:r>
        <w:rPr>
          <w:spacing w:val="35"/>
          <w:vertAlign w:val="baseline"/>
        </w:rPr>
        <w:t> </w:t>
      </w:r>
      <w:r>
        <w:rPr>
          <w:vertAlign w:val="baseline"/>
        </w:rPr>
        <w:t>such</w:t>
      </w:r>
      <w:r>
        <w:rPr>
          <w:spacing w:val="35"/>
          <w:vertAlign w:val="baseline"/>
        </w:rPr>
        <w:t> </w:t>
      </w:r>
      <w:r>
        <w:rPr>
          <w:vertAlign w:val="baseline"/>
        </w:rPr>
        <w:t>as</w:t>
      </w:r>
      <w:r>
        <w:rPr>
          <w:spacing w:val="35"/>
          <w:vertAlign w:val="baseline"/>
        </w:rPr>
        <w:t> </w:t>
      </w:r>
      <w:r>
        <w:rPr>
          <w:vertAlign w:val="baseline"/>
        </w:rPr>
        <w:t>the </w:t>
      </w:r>
      <w:bookmarkStart w:name="_bookmark1012" w:id="1014"/>
      <w:bookmarkEnd w:id="1014"/>
      <w:r>
        <w:rPr>
          <w:vertAlign w:val="baseline"/>
        </w:rPr>
        <w:t>non</w:t>
      </w:r>
      <w:r>
        <w:rPr>
          <w:vertAlign w:val="baseline"/>
        </w:rPr>
        <w:t>-enforceability of informal gratuitous promises (even if relied on) </w:t>
      </w:r>
      <w:r>
        <w:rPr>
          <w:color w:val="005DA1"/>
          <w:u w:val="single" w:color="005DA1"/>
          <w:vertAlign w:val="superscript"/>
        </w:rPr>
        <w:t>616</w:t>
      </w:r>
      <w:r>
        <w:rPr>
          <w:color w:val="005DA1"/>
          <w:vertAlign w:val="baseline"/>
        </w:rPr>
        <w:t> </w:t>
      </w:r>
      <w:r>
        <w:rPr>
          <w:vertAlign w:val="baseline"/>
        </w:rPr>
        <w:t>and the rule that there is no right to damages for a wholly innocent non-contractual misrepresentation. </w:t>
      </w:r>
      <w:r>
        <w:rPr>
          <w:color w:val="005DA1"/>
          <w:u w:val="single" w:color="005DA1"/>
          <w:vertAlign w:val="superscript"/>
        </w:rPr>
        <w:t>617</w:t>
      </w:r>
      <w:r>
        <w:rPr>
          <w:color w:val="005DA1"/>
          <w:vertAlign w:val="baseline"/>
        </w:rPr>
        <w:t> </w:t>
      </w:r>
      <w:r>
        <w:rPr>
          <w:vertAlign w:val="baseline"/>
        </w:rPr>
        <w:t>While on the facts of </w:t>
      </w:r>
      <w:bookmarkStart w:name="_bookmark1013" w:id="1015"/>
      <w:bookmarkEnd w:id="1015"/>
      <w:r>
        <w:rPr>
          <w:vertAlign w:val="baseline"/>
        </w:rPr>
        <w:t>some</w:t>
      </w:r>
      <w:r>
        <w:rPr>
          <w:vertAlign w:val="baseline"/>
        </w:rPr>
        <w:t> of the cases in which the Australian doctrine has been applied the same conclusions would probably be reached in English law on other grounds, </w:t>
      </w:r>
      <w:r>
        <w:rPr>
          <w:color w:val="005DA1"/>
          <w:u w:val="single" w:color="005DA1"/>
          <w:vertAlign w:val="superscript"/>
        </w:rPr>
        <w:t>618</w:t>
      </w:r>
      <w:r>
        <w:rPr>
          <w:color w:val="005DA1"/>
          <w:vertAlign w:val="baseline"/>
        </w:rPr>
        <w:t> </w:t>
      </w:r>
      <w:r>
        <w:rPr>
          <w:vertAlign w:val="baseline"/>
        </w:rPr>
        <w:t>the broad doctrine remains, in the present </w:t>
      </w:r>
      <w:bookmarkStart w:name="_bookmark1014" w:id="1016"/>
      <w:bookmarkEnd w:id="1016"/>
      <w:r>
        <w:rPr>
          <w:vertAlign w:val="baseline"/>
        </w:rPr>
        <w:t>context,</w:t>
      </w:r>
      <w:r>
        <w:rPr>
          <w:vertAlign w:val="baseline"/>
        </w:rPr>
        <w:t> inconsistent with the view that the English doctrine of promissory estoppel (like that of </w:t>
      </w:r>
      <w:bookmarkStart w:name="_bookmark1015" w:id="1017"/>
      <w:bookmarkEnd w:id="1017"/>
      <w:r>
        <w:rPr>
          <w:vertAlign w:val="baseline"/>
        </w:rPr>
        <w:t>estoppel</w:t>
      </w:r>
      <w:r>
        <w:rPr>
          <w:vertAlign w:val="baseline"/>
        </w:rPr>
        <w:t> by representation) </w:t>
      </w:r>
      <w:r>
        <w:rPr>
          <w:color w:val="005DA1"/>
          <w:u w:val="single" w:color="005DA1"/>
          <w:vertAlign w:val="superscript"/>
        </w:rPr>
        <w:t>619</w:t>
      </w:r>
      <w:r>
        <w:rPr>
          <w:color w:val="005DA1"/>
          <w:vertAlign w:val="baseline"/>
        </w:rPr>
        <w:t> </w:t>
      </w:r>
      <w:r>
        <w:rPr>
          <w:vertAlign w:val="baseline"/>
        </w:rPr>
        <w:t>does not give rise to a cause of action in the sense of entitling the promisee to enforce a promise in its terms, even though it was unsupported by consideration. </w:t>
      </w:r>
      <w:r>
        <w:rPr>
          <w:color w:val="005DA1"/>
          <w:u w:val="single" w:color="005DA1"/>
          <w:vertAlign w:val="superscript"/>
        </w:rPr>
        <w:t>620</w:t>
      </w:r>
      <w:r>
        <w:rPr>
          <w:color w:val="005DA1"/>
          <w:vertAlign w:val="baseline"/>
        </w:rPr>
        <w:t> </w:t>
      </w:r>
      <w:r>
        <w:rPr>
          <w:vertAlign w:val="baseline"/>
        </w:rPr>
        <w:t>It is </w:t>
      </w:r>
      <w:bookmarkStart w:name="_bookmark1016" w:id="1018"/>
      <w:bookmarkEnd w:id="1018"/>
      <w:r>
        <w:rPr>
          <w:vertAlign w:val="baseline"/>
        </w:rPr>
        <w:t>true</w:t>
      </w:r>
      <w:r>
        <w:rPr>
          <w:vertAlign w:val="baseline"/>
        </w:rPr>
        <w:t> that other forms of estoppel, such as proprietary estoppel, may produce this result; but the scope and effects of that doctrine is limited in many important ways </w:t>
      </w:r>
      <w:r>
        <w:rPr>
          <w:color w:val="005DA1"/>
          <w:u w:val="single" w:color="005DA1"/>
          <w:vertAlign w:val="superscript"/>
        </w:rPr>
        <w:t>621</w:t>
      </w:r>
      <w:r>
        <w:rPr>
          <w:color w:val="005DA1"/>
          <w:vertAlign w:val="baseline"/>
        </w:rPr>
        <w:t> </w:t>
      </w:r>
      <w:r>
        <w:rPr>
          <w:vertAlign w:val="baseline"/>
        </w:rPr>
        <w:t>and the law would present an incongruous appearance if those limits could be outflanked simply by invoking the broader doctrine of “Australian estoppel.”</w:t>
      </w:r>
    </w:p>
    <w:p>
      <w:pPr>
        <w:pStyle w:val="BodyText"/>
      </w:pPr>
    </w:p>
    <w:p>
      <w:pPr>
        <w:pStyle w:val="BodyText"/>
        <w:spacing w:before="22"/>
      </w:pPr>
    </w:p>
    <w:p>
      <w:pPr>
        <w:spacing w:before="0"/>
        <w:ind w:left="164" w:right="0" w:firstLine="0"/>
        <w:jc w:val="both"/>
        <w:rPr>
          <w:rFonts w:ascii="Arial"/>
          <w:b/>
          <w:sz w:val="18"/>
        </w:rPr>
      </w:pPr>
      <w:r>
        <w:rPr>
          <w:rFonts w:ascii="Arial"/>
          <w:b/>
          <w:sz w:val="18"/>
        </w:rPr>
        <w:t>Distinguished from estoppel by </w:t>
      </w:r>
      <w:r>
        <w:rPr>
          <w:rFonts w:ascii="Arial"/>
          <w:b/>
          <w:spacing w:val="-2"/>
          <w:sz w:val="18"/>
        </w:rPr>
        <w:t>convention</w:t>
      </w:r>
    </w:p>
    <w:p>
      <w:pPr>
        <w:pStyle w:val="BodyText"/>
        <w:spacing w:before="41"/>
        <w:rPr>
          <w:rFonts w:ascii="Arial"/>
          <w:b/>
          <w:sz w:val="18"/>
        </w:rPr>
      </w:pPr>
    </w:p>
    <w:p>
      <w:pPr>
        <w:pStyle w:val="Heading2"/>
        <w:ind w:left="164"/>
      </w:pPr>
      <w:r>
        <w:rPr/>
        <w:t>4-</w:t>
      </w:r>
      <w:r>
        <w:rPr>
          <w:spacing w:val="-5"/>
        </w:rPr>
        <w:t>108</w:t>
      </w:r>
    </w:p>
    <w:p>
      <w:pPr>
        <w:pStyle w:val="BodyText"/>
        <w:spacing w:before="93"/>
        <w:rPr>
          <w:rFonts w:ascii="Arial"/>
          <w:b/>
        </w:rPr>
      </w:pPr>
    </w:p>
    <w:p>
      <w:pPr>
        <w:pStyle w:val="BodyText"/>
        <w:spacing w:line="235" w:lineRule="auto"/>
        <w:ind w:left="165"/>
      </w:pPr>
      <w:r>
        <w:rPr>
          <w:position w:val="-2"/>
        </w:rPr>
        <w:drawing>
          <wp:inline distT="0" distB="0" distL="0" distR="0">
            <wp:extent cx="107988" cy="107988"/>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017" w:id="1019"/>
      <w:bookmarkEnd w:id="1019"/>
      <w:r>
        <w:rPr>
          <w:rFonts w:ascii="Times New Roman" w:hAnsi="Times New Roman"/>
          <w:spacing w:val="15"/>
        </w:rPr>
      </w:r>
      <w:bookmarkStart w:name="_bookmark1018" w:id="1020"/>
      <w:bookmarkEnd w:id="1020"/>
      <w:r>
        <w:rPr>
          <w:rFonts w:ascii="Times New Roman" w:hAnsi="Times New Roman"/>
          <w:spacing w:val="15"/>
        </w:rPr>
      </w:r>
      <w:r>
        <w:rPr/>
        <w:t>Estoppel by convention may arise where both </w:t>
      </w:r>
      <w:r>
        <w:rPr>
          <w:color w:val="005DA1"/>
          <w:u w:val="single" w:color="005DA1"/>
          <w:vertAlign w:val="superscript"/>
        </w:rPr>
        <w:t>622</w:t>
      </w:r>
      <w:r>
        <w:rPr>
          <w:color w:val="005DA1"/>
          <w:vertAlign w:val="baseline"/>
        </w:rPr>
        <w:t> </w:t>
      </w:r>
      <w:r>
        <w:rPr>
          <w:vertAlign w:val="baseline"/>
        </w:rPr>
        <w:t>parties to a transaction “act on assumed state </w:t>
      </w:r>
      <w:r>
        <w:rPr>
          <w:vertAlign w:val="baseline"/>
        </w:rPr>
        <w:t>of </w:t>
      </w:r>
      <w:bookmarkStart w:name="_bookmark1019" w:id="1021"/>
      <w:bookmarkEnd w:id="1021"/>
      <w:r>
        <w:rPr>
          <w:vertAlign w:val="baseline"/>
        </w:rPr>
        <w:t>facts</w:t>
      </w:r>
      <w:r>
        <w:rPr>
          <w:spacing w:val="6"/>
          <w:vertAlign w:val="baseline"/>
        </w:rPr>
        <w:t> </w:t>
      </w:r>
      <w:r>
        <w:rPr>
          <w:color w:val="005DA1"/>
          <w:u w:val="single" w:color="005DA1"/>
          <w:vertAlign w:val="superscript"/>
        </w:rPr>
        <w:t>623</w:t>
      </w:r>
      <w:r>
        <w:rPr>
          <w:color w:val="005DA1"/>
          <w:spacing w:val="6"/>
          <w:vertAlign w:val="baseline"/>
        </w:rPr>
        <w:t> </w:t>
      </w:r>
      <w:r>
        <w:rPr>
          <w:vertAlign w:val="baseline"/>
        </w:rPr>
        <w:t>or</w:t>
      </w:r>
      <w:r>
        <w:rPr>
          <w:spacing w:val="6"/>
          <w:vertAlign w:val="baseline"/>
        </w:rPr>
        <w:t> </w:t>
      </w:r>
      <w:r>
        <w:rPr>
          <w:vertAlign w:val="baseline"/>
        </w:rPr>
        <w:t>law,</w:t>
      </w:r>
      <w:r>
        <w:rPr>
          <w:spacing w:val="6"/>
          <w:vertAlign w:val="baseline"/>
        </w:rPr>
        <w:t> </w:t>
      </w:r>
      <w:r>
        <w:rPr>
          <w:color w:val="005DA1"/>
          <w:u w:val="single" w:color="005DA1"/>
          <w:vertAlign w:val="superscript"/>
        </w:rPr>
        <w:t>624</w:t>
      </w:r>
      <w:r>
        <w:rPr>
          <w:color w:val="005DA1"/>
          <w:spacing w:val="6"/>
          <w:vertAlign w:val="baseline"/>
        </w:rPr>
        <w:t> </w:t>
      </w:r>
      <w:r>
        <w:rPr>
          <w:vertAlign w:val="baseline"/>
        </w:rPr>
        <w:t>the</w:t>
      </w:r>
      <w:r>
        <w:rPr>
          <w:spacing w:val="7"/>
          <w:vertAlign w:val="baseline"/>
        </w:rPr>
        <w:t> </w:t>
      </w:r>
      <w:r>
        <w:rPr>
          <w:vertAlign w:val="baseline"/>
        </w:rPr>
        <w:t>assumption</w:t>
      </w:r>
      <w:r>
        <w:rPr>
          <w:spacing w:val="6"/>
          <w:vertAlign w:val="baseline"/>
        </w:rPr>
        <w:t> </w:t>
      </w:r>
      <w:r>
        <w:rPr>
          <w:vertAlign w:val="baseline"/>
        </w:rPr>
        <w:t>being</w:t>
      </w:r>
      <w:r>
        <w:rPr>
          <w:spacing w:val="6"/>
          <w:vertAlign w:val="baseline"/>
        </w:rPr>
        <w:t> </w:t>
      </w:r>
      <w:r>
        <w:rPr>
          <w:vertAlign w:val="baseline"/>
        </w:rPr>
        <w:t>either</w:t>
      </w:r>
      <w:r>
        <w:rPr>
          <w:spacing w:val="6"/>
          <w:vertAlign w:val="baseline"/>
        </w:rPr>
        <w:t> </w:t>
      </w:r>
      <w:r>
        <w:rPr>
          <w:vertAlign w:val="baseline"/>
        </w:rPr>
        <w:t>shared</w:t>
      </w:r>
      <w:r>
        <w:rPr>
          <w:spacing w:val="6"/>
          <w:vertAlign w:val="baseline"/>
        </w:rPr>
        <w:t> </w:t>
      </w:r>
      <w:r>
        <w:rPr>
          <w:vertAlign w:val="baseline"/>
        </w:rPr>
        <w:t>by</w:t>
      </w:r>
      <w:r>
        <w:rPr>
          <w:spacing w:val="6"/>
          <w:vertAlign w:val="baseline"/>
        </w:rPr>
        <w:t> </w:t>
      </w:r>
      <w:r>
        <w:rPr>
          <w:vertAlign w:val="baseline"/>
        </w:rPr>
        <w:t>both</w:t>
      </w:r>
      <w:r>
        <w:rPr>
          <w:spacing w:val="7"/>
          <w:vertAlign w:val="baseline"/>
        </w:rPr>
        <w:t> </w:t>
      </w:r>
      <w:r>
        <w:rPr>
          <w:vertAlign w:val="baseline"/>
        </w:rPr>
        <w:t>or</w:t>
      </w:r>
      <w:r>
        <w:rPr>
          <w:spacing w:val="6"/>
          <w:vertAlign w:val="baseline"/>
        </w:rPr>
        <w:t> </w:t>
      </w:r>
      <w:r>
        <w:rPr>
          <w:vertAlign w:val="baseline"/>
        </w:rPr>
        <w:t>made</w:t>
      </w:r>
      <w:r>
        <w:rPr>
          <w:spacing w:val="6"/>
          <w:vertAlign w:val="baseline"/>
        </w:rPr>
        <w:t> </w:t>
      </w:r>
      <w:r>
        <w:rPr>
          <w:vertAlign w:val="baseline"/>
        </w:rPr>
        <w:t>by</w:t>
      </w:r>
      <w:r>
        <w:rPr>
          <w:spacing w:val="6"/>
          <w:vertAlign w:val="baseline"/>
        </w:rPr>
        <w:t> </w:t>
      </w:r>
      <w:r>
        <w:rPr>
          <w:vertAlign w:val="baseline"/>
        </w:rPr>
        <w:t>one</w:t>
      </w:r>
      <w:r>
        <w:rPr>
          <w:spacing w:val="6"/>
          <w:vertAlign w:val="baseline"/>
        </w:rPr>
        <w:t> </w:t>
      </w:r>
      <w:r>
        <w:rPr>
          <w:vertAlign w:val="baseline"/>
        </w:rPr>
        <w:t>and</w:t>
      </w:r>
      <w:r>
        <w:rPr>
          <w:spacing w:val="6"/>
          <w:vertAlign w:val="baseline"/>
        </w:rPr>
        <w:t> </w:t>
      </w:r>
      <w:r>
        <w:rPr>
          <w:vertAlign w:val="baseline"/>
        </w:rPr>
        <w:t>acquiesced</w:t>
      </w:r>
      <w:r>
        <w:rPr>
          <w:spacing w:val="7"/>
          <w:vertAlign w:val="baseline"/>
        </w:rPr>
        <w:t> </w:t>
      </w:r>
      <w:r>
        <w:rPr>
          <w:vertAlign w:val="baseline"/>
        </w:rPr>
        <w:t>in</w:t>
      </w:r>
      <w:r>
        <w:rPr>
          <w:spacing w:val="6"/>
          <w:vertAlign w:val="baseline"/>
        </w:rPr>
        <w:t> </w:t>
      </w:r>
      <w:r>
        <w:rPr>
          <w:spacing w:val="-5"/>
          <w:vertAlign w:val="baseline"/>
        </w:rPr>
        <w:t>by</w:t>
      </w:r>
    </w:p>
    <w:p>
      <w:pPr>
        <w:pStyle w:val="BodyText"/>
        <w:spacing w:line="235" w:lineRule="auto" w:before="119"/>
        <w:ind w:left="165" w:right="166"/>
      </w:pPr>
      <w:bookmarkStart w:name="_bookmark1020" w:id="1022"/>
      <w:bookmarkEnd w:id="1022"/>
      <w:r>
        <w:rPr/>
      </w:r>
      <w:r>
        <w:rPr/>
        <w:t>the other.” </w:t>
      </w:r>
      <w:r>
        <w:rPr>
          <w:color w:val="005DA1"/>
          <w:u w:val="single" w:color="005DA1"/>
          <w:vertAlign w:val="superscript"/>
        </w:rPr>
        <w:t>625</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6"/>
          <w:vertAlign w:val="baseline"/>
        </w:rPr>
        <w:t> </w:t>
      </w:r>
      <w:r>
        <w:rPr>
          <w:vertAlign w:val="baseline"/>
        </w:rPr>
        <w:t>The parties are then precluded from denying the truth of that assumption, if it would be</w:t>
      </w:r>
      <w:r>
        <w:rPr>
          <w:spacing w:val="9"/>
          <w:vertAlign w:val="baseline"/>
        </w:rPr>
        <w:t> </w:t>
      </w:r>
      <w:r>
        <w:rPr>
          <w:vertAlign w:val="baseline"/>
        </w:rPr>
        <w:t>unjust</w:t>
      </w:r>
      <w:r>
        <w:rPr>
          <w:spacing w:val="10"/>
          <w:vertAlign w:val="baseline"/>
        </w:rPr>
        <w:t> </w:t>
      </w:r>
      <w:r>
        <w:rPr>
          <w:vertAlign w:val="baseline"/>
        </w:rPr>
        <w:t>or</w:t>
      </w:r>
      <w:r>
        <w:rPr>
          <w:spacing w:val="10"/>
          <w:vertAlign w:val="baseline"/>
        </w:rPr>
        <w:t> </w:t>
      </w:r>
      <w:r>
        <w:rPr>
          <w:vertAlign w:val="baseline"/>
        </w:rPr>
        <w:t>unconscionable</w:t>
      </w:r>
      <w:r>
        <w:rPr>
          <w:spacing w:val="9"/>
          <w:vertAlign w:val="baseline"/>
        </w:rPr>
        <w:t> </w:t>
      </w:r>
      <w:r>
        <w:rPr>
          <w:color w:val="005DA1"/>
          <w:u w:val="single" w:color="005DA1"/>
          <w:vertAlign w:val="superscript"/>
        </w:rPr>
        <w:t>626</w:t>
      </w:r>
      <w:r>
        <w:rPr>
          <w:color w:val="005DA1"/>
          <w:spacing w:val="9"/>
          <w:vertAlign w:val="baseline"/>
        </w:rPr>
        <w:t> </w:t>
      </w:r>
      <w:r>
        <w:rPr>
          <w:vertAlign w:val="baseline"/>
        </w:rPr>
        <w:t>(typically</w:t>
      </w:r>
      <w:r>
        <w:rPr>
          <w:spacing w:val="10"/>
          <w:vertAlign w:val="baseline"/>
        </w:rPr>
        <w:t> </w:t>
      </w:r>
      <w:r>
        <w:rPr>
          <w:vertAlign w:val="baseline"/>
        </w:rPr>
        <w:t>because</w:t>
      </w:r>
      <w:r>
        <w:rPr>
          <w:spacing w:val="10"/>
          <w:vertAlign w:val="baseline"/>
        </w:rPr>
        <w:t> </w:t>
      </w:r>
      <w:r>
        <w:rPr>
          <w:vertAlign w:val="baseline"/>
        </w:rPr>
        <w:t>the</w:t>
      </w:r>
      <w:r>
        <w:rPr>
          <w:spacing w:val="10"/>
          <w:vertAlign w:val="baseline"/>
        </w:rPr>
        <w:t> </w:t>
      </w:r>
      <w:r>
        <w:rPr>
          <w:vertAlign w:val="baseline"/>
        </w:rPr>
        <w:t>party</w:t>
      </w:r>
      <w:r>
        <w:rPr>
          <w:spacing w:val="9"/>
          <w:vertAlign w:val="baseline"/>
        </w:rPr>
        <w:t> </w:t>
      </w:r>
      <w:r>
        <w:rPr>
          <w:vertAlign w:val="baseline"/>
        </w:rPr>
        <w:t>claiming</w:t>
      </w:r>
      <w:r>
        <w:rPr>
          <w:spacing w:val="10"/>
          <w:vertAlign w:val="baseline"/>
        </w:rPr>
        <w:t> </w:t>
      </w:r>
      <w:r>
        <w:rPr>
          <w:vertAlign w:val="baseline"/>
        </w:rPr>
        <w:t>the</w:t>
      </w:r>
      <w:r>
        <w:rPr>
          <w:spacing w:val="10"/>
          <w:vertAlign w:val="baseline"/>
        </w:rPr>
        <w:t> </w:t>
      </w:r>
      <w:r>
        <w:rPr>
          <w:vertAlign w:val="baseline"/>
        </w:rPr>
        <w:t>benefit</w:t>
      </w:r>
      <w:r>
        <w:rPr>
          <w:spacing w:val="10"/>
          <w:vertAlign w:val="baseline"/>
        </w:rPr>
        <w:t> </w:t>
      </w:r>
      <w:r>
        <w:rPr>
          <w:vertAlign w:val="baseline"/>
        </w:rPr>
        <w:t>has</w:t>
      </w:r>
      <w:r>
        <w:rPr>
          <w:spacing w:val="9"/>
          <w:vertAlign w:val="baseline"/>
        </w:rPr>
        <w:t> </w:t>
      </w:r>
      <w:r>
        <w:rPr>
          <w:vertAlign w:val="baseline"/>
        </w:rPr>
        <w:t>been</w:t>
      </w:r>
      <w:r>
        <w:rPr>
          <w:spacing w:val="10"/>
          <w:vertAlign w:val="baseline"/>
        </w:rPr>
        <w:t> </w:t>
      </w:r>
      <w:r>
        <w:rPr>
          <w:spacing w:val="-2"/>
          <w:vertAlign w:val="baseline"/>
        </w:rPr>
        <w:t>“materially</w:t>
      </w:r>
    </w:p>
    <w:p>
      <w:pPr>
        <w:pStyle w:val="BodyText"/>
        <w:spacing w:after="0" w:line="235" w:lineRule="auto"/>
        <w:sectPr>
          <w:pgSz w:w="11900" w:h="16840"/>
          <w:pgMar w:header="971" w:footer="0" w:top="1160" w:bottom="280" w:left="1275" w:right="1275"/>
        </w:sectPr>
      </w:pPr>
    </w:p>
    <w:p>
      <w:pPr>
        <w:pStyle w:val="BodyText"/>
        <w:spacing w:before="141"/>
      </w:pPr>
    </w:p>
    <w:p>
      <w:pPr>
        <w:pStyle w:val="BodyText"/>
        <w:spacing w:line="227" w:lineRule="exact"/>
        <w:ind w:left="165"/>
        <w:jc w:val="both"/>
        <w:rPr>
          <w:position w:val="-2"/>
        </w:rPr>
      </w:pPr>
      <w:bookmarkStart w:name="_bookmark1021" w:id="1023"/>
      <w:bookmarkEnd w:id="1023"/>
      <w:r>
        <w:rPr/>
      </w:r>
      <w:bookmarkStart w:name="_bookmark1022" w:id="1024"/>
      <w:bookmarkEnd w:id="1024"/>
      <w:r>
        <w:rPr/>
      </w:r>
      <w:r>
        <w:rPr/>
        <w:t>influenced”</w:t>
      </w:r>
      <w:r>
        <w:rPr>
          <w:spacing w:val="25"/>
        </w:rPr>
        <w:t> </w:t>
      </w:r>
      <w:r>
        <w:rPr/>
        <w:t>by</w:t>
      </w:r>
      <w:r>
        <w:rPr>
          <w:spacing w:val="25"/>
        </w:rPr>
        <w:t> </w:t>
      </w:r>
      <w:r>
        <w:rPr/>
        <w:t>the</w:t>
      </w:r>
      <w:r>
        <w:rPr>
          <w:spacing w:val="25"/>
        </w:rPr>
        <w:t> </w:t>
      </w:r>
      <w:r>
        <w:rPr/>
        <w:t>common</w:t>
      </w:r>
      <w:r>
        <w:rPr>
          <w:spacing w:val="25"/>
        </w:rPr>
        <w:t> </w:t>
      </w:r>
      <w:r>
        <w:rPr/>
        <w:t>assumption)</w:t>
      </w:r>
      <w:r>
        <w:rPr>
          <w:spacing w:val="24"/>
        </w:rPr>
        <w:t> </w:t>
      </w:r>
      <w:r>
        <w:rPr>
          <w:color w:val="005DA1"/>
          <w:u w:val="single" w:color="005DA1"/>
          <w:vertAlign w:val="superscript"/>
        </w:rPr>
        <w:t>627</w:t>
      </w:r>
      <w:r>
        <w:rPr>
          <w:color w:val="005DA1"/>
          <w:spacing w:val="24"/>
          <w:vertAlign w:val="baseline"/>
        </w:rPr>
        <w:t> </w:t>
      </w:r>
      <w:r>
        <w:rPr>
          <w:vertAlign w:val="baseline"/>
        </w:rPr>
        <w:t>to</w:t>
      </w:r>
      <w:r>
        <w:rPr>
          <w:spacing w:val="25"/>
          <w:vertAlign w:val="baseline"/>
        </w:rPr>
        <w:t> </w:t>
      </w:r>
      <w:r>
        <w:rPr>
          <w:vertAlign w:val="baseline"/>
        </w:rPr>
        <w:t>allow</w:t>
      </w:r>
      <w:r>
        <w:rPr>
          <w:spacing w:val="25"/>
          <w:vertAlign w:val="baseline"/>
        </w:rPr>
        <w:t> </w:t>
      </w:r>
      <w:r>
        <w:rPr>
          <w:vertAlign w:val="baseline"/>
        </w:rPr>
        <w:t>them</w:t>
      </w:r>
      <w:r>
        <w:rPr>
          <w:spacing w:val="25"/>
          <w:vertAlign w:val="baseline"/>
        </w:rPr>
        <w:t> </w:t>
      </w:r>
      <w:r>
        <w:rPr>
          <w:vertAlign w:val="baseline"/>
        </w:rPr>
        <w:t>(or</w:t>
      </w:r>
      <w:r>
        <w:rPr>
          <w:spacing w:val="25"/>
          <w:vertAlign w:val="baseline"/>
        </w:rPr>
        <w:t> </w:t>
      </w:r>
      <w:r>
        <w:rPr>
          <w:vertAlign w:val="baseline"/>
        </w:rPr>
        <w:t>one</w:t>
      </w:r>
      <w:r>
        <w:rPr>
          <w:spacing w:val="25"/>
          <w:vertAlign w:val="baseline"/>
        </w:rPr>
        <w:t> </w:t>
      </w:r>
      <w:r>
        <w:rPr>
          <w:vertAlign w:val="baseline"/>
        </w:rPr>
        <w:t>of</w:t>
      </w:r>
      <w:r>
        <w:rPr>
          <w:spacing w:val="25"/>
          <w:vertAlign w:val="baseline"/>
        </w:rPr>
        <w:t> </w:t>
      </w:r>
      <w:r>
        <w:rPr>
          <w:vertAlign w:val="baseline"/>
        </w:rPr>
        <w:t>them)</w:t>
      </w:r>
      <w:r>
        <w:rPr>
          <w:spacing w:val="25"/>
          <w:vertAlign w:val="baseline"/>
        </w:rPr>
        <w:t> </w:t>
      </w:r>
      <w:r>
        <w:rPr>
          <w:vertAlign w:val="baseline"/>
        </w:rPr>
        <w:t>to</w:t>
      </w:r>
      <w:r>
        <w:rPr>
          <w:spacing w:val="25"/>
          <w:vertAlign w:val="baseline"/>
        </w:rPr>
        <w:t> </w:t>
      </w:r>
      <w:r>
        <w:rPr>
          <w:vertAlign w:val="baseline"/>
        </w:rPr>
        <w:t>go</w:t>
      </w:r>
      <w:r>
        <w:rPr>
          <w:spacing w:val="25"/>
          <w:vertAlign w:val="baseline"/>
        </w:rPr>
        <w:t> </w:t>
      </w:r>
      <w:r>
        <w:rPr>
          <w:vertAlign w:val="baseline"/>
        </w:rPr>
        <w:t>back</w:t>
      </w:r>
      <w:r>
        <w:rPr>
          <w:spacing w:val="25"/>
          <w:vertAlign w:val="baseline"/>
        </w:rPr>
        <w:t> </w:t>
      </w:r>
      <w:r>
        <w:rPr>
          <w:vertAlign w:val="baseline"/>
        </w:rPr>
        <w:t>on</w:t>
      </w:r>
      <w:r>
        <w:rPr>
          <w:spacing w:val="25"/>
          <w:vertAlign w:val="baseline"/>
        </w:rPr>
        <w:t> </w:t>
      </w:r>
      <w:r>
        <w:rPr>
          <w:vertAlign w:val="baseline"/>
        </w:rPr>
        <w:t>it.</w:t>
      </w:r>
      <w:r>
        <w:rPr>
          <w:spacing w:val="24"/>
          <w:vertAlign w:val="baseline"/>
        </w:rPr>
        <w:t> </w:t>
      </w:r>
      <w:r>
        <w:rPr>
          <w:color w:val="005DA1"/>
          <w:u w:val="single" w:color="005DA1"/>
          <w:vertAlign w:val="superscript"/>
        </w:rPr>
        <w:t>628</w:t>
      </w:r>
      <w:r>
        <w:rPr>
          <w:color w:val="005DA1"/>
          <w:spacing w:val="65"/>
          <w:vertAlign w:val="baseline"/>
        </w:rPr>
        <w:t>  </w:t>
      </w:r>
      <w:r>
        <w:rPr>
          <w:color w:val="005DA1"/>
          <w:spacing w:val="7"/>
          <w:position w:val="-2"/>
          <w:vertAlign w:val="baseline"/>
        </w:rPr>
        <w:drawing>
          <wp:inline distT="0" distB="0" distL="0" distR="0">
            <wp:extent cx="107988" cy="107988"/>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p>
    <w:p>
      <w:pPr>
        <w:pStyle w:val="BodyText"/>
        <w:spacing w:line="227" w:lineRule="exact"/>
        <w:ind w:left="165"/>
        <w:jc w:val="both"/>
      </w:pPr>
      <w:bookmarkStart w:name="_bookmark1023" w:id="1025"/>
      <w:bookmarkEnd w:id="1025"/>
      <w:r>
        <w:rPr/>
      </w:r>
      <w:r>
        <w:rPr/>
        <w:t>Such</w:t>
      </w:r>
      <w:r>
        <w:rPr>
          <w:spacing w:val="17"/>
        </w:rPr>
        <w:t> </w:t>
      </w:r>
      <w:r>
        <w:rPr/>
        <w:t>an</w:t>
      </w:r>
      <w:r>
        <w:rPr>
          <w:spacing w:val="18"/>
        </w:rPr>
        <w:t> </w:t>
      </w:r>
      <w:r>
        <w:rPr/>
        <w:t>estoppel</w:t>
      </w:r>
      <w:r>
        <w:rPr>
          <w:spacing w:val="18"/>
        </w:rPr>
        <w:t> </w:t>
      </w:r>
      <w:r>
        <w:rPr/>
        <w:t>differs</w:t>
      </w:r>
      <w:r>
        <w:rPr>
          <w:spacing w:val="18"/>
        </w:rPr>
        <w:t> </w:t>
      </w:r>
      <w:r>
        <w:rPr/>
        <w:t>from</w:t>
      </w:r>
      <w:r>
        <w:rPr>
          <w:spacing w:val="18"/>
        </w:rPr>
        <w:t> </w:t>
      </w:r>
      <w:r>
        <w:rPr/>
        <w:t>estoppel</w:t>
      </w:r>
      <w:r>
        <w:rPr>
          <w:spacing w:val="18"/>
        </w:rPr>
        <w:t> </w:t>
      </w:r>
      <w:r>
        <w:rPr/>
        <w:t>by</w:t>
      </w:r>
      <w:r>
        <w:rPr>
          <w:spacing w:val="17"/>
        </w:rPr>
        <w:t> </w:t>
      </w:r>
      <w:r>
        <w:rPr/>
        <w:t>representation</w:t>
      </w:r>
      <w:r>
        <w:rPr>
          <w:spacing w:val="18"/>
        </w:rPr>
        <w:t> </w:t>
      </w:r>
      <w:r>
        <w:rPr/>
        <w:t>and</w:t>
      </w:r>
      <w:r>
        <w:rPr>
          <w:spacing w:val="18"/>
        </w:rPr>
        <w:t> </w:t>
      </w:r>
      <w:r>
        <w:rPr/>
        <w:t>from</w:t>
      </w:r>
      <w:r>
        <w:rPr>
          <w:spacing w:val="18"/>
        </w:rPr>
        <w:t> </w:t>
      </w:r>
      <w:r>
        <w:rPr/>
        <w:t>promissory</w:t>
      </w:r>
      <w:r>
        <w:rPr>
          <w:spacing w:val="18"/>
        </w:rPr>
        <w:t> </w:t>
      </w:r>
      <w:r>
        <w:rPr/>
        <w:t>estoppel</w:t>
      </w:r>
      <w:r>
        <w:rPr>
          <w:spacing w:val="17"/>
        </w:rPr>
        <w:t> </w:t>
      </w:r>
      <w:r>
        <w:rPr>
          <w:color w:val="005DA1"/>
          <w:u w:val="single" w:color="005DA1"/>
          <w:vertAlign w:val="superscript"/>
        </w:rPr>
        <w:t>629</w:t>
      </w:r>
      <w:r>
        <w:rPr>
          <w:color w:val="005DA1"/>
          <w:spacing w:val="17"/>
          <w:vertAlign w:val="baseline"/>
        </w:rPr>
        <w:t> </w:t>
      </w:r>
      <w:r>
        <w:rPr>
          <w:vertAlign w:val="baseline"/>
        </w:rPr>
        <w:t>in</w:t>
      </w:r>
      <w:r>
        <w:rPr>
          <w:spacing w:val="18"/>
          <w:vertAlign w:val="baseline"/>
        </w:rPr>
        <w:t> </w:t>
      </w:r>
      <w:r>
        <w:rPr>
          <w:vertAlign w:val="baseline"/>
        </w:rPr>
        <w:t>that</w:t>
      </w:r>
      <w:r>
        <w:rPr>
          <w:spacing w:val="18"/>
          <w:vertAlign w:val="baseline"/>
        </w:rPr>
        <w:t> </w:t>
      </w:r>
      <w:r>
        <w:rPr>
          <w:spacing w:val="-5"/>
          <w:vertAlign w:val="baseline"/>
        </w:rPr>
        <w:t>it</w:t>
      </w:r>
    </w:p>
    <w:p>
      <w:pPr>
        <w:pStyle w:val="BodyText"/>
        <w:spacing w:line="235" w:lineRule="auto" w:before="119"/>
        <w:ind w:left="165" w:right="167"/>
        <w:jc w:val="both"/>
      </w:pPr>
      <w:r>
        <w:rPr/>
        <w:t>does not depend on any representation or promise. </w:t>
      </w:r>
      <w:r>
        <w:rPr>
          <w:color w:val="005DA1"/>
          <w:u w:val="single" w:color="005DA1"/>
          <w:vertAlign w:val="superscript"/>
        </w:rPr>
        <w:t>630</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color w:val="005DA1"/>
          <w:spacing w:val="19"/>
          <w:vertAlign w:val="baseline"/>
        </w:rPr>
        <w:t> </w:t>
      </w:r>
      <w:r>
        <w:rPr>
          <w:vertAlign w:val="baseline"/>
        </w:rPr>
        <w:t>It can arise by virtue of a common </w:t>
      </w:r>
      <w:bookmarkStart w:name="_bookmark1024" w:id="1026"/>
      <w:bookmarkEnd w:id="1026"/>
      <w:r>
        <w:rPr>
          <w:vertAlign w:val="baseline"/>
        </w:rPr>
        <w:t>assumption</w:t>
      </w:r>
      <w:r>
        <w:rPr>
          <w:spacing w:val="22"/>
          <w:vertAlign w:val="baseline"/>
        </w:rPr>
        <w:t> </w:t>
      </w:r>
      <w:r>
        <w:rPr>
          <w:vertAlign w:val="baseline"/>
        </w:rPr>
        <w:t>which</w:t>
      </w:r>
      <w:r>
        <w:rPr>
          <w:spacing w:val="22"/>
          <w:vertAlign w:val="baseline"/>
        </w:rPr>
        <w:t> </w:t>
      </w:r>
      <w:r>
        <w:rPr>
          <w:vertAlign w:val="baseline"/>
        </w:rPr>
        <w:t>was</w:t>
      </w:r>
      <w:r>
        <w:rPr>
          <w:spacing w:val="22"/>
          <w:vertAlign w:val="baseline"/>
        </w:rPr>
        <w:t> </w:t>
      </w:r>
      <w:r>
        <w:rPr>
          <w:vertAlign w:val="baseline"/>
        </w:rPr>
        <w:t>not</w:t>
      </w:r>
      <w:r>
        <w:rPr>
          <w:spacing w:val="22"/>
          <w:vertAlign w:val="baseline"/>
        </w:rPr>
        <w:t> </w:t>
      </w:r>
      <w:r>
        <w:rPr>
          <w:vertAlign w:val="baseline"/>
        </w:rPr>
        <w:t>induced</w:t>
      </w:r>
      <w:r>
        <w:rPr>
          <w:spacing w:val="22"/>
          <w:vertAlign w:val="baseline"/>
        </w:rPr>
        <w:t> </w:t>
      </w:r>
      <w:r>
        <w:rPr>
          <w:vertAlign w:val="baseline"/>
        </w:rPr>
        <w:t>by</w:t>
      </w:r>
      <w:r>
        <w:rPr>
          <w:spacing w:val="22"/>
          <w:vertAlign w:val="baseline"/>
        </w:rPr>
        <w:t> </w:t>
      </w:r>
      <w:r>
        <w:rPr>
          <w:vertAlign w:val="baseline"/>
        </w:rPr>
        <w:t>the</w:t>
      </w:r>
      <w:r>
        <w:rPr>
          <w:spacing w:val="22"/>
          <w:vertAlign w:val="baseline"/>
        </w:rPr>
        <w:t> </w:t>
      </w:r>
      <w:r>
        <w:rPr>
          <w:vertAlign w:val="baseline"/>
        </w:rPr>
        <w:t>party</w:t>
      </w:r>
      <w:r>
        <w:rPr>
          <w:spacing w:val="22"/>
          <w:vertAlign w:val="baseline"/>
        </w:rPr>
        <w:t> </w:t>
      </w:r>
      <w:r>
        <w:rPr>
          <w:vertAlign w:val="baseline"/>
        </w:rPr>
        <w:t>alleged</w:t>
      </w:r>
      <w:r>
        <w:rPr>
          <w:spacing w:val="22"/>
          <w:vertAlign w:val="baseline"/>
        </w:rPr>
        <w:t> </w:t>
      </w:r>
      <w:r>
        <w:rPr>
          <w:vertAlign w:val="baseline"/>
        </w:rPr>
        <w:t>to</w:t>
      </w:r>
      <w:r>
        <w:rPr>
          <w:spacing w:val="22"/>
          <w:vertAlign w:val="baseline"/>
        </w:rPr>
        <w:t> </w:t>
      </w:r>
      <w:r>
        <w:rPr>
          <w:vertAlign w:val="baseline"/>
        </w:rPr>
        <w:t>be</w:t>
      </w:r>
      <w:r>
        <w:rPr>
          <w:spacing w:val="22"/>
          <w:vertAlign w:val="baseline"/>
        </w:rPr>
        <w:t> </w:t>
      </w:r>
      <w:r>
        <w:rPr>
          <w:vertAlign w:val="baseline"/>
        </w:rPr>
        <w:t>estopped</w:t>
      </w:r>
      <w:r>
        <w:rPr>
          <w:spacing w:val="22"/>
          <w:vertAlign w:val="baseline"/>
        </w:rPr>
        <w:t> </w:t>
      </w:r>
      <w:r>
        <w:rPr>
          <w:vertAlign w:val="baseline"/>
        </w:rPr>
        <w:t>but</w:t>
      </w:r>
      <w:r>
        <w:rPr>
          <w:spacing w:val="22"/>
          <w:vertAlign w:val="baseline"/>
        </w:rPr>
        <w:t> </w:t>
      </w:r>
      <w:r>
        <w:rPr>
          <w:vertAlign w:val="baseline"/>
        </w:rPr>
        <w:t>which</w:t>
      </w:r>
      <w:r>
        <w:rPr>
          <w:spacing w:val="22"/>
          <w:vertAlign w:val="baseline"/>
        </w:rPr>
        <w:t> </w:t>
      </w:r>
      <w:r>
        <w:rPr>
          <w:vertAlign w:val="baseline"/>
        </w:rPr>
        <w:t>was</w:t>
      </w:r>
      <w:r>
        <w:rPr>
          <w:spacing w:val="22"/>
          <w:vertAlign w:val="baseline"/>
        </w:rPr>
        <w:t> </w:t>
      </w:r>
      <w:r>
        <w:rPr>
          <w:vertAlign w:val="baseline"/>
        </w:rPr>
        <w:t>based</w:t>
      </w:r>
      <w:r>
        <w:rPr>
          <w:spacing w:val="22"/>
          <w:vertAlign w:val="baseline"/>
        </w:rPr>
        <w:t> </w:t>
      </w:r>
      <w:r>
        <w:rPr>
          <w:vertAlign w:val="baseline"/>
        </w:rPr>
        <w:t>on</w:t>
      </w:r>
      <w:r>
        <w:rPr>
          <w:spacing w:val="22"/>
          <w:vertAlign w:val="baseline"/>
        </w:rPr>
        <w:t> </w:t>
      </w:r>
      <w:r>
        <w:rPr>
          <w:spacing w:val="-10"/>
          <w:vertAlign w:val="baseline"/>
        </w:rPr>
        <w:t>a</w:t>
      </w:r>
    </w:p>
    <w:p>
      <w:pPr>
        <w:pStyle w:val="BodyText"/>
        <w:spacing w:line="235" w:lineRule="auto" w:before="119"/>
        <w:ind w:left="164" w:right="167"/>
        <w:jc w:val="both"/>
      </w:pPr>
      <w:r>
        <w:rPr/>
        <w:t>mistake spontaneously made by the party relying on it and acquiesced in by the other party. </w:t>
      </w:r>
      <w:r>
        <w:rPr>
          <w:color w:val="005DA1"/>
          <w:u w:val="single" w:color="005DA1"/>
          <w:vertAlign w:val="superscript"/>
        </w:rPr>
        <w:t>631</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10"/>
          <w:vertAlign w:val="baseline"/>
        </w:rPr>
        <w:t> </w:t>
      </w:r>
      <w:r>
        <w:rPr>
          <w:vertAlign w:val="baseline"/>
        </w:rPr>
        <w:t>It </w:t>
      </w:r>
      <w:bookmarkStart w:name="_bookmark1025" w:id="1027"/>
      <w:bookmarkEnd w:id="1027"/>
      <w:r>
        <w:rPr>
          <w:vertAlign w:val="baseline"/>
        </w:rPr>
        <w:t>seems,</w:t>
      </w:r>
      <w:r>
        <w:rPr>
          <w:vertAlign w:val="baseline"/>
        </w:rPr>
        <w:t> however, that the assumption resembles the representation required to give rise to other </w:t>
      </w:r>
      <w:bookmarkStart w:name="_bookmark1026" w:id="1028"/>
      <w:bookmarkEnd w:id="1028"/>
      <w:r>
        <w:rPr>
          <w:vertAlign w:val="baseline"/>
        </w:rPr>
        <w:t>forms</w:t>
      </w:r>
      <w:r>
        <w:rPr>
          <w:vertAlign w:val="baseline"/>
        </w:rPr>
        <w:t> of estoppel to the extent that it must be “unambiguous and unequivocal” </w:t>
      </w:r>
      <w:r>
        <w:rPr>
          <w:color w:val="005DA1"/>
          <w:u w:val="single" w:color="005DA1"/>
          <w:vertAlign w:val="superscript"/>
        </w:rPr>
        <w:t>632</w:t>
      </w:r>
      <w:r>
        <w:rPr>
          <w:vertAlign w:val="baseline"/>
        </w:rPr>
        <w:t>; and this common feature can make it hard to distinguish between these two forms of estoppel. </w:t>
      </w:r>
      <w:r>
        <w:rPr>
          <w:color w:val="005DA1"/>
          <w:u w:val="single" w:color="005DA1"/>
          <w:vertAlign w:val="superscript"/>
        </w:rPr>
        <w:t>633</w:t>
      </w:r>
      <w:r>
        <w:rPr>
          <w:color w:val="005DA1"/>
          <w:vertAlign w:val="baseline"/>
        </w:rPr>
        <w:t> </w:t>
      </w:r>
      <w:r>
        <w:rPr>
          <w:vertAlign w:val="baseline"/>
        </w:rPr>
        <w:t>Estoppel </w:t>
      </w:r>
      <w:r>
        <w:rPr>
          <w:vertAlign w:val="baseline"/>
        </w:rPr>
        <w:t>by </w:t>
      </w:r>
      <w:bookmarkStart w:name="_bookmark1027" w:id="1029"/>
      <w:bookmarkEnd w:id="1029"/>
      <w:r>
        <w:rPr>
          <w:vertAlign w:val="baseline"/>
        </w:rPr>
        <w:t>convention</w:t>
      </w:r>
      <w:r>
        <w:rPr>
          <w:vertAlign w:val="baseline"/>
        </w:rPr>
        <w:t> has also been said to arise out of an express agreement by which the parties had </w:t>
      </w:r>
      <w:bookmarkStart w:name="_bookmark1028" w:id="1030"/>
      <w:bookmarkEnd w:id="1030"/>
      <w:r>
        <w:rPr>
          <w:vertAlign w:val="baseline"/>
        </w:rPr>
        <w:t>compromised</w:t>
      </w:r>
      <w:r>
        <w:rPr>
          <w:vertAlign w:val="baseline"/>
        </w:rPr>
        <w:t> a disputed claim </w:t>
      </w:r>
      <w:r>
        <w:rPr>
          <w:color w:val="005DA1"/>
          <w:u w:val="single" w:color="005DA1"/>
          <w:vertAlign w:val="superscript"/>
        </w:rPr>
        <w:t>634</w:t>
      </w:r>
      <w:r>
        <w:rPr>
          <w:vertAlign w:val="baseline"/>
        </w:rPr>
        <w:t>; but where such a compromise is supported by consideration (in </w:t>
      </w:r>
      <w:bookmarkStart w:name="_bookmark1029" w:id="1031"/>
      <w:bookmarkEnd w:id="1031"/>
      <w:r>
        <w:rPr>
          <w:vertAlign w:val="baseline"/>
        </w:rPr>
        <w:t>accordance</w:t>
      </w:r>
      <w:r>
        <w:rPr>
          <w:spacing w:val="13"/>
          <w:vertAlign w:val="baseline"/>
        </w:rPr>
        <w:t> </w:t>
      </w:r>
      <w:r>
        <w:rPr>
          <w:vertAlign w:val="baseline"/>
        </w:rPr>
        <w:t>with</w:t>
      </w:r>
      <w:r>
        <w:rPr>
          <w:spacing w:val="14"/>
          <w:vertAlign w:val="baseline"/>
        </w:rPr>
        <w:t> </w:t>
      </w:r>
      <w:r>
        <w:rPr>
          <w:vertAlign w:val="baseline"/>
        </w:rPr>
        <w:t>the</w:t>
      </w:r>
      <w:r>
        <w:rPr>
          <w:spacing w:val="14"/>
          <w:vertAlign w:val="baseline"/>
        </w:rPr>
        <w:t> </w:t>
      </w:r>
      <w:r>
        <w:rPr>
          <w:vertAlign w:val="baseline"/>
        </w:rPr>
        <w:t>principles</w:t>
      </w:r>
      <w:r>
        <w:rPr>
          <w:spacing w:val="14"/>
          <w:vertAlign w:val="baseline"/>
        </w:rPr>
        <w:t> </w:t>
      </w:r>
      <w:r>
        <w:rPr>
          <w:vertAlign w:val="baseline"/>
        </w:rPr>
        <w:t>discussed</w:t>
      </w:r>
      <w:r>
        <w:rPr>
          <w:spacing w:val="14"/>
          <w:vertAlign w:val="baseline"/>
        </w:rPr>
        <w:t> </w:t>
      </w:r>
      <w:r>
        <w:rPr>
          <w:vertAlign w:val="baseline"/>
        </w:rPr>
        <w:t>earlier</w:t>
      </w:r>
      <w:r>
        <w:rPr>
          <w:spacing w:val="14"/>
          <w:vertAlign w:val="baseline"/>
        </w:rPr>
        <w:t> </w:t>
      </w:r>
      <w:r>
        <w:rPr>
          <w:vertAlign w:val="baseline"/>
        </w:rPr>
        <w:t>in</w:t>
      </w:r>
      <w:r>
        <w:rPr>
          <w:spacing w:val="14"/>
          <w:vertAlign w:val="baseline"/>
        </w:rPr>
        <w:t> </w:t>
      </w:r>
      <w:r>
        <w:rPr>
          <w:vertAlign w:val="baseline"/>
        </w:rPr>
        <w:t>this</w:t>
      </w:r>
      <w:r>
        <w:rPr>
          <w:spacing w:val="14"/>
          <w:vertAlign w:val="baseline"/>
        </w:rPr>
        <w:t> </w:t>
      </w:r>
      <w:r>
        <w:rPr>
          <w:vertAlign w:val="baseline"/>
        </w:rPr>
        <w:t>Chapter</w:t>
      </w:r>
      <w:r>
        <w:rPr>
          <w:spacing w:val="13"/>
          <w:vertAlign w:val="baseline"/>
        </w:rPr>
        <w:t> </w:t>
      </w:r>
      <w:r>
        <w:rPr>
          <w:color w:val="005DA1"/>
          <w:u w:val="single" w:color="005DA1"/>
          <w:vertAlign w:val="superscript"/>
        </w:rPr>
        <w:t>635</w:t>
      </w:r>
      <w:r>
        <w:rPr>
          <w:vertAlign w:val="baseline"/>
        </w:rPr>
        <w:t>)</w:t>
      </w:r>
      <w:r>
        <w:rPr>
          <w:spacing w:val="14"/>
          <w:vertAlign w:val="baseline"/>
        </w:rPr>
        <w:t> </w:t>
      </w:r>
      <w:r>
        <w:rPr>
          <w:vertAlign w:val="baseline"/>
        </w:rPr>
        <w:t>it</w:t>
      </w:r>
      <w:r>
        <w:rPr>
          <w:spacing w:val="13"/>
          <w:vertAlign w:val="baseline"/>
        </w:rPr>
        <w:t> </w:t>
      </w:r>
      <w:r>
        <w:rPr>
          <w:vertAlign w:val="baseline"/>
        </w:rPr>
        <w:t>is</w:t>
      </w:r>
      <w:r>
        <w:rPr>
          <w:spacing w:val="14"/>
          <w:vertAlign w:val="baseline"/>
        </w:rPr>
        <w:t> </w:t>
      </w:r>
      <w:r>
        <w:rPr>
          <w:vertAlign w:val="baseline"/>
        </w:rPr>
        <w:t>binding</w:t>
      </w:r>
      <w:r>
        <w:rPr>
          <w:spacing w:val="14"/>
          <w:vertAlign w:val="baseline"/>
        </w:rPr>
        <w:t> </w:t>
      </w:r>
      <w:r>
        <w:rPr>
          <w:vertAlign w:val="baseline"/>
        </w:rPr>
        <w:t>as</w:t>
      </w:r>
      <w:r>
        <w:rPr>
          <w:spacing w:val="14"/>
          <w:vertAlign w:val="baseline"/>
        </w:rPr>
        <w:t> </w:t>
      </w:r>
      <w:r>
        <w:rPr>
          <w:vertAlign w:val="baseline"/>
        </w:rPr>
        <w:t>a</w:t>
      </w:r>
      <w:r>
        <w:rPr>
          <w:spacing w:val="14"/>
          <w:vertAlign w:val="baseline"/>
        </w:rPr>
        <w:t> </w:t>
      </w:r>
      <w:r>
        <w:rPr>
          <w:vertAlign w:val="baseline"/>
        </w:rPr>
        <w:t>contract,</w:t>
      </w:r>
      <w:r>
        <w:rPr>
          <w:spacing w:val="14"/>
          <w:vertAlign w:val="baseline"/>
        </w:rPr>
        <w:t> </w:t>
      </w:r>
      <w:r>
        <w:rPr>
          <w:color w:val="005DA1"/>
          <w:u w:val="single" w:color="005DA1"/>
          <w:vertAlign w:val="superscript"/>
        </w:rPr>
        <w:t>636</w:t>
      </w:r>
      <w:r>
        <w:rPr>
          <w:color w:val="005DA1"/>
          <w:spacing w:val="14"/>
          <w:vertAlign w:val="baseline"/>
        </w:rPr>
        <w:t> </w:t>
      </w:r>
      <w:r>
        <w:rPr>
          <w:spacing w:val="-5"/>
          <w:vertAlign w:val="baseline"/>
        </w:rPr>
        <w:t>so</w:t>
      </w:r>
    </w:p>
    <w:p>
      <w:pPr>
        <w:pStyle w:val="BodyText"/>
        <w:spacing w:before="114"/>
        <w:ind w:left="165"/>
        <w:jc w:val="both"/>
        <w:rPr>
          <w:position w:val="-2"/>
        </w:rPr>
      </w:pPr>
      <w:r>
        <w:rPr/>
        <w:t>that there is, it is submitted, no need to rely on estoppel by convention. </w:t>
      </w:r>
      <w:r>
        <w:rPr>
          <w:color w:val="005DA1"/>
          <w:u w:val="single" w:color="005DA1"/>
          <w:vertAlign w:val="superscript"/>
        </w:rPr>
        <w:t>637</w:t>
      </w:r>
      <w:r>
        <w:rPr>
          <w:color w:val="005DA1"/>
          <w:spacing w:val="80"/>
          <w:w w:val="150"/>
          <w:vertAlign w:val="baseline"/>
        </w:rPr>
        <w:t> </w:t>
      </w:r>
      <w:r>
        <w:rPr>
          <w:color w:val="005DA1"/>
          <w:position w:val="-2"/>
          <w:vertAlign w:val="baseline"/>
        </w:rPr>
        <w:drawing>
          <wp:inline distT="0" distB="0" distL="0" distR="0">
            <wp:extent cx="107988" cy="107988"/>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Further requirements of estoppel by </w:t>
      </w:r>
      <w:r>
        <w:rPr>
          <w:rFonts w:ascii="Arial"/>
          <w:b/>
          <w:spacing w:val="-2"/>
          <w:sz w:val="18"/>
        </w:rPr>
        <w:t>convention</w:t>
      </w:r>
    </w:p>
    <w:p>
      <w:pPr>
        <w:pStyle w:val="BodyText"/>
        <w:spacing w:before="41"/>
        <w:rPr>
          <w:rFonts w:ascii="Arial"/>
          <w:b/>
          <w:sz w:val="18"/>
        </w:rPr>
      </w:pPr>
    </w:p>
    <w:p>
      <w:pPr>
        <w:pStyle w:val="Heading2"/>
      </w:pPr>
      <w:r>
        <w:rPr/>
        <w:t>4-</w:t>
      </w:r>
      <w:r>
        <w:rPr>
          <w:spacing w:val="-5"/>
        </w:rPr>
        <w:t>109</w:t>
      </w:r>
    </w:p>
    <w:p>
      <w:pPr>
        <w:pStyle w:val="BodyText"/>
        <w:spacing w:line="235" w:lineRule="auto" w:before="203"/>
        <w:ind w:left="164" w:right="167"/>
        <w:jc w:val="both"/>
      </w:pPr>
      <w:bookmarkStart w:name="_bookmark1030" w:id="1032"/>
      <w:bookmarkEnd w:id="1032"/>
      <w:r>
        <w:rPr/>
      </w:r>
      <w:r>
        <w:rPr/>
        <w:t>This kind of estoppel was discussed in </w:t>
      </w:r>
      <w:r>
        <w:rPr>
          <w:rFonts w:ascii="Arial" w:hAnsi="Arial"/>
          <w:i/>
        </w:rPr>
        <w:t>Amalgamated Investment &amp; Property Co Ltd v Texas Commerce International Bank Ltd</w:t>
      </w:r>
      <w:r>
        <w:rPr/>
        <w:t>. </w:t>
      </w:r>
      <w:r>
        <w:rPr>
          <w:color w:val="005DA1"/>
          <w:u w:val="single" w:color="005DA1"/>
          <w:vertAlign w:val="superscript"/>
        </w:rPr>
        <w:t>638</w:t>
      </w:r>
      <w:r>
        <w:rPr>
          <w:color w:val="005DA1"/>
          <w:vertAlign w:val="baseline"/>
        </w:rPr>
        <w:t> </w:t>
      </w:r>
      <w:r>
        <w:rPr>
          <w:vertAlign w:val="baseline"/>
        </w:rPr>
        <w:t>In that case, A had negotiated with the X Bank for a loan to B (one of A’s subsidiaries) for the purpose of acquiring and developing a property in the Bahamas. </w:t>
      </w:r>
      <w:r>
        <w:rPr>
          <w:vertAlign w:val="baseline"/>
        </w:rPr>
        <w:t>It was agreed that the loan was to be secured by a mortgage on that property and also by a guarantee from A. In the guarantee, A promised the X Bank, in consideration of the Bank’s giving credit to B, to “pay you … all moneys … due </w:t>
      </w:r>
      <w:r>
        <w:rPr>
          <w:rFonts w:ascii="Arial" w:hAnsi="Arial"/>
          <w:i/>
          <w:vertAlign w:val="baseline"/>
        </w:rPr>
        <w:t>to you</w:t>
      </w:r>
      <w:r>
        <w:rPr>
          <w:vertAlign w:val="baseline"/>
        </w:rPr>
        <w:t>” from B. This was an inappropriate form of words since the loan to B was not made directly by the X Bank but by one of its subsidiaries, the Y Bank, with money provided by the X Bank: hence, if the guarantee were read literally, it would not apply to the loan</w:t>
      </w:r>
      <w:r>
        <w:rPr>
          <w:spacing w:val="80"/>
          <w:vertAlign w:val="baseline"/>
        </w:rPr>
        <w:t> </w:t>
      </w:r>
      <w:r>
        <w:rPr>
          <w:vertAlign w:val="baseline"/>
        </w:rPr>
        <w:t>since no money was due from B to the X Bank. The Court of Appeal, however, took the view that this </w:t>
      </w:r>
      <w:bookmarkStart w:name="_bookmark1031" w:id="1033"/>
      <w:bookmarkEnd w:id="1033"/>
      <w:r>
        <w:rPr>
          <w:vertAlign w:val="baseline"/>
        </w:rPr>
        <w:t>literal</w:t>
      </w:r>
      <w:r>
        <w:rPr>
          <w:vertAlign w:val="baseline"/>
        </w:rPr>
        <w:t> interpretation would defeat the intention of the parties, and held that, on its true construction,</w:t>
      </w:r>
      <w:r>
        <w:rPr>
          <w:spacing w:val="40"/>
          <w:vertAlign w:val="baseline"/>
        </w:rPr>
        <w:t> </w:t>
      </w:r>
      <w:r>
        <w:rPr>
          <w:vertAlign w:val="baseline"/>
        </w:rPr>
        <w:t>the guarantee applied to the loan made by the Y Bank. </w:t>
      </w:r>
      <w:r>
        <w:rPr>
          <w:color w:val="005DA1"/>
          <w:u w:val="single" w:color="005DA1"/>
          <w:vertAlign w:val="superscript"/>
        </w:rPr>
        <w:t>639</w:t>
      </w:r>
      <w:r>
        <w:rPr>
          <w:color w:val="005DA1"/>
          <w:vertAlign w:val="baseline"/>
        </w:rPr>
        <w:t> </w:t>
      </w:r>
      <w:r>
        <w:rPr>
          <w:vertAlign w:val="baseline"/>
        </w:rPr>
        <w:t>But even if the guarantee did not, on its</w:t>
      </w:r>
      <w:r>
        <w:rPr>
          <w:spacing w:val="40"/>
          <w:vertAlign w:val="baseline"/>
        </w:rPr>
        <w:t> </w:t>
      </w:r>
      <w:r>
        <w:rPr>
          <w:vertAlign w:val="baseline"/>
        </w:rPr>
        <w:t>true construction, produce this result, A was estopped from denying that the guarantee covered the </w:t>
      </w:r>
      <w:bookmarkStart w:name="_bookmark1032" w:id="1034"/>
      <w:bookmarkEnd w:id="1034"/>
      <w:r>
        <w:rPr>
          <w:vertAlign w:val="baseline"/>
        </w:rPr>
        <w:t>loan</w:t>
      </w:r>
      <w:r>
        <w:rPr>
          <w:vertAlign w:val="baseline"/>
        </w:rPr>
        <w:t> by the Y Bank, since, when negotiating the loan, both A and the X Bank had assumed that the guarantee did cover it; and since the X Bank continued subsequently to act on that assumption </w:t>
      </w:r>
      <w:r>
        <w:rPr>
          <w:color w:val="005DA1"/>
          <w:u w:val="single" w:color="005DA1"/>
          <w:vertAlign w:val="superscript"/>
        </w:rPr>
        <w:t>640</w:t>
      </w:r>
      <w:r>
        <w:rPr>
          <w:color w:val="005DA1"/>
          <w:vertAlign w:val="baseline"/>
        </w:rPr>
        <w:t> </w:t>
      </w:r>
      <w:r>
        <w:rPr>
          <w:vertAlign w:val="baseline"/>
        </w:rPr>
        <w:t>in </w:t>
      </w:r>
      <w:bookmarkStart w:name="_bookmark1033" w:id="1035"/>
      <w:bookmarkEnd w:id="1035"/>
      <w:r>
        <w:rPr>
          <w:vertAlign w:val="baseline"/>
        </w:rPr>
        <w:t>granting</w:t>
      </w:r>
      <w:r>
        <w:rPr>
          <w:vertAlign w:val="baseline"/>
        </w:rPr>
        <w:t> various indulgences to A in respect of the loan to B and of another loan made directly by the X Bank to A. It made no difference that the assumption was not induced by any representation </w:t>
      </w:r>
      <w:r>
        <w:rPr>
          <w:color w:val="005DA1"/>
          <w:u w:val="single" w:color="005DA1"/>
          <w:vertAlign w:val="superscript"/>
        </w:rPr>
        <w:t>641</w:t>
      </w:r>
      <w:r>
        <w:rPr>
          <w:color w:val="005DA1"/>
          <w:vertAlign w:val="baseline"/>
        </w:rPr>
        <w:t> </w:t>
      </w:r>
      <w:bookmarkStart w:name="_bookmark1034" w:id="1036"/>
      <w:bookmarkEnd w:id="1036"/>
      <w:r>
        <w:rPr>
          <w:color w:val="005DA1"/>
          <w:w w:val="92"/>
          <w:vertAlign w:val="baseline"/>
        </w:rPr>
      </w:r>
      <w:r>
        <w:rPr>
          <w:vertAlign w:val="baseline"/>
        </w:rPr>
        <w:t>made by A but originated in the X Bank’s own mistake: the estoppel was not one by representation</w:t>
      </w:r>
      <w:r>
        <w:rPr>
          <w:spacing w:val="40"/>
          <w:vertAlign w:val="baseline"/>
        </w:rPr>
        <w:t> </w:t>
      </w:r>
      <w:r>
        <w:rPr>
          <w:vertAlign w:val="baseline"/>
        </w:rPr>
        <w:t>but</w:t>
      </w:r>
      <w:r>
        <w:rPr>
          <w:spacing w:val="-4"/>
          <w:vertAlign w:val="baseline"/>
        </w:rPr>
        <w:t> </w:t>
      </w:r>
      <w:r>
        <w:rPr>
          <w:vertAlign w:val="baseline"/>
        </w:rPr>
        <w:t>by</w:t>
      </w:r>
      <w:r>
        <w:rPr>
          <w:spacing w:val="-4"/>
          <w:vertAlign w:val="baseline"/>
        </w:rPr>
        <w:t> </w:t>
      </w:r>
      <w:r>
        <w:rPr>
          <w:vertAlign w:val="baseline"/>
        </w:rPr>
        <w:t>convention.</w:t>
      </w:r>
      <w:r>
        <w:rPr>
          <w:spacing w:val="-4"/>
          <w:vertAlign w:val="baseline"/>
        </w:rPr>
        <w:t> </w:t>
      </w:r>
      <w:r>
        <w:rPr>
          <w:color w:val="005DA1"/>
          <w:u w:val="single" w:color="005DA1"/>
          <w:vertAlign w:val="superscript"/>
        </w:rPr>
        <w:t>642</w:t>
      </w:r>
      <w:r>
        <w:rPr>
          <w:color w:val="005DA1"/>
          <w:spacing w:val="-4"/>
          <w:vertAlign w:val="baseline"/>
        </w:rPr>
        <w:t> </w:t>
      </w:r>
      <w:r>
        <w:rPr>
          <w:vertAlign w:val="baseline"/>
        </w:rPr>
        <w:t>The</w:t>
      </w:r>
      <w:r>
        <w:rPr>
          <w:spacing w:val="-4"/>
          <w:vertAlign w:val="baseline"/>
        </w:rPr>
        <w:t> </w:t>
      </w:r>
      <w:r>
        <w:rPr>
          <w:vertAlign w:val="baseline"/>
        </w:rPr>
        <w:t>same</w:t>
      </w:r>
      <w:r>
        <w:rPr>
          <w:spacing w:val="-4"/>
          <w:vertAlign w:val="baseline"/>
        </w:rPr>
        <w:t> </w:t>
      </w:r>
      <w:r>
        <w:rPr>
          <w:vertAlign w:val="baseline"/>
        </w:rPr>
        <w:t>principle</w:t>
      </w:r>
      <w:r>
        <w:rPr>
          <w:spacing w:val="-4"/>
          <w:vertAlign w:val="baseline"/>
        </w:rPr>
        <w:t> </w:t>
      </w:r>
      <w:r>
        <w:rPr>
          <w:vertAlign w:val="baseline"/>
        </w:rPr>
        <w:t>was</w:t>
      </w:r>
      <w:r>
        <w:rPr>
          <w:spacing w:val="-4"/>
          <w:vertAlign w:val="baseline"/>
        </w:rPr>
        <w:t> </w:t>
      </w:r>
      <w:r>
        <w:rPr>
          <w:vertAlign w:val="baseline"/>
        </w:rPr>
        <w:t>applied</w:t>
      </w:r>
      <w:r>
        <w:rPr>
          <w:spacing w:val="-4"/>
          <w:vertAlign w:val="baseline"/>
        </w:rPr>
        <w:t> </w:t>
      </w:r>
      <w:r>
        <w:rPr>
          <w:vertAlign w:val="baseline"/>
        </w:rPr>
        <w:t>in</w:t>
      </w:r>
      <w:r>
        <w:rPr>
          <w:spacing w:val="-5"/>
          <w:vertAlign w:val="baseline"/>
        </w:rPr>
        <w:t> </w:t>
      </w:r>
      <w:r>
        <w:rPr>
          <w:rFonts w:ascii="Arial" w:hAnsi="Arial"/>
          <w:i/>
          <w:vertAlign w:val="baseline"/>
        </w:rPr>
        <w:t>The</w:t>
      </w:r>
      <w:r>
        <w:rPr>
          <w:rFonts w:ascii="Arial" w:hAnsi="Arial"/>
          <w:i/>
          <w:spacing w:val="-4"/>
          <w:vertAlign w:val="baseline"/>
        </w:rPr>
        <w:t> </w:t>
      </w:r>
      <w:r>
        <w:rPr>
          <w:rFonts w:ascii="Arial" w:hAnsi="Arial"/>
          <w:i/>
          <w:vertAlign w:val="baseline"/>
        </w:rPr>
        <w:t>Vistafjord</w:t>
      </w:r>
      <w:r>
        <w:rPr>
          <w:rFonts w:ascii="Arial" w:hAnsi="Arial"/>
          <w:i/>
          <w:spacing w:val="-4"/>
          <w:vertAlign w:val="baseline"/>
        </w:rPr>
        <w:t> </w:t>
      </w:r>
      <w:r>
        <w:rPr>
          <w:color w:val="005DA1"/>
          <w:u w:val="single" w:color="005DA1"/>
          <w:vertAlign w:val="superscript"/>
        </w:rPr>
        <w:t>643</w:t>
      </w:r>
      <w:r>
        <w:rPr>
          <w:color w:val="005DA1"/>
          <w:spacing w:val="-4"/>
          <w:vertAlign w:val="baseline"/>
        </w:rPr>
        <w:t> </w:t>
      </w:r>
      <w:r>
        <w:rPr>
          <w:vertAlign w:val="baseline"/>
        </w:rPr>
        <w:t>where</w:t>
      </w:r>
      <w:r>
        <w:rPr>
          <w:spacing w:val="-4"/>
          <w:vertAlign w:val="baseline"/>
        </w:rPr>
        <w:t> </w:t>
      </w:r>
      <w:r>
        <w:rPr>
          <w:vertAlign w:val="baseline"/>
        </w:rPr>
        <w:t>an</w:t>
      </w:r>
      <w:r>
        <w:rPr>
          <w:spacing w:val="-4"/>
          <w:vertAlign w:val="baseline"/>
        </w:rPr>
        <w:t> </w:t>
      </w:r>
      <w:r>
        <w:rPr>
          <w:vertAlign w:val="baseline"/>
        </w:rPr>
        <w:t>agreement</w:t>
      </w:r>
      <w:r>
        <w:rPr>
          <w:spacing w:val="-4"/>
          <w:vertAlign w:val="baseline"/>
        </w:rPr>
        <w:t> </w:t>
      </w:r>
      <w:r>
        <w:rPr>
          <w:vertAlign w:val="baseline"/>
        </w:rPr>
        <w:t>for</w:t>
      </w:r>
      <w:r>
        <w:rPr>
          <w:spacing w:val="-4"/>
          <w:vertAlign w:val="baseline"/>
        </w:rPr>
        <w:t> </w:t>
      </w:r>
      <w:r>
        <w:rPr>
          <w:vertAlign w:val="baseline"/>
        </w:rPr>
        <w:t>the charter of a cruise ship had been negotiated by agents on behalf of the owners. Both the agents and the owners believed throughout that commission on this transaction would be payable under an</w:t>
      </w:r>
      <w:r>
        <w:rPr>
          <w:spacing w:val="40"/>
          <w:vertAlign w:val="baseline"/>
        </w:rPr>
        <w:t> </w:t>
      </w:r>
      <w:r>
        <w:rPr>
          <w:vertAlign w:val="baseline"/>
        </w:rPr>
        <w:t>earlier agreement, but on its true construction this agreement gave no such rights to the agents. It</w:t>
      </w:r>
      <w:r>
        <w:rPr>
          <w:spacing w:val="40"/>
          <w:vertAlign w:val="baseline"/>
        </w:rPr>
        <w:t> </w:t>
      </w:r>
      <w:r>
        <w:rPr>
          <w:vertAlign w:val="baseline"/>
        </w:rPr>
        <w:t>was held that estoppel by convention precluded the owners from relying on the true construction of</w:t>
      </w:r>
      <w:r>
        <w:rPr>
          <w:spacing w:val="40"/>
          <w:vertAlign w:val="baseline"/>
        </w:rPr>
        <w:t> </w:t>
      </w:r>
      <w:r>
        <w:rPr>
          <w:vertAlign w:val="baseline"/>
        </w:rPr>
        <w:t>the earlier agreement, so that the agents were justified in retaining the amount of the commission out </w:t>
      </w:r>
      <w:bookmarkStart w:name="_bookmark1035" w:id="1037"/>
      <w:bookmarkEnd w:id="1037"/>
      <w:r>
        <w:rPr>
          <w:vertAlign w:val="baseline"/>
        </w:rPr>
        <w:t>of</w:t>
      </w:r>
      <w:r>
        <w:rPr>
          <w:vertAlign w:val="baseline"/>
        </w:rPr>
        <w:t> sums received by them from the charterers. An estoppel by convention may, similarly, affect the </w:t>
      </w:r>
      <w:r>
        <w:rPr>
          <w:rFonts w:ascii="Arial" w:hAnsi="Arial"/>
          <w:i/>
          <w:vertAlign w:val="baseline"/>
        </w:rPr>
        <w:t>amount </w:t>
      </w:r>
      <w:r>
        <w:rPr>
          <w:vertAlign w:val="baseline"/>
        </w:rPr>
        <w:t>payable under a contract. This was the position in </w:t>
      </w:r>
      <w:r>
        <w:rPr>
          <w:rFonts w:ascii="Arial" w:hAnsi="Arial"/>
          <w:i/>
          <w:vertAlign w:val="baseline"/>
        </w:rPr>
        <w:t>ING Bank NV v Ros Roca SA</w:t>
      </w:r>
      <w:r>
        <w:rPr>
          <w:vertAlign w:val="baseline"/>
        </w:rPr>
        <w:t>, </w:t>
      </w:r>
      <w:r>
        <w:rPr>
          <w:color w:val="005DA1"/>
          <w:u w:val="single" w:color="005DA1"/>
          <w:vertAlign w:val="superscript"/>
        </w:rPr>
        <w:t>644</w:t>
      </w:r>
      <w:r>
        <w:rPr>
          <w:color w:val="005DA1"/>
          <w:vertAlign w:val="baseline"/>
        </w:rPr>
        <w:t> </w:t>
      </w:r>
      <w:r>
        <w:rPr>
          <w:vertAlign w:val="baseline"/>
        </w:rPr>
        <w:t>where a dispute had arisen between the claimant bank and the defendant company as to the way in which an “additional fee” payable to the bank by the company was to be calculated. On the true construction of the contract, the amount of the fee was indeed that claimed by the bank; but it was held that the bank was estopped, by reason of its conduct and statements from relying on this construction, and that the bank was entitled only to a lower fee, based on the parties’ common assumption as to the way in which the fee was to be calculated.</w:t>
      </w:r>
    </w:p>
    <w:p>
      <w:pPr>
        <w:pStyle w:val="BodyText"/>
      </w:pPr>
    </w:p>
    <w:p>
      <w:pPr>
        <w:pStyle w:val="BodyText"/>
        <w:spacing w:before="27"/>
      </w:pPr>
    </w:p>
    <w:p>
      <w:pPr>
        <w:spacing w:before="0"/>
        <w:ind w:left="165" w:right="0" w:firstLine="0"/>
        <w:jc w:val="both"/>
        <w:rPr>
          <w:rFonts w:ascii="Arial" w:hAnsi="Arial"/>
          <w:b/>
          <w:sz w:val="18"/>
        </w:rPr>
      </w:pPr>
      <w:r>
        <w:rPr>
          <w:rFonts w:ascii="Arial" w:hAnsi="Arial"/>
          <w:b/>
          <w:sz w:val="18"/>
        </w:rPr>
        <w:t>“Communication” passing “across the </w:t>
      </w:r>
      <w:r>
        <w:rPr>
          <w:rFonts w:ascii="Arial" w:hAnsi="Arial"/>
          <w:b/>
          <w:spacing w:val="-2"/>
          <w:sz w:val="18"/>
        </w:rPr>
        <w:t>line”</w:t>
      </w:r>
    </w:p>
    <w:p>
      <w:pPr>
        <w:pStyle w:val="BodyText"/>
        <w:spacing w:before="41"/>
        <w:rPr>
          <w:rFonts w:ascii="Arial"/>
          <w:b/>
          <w:sz w:val="18"/>
        </w:rPr>
      </w:pPr>
    </w:p>
    <w:p>
      <w:pPr>
        <w:pStyle w:val="Heading2"/>
      </w:pPr>
      <w:r>
        <w:rPr/>
        <w:t>4-</w:t>
      </w:r>
      <w:r>
        <w:rPr>
          <w:spacing w:val="-5"/>
        </w:rPr>
        <w:t>110</w:t>
      </w:r>
    </w:p>
    <w:p>
      <w:pPr>
        <w:pStyle w:val="BodyText"/>
        <w:spacing w:line="235" w:lineRule="auto" w:before="203"/>
        <w:ind w:left="165" w:right="167"/>
        <w:jc w:val="both"/>
      </w:pPr>
      <w:r>
        <w:rPr/>
        <w:t>To give rise to an estoppel by convention, the mistaken assumption of the party claiming the benefit</w:t>
      </w:r>
      <w:r>
        <w:rPr>
          <w:spacing w:val="80"/>
        </w:rPr>
        <w:t> </w:t>
      </w:r>
      <w:r>
        <w:rPr/>
        <w:t>of the estoppel must, however, have been shared or acquiesced in by the party alleged to be </w:t>
      </w:r>
      <w:bookmarkStart w:name="_bookmark1036" w:id="1038"/>
      <w:bookmarkEnd w:id="1038"/>
      <w:r>
        <w:rPr/>
        <w:t>estopped;</w:t>
      </w:r>
      <w:r>
        <w:rPr/>
        <w:t> and both parties must have conducted themselves on the basis of such a shared assumption</w:t>
      </w:r>
      <w:r>
        <w:rPr>
          <w:spacing w:val="6"/>
        </w:rPr>
        <w:t> </w:t>
      </w:r>
      <w:r>
        <w:rPr>
          <w:color w:val="005DA1"/>
          <w:u w:val="single" w:color="005DA1"/>
          <w:vertAlign w:val="superscript"/>
        </w:rPr>
        <w:t>645</w:t>
      </w:r>
      <w:r>
        <w:rPr>
          <w:vertAlign w:val="baseline"/>
        </w:rPr>
        <w:t>:</w:t>
      </w:r>
      <w:r>
        <w:rPr>
          <w:spacing w:val="7"/>
          <w:vertAlign w:val="baseline"/>
        </w:rPr>
        <w:t> </w:t>
      </w:r>
      <w:r>
        <w:rPr>
          <w:vertAlign w:val="baseline"/>
        </w:rPr>
        <w:t>the</w:t>
      </w:r>
      <w:r>
        <w:rPr>
          <w:spacing w:val="7"/>
          <w:vertAlign w:val="baseline"/>
        </w:rPr>
        <w:t> </w:t>
      </w:r>
      <w:r>
        <w:rPr>
          <w:vertAlign w:val="baseline"/>
        </w:rPr>
        <w:t>estoppel</w:t>
      </w:r>
      <w:r>
        <w:rPr>
          <w:spacing w:val="6"/>
          <w:vertAlign w:val="baseline"/>
        </w:rPr>
        <w:t> </w:t>
      </w:r>
      <w:r>
        <w:rPr>
          <w:vertAlign w:val="baseline"/>
        </w:rPr>
        <w:t>“requires</w:t>
      </w:r>
      <w:r>
        <w:rPr>
          <w:spacing w:val="7"/>
          <w:vertAlign w:val="baseline"/>
        </w:rPr>
        <w:t> </w:t>
      </w:r>
      <w:r>
        <w:rPr>
          <w:vertAlign w:val="baseline"/>
        </w:rPr>
        <w:t>communications</w:t>
      </w:r>
      <w:r>
        <w:rPr>
          <w:spacing w:val="7"/>
          <w:vertAlign w:val="baseline"/>
        </w:rPr>
        <w:t> </w:t>
      </w:r>
      <w:r>
        <w:rPr>
          <w:vertAlign w:val="baseline"/>
        </w:rPr>
        <w:t>to</w:t>
      </w:r>
      <w:r>
        <w:rPr>
          <w:spacing w:val="6"/>
          <w:vertAlign w:val="baseline"/>
        </w:rPr>
        <w:t> </w:t>
      </w:r>
      <w:r>
        <w:rPr>
          <w:vertAlign w:val="baseline"/>
        </w:rPr>
        <w:t>pass</w:t>
      </w:r>
      <w:r>
        <w:rPr>
          <w:spacing w:val="7"/>
          <w:vertAlign w:val="baseline"/>
        </w:rPr>
        <w:t> </w:t>
      </w:r>
      <w:r>
        <w:rPr>
          <w:vertAlign w:val="baseline"/>
        </w:rPr>
        <w:t>across</w:t>
      </w:r>
      <w:r>
        <w:rPr>
          <w:spacing w:val="7"/>
          <w:vertAlign w:val="baseline"/>
        </w:rPr>
        <w:t> </w:t>
      </w:r>
      <w:r>
        <w:rPr>
          <w:vertAlign w:val="baseline"/>
        </w:rPr>
        <w:t>the</w:t>
      </w:r>
      <w:r>
        <w:rPr>
          <w:spacing w:val="6"/>
          <w:vertAlign w:val="baseline"/>
        </w:rPr>
        <w:t> </w:t>
      </w:r>
      <w:r>
        <w:rPr>
          <w:vertAlign w:val="baseline"/>
        </w:rPr>
        <w:t>line</w:t>
      </w:r>
      <w:r>
        <w:rPr>
          <w:spacing w:val="7"/>
          <w:vertAlign w:val="baseline"/>
        </w:rPr>
        <w:t> </w:t>
      </w:r>
      <w:r>
        <w:rPr>
          <w:vertAlign w:val="baseline"/>
        </w:rPr>
        <w:t>between</w:t>
      </w:r>
      <w:r>
        <w:rPr>
          <w:spacing w:val="7"/>
          <w:vertAlign w:val="baseline"/>
        </w:rPr>
        <w:t> </w:t>
      </w:r>
      <w:r>
        <w:rPr>
          <w:vertAlign w:val="baseline"/>
        </w:rPr>
        <w:t>the</w:t>
      </w:r>
      <w:r>
        <w:rPr>
          <w:spacing w:val="6"/>
          <w:vertAlign w:val="baseline"/>
        </w:rPr>
        <w:t> </w:t>
      </w:r>
      <w:r>
        <w:rPr>
          <w:vertAlign w:val="baseline"/>
        </w:rPr>
        <w:t>parties.</w:t>
      </w:r>
      <w:r>
        <w:rPr>
          <w:spacing w:val="7"/>
          <w:vertAlign w:val="baseline"/>
        </w:rPr>
        <w:t> </w:t>
      </w:r>
      <w:r>
        <w:rPr>
          <w:spacing w:val="-5"/>
          <w:vertAlign w:val="baseline"/>
        </w:rPr>
        <w:t>It</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1037" w:id="1039"/>
      <w:bookmarkEnd w:id="1039"/>
      <w:r>
        <w:rPr/>
      </w:r>
      <w:bookmarkStart w:name="_bookmark1038" w:id="1040"/>
      <w:bookmarkEnd w:id="1040"/>
      <w:r>
        <w:rPr/>
      </w:r>
      <w:r>
        <w:rPr/>
        <w:t>is not enough that each of two parties acts on an assumption not communicated to the other.” </w:t>
      </w:r>
      <w:r>
        <w:rPr>
          <w:color w:val="005DA1"/>
          <w:u w:val="single" w:color="005DA1"/>
          <w:vertAlign w:val="superscript"/>
        </w:rPr>
        <w:t>646</w:t>
      </w:r>
      <w:r>
        <w:rPr>
          <w:color w:val="005DA1"/>
          <w:spacing w:val="40"/>
          <w:vertAlign w:val="baseline"/>
        </w:rPr>
        <w:t> </w:t>
      </w:r>
      <w:r>
        <w:rPr>
          <w:vertAlign w:val="baseline"/>
        </w:rPr>
        <w:t>Such communication may be effected by the conduct of one party, known to the other. </w:t>
      </w:r>
      <w:r>
        <w:rPr>
          <w:color w:val="005DA1"/>
          <w:u w:val="single" w:color="005DA1"/>
          <w:vertAlign w:val="superscript"/>
        </w:rPr>
        <w:t>647</w:t>
      </w:r>
      <w:r>
        <w:rPr>
          <w:color w:val="005DA1"/>
          <w:vertAlign w:val="baseline"/>
        </w:rPr>
        <w:t> </w:t>
      </w:r>
      <w:r>
        <w:rPr>
          <w:vertAlign w:val="baseline"/>
        </w:rPr>
        <w:t>But no estoppel by convention arose where each party spontaneously made a different mistake and </w:t>
      </w:r>
      <w:r>
        <w:rPr>
          <w:vertAlign w:val="baseline"/>
        </w:rPr>
        <w:t>there </w:t>
      </w:r>
      <w:bookmarkStart w:name="_bookmark1039" w:id="1041"/>
      <w:bookmarkEnd w:id="1041"/>
      <w:r>
        <w:rPr>
          <w:vertAlign w:val="baseline"/>
        </w:rPr>
        <w:t>was</w:t>
      </w:r>
      <w:r>
        <w:rPr>
          <w:vertAlign w:val="baseline"/>
        </w:rPr>
        <w:t> no subsequent conduct by the party alleged to be estopped from which any acquiescence in the other party’s mistaken assumption could be inferred. </w:t>
      </w:r>
      <w:r>
        <w:rPr>
          <w:color w:val="005DA1"/>
          <w:u w:val="single" w:color="005DA1"/>
          <w:vertAlign w:val="superscript"/>
        </w:rPr>
        <w:t>648</w:t>
      </w:r>
      <w:r>
        <w:rPr>
          <w:color w:val="005DA1"/>
          <w:vertAlign w:val="baseline"/>
        </w:rPr>
        <w:t> </w:t>
      </w:r>
      <w:r>
        <w:rPr>
          <w:vertAlign w:val="baseline"/>
        </w:rPr>
        <w:t>An estoppel by convention likewise cannot </w:t>
      </w:r>
      <w:bookmarkStart w:name="_bookmark1040" w:id="1042"/>
      <w:bookmarkEnd w:id="1042"/>
      <w:r>
        <w:rPr>
          <w:vertAlign w:val="baseline"/>
        </w:rPr>
        <w:t>arise</w:t>
      </w:r>
      <w:r>
        <w:rPr>
          <w:vertAlign w:val="baseline"/>
        </w:rPr>
        <w:t> where neither party was aware of the facts on which the alleged common assumption is said to have been based </w:t>
      </w:r>
      <w:r>
        <w:rPr>
          <w:color w:val="005DA1"/>
          <w:u w:val="single" w:color="005DA1"/>
          <w:vertAlign w:val="superscript"/>
        </w:rPr>
        <w:t>649</w:t>
      </w:r>
      <w:r>
        <w:rPr>
          <w:vertAlign w:val="baseline"/>
        </w:rPr>
        <w:t>; or where the conduct alleged to have given rise to the estoppel can with equal</w:t>
      </w:r>
      <w:r>
        <w:rPr>
          <w:spacing w:val="40"/>
          <w:vertAlign w:val="baseline"/>
        </w:rPr>
        <w:t> </w:t>
      </w:r>
      <w:r>
        <w:rPr>
          <w:vertAlign w:val="baseline"/>
        </w:rPr>
        <w:t>or greater plausibility, be explained on grounds other than that the party alleged to be estopped </w:t>
      </w:r>
      <w:bookmarkStart w:name="_bookmark1041" w:id="1043"/>
      <w:bookmarkEnd w:id="1043"/>
      <w:r>
        <w:rPr>
          <w:vertAlign w:val="baseline"/>
        </w:rPr>
        <w:t>shared</w:t>
      </w:r>
      <w:r>
        <w:rPr>
          <w:vertAlign w:val="baseline"/>
        </w:rPr>
        <w:t> an assumption made by the other party or as amounting to a communication by the former to the latter party. </w:t>
      </w:r>
      <w:r>
        <w:rPr>
          <w:color w:val="005DA1"/>
          <w:u w:val="single" w:color="005DA1"/>
          <w:vertAlign w:val="superscript"/>
        </w:rPr>
        <w:t>650</w:t>
      </w:r>
      <w:r>
        <w:rPr>
          <w:color w:val="005DA1"/>
          <w:vertAlign w:val="baseline"/>
        </w:rPr>
        <w:t> </w:t>
      </w:r>
      <w:r>
        <w:rPr>
          <w:vertAlign w:val="baseline"/>
        </w:rPr>
        <w:t>Nor can a party (A) invoke such an estoppel to prevent the other (B) from denying </w:t>
      </w:r>
      <w:bookmarkStart w:name="_bookmark1042" w:id="1044"/>
      <w:bookmarkEnd w:id="1044"/>
      <w:r>
        <w:rPr>
          <w:vertAlign w:val="baseline"/>
        </w:rPr>
        <w:t>facts</w:t>
      </w:r>
      <w:r>
        <w:rPr>
          <w:vertAlign w:val="baseline"/>
        </w:rPr>
        <w:t> alleged to have been agreed between A and B if A has later withdrawn from that agreement; for in the light of A’s withdrawal it is no longer unjust to allow B to rely on the true state of affairs. </w:t>
      </w:r>
      <w:r>
        <w:rPr>
          <w:color w:val="005DA1"/>
          <w:u w:val="single" w:color="005DA1"/>
          <w:vertAlign w:val="superscript"/>
        </w:rPr>
        <w:t>651</w:t>
      </w:r>
    </w:p>
    <w:p>
      <w:pPr>
        <w:pStyle w:val="BodyText"/>
      </w:pPr>
    </w:p>
    <w:p>
      <w:pPr>
        <w:pStyle w:val="BodyText"/>
        <w:spacing w:before="34"/>
      </w:pPr>
    </w:p>
    <w:p>
      <w:pPr>
        <w:spacing w:before="0"/>
        <w:ind w:left="165" w:right="0" w:firstLine="0"/>
        <w:jc w:val="both"/>
        <w:rPr>
          <w:rFonts w:ascii="Arial"/>
          <w:b/>
          <w:sz w:val="18"/>
        </w:rPr>
      </w:pPr>
      <w:r>
        <w:rPr>
          <w:rFonts w:ascii="Arial"/>
          <w:b/>
          <w:sz w:val="18"/>
        </w:rPr>
        <w:t>Assumption of </w:t>
      </w:r>
      <w:r>
        <w:rPr>
          <w:rFonts w:ascii="Arial"/>
          <w:b/>
          <w:spacing w:val="-5"/>
          <w:sz w:val="18"/>
        </w:rPr>
        <w:t>law</w:t>
      </w:r>
    </w:p>
    <w:p>
      <w:pPr>
        <w:pStyle w:val="BodyText"/>
        <w:spacing w:before="41"/>
        <w:rPr>
          <w:rFonts w:ascii="Arial"/>
          <w:b/>
          <w:sz w:val="18"/>
        </w:rPr>
      </w:pPr>
    </w:p>
    <w:p>
      <w:pPr>
        <w:pStyle w:val="Heading2"/>
      </w:pPr>
      <w:r>
        <w:rPr/>
        <w:t>4-</w:t>
      </w:r>
      <w:r>
        <w:rPr>
          <w:spacing w:val="-5"/>
        </w:rPr>
        <w:t>111</w:t>
      </w:r>
    </w:p>
    <w:p>
      <w:pPr>
        <w:pStyle w:val="BodyText"/>
        <w:spacing w:before="89"/>
        <w:rPr>
          <w:rFonts w:ascii="Arial"/>
          <w:b/>
        </w:rPr>
      </w:pPr>
    </w:p>
    <w:p>
      <w:pPr>
        <w:pStyle w:val="BodyText"/>
        <w:ind w:left="165"/>
        <w:jc w:val="both"/>
      </w:pPr>
      <w:r>
        <w:rPr>
          <w:position w:val="-2"/>
        </w:rPr>
        <w:drawing>
          <wp:inline distT="0" distB="0" distL="0" distR="0">
            <wp:extent cx="107988" cy="107988"/>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55"/>
        </w:rPr>
        <w:t> </w:t>
      </w:r>
      <w:bookmarkStart w:name="_bookmark1043" w:id="1045"/>
      <w:bookmarkEnd w:id="1045"/>
      <w:r>
        <w:rPr>
          <w:rFonts w:ascii="Times New Roman"/>
          <w:spacing w:val="5"/>
        </w:rPr>
      </w:r>
      <w:r>
        <w:rPr/>
        <w:t>Many</w:t>
      </w:r>
      <w:r>
        <w:rPr>
          <w:spacing w:val="53"/>
        </w:rPr>
        <w:t> </w:t>
      </w:r>
      <w:r>
        <w:rPr/>
        <w:t>judicial</w:t>
      </w:r>
      <w:r>
        <w:rPr>
          <w:spacing w:val="53"/>
        </w:rPr>
        <w:t> </w:t>
      </w:r>
      <w:r>
        <w:rPr/>
        <w:t>statements</w:t>
      </w:r>
      <w:r>
        <w:rPr>
          <w:spacing w:val="53"/>
        </w:rPr>
        <w:t> </w:t>
      </w:r>
      <w:r>
        <w:rPr/>
        <w:t>support</w:t>
      </w:r>
      <w:r>
        <w:rPr>
          <w:spacing w:val="53"/>
        </w:rPr>
        <w:t> </w:t>
      </w:r>
      <w:r>
        <w:rPr/>
        <w:t>the</w:t>
      </w:r>
      <w:r>
        <w:rPr>
          <w:spacing w:val="53"/>
        </w:rPr>
        <w:t> </w:t>
      </w:r>
      <w:r>
        <w:rPr/>
        <w:t>view</w:t>
      </w:r>
      <w:r>
        <w:rPr>
          <w:spacing w:val="53"/>
        </w:rPr>
        <w:t> </w:t>
      </w:r>
      <w:r>
        <w:rPr/>
        <w:t>that</w:t>
      </w:r>
      <w:r>
        <w:rPr>
          <w:spacing w:val="53"/>
        </w:rPr>
        <w:t> </w:t>
      </w:r>
      <w:r>
        <w:rPr/>
        <w:t>the</w:t>
      </w:r>
      <w:r>
        <w:rPr>
          <w:spacing w:val="53"/>
        </w:rPr>
        <w:t> </w:t>
      </w:r>
      <w:r>
        <w:rPr/>
        <w:t>assumption</w:t>
      </w:r>
      <w:r>
        <w:rPr>
          <w:spacing w:val="53"/>
        </w:rPr>
        <w:t> </w:t>
      </w:r>
      <w:r>
        <w:rPr/>
        <w:t>giving</w:t>
      </w:r>
      <w:r>
        <w:rPr>
          <w:spacing w:val="53"/>
        </w:rPr>
        <w:t> </w:t>
      </w:r>
      <w:r>
        <w:rPr/>
        <w:t>rise</w:t>
      </w:r>
      <w:r>
        <w:rPr>
          <w:spacing w:val="53"/>
        </w:rPr>
        <w:t> </w:t>
      </w:r>
      <w:r>
        <w:rPr/>
        <w:t>to</w:t>
      </w:r>
      <w:r>
        <w:rPr>
          <w:spacing w:val="53"/>
        </w:rPr>
        <w:t> </w:t>
      </w:r>
      <w:r>
        <w:rPr/>
        <w:t>an</w:t>
      </w:r>
      <w:r>
        <w:rPr>
          <w:spacing w:val="53"/>
        </w:rPr>
        <w:t> </w:t>
      </w:r>
      <w:r>
        <w:rPr/>
        <w:t>estoppel</w:t>
      </w:r>
      <w:r>
        <w:rPr>
          <w:spacing w:val="53"/>
        </w:rPr>
        <w:t> </w:t>
      </w:r>
      <w:r>
        <w:rPr/>
        <w:t>by</w:t>
      </w:r>
    </w:p>
    <w:p>
      <w:pPr>
        <w:pStyle w:val="BodyText"/>
        <w:spacing w:line="235" w:lineRule="auto" w:before="119"/>
        <w:ind w:left="165" w:right="167"/>
        <w:jc w:val="both"/>
      </w:pPr>
      <w:r>
        <w:rPr/>
        <w:t>convention can be one of “fact or law.” </w:t>
      </w:r>
      <w:r>
        <w:rPr>
          <w:color w:val="005DA1"/>
          <w:u w:val="single" w:color="005DA1"/>
          <w:vertAlign w:val="superscript"/>
        </w:rPr>
        <w:t>652</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6"/>
          <w:vertAlign w:val="baseline"/>
        </w:rPr>
        <w:t> </w:t>
      </w:r>
      <w:r>
        <w:rPr>
          <w:vertAlign w:val="baseline"/>
        </w:rPr>
        <w:t>The point of the reference to “law” in this formulation </w:t>
      </w:r>
      <w:bookmarkStart w:name="_bookmark1044" w:id="1046"/>
      <w:bookmarkEnd w:id="1046"/>
      <w:r>
        <w:rPr>
          <w:vertAlign w:val="baseline"/>
        </w:rPr>
        <w:t>appears</w:t>
      </w:r>
      <w:r>
        <w:rPr>
          <w:vertAlign w:val="baseline"/>
        </w:rPr>
        <w:t> to be to include within the scope of the doctrine assumptions about the construction of </w:t>
      </w:r>
      <w:r>
        <w:rPr>
          <w:vertAlign w:val="baseline"/>
        </w:rPr>
        <w:t>a contract </w:t>
      </w:r>
      <w:r>
        <w:rPr>
          <w:color w:val="005DA1"/>
          <w:u w:val="single" w:color="005DA1"/>
          <w:vertAlign w:val="superscript"/>
        </w:rPr>
        <w:t>653</w:t>
      </w:r>
      <w:r>
        <w:rPr>
          <w:vertAlign w:val="baseline"/>
        </w:rPr>
        <w:t>; for, since the construction of a contract is often said to be a matter of “law,” </w:t>
      </w:r>
      <w:r>
        <w:rPr>
          <w:color w:val="005DA1"/>
          <w:u w:val="single" w:color="005DA1"/>
          <w:vertAlign w:val="superscript"/>
        </w:rPr>
        <w:t>654</w:t>
      </w:r>
      <w:r>
        <w:rPr>
          <w:color w:val="005DA1"/>
          <w:vertAlign w:val="baseline"/>
        </w:rPr>
        <w:t> </w:t>
      </w:r>
      <w:r>
        <w:rPr>
          <w:vertAlign w:val="baseline"/>
        </w:rPr>
        <w:t>all such </w:t>
      </w:r>
      <w:bookmarkStart w:name="_bookmark1045" w:id="1047"/>
      <w:bookmarkEnd w:id="1047"/>
      <w:r>
        <w:rPr>
          <w:vertAlign w:val="baseline"/>
        </w:rPr>
        <w:t>assumptions</w:t>
      </w:r>
      <w:r>
        <w:rPr>
          <w:spacing w:val="9"/>
          <w:vertAlign w:val="baseline"/>
        </w:rPr>
        <w:t> </w:t>
      </w:r>
      <w:r>
        <w:rPr>
          <w:vertAlign w:val="baseline"/>
        </w:rPr>
        <w:t>would</w:t>
      </w:r>
      <w:r>
        <w:rPr>
          <w:spacing w:val="9"/>
          <w:vertAlign w:val="baseline"/>
        </w:rPr>
        <w:t> </w:t>
      </w:r>
      <w:r>
        <w:rPr>
          <w:vertAlign w:val="baseline"/>
        </w:rPr>
        <w:t>be</w:t>
      </w:r>
      <w:r>
        <w:rPr>
          <w:spacing w:val="9"/>
          <w:vertAlign w:val="baseline"/>
        </w:rPr>
        <w:t> </w:t>
      </w:r>
      <w:r>
        <w:rPr>
          <w:vertAlign w:val="baseline"/>
        </w:rPr>
        <w:t>excluded</w:t>
      </w:r>
      <w:r>
        <w:rPr>
          <w:spacing w:val="9"/>
          <w:vertAlign w:val="baseline"/>
        </w:rPr>
        <w:t> </w:t>
      </w:r>
      <w:r>
        <w:rPr>
          <w:vertAlign w:val="baseline"/>
        </w:rPr>
        <w:t>from</w:t>
      </w:r>
      <w:r>
        <w:rPr>
          <w:spacing w:val="9"/>
          <w:vertAlign w:val="baseline"/>
        </w:rPr>
        <w:t> </w:t>
      </w:r>
      <w:r>
        <w:rPr>
          <w:vertAlign w:val="baseline"/>
        </w:rPr>
        <w:t>the</w:t>
      </w:r>
      <w:r>
        <w:rPr>
          <w:spacing w:val="9"/>
          <w:vertAlign w:val="baseline"/>
        </w:rPr>
        <w:t> </w:t>
      </w:r>
      <w:r>
        <w:rPr>
          <w:vertAlign w:val="baseline"/>
        </w:rPr>
        <w:t>scope</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doctrine</w:t>
      </w:r>
      <w:r>
        <w:rPr>
          <w:spacing w:val="9"/>
          <w:vertAlign w:val="baseline"/>
        </w:rPr>
        <w:t> </w:t>
      </w:r>
      <w:r>
        <w:rPr>
          <w:vertAlign w:val="baseline"/>
        </w:rPr>
        <w:t>(and</w:t>
      </w:r>
      <w:r>
        <w:rPr>
          <w:spacing w:val="9"/>
          <w:vertAlign w:val="baseline"/>
        </w:rPr>
        <w:t> </w:t>
      </w:r>
      <w:r>
        <w:rPr>
          <w:vertAlign w:val="baseline"/>
        </w:rPr>
        <w:t>its</w:t>
      </w:r>
      <w:r>
        <w:rPr>
          <w:spacing w:val="9"/>
          <w:vertAlign w:val="baseline"/>
        </w:rPr>
        <w:t> </w:t>
      </w:r>
      <w:r>
        <w:rPr>
          <w:vertAlign w:val="baseline"/>
        </w:rPr>
        <w:t>scope</w:t>
      </w:r>
      <w:r>
        <w:rPr>
          <w:spacing w:val="9"/>
          <w:vertAlign w:val="baseline"/>
        </w:rPr>
        <w:t> </w:t>
      </w:r>
      <w:r>
        <w:rPr>
          <w:vertAlign w:val="baseline"/>
        </w:rPr>
        <w:t>be</w:t>
      </w:r>
      <w:r>
        <w:rPr>
          <w:spacing w:val="9"/>
          <w:vertAlign w:val="baseline"/>
        </w:rPr>
        <w:t> </w:t>
      </w:r>
      <w:r>
        <w:rPr>
          <w:vertAlign w:val="baseline"/>
        </w:rPr>
        <w:t>unduly</w:t>
      </w:r>
      <w:r>
        <w:rPr>
          <w:spacing w:val="9"/>
          <w:vertAlign w:val="baseline"/>
        </w:rPr>
        <w:t> </w:t>
      </w:r>
      <w:r>
        <w:rPr>
          <w:vertAlign w:val="baseline"/>
        </w:rPr>
        <w:t>narrowed)</w:t>
      </w:r>
      <w:r>
        <w:rPr>
          <w:spacing w:val="9"/>
          <w:vertAlign w:val="baseline"/>
        </w:rPr>
        <w:t> </w:t>
      </w:r>
      <w:r>
        <w:rPr>
          <w:spacing w:val="-5"/>
          <w:vertAlign w:val="baseline"/>
        </w:rPr>
        <w:t>if</w:t>
      </w:r>
    </w:p>
    <w:p>
      <w:pPr>
        <w:pStyle w:val="BodyText"/>
        <w:spacing w:line="235" w:lineRule="auto" w:before="118"/>
        <w:ind w:left="164" w:right="167"/>
        <w:jc w:val="both"/>
      </w:pPr>
      <w:r>
        <w:rPr/>
        <w:t>it did not include at least assumptions of this kind. </w:t>
      </w:r>
      <w:r>
        <w:rPr>
          <w:color w:val="005DA1"/>
          <w:u w:val="single" w:color="005DA1"/>
          <w:vertAlign w:val="superscript"/>
        </w:rPr>
        <w:t>655</w:t>
      </w:r>
      <w:r>
        <w:rPr>
          <w:color w:val="005DA1"/>
          <w:spacing w:val="80"/>
          <w:w w:val="150"/>
          <w:vertAlign w:val="baseline"/>
        </w:rPr>
        <w:t> </w:t>
      </w:r>
      <w:r>
        <w:rPr>
          <w:color w:val="005DA1"/>
          <w:spacing w:val="-5"/>
          <w:position w:val="-2"/>
          <w:vertAlign w:val="baseline"/>
        </w:rPr>
        <w:drawing>
          <wp:inline distT="0" distB="0" distL="0" distR="0">
            <wp:extent cx="107988" cy="107988"/>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spacing w:val="40"/>
          <w:vertAlign w:val="baseline"/>
        </w:rPr>
        <w:t> </w:t>
      </w:r>
      <w:r>
        <w:rPr>
          <w:vertAlign w:val="baseline"/>
        </w:rPr>
        <w:t>The question whether estoppel </w:t>
      </w:r>
      <w:r>
        <w:rPr>
          <w:vertAlign w:val="baseline"/>
        </w:rPr>
        <w:t>by </w:t>
      </w:r>
      <w:bookmarkStart w:name="_bookmark1046" w:id="1048"/>
      <w:bookmarkEnd w:id="1048"/>
      <w:r>
        <w:rPr>
          <w:vertAlign w:val="baseline"/>
        </w:rPr>
        <w:t>convention</w:t>
      </w:r>
      <w:r>
        <w:rPr>
          <w:vertAlign w:val="baseline"/>
        </w:rPr>
        <w:t> could be based on assumptions of “law” in a wider sense was the subject of conflicting views in </w:t>
      </w:r>
      <w:r>
        <w:rPr>
          <w:rFonts w:ascii="Arial" w:hAnsi="Arial"/>
          <w:i/>
          <w:vertAlign w:val="baseline"/>
        </w:rPr>
        <w:t>Johnson v Gore Wood &amp; Co </w:t>
      </w:r>
      <w:r>
        <w:rPr>
          <w:color w:val="005DA1"/>
          <w:u w:val="single" w:color="005DA1"/>
          <w:vertAlign w:val="superscript"/>
        </w:rPr>
        <w:t>656</w:t>
      </w:r>
      <w:r>
        <w:rPr>
          <w:color w:val="005DA1"/>
          <w:vertAlign w:val="baseline"/>
        </w:rPr>
        <w:t> </w:t>
      </w:r>
      <w:r>
        <w:rPr>
          <w:vertAlign w:val="baseline"/>
        </w:rPr>
        <w:t>In that case, a company had brought a claim for professional negligence against a firm of solicitors who were told that a further claim based on the same negligence would be made against them by the company’s managing director. The company’s claim was settled on terms which limited </w:t>
      </w:r>
      <w:r>
        <w:rPr>
          <w:rFonts w:ascii="Arial" w:hAnsi="Arial"/>
          <w:i/>
          <w:vertAlign w:val="baseline"/>
        </w:rPr>
        <w:t>some </w:t>
      </w:r>
      <w:r>
        <w:rPr>
          <w:vertAlign w:val="baseline"/>
        </w:rPr>
        <w:t>of the director’s personal claims against the solicitors and </w:t>
      </w:r>
      <w:bookmarkStart w:name="_bookmark1047" w:id="1049"/>
      <w:bookmarkEnd w:id="1049"/>
      <w:r>
        <w:rPr>
          <w:vertAlign w:val="baseline"/>
        </w:rPr>
        <w:t>when</w:t>
      </w:r>
      <w:r>
        <w:rPr>
          <w:vertAlign w:val="baseline"/>
        </w:rPr>
        <w:t> the director later brought </w:t>
      </w:r>
      <w:r>
        <w:rPr>
          <w:rFonts w:ascii="Arial" w:hAnsi="Arial"/>
          <w:i/>
          <w:vertAlign w:val="baseline"/>
        </w:rPr>
        <w:t>other </w:t>
      </w:r>
      <w:r>
        <w:rPr>
          <w:vertAlign w:val="baseline"/>
        </w:rPr>
        <w:t>claims against the solicitors, it was held that this was not an abuse of process. Lord Bingham based this conclusion in part </w:t>
      </w:r>
      <w:r>
        <w:rPr>
          <w:color w:val="005DA1"/>
          <w:u w:val="single" w:color="005DA1"/>
          <w:vertAlign w:val="superscript"/>
        </w:rPr>
        <w:t>657</w:t>
      </w:r>
      <w:r>
        <w:rPr>
          <w:color w:val="005DA1"/>
          <w:vertAlign w:val="baseline"/>
        </w:rPr>
        <w:t> </w:t>
      </w:r>
      <w:r>
        <w:rPr>
          <w:vertAlign w:val="baseline"/>
        </w:rPr>
        <w:t>on estoppel by convention: in his view, the terms of the settlement were based on the common assumption that it would not be an abuse of process for the director to pursue the claims which he had in fact brought; and it would be unfair to allow the solicitors to go back on this assumption. All members of the House of Lords agreed </w:t>
      </w:r>
      <w:bookmarkStart w:name="_bookmark1048" w:id="1050"/>
      <w:bookmarkEnd w:id="1050"/>
      <w:r>
        <w:rPr>
          <w:vertAlign w:val="baseline"/>
        </w:rPr>
        <w:t>with</w:t>
      </w:r>
      <w:r>
        <w:rPr>
          <w:vertAlign w:val="baseline"/>
        </w:rPr>
        <w:t> Lord Bingham’s conclusion that there was no abuse of process; but Lord Goff was “reluctant to proceed on estoppel by convention” </w:t>
      </w:r>
      <w:r>
        <w:rPr>
          <w:color w:val="005DA1"/>
          <w:u w:val="single" w:color="005DA1"/>
          <w:vertAlign w:val="superscript"/>
        </w:rPr>
        <w:t>658</w:t>
      </w:r>
      <w:r>
        <w:rPr>
          <w:color w:val="005DA1"/>
          <w:vertAlign w:val="baseline"/>
        </w:rPr>
        <w:t> </w:t>
      </w:r>
      <w:r>
        <w:rPr>
          <w:vertAlign w:val="baseline"/>
        </w:rPr>
        <w:t>as the common assumption was one of law, a type of assumption which in his view did not give rise to this form of estoppel; while Lord Millett was equally </w:t>
      </w:r>
      <w:bookmarkStart w:name="_bookmark1049" w:id="1051"/>
      <w:bookmarkEnd w:id="1051"/>
      <w:r>
        <w:rPr>
          <w:vertAlign w:val="baseline"/>
        </w:rPr>
        <w:t>reluctant</w:t>
      </w:r>
      <w:r>
        <w:rPr>
          <w:vertAlign w:val="baseline"/>
        </w:rPr>
        <w:t> to “put it on the ground of estoppel by convention” as he had “some difficulty in discerning a common</w:t>
      </w:r>
      <w:r>
        <w:rPr>
          <w:spacing w:val="-1"/>
          <w:vertAlign w:val="baseline"/>
        </w:rPr>
        <w:t> </w:t>
      </w:r>
      <w:r>
        <w:rPr>
          <w:vertAlign w:val="baseline"/>
        </w:rPr>
        <w:t>assumption.”</w:t>
      </w:r>
      <w:r>
        <w:rPr>
          <w:spacing w:val="-1"/>
          <w:vertAlign w:val="baseline"/>
        </w:rPr>
        <w:t> </w:t>
      </w:r>
      <w:r>
        <w:rPr>
          <w:color w:val="005DA1"/>
          <w:u w:val="single" w:color="005DA1"/>
          <w:vertAlign w:val="superscript"/>
        </w:rPr>
        <w:t>659</w:t>
      </w:r>
      <w:r>
        <w:rPr>
          <w:color w:val="005DA1"/>
          <w:spacing w:val="-1"/>
          <w:vertAlign w:val="baseline"/>
        </w:rPr>
        <w:t> </w:t>
      </w:r>
      <w:r>
        <w:rPr>
          <w:vertAlign w:val="baseline"/>
        </w:rPr>
        <w:t>Lord</w:t>
      </w:r>
      <w:r>
        <w:rPr>
          <w:spacing w:val="-1"/>
          <w:vertAlign w:val="baseline"/>
        </w:rPr>
        <w:t> </w:t>
      </w:r>
      <w:r>
        <w:rPr>
          <w:vertAlign w:val="baseline"/>
        </w:rPr>
        <w:t>Millet’s</w:t>
      </w:r>
      <w:r>
        <w:rPr>
          <w:spacing w:val="-1"/>
          <w:vertAlign w:val="baseline"/>
        </w:rPr>
        <w:t> </w:t>
      </w:r>
      <w:r>
        <w:rPr>
          <w:vertAlign w:val="baseline"/>
        </w:rPr>
        <w:t>difficulty</w:t>
      </w:r>
      <w:r>
        <w:rPr>
          <w:spacing w:val="-1"/>
          <w:vertAlign w:val="baseline"/>
        </w:rPr>
        <w:t> </w:t>
      </w:r>
      <w:r>
        <w:rPr>
          <w:vertAlign w:val="baseline"/>
        </w:rPr>
        <w:t>is</w:t>
      </w:r>
      <w:r>
        <w:rPr>
          <w:spacing w:val="-1"/>
          <w:vertAlign w:val="baseline"/>
        </w:rPr>
        <w:t> </w:t>
      </w:r>
      <w:r>
        <w:rPr>
          <w:vertAlign w:val="baseline"/>
        </w:rPr>
        <w:t>an</w:t>
      </w:r>
      <w:r>
        <w:rPr>
          <w:spacing w:val="-1"/>
          <w:vertAlign w:val="baseline"/>
        </w:rPr>
        <w:t> </w:t>
      </w:r>
      <w:r>
        <w:rPr>
          <w:vertAlign w:val="baseline"/>
        </w:rPr>
        <w:t>entirely</w:t>
      </w:r>
      <w:r>
        <w:rPr>
          <w:spacing w:val="-1"/>
          <w:vertAlign w:val="baseline"/>
        </w:rPr>
        <w:t> </w:t>
      </w:r>
      <w:r>
        <w:rPr>
          <w:vertAlign w:val="baseline"/>
        </w:rPr>
        <w:t>factual</w:t>
      </w:r>
      <w:r>
        <w:rPr>
          <w:spacing w:val="-1"/>
          <w:vertAlign w:val="baseline"/>
        </w:rPr>
        <w:t> </w:t>
      </w:r>
      <w:r>
        <w:rPr>
          <w:vertAlign w:val="baseline"/>
        </w:rPr>
        <w:t>one</w:t>
      </w:r>
      <w:r>
        <w:rPr>
          <w:spacing w:val="-1"/>
          <w:vertAlign w:val="baseline"/>
        </w:rPr>
        <w:t> </w:t>
      </w:r>
      <w:r>
        <w:rPr>
          <w:vertAlign w:val="baseline"/>
        </w:rPr>
        <w:t>but</w:t>
      </w:r>
      <w:r>
        <w:rPr>
          <w:spacing w:val="-1"/>
          <w:vertAlign w:val="baseline"/>
        </w:rPr>
        <w:t> </w:t>
      </w:r>
      <w:r>
        <w:rPr>
          <w:vertAlign w:val="baseline"/>
        </w:rPr>
        <w:t>Lord</w:t>
      </w:r>
      <w:r>
        <w:rPr>
          <w:spacing w:val="-1"/>
          <w:vertAlign w:val="baseline"/>
        </w:rPr>
        <w:t> </w:t>
      </w:r>
      <w:r>
        <w:rPr>
          <w:vertAlign w:val="baseline"/>
        </w:rPr>
        <w:t>Goff’s</w:t>
      </w:r>
      <w:r>
        <w:rPr>
          <w:spacing w:val="-1"/>
          <w:vertAlign w:val="baseline"/>
        </w:rPr>
        <w:t> </w:t>
      </w:r>
      <w:r>
        <w:rPr>
          <w:vertAlign w:val="baseline"/>
        </w:rPr>
        <w:t>raises</w:t>
      </w:r>
      <w:r>
        <w:rPr>
          <w:spacing w:val="-1"/>
          <w:vertAlign w:val="baseline"/>
        </w:rPr>
        <w:t> </w:t>
      </w:r>
      <w:r>
        <w:rPr>
          <w:vertAlign w:val="baseline"/>
        </w:rPr>
        <w:t>a</w:t>
      </w:r>
      <w:r>
        <w:rPr>
          <w:spacing w:val="-1"/>
          <w:vertAlign w:val="baseline"/>
        </w:rPr>
        <w:t> </w:t>
      </w:r>
      <w:r>
        <w:rPr>
          <w:vertAlign w:val="baseline"/>
        </w:rPr>
        <w:t>more </w:t>
      </w:r>
      <w:bookmarkStart w:name="_bookmark1050" w:id="1052"/>
      <w:bookmarkEnd w:id="1052"/>
      <w:r>
        <w:rPr>
          <w:vertAlign w:val="baseline"/>
        </w:rPr>
        <w:t>difficult</w:t>
      </w:r>
      <w:r>
        <w:rPr>
          <w:vertAlign w:val="baseline"/>
        </w:rPr>
        <w:t> issue of principle. Support for the view that estoppel by convention can be based on a common assumption of law is admittedly based only on dicta </w:t>
      </w:r>
      <w:r>
        <w:rPr>
          <w:color w:val="005DA1"/>
          <w:u w:val="single" w:color="005DA1"/>
          <w:vertAlign w:val="superscript"/>
        </w:rPr>
        <w:t>660</w:t>
      </w:r>
      <w:r>
        <w:rPr>
          <w:vertAlign w:val="baseline"/>
        </w:rPr>
        <w:t>; but it is arguable that those dicta </w:t>
      </w:r>
      <w:bookmarkStart w:name="_bookmark1051" w:id="1053"/>
      <w:bookmarkEnd w:id="1053"/>
      <w:r>
        <w:rPr>
          <w:vertAlign w:val="baseline"/>
        </w:rPr>
        <w:t>gain</w:t>
      </w:r>
      <w:r>
        <w:rPr>
          <w:vertAlign w:val="baseline"/>
        </w:rPr>
        <w:t> support from cases concerned with mistakes and misrepresentations of law. In these contexts, the distinction between matters of “law” and of “fact” has proved hard to draw and is now discredited. </w:t>
      </w:r>
      <w:r>
        <w:rPr>
          <w:color w:val="005DA1"/>
          <w:u w:val="single" w:color="005DA1"/>
          <w:vertAlign w:val="superscript"/>
        </w:rPr>
        <w:t>661</w:t>
      </w:r>
      <w:r>
        <w:rPr>
          <w:color w:val="005DA1"/>
          <w:vertAlign w:val="baseline"/>
        </w:rPr>
        <w:t> </w:t>
      </w:r>
      <w:r>
        <w:rPr>
          <w:vertAlign w:val="baseline"/>
        </w:rPr>
        <w:t>On the other hand, the extension of estoppel by convention to </w:t>
      </w:r>
      <w:r>
        <w:rPr>
          <w:rFonts w:ascii="Arial" w:hAnsi="Arial"/>
          <w:i/>
          <w:vertAlign w:val="baseline"/>
        </w:rPr>
        <w:t>all </w:t>
      </w:r>
      <w:r>
        <w:rPr>
          <w:vertAlign w:val="baseline"/>
        </w:rPr>
        <w:t>common assumptions of “law” could undermine the security of commercial transactions by allowing a party to resist enforcement merely</w:t>
      </w:r>
      <w:r>
        <w:rPr>
          <w:spacing w:val="-2"/>
          <w:vertAlign w:val="baseline"/>
        </w:rPr>
        <w:t> </w:t>
      </w:r>
      <w:r>
        <w:rPr>
          <w:vertAlign w:val="baseline"/>
        </w:rPr>
        <w:t>on</w:t>
      </w:r>
      <w:r>
        <w:rPr>
          <w:spacing w:val="-2"/>
          <w:vertAlign w:val="baseline"/>
        </w:rPr>
        <w:t> </w:t>
      </w:r>
      <w:r>
        <w:rPr>
          <w:vertAlign w:val="baseline"/>
        </w:rPr>
        <w:t>account</w:t>
      </w:r>
      <w:r>
        <w:rPr>
          <w:spacing w:val="-2"/>
          <w:vertAlign w:val="baseline"/>
        </w:rPr>
        <w:t> </w:t>
      </w:r>
      <w:r>
        <w:rPr>
          <w:vertAlign w:val="baseline"/>
        </w:rPr>
        <w:t>of</w:t>
      </w:r>
      <w:r>
        <w:rPr>
          <w:spacing w:val="-2"/>
          <w:vertAlign w:val="baseline"/>
        </w:rPr>
        <w:t> </w:t>
      </w:r>
      <w:r>
        <w:rPr>
          <w:vertAlign w:val="baseline"/>
        </w:rPr>
        <w:t>an</w:t>
      </w:r>
      <w:r>
        <w:rPr>
          <w:spacing w:val="-2"/>
          <w:vertAlign w:val="baseline"/>
        </w:rPr>
        <w:t> </w:t>
      </w:r>
      <w:r>
        <w:rPr>
          <w:vertAlign w:val="baseline"/>
        </w:rPr>
        <w:t>assumption</w:t>
      </w:r>
      <w:r>
        <w:rPr>
          <w:spacing w:val="-2"/>
          <w:vertAlign w:val="baseline"/>
        </w:rPr>
        <w:t> </w:t>
      </w:r>
      <w:r>
        <w:rPr>
          <w:vertAlign w:val="baseline"/>
        </w:rPr>
        <w:t>as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rFonts w:ascii="Arial" w:hAnsi="Arial"/>
          <w:i/>
          <w:vertAlign w:val="baseline"/>
        </w:rPr>
        <w:t>legal</w:t>
      </w:r>
      <w:r>
        <w:rPr>
          <w:rFonts w:ascii="Arial" w:hAnsi="Arial"/>
          <w:i/>
          <w:spacing w:val="-2"/>
          <w:vertAlign w:val="baseline"/>
        </w:rPr>
        <w:t> </w:t>
      </w:r>
      <w:r>
        <w:rPr>
          <w:rFonts w:ascii="Arial" w:hAnsi="Arial"/>
          <w:i/>
          <w:vertAlign w:val="baseline"/>
        </w:rPr>
        <w:t>effect</w:t>
      </w:r>
      <w:r>
        <w:rPr>
          <w:rFonts w:ascii="Arial" w:hAnsi="Arial"/>
          <w:i/>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the</w:t>
      </w:r>
      <w:r>
        <w:rPr>
          <w:spacing w:val="-2"/>
          <w:vertAlign w:val="baseline"/>
        </w:rPr>
        <w:t> </w:t>
      </w:r>
      <w:r>
        <w:rPr>
          <w:vertAlign w:val="baseline"/>
        </w:rPr>
        <w:t>terms</w:t>
      </w:r>
      <w:r>
        <w:rPr>
          <w:spacing w:val="-2"/>
          <w:vertAlign w:val="baseline"/>
        </w:rPr>
        <w:t> </w:t>
      </w:r>
      <w:r>
        <w:rPr>
          <w:vertAlign w:val="baseline"/>
        </w:rPr>
        <w:t>or</w:t>
      </w:r>
      <w:r>
        <w:rPr>
          <w:spacing w:val="-2"/>
          <w:vertAlign w:val="baseline"/>
        </w:rPr>
        <w:t> </w:t>
      </w:r>
      <w:r>
        <w:rPr>
          <w:vertAlign w:val="baseline"/>
        </w:rPr>
        <w:t>meaning</w:t>
      </w:r>
      <w:r>
        <w:rPr>
          <w:spacing w:val="-2"/>
          <w:vertAlign w:val="baseline"/>
        </w:rPr>
        <w:t> </w:t>
      </w:r>
      <w:r>
        <w:rPr>
          <w:vertAlign w:val="baseline"/>
        </w:rPr>
        <w:t>of</w:t>
      </w:r>
      <w:r>
        <w:rPr>
          <w:spacing w:val="-2"/>
          <w:vertAlign w:val="baseline"/>
        </w:rPr>
        <w:t> </w:t>
      </w:r>
      <w:r>
        <w:rPr>
          <w:vertAlign w:val="baseline"/>
        </w:rPr>
        <w:t>which </w:t>
      </w:r>
      <w:bookmarkStart w:name="_bookmark1052" w:id="1054"/>
      <w:bookmarkEnd w:id="1054"/>
      <w:r>
        <w:rPr>
          <w:vertAlign w:val="baseline"/>
        </w:rPr>
        <w:t>were</w:t>
      </w:r>
      <w:r>
        <w:rPr>
          <w:vertAlign w:val="baseline"/>
        </w:rPr>
        <w:t> not in dispute; and this is a type of assumption which, on the authorities, does not give rise to such an estoppel. </w:t>
      </w:r>
      <w:r>
        <w:rPr>
          <w:color w:val="005DA1"/>
          <w:u w:val="single" w:color="005DA1"/>
          <w:vertAlign w:val="superscript"/>
        </w:rPr>
        <w:t>662</w:t>
      </w:r>
    </w:p>
    <w:p>
      <w:pPr>
        <w:pStyle w:val="BodyText"/>
      </w:pPr>
    </w:p>
    <w:p>
      <w:pPr>
        <w:pStyle w:val="BodyText"/>
        <w:spacing w:before="29"/>
      </w:pPr>
    </w:p>
    <w:p>
      <w:pPr>
        <w:spacing w:before="0"/>
        <w:ind w:left="165" w:right="0" w:firstLine="0"/>
        <w:jc w:val="both"/>
        <w:rPr>
          <w:rFonts w:ascii="Arial"/>
          <w:b/>
          <w:sz w:val="18"/>
        </w:rPr>
      </w:pPr>
      <w:r>
        <w:rPr>
          <w:rFonts w:ascii="Arial"/>
          <w:b/>
          <w:sz w:val="18"/>
        </w:rPr>
        <w:t>Effect of estoppel by </w:t>
      </w:r>
      <w:r>
        <w:rPr>
          <w:rFonts w:ascii="Arial"/>
          <w:b/>
          <w:spacing w:val="-2"/>
          <w:sz w:val="18"/>
        </w:rPr>
        <w:t>convention</w:t>
      </w:r>
    </w:p>
    <w:p>
      <w:pPr>
        <w:pStyle w:val="BodyText"/>
        <w:spacing w:before="42"/>
        <w:rPr>
          <w:rFonts w:ascii="Arial"/>
          <w:b/>
          <w:sz w:val="18"/>
        </w:rPr>
      </w:pPr>
    </w:p>
    <w:p>
      <w:pPr>
        <w:pStyle w:val="Heading2"/>
      </w:pPr>
      <w:r>
        <w:rPr/>
        <w:t>4-</w:t>
      </w:r>
      <w:r>
        <w:rPr>
          <w:spacing w:val="-5"/>
        </w:rPr>
        <w:t>112</w:t>
      </w:r>
    </w:p>
    <w:p>
      <w:pPr>
        <w:pStyle w:val="BodyText"/>
        <w:spacing w:line="235" w:lineRule="auto" w:before="202"/>
        <w:ind w:left="164" w:right="167"/>
        <w:jc w:val="both"/>
      </w:pPr>
      <w:bookmarkStart w:name="_bookmark1053" w:id="1055"/>
      <w:bookmarkEnd w:id="1055"/>
      <w:r>
        <w:rPr/>
      </w:r>
      <w:r>
        <w:rPr/>
        <w:t>The effect of this form of estoppel is to preclude a party from denying the agreed or common </w:t>
      </w:r>
      <w:bookmarkStart w:name="_bookmark1054" w:id="1056"/>
      <w:bookmarkEnd w:id="1056"/>
      <w:r>
        <w:rPr/>
        <w:t>assumption</w:t>
      </w:r>
      <w:r>
        <w:rPr/>
        <w:t> of fact or, at least to the extent suggested in para.4-111, above, of law. </w:t>
      </w:r>
      <w:r>
        <w:rPr>
          <w:color w:val="005DA1"/>
          <w:u w:val="single" w:color="005DA1"/>
          <w:vertAlign w:val="superscript"/>
        </w:rPr>
        <w:t>663</w:t>
      </w:r>
      <w:r>
        <w:rPr>
          <w:color w:val="005DA1"/>
          <w:vertAlign w:val="baseline"/>
        </w:rPr>
        <w:t> </w:t>
      </w:r>
      <w:r>
        <w:rPr>
          <w:vertAlign w:val="baseline"/>
        </w:rPr>
        <w:t>One </w:t>
      </w:r>
      <w:r>
        <w:rPr>
          <w:vertAlign w:val="baseline"/>
        </w:rPr>
        <w:t>such </w:t>
      </w:r>
      <w:bookmarkStart w:name="_bookmark1055" w:id="1057"/>
      <w:bookmarkEnd w:id="1057"/>
      <w:r>
        <w:rPr>
          <w:vertAlign w:val="baseline"/>
        </w:rPr>
        <w:t>assumption</w:t>
      </w:r>
      <w:r>
        <w:rPr>
          <w:vertAlign w:val="baseline"/>
        </w:rPr>
        <w:t> may be that a particular promise has been made </w:t>
      </w:r>
      <w:r>
        <w:rPr>
          <w:color w:val="005DA1"/>
          <w:u w:val="single" w:color="005DA1"/>
          <w:vertAlign w:val="superscript"/>
        </w:rPr>
        <w:t>664</w:t>
      </w:r>
      <w:r>
        <w:rPr>
          <w:vertAlign w:val="baseline"/>
        </w:rPr>
        <w:t>: thus it is possible to describe the result</w:t>
      </w:r>
      <w:r>
        <w:rPr>
          <w:spacing w:val="-2"/>
          <w:vertAlign w:val="baseline"/>
        </w:rPr>
        <w:t> </w:t>
      </w:r>
      <w:r>
        <w:rPr>
          <w:vertAlign w:val="baseline"/>
        </w:rPr>
        <w:t>in</w:t>
      </w:r>
      <w:r>
        <w:rPr>
          <w:spacing w:val="-2"/>
          <w:vertAlign w:val="baseline"/>
        </w:rPr>
        <w:t> </w:t>
      </w:r>
      <w:r>
        <w:rPr>
          <w:rFonts w:ascii="Arial"/>
          <w:i/>
          <w:vertAlign w:val="baseline"/>
        </w:rPr>
        <w:t>Amalgamated</w:t>
      </w:r>
      <w:r>
        <w:rPr>
          <w:rFonts w:ascii="Arial"/>
          <w:i/>
          <w:spacing w:val="-2"/>
          <w:vertAlign w:val="baseline"/>
        </w:rPr>
        <w:t> </w:t>
      </w:r>
      <w:r>
        <w:rPr>
          <w:rFonts w:ascii="Arial"/>
          <w:i/>
          <w:vertAlign w:val="baseline"/>
        </w:rPr>
        <w:t>Investment</w:t>
      </w:r>
      <w:r>
        <w:rPr>
          <w:rFonts w:ascii="Arial"/>
          <w:i/>
          <w:spacing w:val="-2"/>
          <w:vertAlign w:val="baseline"/>
        </w:rPr>
        <w:t> </w:t>
      </w:r>
      <w:r>
        <w:rPr>
          <w:rFonts w:ascii="Arial"/>
          <w:i/>
          <w:vertAlign w:val="baseline"/>
        </w:rPr>
        <w:t>&amp;</w:t>
      </w:r>
      <w:r>
        <w:rPr>
          <w:rFonts w:ascii="Arial"/>
          <w:i/>
          <w:spacing w:val="-2"/>
          <w:vertAlign w:val="baseline"/>
        </w:rPr>
        <w:t> </w:t>
      </w:r>
      <w:r>
        <w:rPr>
          <w:rFonts w:ascii="Arial"/>
          <w:i/>
          <w:vertAlign w:val="baseline"/>
        </w:rPr>
        <w:t>Property</w:t>
      </w:r>
      <w:r>
        <w:rPr>
          <w:rFonts w:ascii="Arial"/>
          <w:i/>
          <w:spacing w:val="-2"/>
          <w:vertAlign w:val="baseline"/>
        </w:rPr>
        <w:t> </w:t>
      </w:r>
      <w:r>
        <w:rPr>
          <w:rFonts w:ascii="Arial"/>
          <w:i/>
          <w:vertAlign w:val="baseline"/>
        </w:rPr>
        <w:t>Co</w:t>
      </w:r>
      <w:r>
        <w:rPr>
          <w:rFonts w:ascii="Arial"/>
          <w:i/>
          <w:spacing w:val="-2"/>
          <w:vertAlign w:val="baseline"/>
        </w:rPr>
        <w:t> </w:t>
      </w:r>
      <w:r>
        <w:rPr>
          <w:rFonts w:ascii="Arial"/>
          <w:i/>
          <w:vertAlign w:val="baseline"/>
        </w:rPr>
        <w:t>Ltd</w:t>
      </w:r>
      <w:r>
        <w:rPr>
          <w:rFonts w:ascii="Arial"/>
          <w:i/>
          <w:spacing w:val="-2"/>
          <w:vertAlign w:val="baseline"/>
        </w:rPr>
        <w:t> </w:t>
      </w:r>
      <w:r>
        <w:rPr>
          <w:rFonts w:ascii="Arial"/>
          <w:i/>
          <w:vertAlign w:val="baseline"/>
        </w:rPr>
        <w:t>v</w:t>
      </w:r>
      <w:r>
        <w:rPr>
          <w:rFonts w:ascii="Arial"/>
          <w:i/>
          <w:spacing w:val="-2"/>
          <w:vertAlign w:val="baseline"/>
        </w:rPr>
        <w:t> </w:t>
      </w:r>
      <w:r>
        <w:rPr>
          <w:rFonts w:ascii="Arial"/>
          <w:i/>
          <w:vertAlign w:val="baseline"/>
        </w:rPr>
        <w:t>Texas</w:t>
      </w:r>
      <w:r>
        <w:rPr>
          <w:rFonts w:ascii="Arial"/>
          <w:i/>
          <w:spacing w:val="-2"/>
          <w:vertAlign w:val="baseline"/>
        </w:rPr>
        <w:t> </w:t>
      </w:r>
      <w:r>
        <w:rPr>
          <w:rFonts w:ascii="Arial"/>
          <w:i/>
          <w:vertAlign w:val="baseline"/>
        </w:rPr>
        <w:t>Commerce</w:t>
      </w:r>
      <w:r>
        <w:rPr>
          <w:rFonts w:ascii="Arial"/>
          <w:i/>
          <w:spacing w:val="-2"/>
          <w:vertAlign w:val="baseline"/>
        </w:rPr>
        <w:t> </w:t>
      </w:r>
      <w:r>
        <w:rPr>
          <w:rFonts w:ascii="Arial"/>
          <w:i/>
          <w:vertAlign w:val="baseline"/>
        </w:rPr>
        <w:t>International</w:t>
      </w:r>
      <w:r>
        <w:rPr>
          <w:rFonts w:ascii="Arial"/>
          <w:i/>
          <w:spacing w:val="-2"/>
          <w:vertAlign w:val="baseline"/>
        </w:rPr>
        <w:t> </w:t>
      </w:r>
      <w:r>
        <w:rPr>
          <w:rFonts w:ascii="Arial"/>
          <w:i/>
          <w:vertAlign w:val="baseline"/>
        </w:rPr>
        <w:t>Bank</w:t>
      </w:r>
      <w:r>
        <w:rPr>
          <w:rFonts w:ascii="Arial"/>
          <w:i/>
          <w:spacing w:val="-2"/>
          <w:vertAlign w:val="baseline"/>
        </w:rPr>
        <w:t> </w:t>
      </w:r>
      <w:r>
        <w:rPr>
          <w:rFonts w:ascii="Arial"/>
          <w:i/>
          <w:vertAlign w:val="baseline"/>
        </w:rPr>
        <w:t>Ltd</w:t>
      </w:r>
      <w:r>
        <w:rPr>
          <w:rFonts w:ascii="Arial"/>
          <w:i/>
          <w:spacing w:val="-3"/>
          <w:vertAlign w:val="baseline"/>
        </w:rPr>
        <w:t> </w:t>
      </w:r>
      <w:r>
        <w:rPr>
          <w:color w:val="005DA1"/>
          <w:u w:val="single" w:color="005DA1"/>
          <w:vertAlign w:val="superscript"/>
        </w:rPr>
        <w:t>665</w:t>
      </w:r>
      <w:r>
        <w:rPr>
          <w:color w:val="005DA1"/>
          <w:spacing w:val="-2"/>
          <w:vertAlign w:val="baseline"/>
        </w:rPr>
        <w:t> </w:t>
      </w:r>
      <w:r>
        <w:rPr>
          <w:vertAlign w:val="baseline"/>
        </w:rPr>
        <w:t>by saying</w:t>
      </w:r>
      <w:r>
        <w:rPr>
          <w:spacing w:val="32"/>
          <w:vertAlign w:val="baseline"/>
        </w:rPr>
        <w:t> </w:t>
      </w:r>
      <w:r>
        <w:rPr>
          <w:vertAlign w:val="baseline"/>
        </w:rPr>
        <w:t>that</w:t>
      </w:r>
      <w:r>
        <w:rPr>
          <w:spacing w:val="32"/>
          <w:vertAlign w:val="baseline"/>
        </w:rPr>
        <w:t> </w:t>
      </w:r>
      <w:r>
        <w:rPr>
          <w:vertAlign w:val="baseline"/>
        </w:rPr>
        <w:t>A</w:t>
      </w:r>
      <w:r>
        <w:rPr>
          <w:spacing w:val="32"/>
          <w:vertAlign w:val="baseline"/>
        </w:rPr>
        <w:t> </w:t>
      </w:r>
      <w:r>
        <w:rPr>
          <w:vertAlign w:val="baseline"/>
        </w:rPr>
        <w:t>was</w:t>
      </w:r>
      <w:r>
        <w:rPr>
          <w:spacing w:val="32"/>
          <w:vertAlign w:val="baseline"/>
        </w:rPr>
        <w:t> </w:t>
      </w:r>
      <w:r>
        <w:rPr>
          <w:vertAlign w:val="baseline"/>
        </w:rPr>
        <w:t>estopped</w:t>
      </w:r>
      <w:r>
        <w:rPr>
          <w:spacing w:val="32"/>
          <w:vertAlign w:val="baseline"/>
        </w:rPr>
        <w:t> </w:t>
      </w:r>
      <w:r>
        <w:rPr>
          <w:vertAlign w:val="baseline"/>
        </w:rPr>
        <w:t>from</w:t>
      </w:r>
      <w:r>
        <w:rPr>
          <w:spacing w:val="32"/>
          <w:vertAlign w:val="baseline"/>
        </w:rPr>
        <w:t> </w:t>
      </w:r>
      <w:r>
        <w:rPr>
          <w:vertAlign w:val="baseline"/>
        </w:rPr>
        <w:t>denying</w:t>
      </w:r>
      <w:r>
        <w:rPr>
          <w:spacing w:val="32"/>
          <w:vertAlign w:val="baseline"/>
        </w:rPr>
        <w:t> </w:t>
      </w:r>
      <w:r>
        <w:rPr>
          <w:vertAlign w:val="baseline"/>
        </w:rPr>
        <w:t>that</w:t>
      </w:r>
      <w:r>
        <w:rPr>
          <w:spacing w:val="32"/>
          <w:vertAlign w:val="baseline"/>
        </w:rPr>
        <w:t> </w:t>
      </w:r>
      <w:r>
        <w:rPr>
          <w:vertAlign w:val="baseline"/>
        </w:rPr>
        <w:t>it</w:t>
      </w:r>
      <w:r>
        <w:rPr>
          <w:spacing w:val="32"/>
          <w:vertAlign w:val="baseline"/>
        </w:rPr>
        <w:t> </w:t>
      </w:r>
      <w:r>
        <w:rPr>
          <w:vertAlign w:val="baseline"/>
        </w:rPr>
        <w:t>had</w:t>
      </w:r>
      <w:r>
        <w:rPr>
          <w:spacing w:val="32"/>
          <w:vertAlign w:val="baseline"/>
        </w:rPr>
        <w:t> </w:t>
      </w:r>
      <w:r>
        <w:rPr>
          <w:vertAlign w:val="baseline"/>
        </w:rPr>
        <w:t>promised</w:t>
      </w:r>
      <w:r>
        <w:rPr>
          <w:spacing w:val="32"/>
          <w:vertAlign w:val="baseline"/>
        </w:rPr>
        <w:t> </w:t>
      </w:r>
      <w:r>
        <w:rPr>
          <w:vertAlign w:val="baseline"/>
        </w:rPr>
        <w:t>the</w:t>
      </w:r>
      <w:r>
        <w:rPr>
          <w:spacing w:val="32"/>
          <w:vertAlign w:val="baseline"/>
        </w:rPr>
        <w:t> </w:t>
      </w:r>
      <w:r>
        <w:rPr>
          <w:vertAlign w:val="baseline"/>
        </w:rPr>
        <w:t>X</w:t>
      </w:r>
      <w:r>
        <w:rPr>
          <w:spacing w:val="32"/>
          <w:vertAlign w:val="baseline"/>
        </w:rPr>
        <w:t> </w:t>
      </w:r>
      <w:r>
        <w:rPr>
          <w:vertAlign w:val="baseline"/>
        </w:rPr>
        <w:t>Bank</w:t>
      </w:r>
      <w:r>
        <w:rPr>
          <w:spacing w:val="32"/>
          <w:vertAlign w:val="baseline"/>
        </w:rPr>
        <w:t> </w:t>
      </w:r>
      <w:r>
        <w:rPr>
          <w:vertAlign w:val="baseline"/>
        </w:rPr>
        <w:t>to</w:t>
      </w:r>
      <w:r>
        <w:rPr>
          <w:spacing w:val="32"/>
          <w:vertAlign w:val="baseline"/>
        </w:rPr>
        <w:t> </w:t>
      </w:r>
      <w:r>
        <w:rPr>
          <w:vertAlign w:val="baseline"/>
        </w:rPr>
        <w:t>repay</w:t>
      </w:r>
      <w:r>
        <w:rPr>
          <w:spacing w:val="32"/>
          <w:vertAlign w:val="baseline"/>
        </w:rPr>
        <w:t> </w:t>
      </w:r>
      <w:r>
        <w:rPr>
          <w:vertAlign w:val="baseline"/>
        </w:rPr>
        <w:t>any</w:t>
      </w:r>
      <w:r>
        <w:rPr>
          <w:spacing w:val="32"/>
          <w:vertAlign w:val="baseline"/>
        </w:rPr>
        <w:t> </w:t>
      </w:r>
      <w:r>
        <w:rPr>
          <w:vertAlign w:val="baseline"/>
        </w:rPr>
        <w:t>sum</w:t>
      </w:r>
      <w:r>
        <w:rPr>
          <w:spacing w:val="32"/>
          <w:vertAlign w:val="baseline"/>
        </w:rPr>
        <w:t> </w:t>
      </w:r>
      <w:r>
        <w:rPr>
          <w:spacing w:val="-4"/>
          <w:vertAlign w:val="baseline"/>
        </w:rPr>
        <w:t>left</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bookmarkStart w:name="_bookmark1056" w:id="1058"/>
      <w:bookmarkEnd w:id="1058"/>
      <w:r>
        <w:rPr/>
      </w:r>
      <w:r>
        <w:rPr/>
        <w:t>unpaid by B to the Y Bank. But, although estoppel by convention may thus take effect in relation to </w:t>
      </w:r>
      <w:r>
        <w:rPr/>
        <w:t>a promise, it is quite different in its legal nature </w:t>
      </w:r>
      <w:r>
        <w:rPr>
          <w:color w:val="005DA1"/>
          <w:u w:val="single" w:color="005DA1"/>
          <w:vertAlign w:val="superscript"/>
        </w:rPr>
        <w:t>666</w:t>
      </w:r>
      <w:r>
        <w:rPr>
          <w:color w:val="005DA1"/>
          <w:vertAlign w:val="baseline"/>
        </w:rPr>
        <w:t> </w:t>
      </w:r>
      <w:r>
        <w:rPr>
          <w:vertAlign w:val="baseline"/>
        </w:rPr>
        <w:t>from promissory estoppel. In cases of promissory estoppel, the promisor or representor is not estopped from denying that the promise or representation </w:t>
      </w:r>
      <w:r>
        <w:rPr>
          <w:rFonts w:ascii="Arial"/>
          <w:i/>
          <w:vertAlign w:val="baseline"/>
        </w:rPr>
        <w:t>has been made</w:t>
      </w:r>
      <w:r>
        <w:rPr>
          <w:vertAlign w:val="baseline"/>
        </w:rPr>
        <w:t>: on the contrary, this must be proved to establish that kind of estoppel. The doctrine</w:t>
      </w:r>
      <w:r>
        <w:rPr>
          <w:spacing w:val="40"/>
          <w:vertAlign w:val="baseline"/>
        </w:rPr>
        <w:t> </w:t>
      </w:r>
      <w:r>
        <w:rPr>
          <w:vertAlign w:val="baseline"/>
        </w:rPr>
        <w:t>of promissory estoppel is concerned with the </w:t>
      </w:r>
      <w:r>
        <w:rPr>
          <w:rFonts w:ascii="Arial"/>
          <w:i/>
          <w:vertAlign w:val="baseline"/>
        </w:rPr>
        <w:t>legal effects </w:t>
      </w:r>
      <w:r>
        <w:rPr>
          <w:vertAlign w:val="baseline"/>
        </w:rPr>
        <w:t>of a promise that has been shown to exist. </w:t>
      </w:r>
      <w:bookmarkStart w:name="_bookmark1057" w:id="1059"/>
      <w:bookmarkEnd w:id="1059"/>
      <w:r>
        <w:rPr>
          <w:vertAlign w:val="baseline"/>
        </w:rPr>
        <w:t>Where,</w:t>
      </w:r>
      <w:r>
        <w:rPr>
          <w:vertAlign w:val="baseline"/>
        </w:rPr>
        <w:t> on the other hand, the requirements of estoppel by convention are satisfied, then this type of estoppel normally operates to prevent a party from denying a </w:t>
      </w:r>
      <w:r>
        <w:rPr>
          <w:rFonts w:ascii="Arial"/>
          <w:i/>
          <w:vertAlign w:val="baseline"/>
        </w:rPr>
        <w:t>fact</w:t>
      </w:r>
      <w:r>
        <w:rPr>
          <w:vertAlign w:val="baseline"/>
        </w:rPr>
        <w:t>, </w:t>
      </w:r>
      <w:r>
        <w:rPr>
          <w:color w:val="005DA1"/>
          <w:u w:val="single" w:color="005DA1"/>
          <w:vertAlign w:val="superscript"/>
        </w:rPr>
        <w:t>667</w:t>
      </w:r>
      <w:r>
        <w:rPr>
          <w:color w:val="005DA1"/>
          <w:vertAlign w:val="baseline"/>
        </w:rPr>
        <w:t> </w:t>
      </w:r>
      <w:r>
        <w:rPr>
          <w:vertAlign w:val="baseline"/>
        </w:rPr>
        <w:t>i.e. that the assumed promise </w:t>
      </w:r>
      <w:bookmarkStart w:name="_bookmark1058" w:id="1060"/>
      <w:bookmarkEnd w:id="1060"/>
      <w:r>
        <w:rPr>
          <w:vertAlign w:val="baseline"/>
        </w:rPr>
      </w:r>
      <w:r>
        <w:rPr>
          <w:rFonts w:ascii="Arial"/>
          <w:i/>
          <w:vertAlign w:val="baseline"/>
        </w:rPr>
        <w:t>has been made</w:t>
      </w:r>
      <w:r>
        <w:rPr>
          <w:vertAlign w:val="baseline"/>
        </w:rPr>
        <w:t>, or that a promise contains the assumed term: it does not specify the </w:t>
      </w:r>
      <w:r>
        <w:rPr>
          <w:rFonts w:ascii="Arial"/>
          <w:i/>
          <w:vertAlign w:val="baseline"/>
        </w:rPr>
        <w:t>legal effects </w:t>
      </w:r>
      <w:r>
        <w:rPr>
          <w:vertAlign w:val="baseline"/>
        </w:rPr>
        <w:t>of the assumed promise or term. </w:t>
      </w:r>
      <w:r>
        <w:rPr>
          <w:color w:val="005DA1"/>
          <w:u w:val="single" w:color="005DA1"/>
          <w:vertAlign w:val="superscript"/>
        </w:rPr>
        <w:t>668</w:t>
      </w:r>
      <w:r>
        <w:rPr>
          <w:color w:val="005DA1"/>
          <w:vertAlign w:val="baseline"/>
        </w:rPr>
        <w:t> </w:t>
      </w:r>
      <w:r>
        <w:rPr>
          <w:vertAlign w:val="baseline"/>
        </w:rPr>
        <w:t>In </w:t>
      </w:r>
      <w:r>
        <w:rPr>
          <w:rFonts w:ascii="Arial"/>
          <w:i/>
          <w:vertAlign w:val="baseline"/>
        </w:rPr>
        <w:t>Amalgamated Investment &amp; Property Co Ltd v Texas Commerce International Bank Ltd</w:t>
      </w:r>
      <w:r>
        <w:rPr>
          <w:vertAlign w:val="baseline"/>
        </w:rPr>
        <w:t>, once A was estopped from denying the </w:t>
      </w:r>
      <w:r>
        <w:rPr>
          <w:rFonts w:ascii="Arial"/>
          <w:i/>
          <w:vertAlign w:val="baseline"/>
        </w:rPr>
        <w:t>existence </w:t>
      </w:r>
      <w:r>
        <w:rPr>
          <w:vertAlign w:val="baseline"/>
        </w:rPr>
        <w:t>of the promise described </w:t>
      </w:r>
      <w:bookmarkStart w:name="_bookmark1059" w:id="1061"/>
      <w:bookmarkEnd w:id="1061"/>
      <w:r>
        <w:rPr>
          <w:vertAlign w:val="baseline"/>
        </w:rPr>
        <w:t>above,</w:t>
      </w:r>
      <w:r>
        <w:rPr>
          <w:vertAlign w:val="baseline"/>
        </w:rPr>
        <w:t> no question arose as to its legal validity. There could be no doubt that that promise was </w:t>
      </w:r>
      <w:bookmarkStart w:name="_bookmark1060" w:id="1062"/>
      <w:bookmarkEnd w:id="1062"/>
      <w:r>
        <w:rPr>
          <w:vertAlign w:val="baseline"/>
        </w:rPr>
        <w:t>supported</w:t>
      </w:r>
      <w:r>
        <w:rPr>
          <w:vertAlign w:val="baseline"/>
        </w:rPr>
        <w:t> by consideration </w:t>
      </w:r>
      <w:r>
        <w:rPr>
          <w:color w:val="005DA1"/>
          <w:u w:val="single" w:color="005DA1"/>
          <w:vertAlign w:val="superscript"/>
        </w:rPr>
        <w:t>669</w:t>
      </w:r>
      <w:r>
        <w:rPr>
          <w:vertAlign w:val="baseline"/>
        </w:rPr>
        <w:t>: this was provided by the X Bank in making funds available to the Y Bank to enable it to make a loan to B, and in inducing the Y Bank to make that loan. </w:t>
      </w:r>
      <w:r>
        <w:rPr>
          <w:color w:val="005DA1"/>
          <w:u w:val="single" w:color="005DA1"/>
          <w:vertAlign w:val="superscript"/>
        </w:rPr>
        <w:t>670</w:t>
      </w:r>
      <w:r>
        <w:rPr>
          <w:color w:val="005DA1"/>
          <w:vertAlign w:val="baseline"/>
        </w:rPr>
        <w:t> </w:t>
      </w:r>
      <w:r>
        <w:rPr>
          <w:vertAlign w:val="baseline"/>
        </w:rPr>
        <w:t>Where the assumed promise is one that would, if actually made, have been unsupported by consideration, both </w:t>
      </w:r>
      <w:bookmarkStart w:name="_bookmark1061" w:id="1063"/>
      <w:bookmarkEnd w:id="1063"/>
      <w:r>
        <w:rPr>
          <w:vertAlign w:val="baseline"/>
        </w:rPr>
        <w:t>types</w:t>
      </w:r>
      <w:r>
        <w:rPr>
          <w:vertAlign w:val="baseline"/>
        </w:rPr>
        <w:t> of estoppel can, however, operate in the same case: estoppel by convention to establish the existence of the promise, and promissory estoppel to determine its legal effect. </w:t>
      </w:r>
      <w:r>
        <w:rPr>
          <w:color w:val="005DA1"/>
          <w:u w:val="single" w:color="005DA1"/>
          <w:vertAlign w:val="superscript"/>
        </w:rPr>
        <w:t>671</w:t>
      </w:r>
    </w:p>
    <w:p>
      <w:pPr>
        <w:pStyle w:val="BodyText"/>
      </w:pPr>
    </w:p>
    <w:p>
      <w:pPr>
        <w:pStyle w:val="BodyText"/>
        <w:spacing w:before="32"/>
      </w:pPr>
    </w:p>
    <w:p>
      <w:pPr>
        <w:spacing w:before="0"/>
        <w:ind w:left="165" w:right="0" w:firstLine="0"/>
        <w:jc w:val="both"/>
        <w:rPr>
          <w:rFonts w:ascii="Arial"/>
          <w:b/>
          <w:sz w:val="18"/>
        </w:rPr>
      </w:pPr>
      <w:r>
        <w:rPr>
          <w:rFonts w:ascii="Arial"/>
          <w:b/>
          <w:sz w:val="18"/>
        </w:rPr>
        <w:t>Estoppel by convention does not operate </w:t>
      </w:r>
      <w:r>
        <w:rPr>
          <w:rFonts w:ascii="Arial"/>
          <w:b/>
          <w:spacing w:val="-2"/>
          <w:sz w:val="18"/>
        </w:rPr>
        <w:t>prospectively</w:t>
      </w:r>
    </w:p>
    <w:p>
      <w:pPr>
        <w:pStyle w:val="BodyText"/>
        <w:spacing w:before="41"/>
        <w:rPr>
          <w:rFonts w:ascii="Arial"/>
          <w:b/>
          <w:sz w:val="18"/>
        </w:rPr>
      </w:pPr>
    </w:p>
    <w:p>
      <w:pPr>
        <w:pStyle w:val="Heading2"/>
        <w:spacing w:before="1"/>
      </w:pPr>
      <w:r>
        <w:rPr/>
        <w:t>4-</w:t>
      </w:r>
      <w:r>
        <w:rPr>
          <w:spacing w:val="-5"/>
        </w:rPr>
        <w:t>113</w:t>
      </w:r>
    </w:p>
    <w:p>
      <w:pPr>
        <w:pStyle w:val="BodyText"/>
        <w:spacing w:before="88"/>
        <w:rPr>
          <w:rFonts w:ascii="Arial"/>
          <w:b/>
        </w:rPr>
      </w:pPr>
    </w:p>
    <w:p>
      <w:pPr>
        <w:pStyle w:val="BodyText"/>
        <w:ind w:left="165"/>
        <w:jc w:val="both"/>
      </w:pPr>
      <w:r>
        <w:rPr>
          <w:position w:val="-2"/>
        </w:rPr>
        <w:drawing>
          <wp:inline distT="0" distB="0" distL="0" distR="0">
            <wp:extent cx="107988" cy="107988"/>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1"/>
        </w:rPr>
        <w:t> </w:t>
      </w:r>
      <w:bookmarkStart w:name="_bookmark1062" w:id="1064"/>
      <w:bookmarkEnd w:id="1064"/>
      <w:r>
        <w:rPr>
          <w:rFonts w:ascii="Times New Roman" w:hAnsi="Times New Roman"/>
          <w:spacing w:val="21"/>
        </w:rPr>
      </w:r>
      <w:r>
        <w:rPr/>
        <w:t>Estoppel</w:t>
      </w:r>
      <w:r>
        <w:rPr>
          <w:spacing w:val="17"/>
        </w:rPr>
        <w:t> </w:t>
      </w:r>
      <w:r>
        <w:rPr/>
        <w:t>for</w:t>
      </w:r>
      <w:r>
        <w:rPr>
          <w:spacing w:val="17"/>
        </w:rPr>
        <w:t> </w:t>
      </w:r>
      <w:r>
        <w:rPr/>
        <w:t>convention</w:t>
      </w:r>
      <w:r>
        <w:rPr>
          <w:spacing w:val="17"/>
        </w:rPr>
        <w:t> </w:t>
      </w:r>
      <w:r>
        <w:rPr/>
        <w:t>does</w:t>
      </w:r>
      <w:r>
        <w:rPr>
          <w:spacing w:val="17"/>
        </w:rPr>
        <w:t> </w:t>
      </w:r>
      <w:r>
        <w:rPr/>
        <w:t>not</w:t>
      </w:r>
      <w:r>
        <w:rPr>
          <w:spacing w:val="17"/>
        </w:rPr>
        <w:t> </w:t>
      </w:r>
      <w:r>
        <w:rPr/>
        <w:t>operate</w:t>
      </w:r>
      <w:r>
        <w:rPr>
          <w:spacing w:val="17"/>
        </w:rPr>
        <w:t> </w:t>
      </w:r>
      <w:r>
        <w:rPr/>
        <w:t>prospectively,</w:t>
      </w:r>
      <w:r>
        <w:rPr>
          <w:spacing w:val="17"/>
        </w:rPr>
        <w:t> </w:t>
      </w:r>
      <w:r>
        <w:rPr/>
        <w:t>so</w:t>
      </w:r>
      <w:r>
        <w:rPr>
          <w:spacing w:val="17"/>
        </w:rPr>
        <w:t> </w:t>
      </w:r>
      <w:r>
        <w:rPr/>
        <w:t>that</w:t>
      </w:r>
      <w:r>
        <w:rPr>
          <w:spacing w:val="17"/>
        </w:rPr>
        <w:t> </w:t>
      </w:r>
      <w:r>
        <w:rPr/>
        <w:t>“once</w:t>
      </w:r>
      <w:r>
        <w:rPr>
          <w:spacing w:val="17"/>
        </w:rPr>
        <w:t> </w:t>
      </w:r>
      <w:r>
        <w:rPr/>
        <w:t>the</w:t>
      </w:r>
      <w:r>
        <w:rPr>
          <w:spacing w:val="17"/>
        </w:rPr>
        <w:t> </w:t>
      </w:r>
      <w:r>
        <w:rPr/>
        <w:t>common</w:t>
      </w:r>
      <w:r>
        <w:rPr>
          <w:spacing w:val="17"/>
        </w:rPr>
        <w:t> </w:t>
      </w:r>
      <w:r>
        <w:rPr/>
        <w:t>assumption</w:t>
      </w:r>
      <w:r>
        <w:rPr>
          <w:spacing w:val="17"/>
        </w:rPr>
        <w:t> </w:t>
      </w:r>
      <w:r>
        <w:rPr/>
        <w:t>is</w:t>
      </w:r>
    </w:p>
    <w:p>
      <w:pPr>
        <w:pStyle w:val="BodyText"/>
        <w:spacing w:line="235" w:lineRule="auto" w:before="119"/>
        <w:ind w:left="165" w:right="167"/>
        <w:jc w:val="both"/>
      </w:pPr>
      <w:r>
        <w:rPr/>
        <w:t>revealed to be erroneous the estoppel will not apply to future dealings.” </w:t>
      </w:r>
      <w:r>
        <w:rPr>
          <w:color w:val="005DA1"/>
          <w:u w:val="single" w:color="005DA1"/>
          <w:vertAlign w:val="superscript"/>
        </w:rPr>
        <w:t>672</w:t>
      </w:r>
      <w:r>
        <w:rPr>
          <w:color w:val="005DA1"/>
          <w:spacing w:val="80"/>
          <w:w w:val="150"/>
          <w:vertAlign w:val="baseline"/>
        </w:rPr>
        <w:t> </w:t>
      </w:r>
      <w:r>
        <w:rPr>
          <w:color w:val="005DA1"/>
          <w:spacing w:val="-13"/>
          <w:position w:val="-2"/>
          <w:vertAlign w:val="baseline"/>
        </w:rPr>
        <w:drawing>
          <wp:inline distT="0" distB="0" distL="0" distR="0">
            <wp:extent cx="107988" cy="107988"/>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hAnsi="Times New Roman"/>
          <w:color w:val="005DA1"/>
          <w:spacing w:val="28"/>
          <w:vertAlign w:val="baseline"/>
        </w:rPr>
        <w:t> </w:t>
      </w:r>
      <w:r>
        <w:rPr>
          <w:vertAlign w:val="baseline"/>
        </w:rPr>
        <w:t>Discovery of the </w:t>
      </w:r>
      <w:r>
        <w:rPr>
          <w:vertAlign w:val="baseline"/>
        </w:rPr>
        <w:t>fact that the common assumption is false does not, however, “kill the estoppel stone dead there and then. </w:t>
      </w:r>
      <w:bookmarkStart w:name="_bookmark1063" w:id="1065"/>
      <w:bookmarkEnd w:id="1065"/>
      <w:r>
        <w:rPr>
          <w:vertAlign w:val="baseline"/>
        </w:rPr>
        <w:t>The</w:t>
      </w:r>
      <w:r>
        <w:rPr>
          <w:vertAlign w:val="baseline"/>
        </w:rPr>
        <w:t> reliant party is commonly afforded a limited time within which to protect itself from the </w:t>
      </w:r>
      <w:bookmarkStart w:name="_bookmark1064" w:id="1066"/>
      <w:bookmarkEnd w:id="1066"/>
      <w:r>
        <w:rPr>
          <w:vertAlign w:val="baseline"/>
        </w:rPr>
        <w:t>consequences</w:t>
      </w:r>
      <w:r>
        <w:rPr>
          <w:vertAlign w:val="baseline"/>
        </w:rPr>
        <w:t> of discovering the legal or factual position.” </w:t>
      </w:r>
      <w:r>
        <w:rPr>
          <w:color w:val="005DA1"/>
          <w:u w:val="single" w:color="005DA1"/>
          <w:vertAlign w:val="superscript"/>
        </w:rPr>
        <w:t>673</w:t>
      </w:r>
      <w:r>
        <w:rPr>
          <w:color w:val="005DA1"/>
          <w:vertAlign w:val="baseline"/>
        </w:rPr>
        <w:t> </w:t>
      </w:r>
      <w:r>
        <w:rPr>
          <w:vertAlign w:val="baseline"/>
        </w:rPr>
        <w:t>In </w:t>
      </w:r>
      <w:r>
        <w:rPr>
          <w:rFonts w:ascii="Arial" w:hAnsi="Arial"/>
          <w:i/>
          <w:vertAlign w:val="baseline"/>
        </w:rPr>
        <w:t>Revenue and Customs </w:t>
      </w:r>
      <w:bookmarkStart w:name="_bookmark1065" w:id="1067"/>
      <w:bookmarkEnd w:id="1067"/>
      <w:r>
        <w:rPr>
          <w:rFonts w:ascii="Arial" w:hAnsi="Arial"/>
          <w:i/>
          <w:vertAlign w:val="baseline"/>
        </w:rPr>
        <w:t>Commissioners</w:t>
      </w:r>
      <w:r>
        <w:rPr>
          <w:rFonts w:ascii="Arial" w:hAnsi="Arial"/>
          <w:i/>
          <w:vertAlign w:val="baseline"/>
        </w:rPr>
        <w:t> v Benchdollar Limited </w:t>
      </w:r>
      <w:r>
        <w:rPr>
          <w:vertAlign w:val="baseline"/>
        </w:rPr>
        <w:t>that “limited” </w:t>
      </w:r>
      <w:r>
        <w:rPr>
          <w:color w:val="005DA1"/>
          <w:u w:val="single" w:color="005DA1"/>
          <w:vertAlign w:val="superscript"/>
        </w:rPr>
        <w:t>674</w:t>
      </w:r>
      <w:r>
        <w:rPr>
          <w:color w:val="005DA1"/>
          <w:vertAlign w:val="baseline"/>
        </w:rPr>
        <w:t> </w:t>
      </w:r>
      <w:r>
        <w:rPr>
          <w:vertAlign w:val="baseline"/>
        </w:rPr>
        <w:t>or “reasonable” </w:t>
      </w:r>
      <w:r>
        <w:rPr>
          <w:color w:val="005DA1"/>
          <w:u w:val="single" w:color="005DA1"/>
          <w:vertAlign w:val="superscript"/>
        </w:rPr>
        <w:t>675</w:t>
      </w:r>
      <w:r>
        <w:rPr>
          <w:color w:val="005DA1"/>
          <w:vertAlign w:val="baseline"/>
        </w:rPr>
        <w:t> </w:t>
      </w:r>
      <w:r>
        <w:rPr>
          <w:vertAlign w:val="baseline"/>
        </w:rPr>
        <w:t>time after discovery of the truth by the Revenue was held to be about one month. </w:t>
      </w:r>
      <w:r>
        <w:rPr>
          <w:color w:val="005DA1"/>
          <w:u w:val="single" w:color="005DA1"/>
          <w:vertAlign w:val="superscript"/>
        </w:rPr>
        <w:t>676</w:t>
      </w:r>
      <w:r>
        <w:rPr>
          <w:color w:val="005DA1"/>
          <w:vertAlign w:val="baseline"/>
        </w:rPr>
        <w:t> </w:t>
      </w:r>
      <w:r>
        <w:rPr>
          <w:vertAlign w:val="baseline"/>
        </w:rPr>
        <w:t>It followed that the estoppel operated against the defendants (the taxpayers) so as to prevent them from relying on the Limitation Act 1980 </w:t>
      </w:r>
      <w:bookmarkStart w:name="_bookmark1066" w:id="1068"/>
      <w:bookmarkEnd w:id="1068"/>
      <w:r>
        <w:rPr>
          <w:vertAlign w:val="baseline"/>
        </w:rPr>
        <w:t>in</w:t>
      </w:r>
      <w:r>
        <w:rPr>
          <w:vertAlign w:val="baseline"/>
        </w:rPr>
        <w:t> relation to tax claims which had become statute barred before, but not in relation to tax claims that had become barred after, the end of that time. </w:t>
      </w:r>
      <w:r>
        <w:rPr>
          <w:color w:val="005DA1"/>
          <w:u w:val="single" w:color="005DA1"/>
          <w:vertAlign w:val="superscript"/>
        </w:rPr>
        <w:t>677</w:t>
      </w:r>
      <w:r>
        <w:rPr>
          <w:color w:val="005DA1"/>
          <w:vertAlign w:val="baseline"/>
        </w:rPr>
        <w:t> </w:t>
      </w:r>
      <w:r>
        <w:rPr>
          <w:vertAlign w:val="baseline"/>
        </w:rPr>
        <w:t>So far as the latter claims were concerned, “the </w:t>
      </w:r>
      <w:bookmarkStart w:name="_bookmark1067" w:id="1069"/>
      <w:bookmarkEnd w:id="1069"/>
      <w:r>
        <w:rPr>
          <w:vertAlign w:val="baseline"/>
        </w:rPr>
        <w:t>prejudice</w:t>
      </w:r>
      <w:r>
        <w:rPr>
          <w:vertAlign w:val="baseline"/>
        </w:rPr>
        <w:t> occasioned to the Revenue by loss of the ability to pursue [them] was in no sense reliant on the</w:t>
      </w:r>
      <w:r>
        <w:rPr>
          <w:spacing w:val="-1"/>
          <w:vertAlign w:val="baseline"/>
        </w:rPr>
        <w:t> </w:t>
      </w:r>
      <w:r>
        <w:rPr>
          <w:vertAlign w:val="baseline"/>
        </w:rPr>
        <w:t>convention”</w:t>
      </w:r>
      <w:r>
        <w:rPr>
          <w:spacing w:val="-1"/>
          <w:vertAlign w:val="baseline"/>
        </w:rPr>
        <w:t> </w:t>
      </w:r>
      <w:r>
        <w:rPr>
          <w:vertAlign w:val="baseline"/>
        </w:rPr>
        <w:t>since</w:t>
      </w:r>
      <w:r>
        <w:rPr>
          <w:spacing w:val="-1"/>
          <w:vertAlign w:val="baseline"/>
        </w:rPr>
        <w:t> </w:t>
      </w:r>
      <w:r>
        <w:rPr>
          <w:vertAlign w:val="baseline"/>
        </w:rPr>
        <w:t>“those</w:t>
      </w:r>
      <w:r>
        <w:rPr>
          <w:spacing w:val="-1"/>
          <w:vertAlign w:val="baseline"/>
        </w:rPr>
        <w:t> </w:t>
      </w:r>
      <w:r>
        <w:rPr>
          <w:vertAlign w:val="baseline"/>
        </w:rPr>
        <w:t>claims</w:t>
      </w:r>
      <w:r>
        <w:rPr>
          <w:spacing w:val="-1"/>
          <w:vertAlign w:val="baseline"/>
        </w:rPr>
        <w:t> </w:t>
      </w:r>
      <w:r>
        <w:rPr>
          <w:vertAlign w:val="baseline"/>
        </w:rPr>
        <w:t>could</w:t>
      </w:r>
      <w:r>
        <w:rPr>
          <w:spacing w:val="-1"/>
          <w:vertAlign w:val="baseline"/>
        </w:rPr>
        <w:t> </w:t>
      </w:r>
      <w:r>
        <w:rPr>
          <w:vertAlign w:val="baseline"/>
        </w:rPr>
        <w:t>still</w:t>
      </w:r>
      <w:r>
        <w:rPr>
          <w:spacing w:val="-1"/>
          <w:vertAlign w:val="baseline"/>
        </w:rPr>
        <w:t> </w:t>
      </w:r>
      <w:r>
        <w:rPr>
          <w:vertAlign w:val="baseline"/>
        </w:rPr>
        <w:t>be</w:t>
      </w:r>
      <w:r>
        <w:rPr>
          <w:spacing w:val="-1"/>
          <w:vertAlign w:val="baseline"/>
        </w:rPr>
        <w:t> </w:t>
      </w:r>
      <w:r>
        <w:rPr>
          <w:vertAlign w:val="baseline"/>
        </w:rPr>
        <w:t>saved</w:t>
      </w:r>
      <w:r>
        <w:rPr>
          <w:spacing w:val="-1"/>
          <w:vertAlign w:val="baseline"/>
        </w:rPr>
        <w:t> </w:t>
      </w:r>
      <w:r>
        <w:rPr>
          <w:vertAlign w:val="baseline"/>
        </w:rPr>
        <w:t>by</w:t>
      </w:r>
      <w:r>
        <w:rPr>
          <w:spacing w:val="-1"/>
          <w:vertAlign w:val="baseline"/>
        </w:rPr>
        <w:t> </w:t>
      </w:r>
      <w:r>
        <w:rPr>
          <w:vertAlign w:val="baseline"/>
        </w:rPr>
        <w:t>taking</w:t>
      </w:r>
      <w:r>
        <w:rPr>
          <w:spacing w:val="-1"/>
          <w:vertAlign w:val="baseline"/>
        </w:rPr>
        <w:t> </w:t>
      </w:r>
      <w:r>
        <w:rPr>
          <w:vertAlign w:val="baseline"/>
        </w:rPr>
        <w:t>prompt</w:t>
      </w:r>
      <w:r>
        <w:rPr>
          <w:spacing w:val="-1"/>
          <w:vertAlign w:val="baseline"/>
        </w:rPr>
        <w:t> </w:t>
      </w:r>
      <w:r>
        <w:rPr>
          <w:vertAlign w:val="baseline"/>
        </w:rPr>
        <w:t>protective</w:t>
      </w:r>
      <w:r>
        <w:rPr>
          <w:spacing w:val="-1"/>
          <w:vertAlign w:val="baseline"/>
        </w:rPr>
        <w:t> </w:t>
      </w:r>
      <w:r>
        <w:rPr>
          <w:vertAlign w:val="baseline"/>
        </w:rPr>
        <w:t>steps”</w:t>
      </w:r>
      <w:r>
        <w:rPr>
          <w:spacing w:val="-2"/>
          <w:vertAlign w:val="baseline"/>
        </w:rPr>
        <w:t> </w:t>
      </w:r>
      <w:r>
        <w:rPr>
          <w:color w:val="005DA1"/>
          <w:u w:val="single" w:color="005DA1"/>
          <w:vertAlign w:val="superscript"/>
        </w:rPr>
        <w:t>678</w:t>
      </w:r>
      <w:r>
        <w:rPr>
          <w:color w:val="005DA1"/>
          <w:spacing w:val="-1"/>
          <w:vertAlign w:val="baseline"/>
        </w:rPr>
        <w:t> </w:t>
      </w:r>
      <w:r>
        <w:rPr>
          <w:vertAlign w:val="baseline"/>
        </w:rPr>
        <w:t>after</w:t>
      </w:r>
      <w:r>
        <w:rPr>
          <w:spacing w:val="-1"/>
          <w:vertAlign w:val="baseline"/>
        </w:rPr>
        <w:t> </w:t>
      </w:r>
      <w:r>
        <w:rPr>
          <w:vertAlign w:val="baseline"/>
        </w:rPr>
        <w:t>the “limited time” had expired.</w:t>
      </w:r>
    </w:p>
    <w:p>
      <w:pPr>
        <w:pStyle w:val="BodyText"/>
      </w:pPr>
    </w:p>
    <w:p>
      <w:pPr>
        <w:pStyle w:val="BodyText"/>
        <w:spacing w:before="34"/>
      </w:pPr>
    </w:p>
    <w:p>
      <w:pPr>
        <w:spacing w:before="0"/>
        <w:ind w:left="165" w:right="0" w:firstLine="0"/>
        <w:jc w:val="both"/>
        <w:rPr>
          <w:rFonts w:ascii="Arial"/>
          <w:b/>
          <w:sz w:val="18"/>
        </w:rPr>
      </w:pPr>
      <w:r>
        <w:rPr>
          <w:rFonts w:ascii="Arial"/>
          <w:b/>
          <w:sz w:val="18"/>
        </w:rPr>
        <w:t>Whether estoppel by convention creates new </w:t>
      </w:r>
      <w:r>
        <w:rPr>
          <w:rFonts w:ascii="Arial"/>
          <w:b/>
          <w:spacing w:val="-2"/>
          <w:sz w:val="18"/>
        </w:rPr>
        <w:t>rights</w:t>
      </w:r>
    </w:p>
    <w:p>
      <w:pPr>
        <w:pStyle w:val="BodyText"/>
        <w:spacing w:before="41"/>
        <w:rPr>
          <w:rFonts w:ascii="Arial"/>
          <w:b/>
          <w:sz w:val="18"/>
        </w:rPr>
      </w:pPr>
    </w:p>
    <w:p>
      <w:pPr>
        <w:pStyle w:val="Heading2"/>
        <w:spacing w:before="1"/>
      </w:pPr>
      <w:r>
        <w:rPr/>
        <w:t>4-</w:t>
      </w:r>
      <w:r>
        <w:rPr>
          <w:spacing w:val="-5"/>
        </w:rPr>
        <w:t>114</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068" w:id="1070"/>
      <w:bookmarkEnd w:id="1070"/>
      <w:r>
        <w:rPr>
          <w:rFonts w:ascii="Times New Roman" w:hAnsi="Times New Roman"/>
          <w:spacing w:val="9"/>
        </w:rPr>
      </w:r>
      <w:r>
        <w:rPr/>
        <w:t>We have seen that promissory estoppel does not “create new causes of action where none existed before” </w:t>
      </w:r>
      <w:r>
        <w:rPr>
          <w:color w:val="005DA1"/>
          <w:u w:val="single" w:color="005DA1"/>
          <w:vertAlign w:val="superscript"/>
        </w:rPr>
        <w:t>679</w:t>
      </w:r>
      <w:r>
        <w:rPr>
          <w:vertAlign w:val="baseline"/>
        </w:rPr>
        <w:t>; and we shall see that the same principle applies to estoppel by representation. </w:t>
      </w:r>
      <w:r>
        <w:rPr>
          <w:color w:val="005DA1"/>
          <w:u w:val="single" w:color="005DA1"/>
          <w:vertAlign w:val="superscript"/>
        </w:rPr>
        <w:t>680</w:t>
      </w:r>
      <w:r>
        <w:rPr>
          <w:color w:val="005DA1"/>
          <w:vertAlign w:val="baseline"/>
        </w:rPr>
        <w:t> </w:t>
      </w:r>
      <w:r>
        <w:rPr>
          <w:vertAlign w:val="baseline"/>
        </w:rPr>
        <w:t>Estoppel by convention resembles estoppel by representation in that it can prevent a party from denying </w:t>
      </w:r>
      <w:r>
        <w:rPr>
          <w:rFonts w:ascii="Arial" w:hAnsi="Arial"/>
          <w:i/>
          <w:vertAlign w:val="baseline"/>
        </w:rPr>
        <w:t>existing facts</w:t>
      </w:r>
      <w:r>
        <w:rPr>
          <w:vertAlign w:val="baseline"/>
        </w:rPr>
        <w:t>, and one would therefore expect estoppel by convention further to resemble estoppel by representation in operating only where its effect was defensive in substance. The</w:t>
      </w:r>
      <w:r>
        <w:rPr>
          <w:spacing w:val="40"/>
          <w:vertAlign w:val="baseline"/>
        </w:rPr>
        <w:t> </w:t>
      </w:r>
      <w:bookmarkStart w:name="_bookmark1069" w:id="1071"/>
      <w:bookmarkEnd w:id="1071"/>
      <w:r>
        <w:rPr>
          <w:vertAlign w:val="baseline"/>
        </w:rPr>
        <w:t>question</w:t>
      </w:r>
      <w:r>
        <w:rPr>
          <w:vertAlign w:val="baseline"/>
        </w:rPr>
        <w:t> whether estoppel by convention is so limited was discussed in the </w:t>
      </w:r>
      <w:r>
        <w:rPr>
          <w:rFonts w:ascii="Arial" w:hAnsi="Arial"/>
          <w:i/>
          <w:vertAlign w:val="baseline"/>
        </w:rPr>
        <w:t>Amalgamated Investment &amp;</w:t>
      </w:r>
      <w:r>
        <w:rPr>
          <w:rFonts w:ascii="Arial" w:hAnsi="Arial"/>
          <w:i/>
          <w:spacing w:val="-2"/>
          <w:vertAlign w:val="baseline"/>
        </w:rPr>
        <w:t> </w:t>
      </w:r>
      <w:r>
        <w:rPr>
          <w:rFonts w:ascii="Arial" w:hAnsi="Arial"/>
          <w:i/>
          <w:vertAlign w:val="baseline"/>
        </w:rPr>
        <w:t>Property</w:t>
      </w:r>
      <w:r>
        <w:rPr>
          <w:rFonts w:ascii="Arial" w:hAnsi="Arial"/>
          <w:i/>
          <w:spacing w:val="-2"/>
          <w:vertAlign w:val="baseline"/>
        </w:rPr>
        <w:t> </w:t>
      </w:r>
      <w:r>
        <w:rPr>
          <w:vertAlign w:val="baseline"/>
        </w:rPr>
        <w:t>case</w:t>
      </w:r>
      <w:r>
        <w:rPr>
          <w:spacing w:val="-2"/>
          <w:vertAlign w:val="baseline"/>
        </w:rPr>
        <w:t> </w:t>
      </w:r>
      <w:r>
        <w:rPr>
          <w:color w:val="005DA1"/>
          <w:u w:val="single" w:color="005DA1"/>
          <w:vertAlign w:val="superscript"/>
        </w:rPr>
        <w:t>681</w:t>
      </w:r>
      <w:r>
        <w:rPr>
          <w:color w:val="005DA1"/>
          <w:spacing w:val="-2"/>
          <w:vertAlign w:val="baseline"/>
        </w:rPr>
        <w:t> </w:t>
      </w:r>
      <w:r>
        <w:rPr>
          <w:vertAlign w:val="baseline"/>
        </w:rPr>
        <w:t>where,</w:t>
      </w:r>
      <w:r>
        <w:rPr>
          <w:spacing w:val="-2"/>
          <w:vertAlign w:val="baseline"/>
        </w:rPr>
        <w:t> </w:t>
      </w:r>
      <w:r>
        <w:rPr>
          <w:vertAlign w:val="baseline"/>
        </w:rPr>
        <w:t>however,</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not</w:t>
      </w:r>
      <w:r>
        <w:rPr>
          <w:spacing w:val="-2"/>
          <w:vertAlign w:val="baseline"/>
        </w:rPr>
        <w:t> </w:t>
      </w:r>
      <w:r>
        <w:rPr>
          <w:vertAlign w:val="baseline"/>
        </w:rPr>
        <w:t>necessary</w:t>
      </w:r>
      <w:r>
        <w:rPr>
          <w:spacing w:val="-2"/>
          <w:vertAlign w:val="baseline"/>
        </w:rPr>
        <w:t> </w:t>
      </w:r>
      <w:r>
        <w:rPr>
          <w:vertAlign w:val="baseline"/>
        </w:rPr>
        <w:t>to</w:t>
      </w:r>
      <w:r>
        <w:rPr>
          <w:spacing w:val="-2"/>
          <w:vertAlign w:val="baseline"/>
        </w:rPr>
        <w:t> </w:t>
      </w:r>
      <w:r>
        <w:rPr>
          <w:vertAlign w:val="baseline"/>
        </w:rPr>
        <w:t>decide</w:t>
      </w:r>
      <w:r>
        <w:rPr>
          <w:spacing w:val="-2"/>
          <w:vertAlign w:val="baseline"/>
        </w:rPr>
        <w:t> </w:t>
      </w:r>
      <w:r>
        <w:rPr>
          <w:vertAlign w:val="baseline"/>
        </w:rPr>
        <w:t>the</w:t>
      </w:r>
      <w:r>
        <w:rPr>
          <w:spacing w:val="-2"/>
          <w:vertAlign w:val="baseline"/>
        </w:rPr>
        <w:t> </w:t>
      </w:r>
      <w:r>
        <w:rPr>
          <w:vertAlign w:val="baseline"/>
        </w:rPr>
        <w:t>point.</w:t>
      </w:r>
      <w:r>
        <w:rPr>
          <w:spacing w:val="-2"/>
          <w:vertAlign w:val="baseline"/>
        </w:rPr>
        <w:t> </w:t>
      </w:r>
      <w:r>
        <w:rPr>
          <w:vertAlign w:val="baseline"/>
        </w:rPr>
        <w:t>This</w:t>
      </w:r>
      <w:r>
        <w:rPr>
          <w:spacing w:val="-2"/>
          <w:vertAlign w:val="baseline"/>
        </w:rPr>
        <w:t> </w:t>
      </w:r>
      <w:r>
        <w:rPr>
          <w:vertAlign w:val="baseline"/>
        </w:rPr>
        <w:t>action</w:t>
      </w:r>
      <w:r>
        <w:rPr>
          <w:spacing w:val="-2"/>
          <w:vertAlign w:val="baseline"/>
        </w:rPr>
        <w:t> </w:t>
      </w:r>
      <w:r>
        <w:rPr>
          <w:vertAlign w:val="baseline"/>
        </w:rPr>
        <w:t>was</w:t>
      </w:r>
      <w:r>
        <w:rPr>
          <w:spacing w:val="-2"/>
          <w:vertAlign w:val="baseline"/>
        </w:rPr>
        <w:t> </w:t>
      </w:r>
      <w:r>
        <w:rPr>
          <w:vertAlign w:val="baseline"/>
        </w:rPr>
        <w:t>brought because the X Bank had sought to apply money due from it to A under another transaction in discharge of A’s alleged liability under its guarantee of B’s debt. Hence the effect of the estoppel was to provide the X Bank with a defence to A’s claim for a declaration that the bank was not entitled to </w:t>
      </w:r>
      <w:bookmarkStart w:name="_bookmark1070" w:id="1072"/>
      <w:bookmarkEnd w:id="1072"/>
      <w:r>
        <w:rPr>
          <w:vertAlign w:val="baseline"/>
        </w:rPr>
        <w:t>apply</w:t>
      </w:r>
      <w:r>
        <w:rPr>
          <w:vertAlign w:val="baseline"/>
        </w:rPr>
        <w:t> the money in that way. Eveleigh L.J. said: “I do not think that the bank could have succeeded in a claim on the guarantee itself.” </w:t>
      </w:r>
      <w:r>
        <w:rPr>
          <w:color w:val="005DA1"/>
          <w:u w:val="single" w:color="005DA1"/>
          <w:vertAlign w:val="superscript"/>
        </w:rPr>
        <w:t>682</w:t>
      </w:r>
      <w:r>
        <w:rPr>
          <w:color w:val="005DA1"/>
          <w:vertAlign w:val="baseline"/>
        </w:rPr>
        <w:t> </w:t>
      </w:r>
      <w:r>
        <w:rPr>
          <w:vertAlign w:val="baseline"/>
        </w:rPr>
        <w:t>Brandon L.J. seems to have taken the view that the bank could have sued on the guarantee, but to have based that view on the ground that the loan agreement between A and the X Bank imposed an obligation on A to give the guarantee: hence it was that </w:t>
      </w:r>
      <w:bookmarkStart w:name="_bookmark1071" w:id="1073"/>
      <w:bookmarkEnd w:id="1073"/>
      <w:r>
        <w:rPr>
          <w:vertAlign w:val="baseline"/>
        </w:rPr>
        <w:t>agreement,</w:t>
      </w:r>
      <w:r>
        <w:rPr>
          <w:vertAlign w:val="baseline"/>
        </w:rPr>
        <w:t> and not the estoppel, which would have given rise to the X Bank’s cause of action, if it</w:t>
      </w:r>
      <w:r>
        <w:rPr>
          <w:spacing w:val="40"/>
          <w:vertAlign w:val="baseline"/>
        </w:rPr>
        <w:t> </w:t>
      </w:r>
      <w:bookmarkStart w:name="_bookmark1072" w:id="1074"/>
      <w:bookmarkEnd w:id="1074"/>
      <w:r>
        <w:rPr>
          <w:vertAlign w:val="baseline"/>
        </w:rPr>
        <w:t>had</w:t>
      </w:r>
      <w:r>
        <w:rPr>
          <w:spacing w:val="-1"/>
          <w:vertAlign w:val="baseline"/>
        </w:rPr>
        <w:t> </w:t>
      </w:r>
      <w:r>
        <w:rPr>
          <w:vertAlign w:val="baseline"/>
        </w:rPr>
        <w:t>sued on the guarantee.</w:t>
      </w:r>
      <w:r>
        <w:rPr>
          <w:spacing w:val="-1"/>
          <w:vertAlign w:val="baseline"/>
        </w:rPr>
        <w:t> </w:t>
      </w:r>
      <w:r>
        <w:rPr>
          <w:color w:val="005DA1"/>
          <w:u w:val="single" w:color="005DA1"/>
          <w:vertAlign w:val="superscript"/>
        </w:rPr>
        <w:t>683</w:t>
      </w:r>
      <w:r>
        <w:rPr>
          <w:color w:val="005DA1"/>
          <w:vertAlign w:val="baseline"/>
        </w:rPr>
        <w:t> </w:t>
      </w:r>
      <w:r>
        <w:rPr>
          <w:vertAlign w:val="baseline"/>
        </w:rPr>
        <w:t>Lord Denning, M.R. seems to have expressed</w:t>
      </w:r>
      <w:r>
        <w:rPr>
          <w:spacing w:val="-1"/>
          <w:vertAlign w:val="baseline"/>
        </w:rPr>
        <w:t> </w:t>
      </w:r>
      <w:r>
        <w:rPr>
          <w:vertAlign w:val="baseline"/>
        </w:rPr>
        <w:t>the principle of </w:t>
      </w:r>
      <w:r>
        <w:rPr>
          <w:spacing w:val="-2"/>
          <w:vertAlign w:val="baseline"/>
        </w:rPr>
        <w:t>estoppel</w:t>
      </w:r>
    </w:p>
    <w:p>
      <w:pPr>
        <w:pStyle w:val="BodyText"/>
        <w:spacing w:line="235" w:lineRule="auto" w:before="114"/>
        <w:ind w:left="165" w:right="168"/>
        <w:jc w:val="both"/>
      </w:pPr>
      <w:bookmarkStart w:name="_bookmark1073" w:id="1075"/>
      <w:bookmarkEnd w:id="1075"/>
      <w:r>
        <w:rPr/>
      </w:r>
      <w:r>
        <w:rPr/>
        <w:t>by</w:t>
      </w:r>
      <w:r>
        <w:rPr>
          <w:spacing w:val="-1"/>
        </w:rPr>
        <w:t> </w:t>
      </w:r>
      <w:r>
        <w:rPr/>
        <w:t>convention</w:t>
      </w:r>
      <w:r>
        <w:rPr>
          <w:spacing w:val="-1"/>
        </w:rPr>
        <w:t> </w:t>
      </w:r>
      <w:r>
        <w:rPr/>
        <w:t>in</w:t>
      </w:r>
      <w:r>
        <w:rPr>
          <w:spacing w:val="-1"/>
        </w:rPr>
        <w:t> </w:t>
      </w:r>
      <w:r>
        <w:rPr/>
        <w:t>such</w:t>
      </w:r>
      <w:r>
        <w:rPr>
          <w:spacing w:val="-1"/>
        </w:rPr>
        <w:t> </w:t>
      </w:r>
      <w:r>
        <w:rPr/>
        <w:t>a</w:t>
      </w:r>
      <w:r>
        <w:rPr>
          <w:spacing w:val="-1"/>
        </w:rPr>
        <w:t> </w:t>
      </w:r>
      <w:r>
        <w:rPr/>
        <w:t>way</w:t>
      </w:r>
      <w:r>
        <w:rPr>
          <w:spacing w:val="-1"/>
        </w:rPr>
        <w:t> </w:t>
      </w:r>
      <w:r>
        <w:rPr/>
        <w:t>as</w:t>
      </w:r>
      <w:r>
        <w:rPr>
          <w:spacing w:val="-1"/>
        </w:rPr>
        <w:t> </w:t>
      </w:r>
      <w:r>
        <w:rPr/>
        <w:t>to</w:t>
      </w:r>
      <w:r>
        <w:rPr>
          <w:spacing w:val="-1"/>
        </w:rPr>
        <w:t> </w:t>
      </w:r>
      <w:r>
        <w:rPr/>
        <w:t>enable</w:t>
      </w:r>
      <w:r>
        <w:rPr>
          <w:spacing w:val="-1"/>
        </w:rPr>
        <w:t> </w:t>
      </w:r>
      <w:r>
        <w:rPr/>
        <w:t>it</w:t>
      </w:r>
      <w:r>
        <w:rPr>
          <w:spacing w:val="-1"/>
        </w:rPr>
        <w:t> </w:t>
      </w:r>
      <w:r>
        <w:rPr/>
        <w:t>to</w:t>
      </w:r>
      <w:r>
        <w:rPr>
          <w:spacing w:val="-1"/>
        </w:rPr>
        <w:t> </w:t>
      </w:r>
      <w:r>
        <w:rPr/>
        <w:t>give</w:t>
      </w:r>
      <w:r>
        <w:rPr>
          <w:spacing w:val="-1"/>
        </w:rPr>
        <w:t> </w:t>
      </w:r>
      <w:r>
        <w:rPr/>
        <w:t>rise</w:t>
      </w:r>
      <w:r>
        <w:rPr>
          <w:spacing w:val="-1"/>
        </w:rPr>
        <w:t> </w:t>
      </w:r>
      <w:r>
        <w:rPr/>
        <w:t>to</w:t>
      </w:r>
      <w:r>
        <w:rPr>
          <w:spacing w:val="-1"/>
        </w:rPr>
        <w:t> </w:t>
      </w:r>
      <w:r>
        <w:rPr/>
        <w:t>a</w:t>
      </w:r>
      <w:r>
        <w:rPr>
          <w:spacing w:val="-1"/>
        </w:rPr>
        <w:t> </w:t>
      </w:r>
      <w:r>
        <w:rPr/>
        <w:t>cause</w:t>
      </w:r>
      <w:r>
        <w:rPr>
          <w:spacing w:val="-1"/>
        </w:rPr>
        <w:t> </w:t>
      </w:r>
      <w:r>
        <w:rPr/>
        <w:t>of</w:t>
      </w:r>
      <w:r>
        <w:rPr>
          <w:spacing w:val="-1"/>
        </w:rPr>
        <w:t> </w:t>
      </w:r>
      <w:r>
        <w:rPr/>
        <w:t>action</w:t>
      </w:r>
      <w:r>
        <w:rPr>
          <w:spacing w:val="-2"/>
        </w:rPr>
        <w:t> </w:t>
      </w:r>
      <w:r>
        <w:rPr>
          <w:color w:val="005DA1"/>
          <w:u w:val="single" w:color="005DA1"/>
          <w:vertAlign w:val="superscript"/>
        </w:rPr>
        <w:t>684</w:t>
      </w:r>
      <w:r>
        <w:rPr>
          <w:color w:val="005DA1"/>
          <w:spacing w:val="80"/>
          <w:vertAlign w:val="baseline"/>
        </w:rPr>
        <w:t> </w:t>
      </w:r>
      <w:r>
        <w:rPr>
          <w:color w:val="005DA1"/>
          <w:spacing w:val="3"/>
          <w:position w:val="-2"/>
          <w:vertAlign w:val="baseline"/>
        </w:rPr>
        <w:drawing>
          <wp:inline distT="0" distB="0" distL="0" distR="0">
            <wp:extent cx="107988" cy="107988"/>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color w:val="005DA1"/>
          <w:spacing w:val="1"/>
          <w:vertAlign w:val="baseline"/>
        </w:rPr>
        <w:t> </w:t>
      </w:r>
      <w:r>
        <w:rPr>
          <w:vertAlign w:val="baseline"/>
        </w:rPr>
        <w:t>but</w:t>
      </w:r>
      <w:r>
        <w:rPr>
          <w:spacing w:val="-1"/>
          <w:vertAlign w:val="baseline"/>
        </w:rPr>
        <w:t> </w:t>
      </w:r>
      <w:r>
        <w:rPr>
          <w:vertAlign w:val="baseline"/>
        </w:rPr>
        <w:t>he</w:t>
      </w:r>
      <w:r>
        <w:rPr>
          <w:spacing w:val="-1"/>
          <w:vertAlign w:val="baseline"/>
        </w:rPr>
        <w:t> </w:t>
      </w:r>
      <w:r>
        <w:rPr>
          <w:vertAlign w:val="baseline"/>
        </w:rPr>
        <w:t>was</w:t>
      </w:r>
      <w:r>
        <w:rPr>
          <w:spacing w:val="-1"/>
          <w:vertAlign w:val="baseline"/>
        </w:rPr>
        <w:t> </w:t>
      </w:r>
      <w:r>
        <w:rPr>
          <w:vertAlign w:val="baseline"/>
        </w:rPr>
        <w:t>alone</w:t>
      </w:r>
      <w:r>
        <w:rPr>
          <w:spacing w:val="-1"/>
          <w:vertAlign w:val="baseline"/>
        </w:rPr>
        <w:t> </w:t>
      </w:r>
      <w:r>
        <w:rPr>
          <w:vertAlign w:val="baseline"/>
        </w:rPr>
        <w:t>in stating</w:t>
      </w:r>
      <w:r>
        <w:rPr>
          <w:spacing w:val="22"/>
          <w:vertAlign w:val="baseline"/>
        </w:rPr>
        <w:t> </w:t>
      </w:r>
      <w:r>
        <w:rPr>
          <w:vertAlign w:val="baseline"/>
        </w:rPr>
        <w:t>the</w:t>
      </w:r>
      <w:r>
        <w:rPr>
          <w:spacing w:val="23"/>
          <w:vertAlign w:val="baseline"/>
        </w:rPr>
        <w:t> </w:t>
      </w:r>
      <w:r>
        <w:rPr>
          <w:vertAlign w:val="baseline"/>
        </w:rPr>
        <w:t>principle</w:t>
      </w:r>
      <w:r>
        <w:rPr>
          <w:spacing w:val="22"/>
          <w:vertAlign w:val="baseline"/>
        </w:rPr>
        <w:t> </w:t>
      </w:r>
      <w:r>
        <w:rPr>
          <w:vertAlign w:val="baseline"/>
        </w:rPr>
        <w:t>so</w:t>
      </w:r>
      <w:r>
        <w:rPr>
          <w:spacing w:val="23"/>
          <w:vertAlign w:val="baseline"/>
        </w:rPr>
        <w:t> </w:t>
      </w:r>
      <w:r>
        <w:rPr>
          <w:vertAlign w:val="baseline"/>
        </w:rPr>
        <w:t>broadly.</w:t>
      </w:r>
      <w:r>
        <w:rPr>
          <w:spacing w:val="21"/>
          <w:vertAlign w:val="baseline"/>
        </w:rPr>
        <w:t> </w:t>
      </w:r>
      <w:r>
        <w:rPr>
          <w:color w:val="005DA1"/>
          <w:u w:val="single" w:color="005DA1"/>
          <w:vertAlign w:val="superscript"/>
        </w:rPr>
        <w:t>685</w:t>
      </w:r>
      <w:r>
        <w:rPr>
          <w:color w:val="005DA1"/>
          <w:spacing w:val="23"/>
          <w:vertAlign w:val="baseline"/>
        </w:rPr>
        <w:t> </w:t>
      </w:r>
      <w:r>
        <w:rPr>
          <w:vertAlign w:val="baseline"/>
        </w:rPr>
        <w:t>In</w:t>
      </w:r>
      <w:r>
        <w:rPr>
          <w:spacing w:val="22"/>
          <w:vertAlign w:val="baseline"/>
        </w:rPr>
        <w:t> </w:t>
      </w:r>
      <w:r>
        <w:rPr>
          <w:rFonts w:ascii="Arial"/>
          <w:i/>
          <w:vertAlign w:val="baseline"/>
        </w:rPr>
        <w:t>The</w:t>
      </w:r>
      <w:r>
        <w:rPr>
          <w:rFonts w:ascii="Arial"/>
          <w:i/>
          <w:spacing w:val="23"/>
          <w:vertAlign w:val="baseline"/>
        </w:rPr>
        <w:t> </w:t>
      </w:r>
      <w:r>
        <w:rPr>
          <w:rFonts w:ascii="Arial"/>
          <w:i/>
          <w:vertAlign w:val="baseline"/>
        </w:rPr>
        <w:t>Vistafjord</w:t>
      </w:r>
      <w:r>
        <w:rPr>
          <w:rFonts w:ascii="Arial"/>
          <w:i/>
          <w:spacing w:val="22"/>
          <w:vertAlign w:val="baseline"/>
        </w:rPr>
        <w:t> </w:t>
      </w:r>
      <w:r>
        <w:rPr>
          <w:color w:val="005DA1"/>
          <w:u w:val="single" w:color="005DA1"/>
          <w:vertAlign w:val="superscript"/>
        </w:rPr>
        <w:t>686</w:t>
      </w:r>
      <w:r>
        <w:rPr>
          <w:color w:val="005DA1"/>
          <w:spacing w:val="23"/>
          <w:vertAlign w:val="baseline"/>
        </w:rPr>
        <w:t> </w:t>
      </w:r>
      <w:r>
        <w:rPr>
          <w:vertAlign w:val="baseline"/>
        </w:rPr>
        <w:t>the</w:t>
      </w:r>
      <w:r>
        <w:rPr>
          <w:spacing w:val="22"/>
          <w:vertAlign w:val="baseline"/>
        </w:rPr>
        <w:t> </w:t>
      </w:r>
      <w:r>
        <w:rPr>
          <w:vertAlign w:val="baseline"/>
        </w:rPr>
        <w:t>estoppel</w:t>
      </w:r>
      <w:r>
        <w:rPr>
          <w:spacing w:val="23"/>
          <w:vertAlign w:val="baseline"/>
        </w:rPr>
        <w:t> </w:t>
      </w:r>
      <w:r>
        <w:rPr>
          <w:vertAlign w:val="baseline"/>
        </w:rPr>
        <w:t>similarly</w:t>
      </w:r>
      <w:r>
        <w:rPr>
          <w:spacing w:val="22"/>
          <w:vertAlign w:val="baseline"/>
        </w:rPr>
        <w:t> </w:t>
      </w:r>
      <w:r>
        <w:rPr>
          <w:vertAlign w:val="baseline"/>
        </w:rPr>
        <w:t>operated</w:t>
      </w:r>
      <w:r>
        <w:rPr>
          <w:spacing w:val="23"/>
          <w:vertAlign w:val="baseline"/>
        </w:rPr>
        <w:t> </w:t>
      </w:r>
      <w:r>
        <w:rPr>
          <w:spacing w:val="-2"/>
          <w:vertAlign w:val="baseline"/>
        </w:rPr>
        <w:t>defensively.</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This factor was not stressed in the judgments, but there is no suggestion in them that in this respect </w:t>
      </w:r>
      <w:bookmarkStart w:name="_bookmark1074" w:id="1076"/>
      <w:bookmarkEnd w:id="1076"/>
      <w:r>
        <w:rPr/>
        <w:t>estoppel</w:t>
      </w:r>
      <w:r>
        <w:rPr/>
        <w:t> by convention differs from estoppel by representation, which does not, of itself, give rise to </w:t>
      </w:r>
      <w:r>
        <w:rPr/>
        <w:t>a </w:t>
      </w:r>
      <w:bookmarkStart w:name="_bookmark1075" w:id="1077"/>
      <w:bookmarkEnd w:id="1077"/>
      <w:r>
        <w:rPr/>
        <w:t>cause</w:t>
      </w:r>
      <w:r>
        <w:rPr>
          <w:spacing w:val="-3"/>
        </w:rPr>
        <w:t> </w:t>
      </w:r>
      <w:r>
        <w:rPr/>
        <w:t>of</w:t>
      </w:r>
      <w:r>
        <w:rPr>
          <w:spacing w:val="-3"/>
        </w:rPr>
        <w:t> </w:t>
      </w:r>
      <w:r>
        <w:rPr/>
        <w:t>action.</w:t>
      </w:r>
      <w:r>
        <w:rPr>
          <w:spacing w:val="-3"/>
        </w:rPr>
        <w:t> </w:t>
      </w:r>
      <w:r>
        <w:rPr>
          <w:color w:val="005DA1"/>
          <w:u w:val="single" w:color="005DA1"/>
          <w:vertAlign w:val="superscript"/>
        </w:rPr>
        <w:t>687</w:t>
      </w:r>
      <w:r>
        <w:rPr>
          <w:color w:val="005DA1"/>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indeed,</w:t>
      </w:r>
      <w:r>
        <w:rPr>
          <w:spacing w:val="-3"/>
          <w:vertAlign w:val="baseline"/>
        </w:rPr>
        <w:t> </w:t>
      </w:r>
      <w:r>
        <w:rPr>
          <w:vertAlign w:val="baseline"/>
        </w:rPr>
        <w:t>possible</w:t>
      </w:r>
      <w:r>
        <w:rPr>
          <w:spacing w:val="-3"/>
          <w:vertAlign w:val="baseline"/>
        </w:rPr>
        <w:t> </w:t>
      </w:r>
      <w:r>
        <w:rPr>
          <w:vertAlign w:val="baseline"/>
        </w:rPr>
        <w:t>for</w:t>
      </w:r>
      <w:r>
        <w:rPr>
          <w:spacing w:val="-3"/>
          <w:vertAlign w:val="baseline"/>
        </w:rPr>
        <w:t> </w:t>
      </w:r>
      <w:r>
        <w:rPr>
          <w:vertAlign w:val="baseline"/>
        </w:rPr>
        <w:t>estoppel</w:t>
      </w:r>
      <w:r>
        <w:rPr>
          <w:spacing w:val="-3"/>
          <w:vertAlign w:val="baseline"/>
        </w:rPr>
        <w:t> </w:t>
      </w:r>
      <w:r>
        <w:rPr>
          <w:vertAlign w:val="baseline"/>
        </w:rPr>
        <w:t>by</w:t>
      </w:r>
      <w:r>
        <w:rPr>
          <w:spacing w:val="-3"/>
          <w:vertAlign w:val="baseline"/>
        </w:rPr>
        <w:t> </w:t>
      </w:r>
      <w:r>
        <w:rPr>
          <w:vertAlign w:val="baseline"/>
        </w:rPr>
        <w:t>convention</w:t>
      </w:r>
      <w:r>
        <w:rPr>
          <w:spacing w:val="-3"/>
          <w:vertAlign w:val="baseline"/>
        </w:rPr>
        <w:t> </w:t>
      </w:r>
      <w:r>
        <w:rPr>
          <w:vertAlign w:val="baseline"/>
        </w:rPr>
        <w:t>(as</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for</w:t>
      </w:r>
      <w:r>
        <w:rPr>
          <w:spacing w:val="-3"/>
          <w:vertAlign w:val="baseline"/>
        </w:rPr>
        <w:t> </w:t>
      </w:r>
      <w:r>
        <w:rPr>
          <w:vertAlign w:val="baseline"/>
        </w:rPr>
        <w:t>promissory</w:t>
      </w:r>
      <w:r>
        <w:rPr>
          <w:spacing w:val="-3"/>
          <w:vertAlign w:val="baseline"/>
        </w:rPr>
        <w:t> </w:t>
      </w:r>
      <w:r>
        <w:rPr>
          <w:vertAlign w:val="baseline"/>
        </w:rPr>
        <w:t>estoppel</w:t>
      </w:r>
      <w:r>
        <w:rPr>
          <w:spacing w:val="-4"/>
          <w:vertAlign w:val="baseline"/>
        </w:rPr>
        <w:t> </w:t>
      </w:r>
      <w:r>
        <w:rPr>
          <w:color w:val="005DA1"/>
          <w:u w:val="single" w:color="005DA1"/>
          <w:vertAlign w:val="superscript"/>
        </w:rPr>
        <w:t>688</w:t>
      </w:r>
      <w:r>
        <w:rPr>
          <w:color w:val="005DA1"/>
          <w:vertAlign w:val="baseline"/>
        </w:rPr>
        <w:t> </w:t>
      </w:r>
      <w:bookmarkStart w:name="_bookmark1076" w:id="1078"/>
      <w:bookmarkEnd w:id="1078"/>
      <w:r>
        <w:rPr>
          <w:color w:val="005DA1"/>
          <w:w w:val="92"/>
          <w:vertAlign w:val="baseline"/>
        </w:rPr>
      </w:r>
      <w:r>
        <w:rPr>
          <w:vertAlign w:val="baseline"/>
        </w:rPr>
        <w:t>and</w:t>
      </w:r>
      <w:r>
        <w:rPr>
          <w:spacing w:val="38"/>
          <w:vertAlign w:val="baseline"/>
        </w:rPr>
        <w:t> </w:t>
      </w:r>
      <w:r>
        <w:rPr>
          <w:vertAlign w:val="baseline"/>
        </w:rPr>
        <w:t>estoppel</w:t>
      </w:r>
      <w:r>
        <w:rPr>
          <w:spacing w:val="39"/>
          <w:vertAlign w:val="baseline"/>
        </w:rPr>
        <w:t> </w:t>
      </w:r>
      <w:r>
        <w:rPr>
          <w:vertAlign w:val="baseline"/>
        </w:rPr>
        <w:t>by</w:t>
      </w:r>
      <w:r>
        <w:rPr>
          <w:spacing w:val="39"/>
          <w:vertAlign w:val="baseline"/>
        </w:rPr>
        <w:t> </w:t>
      </w:r>
      <w:r>
        <w:rPr>
          <w:vertAlign w:val="baseline"/>
        </w:rPr>
        <w:t>representation</w:t>
      </w:r>
      <w:r>
        <w:rPr>
          <w:spacing w:val="38"/>
          <w:vertAlign w:val="baseline"/>
        </w:rPr>
        <w:t> </w:t>
      </w:r>
      <w:r>
        <w:rPr>
          <w:color w:val="005DA1"/>
          <w:u w:val="single" w:color="005DA1"/>
          <w:vertAlign w:val="superscript"/>
        </w:rPr>
        <w:t>689</w:t>
      </w:r>
      <w:r>
        <w:rPr>
          <w:vertAlign w:val="baseline"/>
        </w:rPr>
        <w:t>)</w:t>
      </w:r>
      <w:r>
        <w:rPr>
          <w:spacing w:val="38"/>
          <w:vertAlign w:val="baseline"/>
        </w:rPr>
        <w:t> </w:t>
      </w:r>
      <w:r>
        <w:rPr>
          <w:vertAlign w:val="baseline"/>
        </w:rPr>
        <w:t>to</w:t>
      </w:r>
      <w:r>
        <w:rPr>
          <w:spacing w:val="39"/>
          <w:vertAlign w:val="baseline"/>
        </w:rPr>
        <w:t> </w:t>
      </w:r>
      <w:r>
        <w:rPr>
          <w:vertAlign w:val="baseline"/>
        </w:rPr>
        <w:t>deprive</w:t>
      </w:r>
      <w:r>
        <w:rPr>
          <w:spacing w:val="39"/>
          <w:vertAlign w:val="baseline"/>
        </w:rPr>
        <w:t> </w:t>
      </w:r>
      <w:r>
        <w:rPr>
          <w:vertAlign w:val="baseline"/>
        </w:rPr>
        <w:t>the</w:t>
      </w:r>
      <w:r>
        <w:rPr>
          <w:spacing w:val="39"/>
          <w:vertAlign w:val="baseline"/>
        </w:rPr>
        <w:t> </w:t>
      </w:r>
      <w:r>
        <w:rPr>
          <w:vertAlign w:val="baseline"/>
        </w:rPr>
        <w:t>defendant</w:t>
      </w:r>
      <w:r>
        <w:rPr>
          <w:spacing w:val="39"/>
          <w:vertAlign w:val="baseline"/>
        </w:rPr>
        <w:t> </w:t>
      </w:r>
      <w:r>
        <w:rPr>
          <w:vertAlign w:val="baseline"/>
        </w:rPr>
        <w:t>of</w:t>
      </w:r>
      <w:r>
        <w:rPr>
          <w:spacing w:val="38"/>
          <w:vertAlign w:val="baseline"/>
        </w:rPr>
        <w:t> </w:t>
      </w:r>
      <w:r>
        <w:rPr>
          <w:vertAlign w:val="baseline"/>
        </w:rPr>
        <w:t>a</w:t>
      </w:r>
      <w:r>
        <w:rPr>
          <w:spacing w:val="38"/>
          <w:vertAlign w:val="baseline"/>
        </w:rPr>
        <w:t> </w:t>
      </w:r>
      <w:r>
        <w:rPr>
          <w:rFonts w:ascii="Arial"/>
          <w:i/>
          <w:vertAlign w:val="baseline"/>
        </w:rPr>
        <w:t>defence</w:t>
      </w:r>
      <w:r>
        <w:rPr>
          <w:vertAlign w:val="baseline"/>
        </w:rPr>
        <w:t>,</w:t>
      </w:r>
      <w:r>
        <w:rPr>
          <w:spacing w:val="39"/>
          <w:vertAlign w:val="baseline"/>
        </w:rPr>
        <w:t> </w:t>
      </w:r>
      <w:r>
        <w:rPr>
          <w:vertAlign w:val="baseline"/>
        </w:rPr>
        <w:t>and</w:t>
      </w:r>
      <w:r>
        <w:rPr>
          <w:spacing w:val="39"/>
          <w:vertAlign w:val="baseline"/>
        </w:rPr>
        <w:t> </w:t>
      </w:r>
      <w:r>
        <w:rPr>
          <w:vertAlign w:val="baseline"/>
        </w:rPr>
        <w:t>so</w:t>
      </w:r>
      <w:r>
        <w:rPr>
          <w:spacing w:val="39"/>
          <w:vertAlign w:val="baseline"/>
        </w:rPr>
        <w:t> </w:t>
      </w:r>
      <w:r>
        <w:rPr>
          <w:vertAlign w:val="baseline"/>
        </w:rPr>
        <w:t>to</w:t>
      </w:r>
      <w:r>
        <w:rPr>
          <w:spacing w:val="38"/>
          <w:vertAlign w:val="baseline"/>
        </w:rPr>
        <w:t> </w:t>
      </w:r>
      <w:r>
        <w:rPr>
          <w:vertAlign w:val="baseline"/>
        </w:rPr>
        <w:t>enable</w:t>
      </w:r>
      <w:r>
        <w:rPr>
          <w:spacing w:val="39"/>
          <w:vertAlign w:val="baseline"/>
        </w:rPr>
        <w:t> </w:t>
      </w:r>
      <w:r>
        <w:rPr>
          <w:spacing w:val="-5"/>
          <w:vertAlign w:val="baseline"/>
        </w:rPr>
        <w:t>the</w:t>
      </w:r>
    </w:p>
    <w:p>
      <w:pPr>
        <w:spacing w:line="235" w:lineRule="auto" w:before="118"/>
        <w:ind w:left="165" w:right="168" w:firstLine="0"/>
        <w:jc w:val="both"/>
        <w:rPr>
          <w:sz w:val="20"/>
        </w:rPr>
      </w:pPr>
      <w:r>
        <w:rPr>
          <w:sz w:val="20"/>
        </w:rPr>
        <w:t>claimant to win an action which otherwise he would have lost </w:t>
      </w:r>
      <w:r>
        <w:rPr>
          <w:color w:val="005DA1"/>
          <w:sz w:val="20"/>
          <w:u w:val="single" w:color="005DA1"/>
          <w:vertAlign w:val="superscript"/>
        </w:rPr>
        <w:t>690</w:t>
      </w:r>
      <w:r>
        <w:rPr>
          <w:color w:val="005DA1"/>
          <w:spacing w:val="80"/>
          <w:sz w:val="20"/>
          <w:vertAlign w:val="baseline"/>
        </w:rPr>
        <w:t> </w:t>
      </w:r>
      <w:r>
        <w:rPr>
          <w:color w:val="005DA1"/>
          <w:spacing w:val="-27"/>
          <w:position w:val="-2"/>
          <w:sz w:val="20"/>
          <w:vertAlign w:val="baseline"/>
        </w:rPr>
        <w:drawing>
          <wp:inline distT="0" distB="0" distL="0" distR="0">
            <wp:extent cx="107988" cy="107988"/>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7"/>
          <w:position w:val="-2"/>
          <w:sz w:val="20"/>
          <w:vertAlign w:val="baseline"/>
        </w:rPr>
      </w:r>
      <w:r>
        <w:rPr>
          <w:sz w:val="20"/>
          <w:vertAlign w:val="baseline"/>
        </w:rPr>
        <w:t>; but even in such cases the </w:t>
      </w:r>
      <w:bookmarkStart w:name="_bookmark1077" w:id="1079"/>
      <w:bookmarkEnd w:id="1079"/>
      <w:r>
        <w:rPr>
          <w:sz w:val="20"/>
          <w:vertAlign w:val="baseline"/>
        </w:rPr>
        <w:t>estoppel</w:t>
      </w:r>
      <w:r>
        <w:rPr>
          <w:spacing w:val="30"/>
          <w:sz w:val="20"/>
          <w:vertAlign w:val="baseline"/>
        </w:rPr>
        <w:t> </w:t>
      </w:r>
      <w:r>
        <w:rPr>
          <w:sz w:val="20"/>
          <w:vertAlign w:val="baseline"/>
        </w:rPr>
        <w:t>does</w:t>
      </w:r>
      <w:r>
        <w:rPr>
          <w:spacing w:val="30"/>
          <w:sz w:val="20"/>
          <w:vertAlign w:val="baseline"/>
        </w:rPr>
        <w:t> </w:t>
      </w:r>
      <w:r>
        <w:rPr>
          <w:sz w:val="20"/>
          <w:vertAlign w:val="baseline"/>
        </w:rPr>
        <w:t>not</w:t>
      </w:r>
      <w:r>
        <w:rPr>
          <w:spacing w:val="30"/>
          <w:sz w:val="20"/>
          <w:vertAlign w:val="baseline"/>
        </w:rPr>
        <w:t> </w:t>
      </w:r>
      <w:r>
        <w:rPr>
          <w:sz w:val="20"/>
          <w:vertAlign w:val="baseline"/>
        </w:rPr>
        <w:t>create</w:t>
      </w:r>
      <w:r>
        <w:rPr>
          <w:spacing w:val="30"/>
          <w:sz w:val="20"/>
          <w:vertAlign w:val="baseline"/>
        </w:rPr>
        <w:t> </w:t>
      </w:r>
      <w:r>
        <w:rPr>
          <w:sz w:val="20"/>
          <w:vertAlign w:val="baseline"/>
        </w:rPr>
        <w:t>the</w:t>
      </w:r>
      <w:r>
        <w:rPr>
          <w:spacing w:val="30"/>
          <w:sz w:val="20"/>
          <w:vertAlign w:val="baseline"/>
        </w:rPr>
        <w:t> </w:t>
      </w:r>
      <w:r>
        <w:rPr>
          <w:sz w:val="20"/>
          <w:vertAlign w:val="baseline"/>
        </w:rPr>
        <w:t>cause</w:t>
      </w:r>
      <w:r>
        <w:rPr>
          <w:spacing w:val="30"/>
          <w:sz w:val="20"/>
          <w:vertAlign w:val="baseline"/>
        </w:rPr>
        <w:t> </w:t>
      </w:r>
      <w:r>
        <w:rPr>
          <w:sz w:val="20"/>
          <w:vertAlign w:val="baseline"/>
        </w:rPr>
        <w:t>of</w:t>
      </w:r>
      <w:r>
        <w:rPr>
          <w:spacing w:val="30"/>
          <w:sz w:val="20"/>
          <w:vertAlign w:val="baseline"/>
        </w:rPr>
        <w:t> </w:t>
      </w:r>
      <w:r>
        <w:rPr>
          <w:sz w:val="20"/>
          <w:vertAlign w:val="baseline"/>
        </w:rPr>
        <w:t>action,</w:t>
      </w:r>
      <w:r>
        <w:rPr>
          <w:spacing w:val="30"/>
          <w:sz w:val="20"/>
          <w:vertAlign w:val="baseline"/>
        </w:rPr>
        <w:t> </w:t>
      </w:r>
      <w:r>
        <w:rPr>
          <w:sz w:val="20"/>
          <w:vertAlign w:val="baseline"/>
        </w:rPr>
        <w:t>for</w:t>
      </w:r>
      <w:r>
        <w:rPr>
          <w:spacing w:val="30"/>
          <w:sz w:val="20"/>
          <w:vertAlign w:val="baseline"/>
        </w:rPr>
        <w:t> </w:t>
      </w:r>
      <w:r>
        <w:rPr>
          <w:sz w:val="20"/>
          <w:vertAlign w:val="baseline"/>
        </w:rPr>
        <w:t>the</w:t>
      </w:r>
      <w:r>
        <w:rPr>
          <w:spacing w:val="29"/>
          <w:sz w:val="20"/>
          <w:vertAlign w:val="baseline"/>
        </w:rPr>
        <w:t> </w:t>
      </w:r>
      <w:r>
        <w:rPr>
          <w:rFonts w:ascii="Arial"/>
          <w:i/>
          <w:sz w:val="20"/>
          <w:vertAlign w:val="baseline"/>
        </w:rPr>
        <w:t>facts</w:t>
      </w:r>
      <w:r>
        <w:rPr>
          <w:rFonts w:ascii="Arial"/>
          <w:i/>
          <w:spacing w:val="30"/>
          <w:sz w:val="20"/>
          <w:vertAlign w:val="baseline"/>
        </w:rPr>
        <w:t> </w:t>
      </w:r>
      <w:r>
        <w:rPr>
          <w:rFonts w:ascii="Arial"/>
          <w:i/>
          <w:sz w:val="20"/>
          <w:vertAlign w:val="baseline"/>
        </w:rPr>
        <w:t>giving</w:t>
      </w:r>
      <w:r>
        <w:rPr>
          <w:rFonts w:ascii="Arial"/>
          <w:i/>
          <w:spacing w:val="30"/>
          <w:sz w:val="20"/>
          <w:vertAlign w:val="baseline"/>
        </w:rPr>
        <w:t> </w:t>
      </w:r>
      <w:r>
        <w:rPr>
          <w:rFonts w:ascii="Arial"/>
          <w:i/>
          <w:sz w:val="20"/>
          <w:vertAlign w:val="baseline"/>
        </w:rPr>
        <w:t>rise</w:t>
      </w:r>
      <w:r>
        <w:rPr>
          <w:rFonts w:ascii="Arial"/>
          <w:i/>
          <w:spacing w:val="30"/>
          <w:sz w:val="20"/>
          <w:vertAlign w:val="baseline"/>
        </w:rPr>
        <w:t> </w:t>
      </w:r>
      <w:r>
        <w:rPr>
          <w:rFonts w:ascii="Arial"/>
          <w:i/>
          <w:sz w:val="20"/>
          <w:vertAlign w:val="baseline"/>
        </w:rPr>
        <w:t>to</w:t>
      </w:r>
      <w:r>
        <w:rPr>
          <w:rFonts w:ascii="Arial"/>
          <w:i/>
          <w:spacing w:val="30"/>
          <w:sz w:val="20"/>
          <w:vertAlign w:val="baseline"/>
        </w:rPr>
        <w:t> </w:t>
      </w:r>
      <w:r>
        <w:rPr>
          <w:rFonts w:ascii="Arial"/>
          <w:i/>
          <w:sz w:val="20"/>
          <w:vertAlign w:val="baseline"/>
        </w:rPr>
        <w:t>the</w:t>
      </w:r>
      <w:r>
        <w:rPr>
          <w:rFonts w:ascii="Arial"/>
          <w:i/>
          <w:spacing w:val="30"/>
          <w:sz w:val="20"/>
          <w:vertAlign w:val="baseline"/>
        </w:rPr>
        <w:t> </w:t>
      </w:r>
      <w:r>
        <w:rPr>
          <w:rFonts w:ascii="Arial"/>
          <w:i/>
          <w:sz w:val="20"/>
          <w:vertAlign w:val="baseline"/>
        </w:rPr>
        <w:t>cause</w:t>
      </w:r>
      <w:r>
        <w:rPr>
          <w:rFonts w:ascii="Arial"/>
          <w:i/>
          <w:spacing w:val="30"/>
          <w:sz w:val="20"/>
          <w:vertAlign w:val="baseline"/>
        </w:rPr>
        <w:t> </w:t>
      </w:r>
      <w:r>
        <w:rPr>
          <w:rFonts w:ascii="Arial"/>
          <w:i/>
          <w:sz w:val="20"/>
          <w:vertAlign w:val="baseline"/>
        </w:rPr>
        <w:t>of</w:t>
      </w:r>
      <w:r>
        <w:rPr>
          <w:rFonts w:ascii="Arial"/>
          <w:i/>
          <w:spacing w:val="30"/>
          <w:sz w:val="20"/>
          <w:vertAlign w:val="baseline"/>
        </w:rPr>
        <w:t> </w:t>
      </w:r>
      <w:r>
        <w:rPr>
          <w:rFonts w:ascii="Arial"/>
          <w:i/>
          <w:sz w:val="20"/>
          <w:vertAlign w:val="baseline"/>
        </w:rPr>
        <w:t>action</w:t>
      </w:r>
      <w:r>
        <w:rPr>
          <w:rFonts w:ascii="Arial"/>
          <w:i/>
          <w:spacing w:val="29"/>
          <w:sz w:val="20"/>
          <w:vertAlign w:val="baseline"/>
        </w:rPr>
        <w:t> </w:t>
      </w:r>
      <w:r>
        <w:rPr>
          <w:spacing w:val="-2"/>
          <w:sz w:val="20"/>
          <w:vertAlign w:val="baseline"/>
        </w:rPr>
        <w:t>exist</w:t>
      </w:r>
    </w:p>
    <w:p>
      <w:pPr>
        <w:pStyle w:val="BodyText"/>
        <w:spacing w:line="235" w:lineRule="auto" w:before="119"/>
        <w:ind w:left="165" w:right="167"/>
        <w:jc w:val="both"/>
      </w:pPr>
      <w:r>
        <w:rPr/>
        <w:t>independently of the estoppel.</w:t>
      </w:r>
      <w:r>
        <w:rPr>
          <w:spacing w:val="-1"/>
        </w:rPr>
        <w:t> </w:t>
      </w:r>
      <w:r>
        <w:rPr>
          <w:color w:val="005DA1"/>
          <w:u w:val="single" w:color="005DA1"/>
          <w:vertAlign w:val="superscript"/>
        </w:rPr>
        <w:t>691</w:t>
      </w:r>
      <w:r>
        <w:rPr>
          <w:color w:val="005DA1"/>
          <w:vertAlign w:val="baseline"/>
        </w:rPr>
        <w:t> </w:t>
      </w:r>
      <w:r>
        <w:rPr>
          <w:vertAlign w:val="baseline"/>
        </w:rPr>
        <w:t>In </w:t>
      </w:r>
      <w:r>
        <w:rPr>
          <w:rFonts w:ascii="Arial" w:hAnsi="Arial"/>
          <w:i/>
          <w:vertAlign w:val="baseline"/>
        </w:rPr>
        <w:t>Rivertrade Ltd v EMG Finance Ltd </w:t>
      </w:r>
      <w:r>
        <w:rPr>
          <w:color w:val="005DA1"/>
          <w:u w:val="single" w:color="005DA1"/>
          <w:vertAlign w:val="superscript"/>
        </w:rPr>
        <w:t>692</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spacing w:val="-4"/>
          <w:vertAlign w:val="baseline"/>
        </w:rPr>
        <w:t> </w:t>
      </w:r>
      <w:r>
        <w:rPr>
          <w:vertAlign w:val="baseline"/>
        </w:rPr>
        <w:t>Kitchin L.J., with whose judgment Moore-Bick and Ryder L.JJ. agreed, said that the case was not one “in which an </w:t>
      </w:r>
      <w:r>
        <w:rPr>
          <w:vertAlign w:val="baseline"/>
        </w:rPr>
        <w:t>estoppel [was] relied upon to create an enforceable right where none previously existed. It is instead one of </w:t>
      </w:r>
      <w:bookmarkStart w:name="_bookmark1078" w:id="1080"/>
      <w:bookmarkEnd w:id="1080"/>
      <w:r>
        <w:rPr>
          <w:vertAlign w:val="baseline"/>
        </w:rPr>
        <w:t>those</w:t>
      </w:r>
      <w:r>
        <w:rPr>
          <w:spacing w:val="65"/>
          <w:vertAlign w:val="baseline"/>
        </w:rPr>
        <w:t> </w:t>
      </w:r>
      <w:r>
        <w:rPr>
          <w:vertAlign w:val="baseline"/>
        </w:rPr>
        <w:t>cases</w:t>
      </w:r>
      <w:r>
        <w:rPr>
          <w:spacing w:val="65"/>
          <w:vertAlign w:val="baseline"/>
        </w:rPr>
        <w:t> </w:t>
      </w:r>
      <w:r>
        <w:rPr>
          <w:vertAlign w:val="baseline"/>
        </w:rPr>
        <w:t>in</w:t>
      </w:r>
      <w:r>
        <w:rPr>
          <w:spacing w:val="65"/>
          <w:vertAlign w:val="baseline"/>
        </w:rPr>
        <w:t> </w:t>
      </w:r>
      <w:r>
        <w:rPr>
          <w:vertAlign w:val="baseline"/>
        </w:rPr>
        <w:t>which</w:t>
      </w:r>
      <w:r>
        <w:rPr>
          <w:spacing w:val="65"/>
          <w:vertAlign w:val="baseline"/>
        </w:rPr>
        <w:t> </w:t>
      </w:r>
      <w:r>
        <w:rPr>
          <w:vertAlign w:val="baseline"/>
        </w:rPr>
        <w:t>the</w:t>
      </w:r>
      <w:r>
        <w:rPr>
          <w:spacing w:val="65"/>
          <w:vertAlign w:val="baseline"/>
        </w:rPr>
        <w:t> </w:t>
      </w:r>
      <w:r>
        <w:rPr>
          <w:vertAlign w:val="baseline"/>
        </w:rPr>
        <w:t>estoppel</w:t>
      </w:r>
      <w:r>
        <w:rPr>
          <w:spacing w:val="65"/>
          <w:vertAlign w:val="baseline"/>
        </w:rPr>
        <w:t> </w:t>
      </w:r>
      <w:r>
        <w:rPr>
          <w:vertAlign w:val="baseline"/>
        </w:rPr>
        <w:t>is</w:t>
      </w:r>
      <w:r>
        <w:rPr>
          <w:spacing w:val="65"/>
          <w:vertAlign w:val="baseline"/>
        </w:rPr>
        <w:t> </w:t>
      </w:r>
      <w:r>
        <w:rPr>
          <w:vertAlign w:val="baseline"/>
        </w:rPr>
        <w:t>relied</w:t>
      </w:r>
      <w:r>
        <w:rPr>
          <w:spacing w:val="65"/>
          <w:vertAlign w:val="baseline"/>
        </w:rPr>
        <w:t> </w:t>
      </w:r>
      <w:r>
        <w:rPr>
          <w:vertAlign w:val="baseline"/>
        </w:rPr>
        <w:t>upon</w:t>
      </w:r>
      <w:r>
        <w:rPr>
          <w:spacing w:val="65"/>
          <w:vertAlign w:val="baseline"/>
        </w:rPr>
        <w:t> </w:t>
      </w:r>
      <w:r>
        <w:rPr>
          <w:vertAlign w:val="baseline"/>
        </w:rPr>
        <w:t>to</w:t>
      </w:r>
      <w:r>
        <w:rPr>
          <w:spacing w:val="65"/>
          <w:vertAlign w:val="baseline"/>
        </w:rPr>
        <w:t> </w:t>
      </w:r>
      <w:r>
        <w:rPr>
          <w:vertAlign w:val="baseline"/>
        </w:rPr>
        <w:t>bind</w:t>
      </w:r>
      <w:r>
        <w:rPr>
          <w:spacing w:val="65"/>
          <w:vertAlign w:val="baseline"/>
        </w:rPr>
        <w:t> </w:t>
      </w:r>
      <w:r>
        <w:rPr>
          <w:vertAlign w:val="baseline"/>
        </w:rPr>
        <w:t>the</w:t>
      </w:r>
      <w:r>
        <w:rPr>
          <w:spacing w:val="65"/>
          <w:vertAlign w:val="baseline"/>
        </w:rPr>
        <w:t> </w:t>
      </w:r>
      <w:r>
        <w:rPr>
          <w:vertAlign w:val="baseline"/>
        </w:rPr>
        <w:t>parties</w:t>
      </w:r>
      <w:r>
        <w:rPr>
          <w:spacing w:val="65"/>
          <w:vertAlign w:val="baseline"/>
        </w:rPr>
        <w:t> </w:t>
      </w:r>
      <w:r>
        <w:rPr>
          <w:vertAlign w:val="baseline"/>
        </w:rPr>
        <w:t>to</w:t>
      </w:r>
      <w:r>
        <w:rPr>
          <w:spacing w:val="65"/>
          <w:vertAlign w:val="baseline"/>
        </w:rPr>
        <w:t> </w:t>
      </w:r>
      <w:r>
        <w:rPr>
          <w:vertAlign w:val="baseline"/>
        </w:rPr>
        <w:t>an</w:t>
      </w:r>
      <w:r>
        <w:rPr>
          <w:spacing w:val="65"/>
          <w:vertAlign w:val="baseline"/>
        </w:rPr>
        <w:t> </w:t>
      </w:r>
      <w:r>
        <w:rPr>
          <w:vertAlign w:val="baseline"/>
        </w:rPr>
        <w:t>agreement</w:t>
      </w:r>
      <w:r>
        <w:rPr>
          <w:spacing w:val="65"/>
          <w:vertAlign w:val="baseline"/>
        </w:rPr>
        <w:t> </w:t>
      </w:r>
      <w:r>
        <w:rPr>
          <w:vertAlign w:val="baseline"/>
        </w:rPr>
        <w:t>to</w:t>
      </w:r>
      <w:r>
        <w:rPr>
          <w:spacing w:val="65"/>
          <w:vertAlign w:val="baseline"/>
        </w:rPr>
        <w:t> </w:t>
      </w:r>
      <w:r>
        <w:rPr>
          <w:spacing w:val="-5"/>
          <w:vertAlign w:val="baseline"/>
        </w:rPr>
        <w:t>an</w:t>
      </w:r>
    </w:p>
    <w:p>
      <w:pPr>
        <w:pStyle w:val="BodyText"/>
        <w:spacing w:before="115"/>
        <w:ind w:left="165"/>
        <w:jc w:val="both"/>
      </w:pPr>
      <w:bookmarkStart w:name="_bookmark1079" w:id="1081"/>
      <w:bookmarkEnd w:id="1081"/>
      <w:r>
        <w:rPr/>
      </w:r>
      <w:r>
        <w:rPr/>
        <w:t>interpretation</w:t>
      </w:r>
      <w:r>
        <w:rPr>
          <w:spacing w:val="26"/>
        </w:rPr>
        <w:t> </w:t>
      </w:r>
      <w:r>
        <w:rPr/>
        <w:t>which</w:t>
      </w:r>
      <w:r>
        <w:rPr>
          <w:spacing w:val="26"/>
        </w:rPr>
        <w:t> </w:t>
      </w:r>
      <w:r>
        <w:rPr/>
        <w:t>it</w:t>
      </w:r>
      <w:r>
        <w:rPr>
          <w:spacing w:val="26"/>
        </w:rPr>
        <w:t> </w:t>
      </w:r>
      <w:r>
        <w:rPr/>
        <w:t>would</w:t>
      </w:r>
      <w:r>
        <w:rPr>
          <w:spacing w:val="26"/>
        </w:rPr>
        <w:t> </w:t>
      </w:r>
      <w:r>
        <w:rPr/>
        <w:t>not</w:t>
      </w:r>
      <w:r>
        <w:rPr>
          <w:spacing w:val="26"/>
        </w:rPr>
        <w:t> </w:t>
      </w:r>
      <w:r>
        <w:rPr/>
        <w:t>otherwise</w:t>
      </w:r>
      <w:r>
        <w:rPr>
          <w:spacing w:val="26"/>
        </w:rPr>
        <w:t> </w:t>
      </w:r>
      <w:r>
        <w:rPr/>
        <w:t>bear”</w:t>
      </w:r>
      <w:r>
        <w:rPr>
          <w:spacing w:val="26"/>
        </w:rPr>
        <w:t> </w:t>
      </w:r>
      <w:r>
        <w:rPr>
          <w:color w:val="005DA1"/>
          <w:u w:val="single" w:color="005DA1"/>
          <w:vertAlign w:val="superscript"/>
        </w:rPr>
        <w:t>693</w:t>
      </w:r>
      <w:r>
        <w:rPr>
          <w:color w:val="005DA1"/>
          <w:spacing w:val="68"/>
          <w:vertAlign w:val="baseline"/>
        </w:rPr>
        <w:t>  </w:t>
      </w:r>
      <w:r>
        <w:rPr>
          <w:color w:val="005DA1"/>
          <w:spacing w:val="-27"/>
          <w:position w:val="-2"/>
          <w:vertAlign w:val="baseline"/>
        </w:rPr>
        <w:drawing>
          <wp:inline distT="0" distB="0" distL="0" distR="0">
            <wp:extent cx="107988" cy="107988"/>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vertAlign w:val="baseline"/>
        </w:rPr>
        <w:t>;</w:t>
      </w:r>
      <w:r>
        <w:rPr>
          <w:spacing w:val="26"/>
          <w:vertAlign w:val="baseline"/>
        </w:rPr>
        <w:t> </w:t>
      </w:r>
      <w:r>
        <w:rPr>
          <w:vertAlign w:val="baseline"/>
        </w:rPr>
        <w:t>and</w:t>
      </w:r>
      <w:r>
        <w:rPr>
          <w:spacing w:val="26"/>
          <w:vertAlign w:val="baseline"/>
        </w:rPr>
        <w:t> </w:t>
      </w:r>
      <w:r>
        <w:rPr>
          <w:vertAlign w:val="baseline"/>
        </w:rPr>
        <w:t>that,</w:t>
      </w:r>
      <w:r>
        <w:rPr>
          <w:spacing w:val="26"/>
          <w:vertAlign w:val="baseline"/>
        </w:rPr>
        <w:t> </w:t>
      </w:r>
      <w:r>
        <w:rPr>
          <w:vertAlign w:val="baseline"/>
        </w:rPr>
        <w:t>where</w:t>
      </w:r>
      <w:r>
        <w:rPr>
          <w:spacing w:val="26"/>
          <w:vertAlign w:val="baseline"/>
        </w:rPr>
        <w:t> </w:t>
      </w:r>
      <w:r>
        <w:rPr>
          <w:vertAlign w:val="baseline"/>
        </w:rPr>
        <w:t>this</w:t>
      </w:r>
      <w:r>
        <w:rPr>
          <w:spacing w:val="26"/>
          <w:vertAlign w:val="baseline"/>
        </w:rPr>
        <w:t> </w:t>
      </w:r>
      <w:r>
        <w:rPr>
          <w:vertAlign w:val="baseline"/>
        </w:rPr>
        <w:t>was</w:t>
      </w:r>
      <w:r>
        <w:rPr>
          <w:spacing w:val="27"/>
          <w:vertAlign w:val="baseline"/>
        </w:rPr>
        <w:t> </w:t>
      </w:r>
      <w:r>
        <w:rPr>
          <w:vertAlign w:val="baseline"/>
        </w:rPr>
        <w:t>the</w:t>
      </w:r>
      <w:r>
        <w:rPr>
          <w:spacing w:val="26"/>
          <w:vertAlign w:val="baseline"/>
        </w:rPr>
        <w:t> </w:t>
      </w:r>
      <w:r>
        <w:rPr>
          <w:vertAlign w:val="baseline"/>
        </w:rPr>
        <w:t>position,</w:t>
      </w:r>
      <w:r>
        <w:rPr>
          <w:spacing w:val="26"/>
          <w:vertAlign w:val="baseline"/>
        </w:rPr>
        <w:t> </w:t>
      </w:r>
      <w:r>
        <w:rPr>
          <w:spacing w:val="-5"/>
          <w:vertAlign w:val="baseline"/>
        </w:rPr>
        <w:t>an</w:t>
      </w:r>
    </w:p>
    <w:p>
      <w:pPr>
        <w:pStyle w:val="BodyText"/>
        <w:spacing w:line="235" w:lineRule="auto" w:before="119"/>
        <w:ind w:left="165" w:right="167"/>
        <w:jc w:val="both"/>
      </w:pPr>
      <w:r>
        <w:rPr/>
        <w:t>estoppel by convention could “enlarge the effect of an agreement.” </w:t>
      </w:r>
      <w:r>
        <w:rPr>
          <w:color w:val="005DA1"/>
          <w:u w:val="single" w:color="005DA1"/>
          <w:vertAlign w:val="superscript"/>
        </w:rPr>
        <w:t>694</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32"/>
          <w:vertAlign w:val="baseline"/>
        </w:rPr>
        <w:t> </w:t>
      </w:r>
      <w:r>
        <w:rPr>
          <w:vertAlign w:val="baseline"/>
        </w:rPr>
        <w:t>The view that estoppel </w:t>
      </w:r>
      <w:r>
        <w:rPr>
          <w:vertAlign w:val="baseline"/>
        </w:rPr>
        <w:t>by convention may have such an effect can, where the common assumption on which the estoppel is based </w:t>
      </w:r>
      <w:r>
        <w:rPr>
          <w:rFonts w:ascii="Arial" w:hAnsi="Arial"/>
          <w:i/>
          <w:vertAlign w:val="baseline"/>
        </w:rPr>
        <w:t>increases </w:t>
      </w:r>
      <w:r>
        <w:rPr>
          <w:vertAlign w:val="baseline"/>
        </w:rPr>
        <w:t>the obligation of the party alleged to be estopped, give rise to the same difficulty as </w:t>
      </w:r>
      <w:bookmarkStart w:name="_bookmark1080" w:id="1082"/>
      <w:bookmarkEnd w:id="1082"/>
      <w:r>
        <w:rPr>
          <w:vertAlign w:val="baseline"/>
        </w:rPr>
        <w:t>that</w:t>
      </w:r>
      <w:r>
        <w:rPr>
          <w:spacing w:val="37"/>
          <w:vertAlign w:val="baseline"/>
        </w:rPr>
        <w:t> </w:t>
      </w:r>
      <w:r>
        <w:rPr>
          <w:vertAlign w:val="baseline"/>
        </w:rPr>
        <w:t>discussed</w:t>
      </w:r>
      <w:r>
        <w:rPr>
          <w:spacing w:val="37"/>
          <w:vertAlign w:val="baseline"/>
        </w:rPr>
        <w:t> </w:t>
      </w:r>
      <w:r>
        <w:rPr>
          <w:vertAlign w:val="baseline"/>
        </w:rPr>
        <w:t>in</w:t>
      </w:r>
      <w:r>
        <w:rPr>
          <w:spacing w:val="37"/>
          <w:vertAlign w:val="baseline"/>
        </w:rPr>
        <w:t> </w:t>
      </w:r>
      <w:r>
        <w:rPr>
          <w:vertAlign w:val="baseline"/>
        </w:rPr>
        <w:t>the</w:t>
      </w:r>
      <w:r>
        <w:rPr>
          <w:spacing w:val="37"/>
          <w:vertAlign w:val="baseline"/>
        </w:rPr>
        <w:t> </w:t>
      </w:r>
      <w:r>
        <w:rPr>
          <w:vertAlign w:val="baseline"/>
        </w:rPr>
        <w:t>context</w:t>
      </w:r>
      <w:r>
        <w:rPr>
          <w:spacing w:val="37"/>
          <w:vertAlign w:val="baseline"/>
        </w:rPr>
        <w:t> </w:t>
      </w:r>
      <w:r>
        <w:rPr>
          <w:vertAlign w:val="baseline"/>
        </w:rPr>
        <w:t>of</w:t>
      </w:r>
      <w:r>
        <w:rPr>
          <w:spacing w:val="37"/>
          <w:vertAlign w:val="baseline"/>
        </w:rPr>
        <w:t> </w:t>
      </w:r>
      <w:r>
        <w:rPr>
          <w:vertAlign w:val="baseline"/>
        </w:rPr>
        <w:t>promissory</w:t>
      </w:r>
      <w:r>
        <w:rPr>
          <w:spacing w:val="37"/>
          <w:vertAlign w:val="baseline"/>
        </w:rPr>
        <w:t> </w:t>
      </w:r>
      <w:r>
        <w:rPr>
          <w:vertAlign w:val="baseline"/>
        </w:rPr>
        <w:t>estoppel</w:t>
      </w:r>
      <w:r>
        <w:rPr>
          <w:spacing w:val="37"/>
          <w:vertAlign w:val="baseline"/>
        </w:rPr>
        <w:t> </w:t>
      </w:r>
      <w:r>
        <w:rPr>
          <w:vertAlign w:val="baseline"/>
        </w:rPr>
        <w:t>in</w:t>
      </w:r>
      <w:r>
        <w:rPr>
          <w:spacing w:val="37"/>
          <w:vertAlign w:val="baseline"/>
        </w:rPr>
        <w:t> </w:t>
      </w:r>
      <w:r>
        <w:rPr>
          <w:vertAlign w:val="baseline"/>
        </w:rPr>
        <w:t>Vol.I,</w:t>
      </w:r>
      <w:r>
        <w:rPr>
          <w:spacing w:val="37"/>
          <w:vertAlign w:val="baseline"/>
        </w:rPr>
        <w:t> </w:t>
      </w:r>
      <w:r>
        <w:rPr>
          <w:vertAlign w:val="baseline"/>
        </w:rPr>
        <w:t>para.4-100:</w:t>
      </w:r>
      <w:r>
        <w:rPr>
          <w:spacing w:val="37"/>
          <w:vertAlign w:val="baseline"/>
        </w:rPr>
        <w:t> </w:t>
      </w:r>
      <w:r>
        <w:rPr>
          <w:vertAlign w:val="baseline"/>
        </w:rPr>
        <w:t>it</w:t>
      </w:r>
      <w:r>
        <w:rPr>
          <w:spacing w:val="37"/>
          <w:vertAlign w:val="baseline"/>
        </w:rPr>
        <w:t> </w:t>
      </w:r>
      <w:r>
        <w:rPr>
          <w:vertAlign w:val="baseline"/>
        </w:rPr>
        <w:t>could,</w:t>
      </w:r>
      <w:r>
        <w:rPr>
          <w:spacing w:val="37"/>
          <w:vertAlign w:val="baseline"/>
        </w:rPr>
        <w:t> </w:t>
      </w:r>
      <w:r>
        <w:rPr>
          <w:vertAlign w:val="baseline"/>
        </w:rPr>
        <w:t>for</w:t>
      </w:r>
      <w:r>
        <w:rPr>
          <w:spacing w:val="37"/>
          <w:vertAlign w:val="baseline"/>
        </w:rPr>
        <w:t> </w:t>
      </w:r>
      <w:r>
        <w:rPr>
          <w:vertAlign w:val="baseline"/>
        </w:rPr>
        <w:t>example,</w:t>
      </w:r>
      <w:r>
        <w:rPr>
          <w:spacing w:val="37"/>
          <w:vertAlign w:val="baseline"/>
        </w:rPr>
        <w:t> </w:t>
      </w:r>
      <w:r>
        <w:rPr>
          <w:spacing w:val="-5"/>
          <w:vertAlign w:val="baseline"/>
        </w:rPr>
        <w:t>if</w:t>
      </w:r>
    </w:p>
    <w:p>
      <w:pPr>
        <w:pStyle w:val="BodyText"/>
        <w:spacing w:before="115"/>
        <w:ind w:left="165"/>
        <w:jc w:val="both"/>
      </w:pPr>
      <w:bookmarkStart w:name="_bookmark1081" w:id="1083"/>
      <w:bookmarkEnd w:id="1083"/>
      <w:r>
        <w:rPr/>
      </w:r>
      <w:r>
        <w:rPr/>
        <w:t>applied</w:t>
      </w:r>
      <w:r>
        <w:rPr>
          <w:spacing w:val="26"/>
        </w:rPr>
        <w:t> </w:t>
      </w:r>
      <w:r>
        <w:rPr/>
        <w:t>in</w:t>
      </w:r>
      <w:r>
        <w:rPr>
          <w:spacing w:val="26"/>
        </w:rPr>
        <w:t> </w:t>
      </w:r>
      <w:r>
        <w:rPr/>
        <w:t>circumstances</w:t>
      </w:r>
      <w:r>
        <w:rPr>
          <w:spacing w:val="26"/>
        </w:rPr>
        <w:t> </w:t>
      </w:r>
      <w:r>
        <w:rPr/>
        <w:t>resembling</w:t>
      </w:r>
      <w:r>
        <w:rPr>
          <w:spacing w:val="26"/>
        </w:rPr>
        <w:t> </w:t>
      </w:r>
      <w:r>
        <w:rPr/>
        <w:t>those</w:t>
      </w:r>
      <w:r>
        <w:rPr>
          <w:spacing w:val="26"/>
        </w:rPr>
        <w:t> </w:t>
      </w:r>
      <w:r>
        <w:rPr/>
        <w:t>of</w:t>
      </w:r>
      <w:r>
        <w:rPr>
          <w:spacing w:val="26"/>
        </w:rPr>
        <w:t> </w:t>
      </w:r>
      <w:r>
        <w:rPr>
          <w:rFonts w:ascii="Arial"/>
          <w:i/>
        </w:rPr>
        <w:t>Stilk</w:t>
      </w:r>
      <w:r>
        <w:rPr>
          <w:rFonts w:ascii="Arial"/>
          <w:i/>
          <w:spacing w:val="26"/>
        </w:rPr>
        <w:t> </w:t>
      </w:r>
      <w:r>
        <w:rPr>
          <w:rFonts w:ascii="Arial"/>
          <w:i/>
        </w:rPr>
        <w:t>v</w:t>
      </w:r>
      <w:r>
        <w:rPr>
          <w:rFonts w:ascii="Arial"/>
          <w:i/>
          <w:spacing w:val="26"/>
        </w:rPr>
        <w:t> </w:t>
      </w:r>
      <w:r>
        <w:rPr>
          <w:rFonts w:ascii="Arial"/>
          <w:i/>
        </w:rPr>
        <w:t>Myrick</w:t>
      </w:r>
      <w:r>
        <w:rPr>
          <w:rFonts w:ascii="Arial"/>
          <w:i/>
          <w:spacing w:val="26"/>
        </w:rPr>
        <w:t> </w:t>
      </w:r>
      <w:r>
        <w:rPr>
          <w:color w:val="005DA1"/>
          <w:u w:val="single" w:color="005DA1"/>
          <w:vertAlign w:val="superscript"/>
        </w:rPr>
        <w:t>695</w:t>
      </w:r>
      <w:r>
        <w:rPr>
          <w:color w:val="005DA1"/>
          <w:spacing w:val="68"/>
          <w:vertAlign w:val="baseline"/>
        </w:rPr>
        <w:t>  </w:t>
      </w:r>
      <w:r>
        <w:rPr>
          <w:color w:val="005DA1"/>
          <w:spacing w:val="-27"/>
          <w:position w:val="-2"/>
          <w:vertAlign w:val="baseline"/>
        </w:rPr>
        <w:drawing>
          <wp:inline distT="0" distB="0" distL="0" distR="0">
            <wp:extent cx="107988" cy="107988"/>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color w:val="005DA1"/>
          <w:spacing w:val="59"/>
          <w:vertAlign w:val="baseline"/>
        </w:rPr>
        <w:t> </w:t>
      </w:r>
      <w:r>
        <w:rPr>
          <w:vertAlign w:val="baseline"/>
        </w:rPr>
        <w:t>have</w:t>
      </w:r>
      <w:r>
        <w:rPr>
          <w:spacing w:val="26"/>
          <w:vertAlign w:val="baseline"/>
        </w:rPr>
        <w:t> </w:t>
      </w:r>
      <w:r>
        <w:rPr>
          <w:vertAlign w:val="baseline"/>
        </w:rPr>
        <w:t>the</w:t>
      </w:r>
      <w:r>
        <w:rPr>
          <w:spacing w:val="26"/>
          <w:vertAlign w:val="baseline"/>
        </w:rPr>
        <w:t> </w:t>
      </w:r>
      <w:r>
        <w:rPr>
          <w:vertAlign w:val="baseline"/>
        </w:rPr>
        <w:t>effect</w:t>
      </w:r>
      <w:r>
        <w:rPr>
          <w:spacing w:val="26"/>
          <w:vertAlign w:val="baseline"/>
        </w:rPr>
        <w:t> </w:t>
      </w:r>
      <w:r>
        <w:rPr>
          <w:vertAlign w:val="baseline"/>
        </w:rPr>
        <w:t>of</w:t>
      </w:r>
      <w:r>
        <w:rPr>
          <w:spacing w:val="27"/>
          <w:vertAlign w:val="baseline"/>
        </w:rPr>
        <w:t> </w:t>
      </w:r>
      <w:r>
        <w:rPr>
          <w:vertAlign w:val="baseline"/>
        </w:rPr>
        <w:t>allowing</w:t>
      </w:r>
      <w:r>
        <w:rPr>
          <w:spacing w:val="26"/>
          <w:vertAlign w:val="baseline"/>
        </w:rPr>
        <w:t> </w:t>
      </w:r>
      <w:r>
        <w:rPr>
          <w:spacing w:val="-5"/>
          <w:vertAlign w:val="baseline"/>
        </w:rPr>
        <w:t>the</w:t>
      </w:r>
    </w:p>
    <w:p>
      <w:pPr>
        <w:pStyle w:val="BodyText"/>
        <w:spacing w:line="235" w:lineRule="auto" w:before="118"/>
        <w:ind w:left="165" w:right="167"/>
        <w:jc w:val="both"/>
      </w:pPr>
      <w:r>
        <w:rPr/>
        <w:t>claim that was there dismissed. It is respectfully submitted that the </w:t>
      </w:r>
      <w:r>
        <w:rPr>
          <w:rFonts w:ascii="Arial"/>
          <w:i/>
        </w:rPr>
        <w:t>Rivertrade </w:t>
      </w:r>
      <w:r>
        <w:rPr/>
        <w:t>case </w:t>
      </w:r>
      <w:r>
        <w:rPr>
          <w:color w:val="005DA1"/>
          <w:u w:val="single" w:color="005DA1"/>
          <w:vertAlign w:val="superscript"/>
        </w:rPr>
        <w:t>696</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11"/>
          <w:vertAlign w:val="baseline"/>
        </w:rPr>
        <w:t> </w:t>
      </w:r>
      <w:r>
        <w:rPr>
          <w:vertAlign w:val="baseline"/>
        </w:rPr>
        <w:t>should not </w:t>
      </w:r>
      <w:bookmarkStart w:name="_bookmark1082" w:id="1084"/>
      <w:bookmarkEnd w:id="1084"/>
      <w:r>
        <w:rPr>
          <w:vertAlign w:val="baseline"/>
        </w:rPr>
        <w:t>be</w:t>
      </w:r>
      <w:r>
        <w:rPr>
          <w:spacing w:val="8"/>
          <w:vertAlign w:val="baseline"/>
        </w:rPr>
        <w:t> </w:t>
      </w:r>
      <w:r>
        <w:rPr>
          <w:vertAlign w:val="baseline"/>
        </w:rPr>
        <w:t>regarded</w:t>
      </w:r>
      <w:r>
        <w:rPr>
          <w:spacing w:val="8"/>
          <w:vertAlign w:val="baseline"/>
        </w:rPr>
        <w:t> </w:t>
      </w:r>
      <w:r>
        <w:rPr>
          <w:vertAlign w:val="baseline"/>
        </w:rPr>
        <w:t>as</w:t>
      </w:r>
      <w:r>
        <w:rPr>
          <w:spacing w:val="8"/>
          <w:vertAlign w:val="baseline"/>
        </w:rPr>
        <w:t> </w:t>
      </w:r>
      <w:r>
        <w:rPr>
          <w:vertAlign w:val="baseline"/>
        </w:rPr>
        <w:t>concluding</w:t>
      </w:r>
      <w:r>
        <w:rPr>
          <w:spacing w:val="8"/>
          <w:vertAlign w:val="baseline"/>
        </w:rPr>
        <w:t> </w:t>
      </w:r>
      <w:r>
        <w:rPr>
          <w:vertAlign w:val="baseline"/>
        </w:rPr>
        <w:t>the</w:t>
      </w:r>
      <w:r>
        <w:rPr>
          <w:spacing w:val="8"/>
          <w:vertAlign w:val="baseline"/>
        </w:rPr>
        <w:t> </w:t>
      </w:r>
      <w:r>
        <w:rPr>
          <w:vertAlign w:val="baseline"/>
        </w:rPr>
        <w:t>point.</w:t>
      </w:r>
      <w:r>
        <w:rPr>
          <w:spacing w:val="8"/>
          <w:vertAlign w:val="baseline"/>
        </w:rPr>
        <w:t> </w:t>
      </w:r>
      <w:r>
        <w:rPr>
          <w:vertAlign w:val="baseline"/>
        </w:rPr>
        <w:t>In</w:t>
      </w:r>
      <w:r>
        <w:rPr>
          <w:spacing w:val="8"/>
          <w:vertAlign w:val="baseline"/>
        </w:rPr>
        <w:t> </w:t>
      </w:r>
      <w:r>
        <w:rPr>
          <w:vertAlign w:val="baseline"/>
        </w:rPr>
        <w:t>that</w:t>
      </w:r>
      <w:r>
        <w:rPr>
          <w:spacing w:val="8"/>
          <w:vertAlign w:val="baseline"/>
        </w:rPr>
        <w:t> </w:t>
      </w:r>
      <w:r>
        <w:rPr>
          <w:vertAlign w:val="baseline"/>
        </w:rPr>
        <w:t>case,</w:t>
      </w:r>
      <w:r>
        <w:rPr>
          <w:spacing w:val="8"/>
          <w:vertAlign w:val="baseline"/>
        </w:rPr>
        <w:t> </w:t>
      </w:r>
      <w:r>
        <w:rPr>
          <w:vertAlign w:val="baseline"/>
        </w:rPr>
        <w:t>counsel</w:t>
      </w:r>
      <w:r>
        <w:rPr>
          <w:spacing w:val="8"/>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defendant</w:t>
      </w:r>
      <w:r>
        <w:rPr>
          <w:spacing w:val="8"/>
          <w:vertAlign w:val="baseline"/>
        </w:rPr>
        <w:t> </w:t>
      </w:r>
      <w:r>
        <w:rPr>
          <w:vertAlign w:val="baseline"/>
        </w:rPr>
        <w:t>conceded</w:t>
      </w:r>
      <w:r>
        <w:rPr>
          <w:spacing w:val="8"/>
          <w:vertAlign w:val="baseline"/>
        </w:rPr>
        <w:t> </w:t>
      </w:r>
      <w:r>
        <w:rPr>
          <w:vertAlign w:val="baseline"/>
        </w:rPr>
        <w:t>the</w:t>
      </w:r>
      <w:r>
        <w:rPr>
          <w:spacing w:val="8"/>
          <w:vertAlign w:val="baseline"/>
        </w:rPr>
        <w:t> </w:t>
      </w:r>
      <w:r>
        <w:rPr>
          <w:vertAlign w:val="baseline"/>
        </w:rPr>
        <w:t>point;</w:t>
      </w:r>
      <w:r>
        <w:rPr>
          <w:spacing w:val="8"/>
          <w:vertAlign w:val="baseline"/>
        </w:rPr>
        <w:t> </w:t>
      </w:r>
      <w:r>
        <w:rPr>
          <w:spacing w:val="-5"/>
          <w:vertAlign w:val="baseline"/>
        </w:rPr>
        <w:t>and</w:t>
      </w:r>
    </w:p>
    <w:p>
      <w:pPr>
        <w:pStyle w:val="BodyText"/>
        <w:spacing w:line="340" w:lineRule="atLeast" w:before="6"/>
        <w:ind w:left="164" w:right="168"/>
        <w:jc w:val="both"/>
      </w:pPr>
      <w:bookmarkStart w:name="_bookmark1083" w:id="1085"/>
      <w:bookmarkEnd w:id="1085"/>
      <w:r>
        <w:rPr/>
      </w:r>
      <w:r>
        <w:rPr/>
        <w:t>although</w:t>
      </w:r>
      <w:r>
        <w:rPr>
          <w:spacing w:val="-1"/>
        </w:rPr>
        <w:t> </w:t>
      </w:r>
      <w:r>
        <w:rPr/>
        <w:t>the</w:t>
      </w:r>
      <w:r>
        <w:rPr>
          <w:spacing w:val="-1"/>
        </w:rPr>
        <w:t> </w:t>
      </w:r>
      <w:r>
        <w:rPr/>
        <w:t>Court</w:t>
      </w:r>
      <w:r>
        <w:rPr>
          <w:spacing w:val="-1"/>
        </w:rPr>
        <w:t> </w:t>
      </w:r>
      <w:r>
        <w:rPr/>
        <w:t>approved</w:t>
      </w:r>
      <w:r>
        <w:rPr>
          <w:spacing w:val="-1"/>
        </w:rPr>
        <w:t> </w:t>
      </w:r>
      <w:r>
        <w:rPr/>
        <w:t>of</w:t>
      </w:r>
      <w:r>
        <w:rPr>
          <w:spacing w:val="-1"/>
        </w:rPr>
        <w:t> </w:t>
      </w:r>
      <w:r>
        <w:rPr/>
        <w:t>this</w:t>
      </w:r>
      <w:r>
        <w:rPr>
          <w:spacing w:val="-1"/>
        </w:rPr>
        <w:t> </w:t>
      </w:r>
      <w:r>
        <w:rPr/>
        <w:t>concession,</w:t>
      </w:r>
      <w:r>
        <w:rPr>
          <w:spacing w:val="-2"/>
        </w:rPr>
        <w:t> </w:t>
      </w:r>
      <w:r>
        <w:rPr>
          <w:color w:val="005DA1"/>
          <w:u w:val="single" w:color="005DA1"/>
          <w:vertAlign w:val="superscript"/>
        </w:rPr>
        <w:t>697</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2"/>
          <w:vertAlign w:val="baseline"/>
        </w:rPr>
        <w:t> </w:t>
      </w:r>
      <w:r>
        <w:rPr>
          <w:vertAlign w:val="baseline"/>
        </w:rPr>
        <w:t>it</w:t>
      </w:r>
      <w:r>
        <w:rPr>
          <w:spacing w:val="-1"/>
          <w:vertAlign w:val="baseline"/>
        </w:rPr>
        <w:t> </w:t>
      </w:r>
      <w:r>
        <w:rPr>
          <w:vertAlign w:val="baseline"/>
        </w:rPr>
        <w:t>also</w:t>
      </w:r>
      <w:r>
        <w:rPr>
          <w:spacing w:val="-1"/>
          <w:vertAlign w:val="baseline"/>
        </w:rPr>
        <w:t> </w:t>
      </w:r>
      <w:r>
        <w:rPr>
          <w:vertAlign w:val="baseline"/>
        </w:rPr>
        <w:t>seemed</w:t>
      </w:r>
      <w:r>
        <w:rPr>
          <w:spacing w:val="-1"/>
          <w:vertAlign w:val="baseline"/>
        </w:rPr>
        <w:t> </w:t>
      </w:r>
      <w:r>
        <w:rPr>
          <w:vertAlign w:val="baseline"/>
        </w:rPr>
        <w:t>to</w:t>
      </w:r>
      <w:r>
        <w:rPr>
          <w:spacing w:val="-1"/>
          <w:vertAlign w:val="baseline"/>
        </w:rPr>
        <w:t> </w:t>
      </w:r>
      <w:r>
        <w:rPr>
          <w:vertAlign w:val="baseline"/>
        </w:rPr>
        <w:t>attach</w:t>
      </w:r>
      <w:r>
        <w:rPr>
          <w:spacing w:val="-1"/>
          <w:vertAlign w:val="baseline"/>
        </w:rPr>
        <w:t> </w:t>
      </w:r>
      <w:r>
        <w:rPr>
          <w:vertAlign w:val="baseline"/>
        </w:rPr>
        <w:t>importance</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fact that the estoppel in that case did </w:t>
      </w:r>
      <w:r>
        <w:rPr>
          <w:rFonts w:ascii="Arial" w:hAnsi="Arial"/>
          <w:i/>
          <w:vertAlign w:val="baseline"/>
        </w:rPr>
        <w:t>not </w:t>
      </w:r>
      <w:r>
        <w:rPr>
          <w:vertAlign w:val="baseline"/>
        </w:rPr>
        <w:t>“create an enforceable right where none previously existed.” </w:t>
      </w:r>
      <w:r>
        <w:rPr>
          <w:color w:val="005DA1"/>
          <w:u w:val="single" w:color="005DA1"/>
          <w:vertAlign w:val="superscript"/>
        </w:rPr>
        <w:t>698</w:t>
      </w:r>
    </w:p>
    <w:p>
      <w:pPr>
        <w:pStyle w:val="BodyText"/>
        <w:spacing w:line="235" w:lineRule="auto" w:before="4"/>
        <w:ind w:left="165" w:right="167"/>
        <w:jc w:val="both"/>
      </w:pPr>
      <w:r>
        <w:rPr>
          <w:position w:val="-2"/>
        </w:rPr>
        <w:drawing>
          <wp:inline distT="0" distB="0" distL="0" distR="0">
            <wp:extent cx="107988" cy="107988"/>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tension between these two positions should, it is respectfully submitted, not be regarded as having been finally resolved in the </w:t>
      </w:r>
      <w:r>
        <w:rPr>
          <w:rFonts w:ascii="Arial" w:hAnsi="Arial"/>
          <w:i/>
        </w:rPr>
        <w:t>Rivertrade </w:t>
      </w:r>
      <w:r>
        <w:rPr/>
        <w:t>case; in particular the question whether there are </w:t>
      </w:r>
      <w:r>
        <w:rPr/>
        <w:t>limits </w:t>
      </w:r>
      <w:bookmarkStart w:name="_bookmark1084" w:id="1086"/>
      <w:bookmarkEnd w:id="1086"/>
      <w:r>
        <w:rPr/>
        <w:t>to</w:t>
      </w:r>
      <w:r>
        <w:rPr>
          <w:spacing w:val="20"/>
        </w:rPr>
        <w:t> </w:t>
      </w:r>
      <w:r>
        <w:rPr/>
        <w:t>the</w:t>
      </w:r>
      <w:r>
        <w:rPr>
          <w:spacing w:val="22"/>
        </w:rPr>
        <w:t> </w:t>
      </w:r>
      <w:r>
        <w:rPr/>
        <w:t>extent</w:t>
      </w:r>
      <w:r>
        <w:rPr>
          <w:spacing w:val="22"/>
        </w:rPr>
        <w:t> </w:t>
      </w:r>
      <w:r>
        <w:rPr/>
        <w:t>to</w:t>
      </w:r>
      <w:r>
        <w:rPr>
          <w:spacing w:val="22"/>
        </w:rPr>
        <w:t> </w:t>
      </w:r>
      <w:r>
        <w:rPr/>
        <w:t>which</w:t>
      </w:r>
      <w:r>
        <w:rPr>
          <w:spacing w:val="22"/>
        </w:rPr>
        <w:t> </w:t>
      </w:r>
      <w:r>
        <w:rPr/>
        <w:t>estoppel</w:t>
      </w:r>
      <w:r>
        <w:rPr>
          <w:spacing w:val="22"/>
        </w:rPr>
        <w:t> </w:t>
      </w:r>
      <w:r>
        <w:rPr/>
        <w:t>by</w:t>
      </w:r>
      <w:r>
        <w:rPr>
          <w:spacing w:val="22"/>
        </w:rPr>
        <w:t> </w:t>
      </w:r>
      <w:r>
        <w:rPr/>
        <w:t>convention</w:t>
      </w:r>
      <w:r>
        <w:rPr>
          <w:spacing w:val="22"/>
        </w:rPr>
        <w:t> </w:t>
      </w:r>
      <w:r>
        <w:rPr/>
        <w:t>can</w:t>
      </w:r>
      <w:r>
        <w:rPr>
          <w:spacing w:val="22"/>
        </w:rPr>
        <w:t> </w:t>
      </w:r>
      <w:r>
        <w:rPr/>
        <w:t>“enlarge</w:t>
      </w:r>
      <w:r>
        <w:rPr>
          <w:spacing w:val="22"/>
        </w:rPr>
        <w:t> </w:t>
      </w:r>
      <w:r>
        <w:rPr/>
        <w:t>the</w:t>
      </w:r>
      <w:r>
        <w:rPr>
          <w:spacing w:val="22"/>
        </w:rPr>
        <w:t> </w:t>
      </w:r>
      <w:r>
        <w:rPr/>
        <w:t>effect</w:t>
      </w:r>
      <w:r>
        <w:rPr>
          <w:spacing w:val="22"/>
        </w:rPr>
        <w:t> </w:t>
      </w:r>
      <w:r>
        <w:rPr/>
        <w:t>of</w:t>
      </w:r>
      <w:r>
        <w:rPr>
          <w:spacing w:val="22"/>
        </w:rPr>
        <w:t> </w:t>
      </w:r>
      <w:r>
        <w:rPr/>
        <w:t>an</w:t>
      </w:r>
      <w:r>
        <w:rPr>
          <w:spacing w:val="22"/>
        </w:rPr>
        <w:t> </w:t>
      </w:r>
      <w:r>
        <w:rPr/>
        <w:t>agreement”</w:t>
      </w:r>
      <w:r>
        <w:rPr>
          <w:spacing w:val="22"/>
        </w:rPr>
        <w:t> </w:t>
      </w:r>
      <w:r>
        <w:rPr/>
        <w:t>remains</w:t>
      </w:r>
      <w:r>
        <w:rPr>
          <w:spacing w:val="22"/>
        </w:rPr>
        <w:t> </w:t>
      </w:r>
      <w:r>
        <w:rPr>
          <w:spacing w:val="-7"/>
        </w:rPr>
        <w:t>an</w:t>
      </w:r>
    </w:p>
    <w:p>
      <w:pPr>
        <w:pStyle w:val="BodyText"/>
        <w:spacing w:line="235" w:lineRule="auto" w:before="118"/>
        <w:ind w:left="165" w:right="167"/>
        <w:jc w:val="both"/>
      </w:pPr>
      <w:r>
        <w:rPr/>
        <w:t>open one. The answer to this question requires fuller argument </w:t>
      </w:r>
      <w:r>
        <w:rPr>
          <w:color w:val="005DA1"/>
          <w:u w:val="single" w:color="005DA1"/>
          <w:vertAlign w:val="superscript"/>
        </w:rPr>
        <w:t>699</w:t>
      </w:r>
      <w:r>
        <w:rPr>
          <w:color w:val="005DA1"/>
          <w:spacing w:val="80"/>
          <w:w w:val="150"/>
          <w:vertAlign w:val="baseline"/>
        </w:rPr>
        <w:t> </w:t>
      </w:r>
      <w:r>
        <w:rPr>
          <w:color w:val="005DA1"/>
          <w:spacing w:val="-16"/>
          <w:position w:val="-2"/>
          <w:vertAlign w:val="baseline"/>
        </w:rPr>
        <w:drawing>
          <wp:inline distT="0" distB="0" distL="0" distR="0">
            <wp:extent cx="107988" cy="107988"/>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color w:val="005DA1"/>
          <w:spacing w:val="40"/>
          <w:vertAlign w:val="baseline"/>
        </w:rPr>
        <w:t> </w:t>
      </w:r>
      <w:r>
        <w:rPr>
          <w:vertAlign w:val="baseline"/>
        </w:rPr>
        <w:t>than it received in </w:t>
      </w:r>
      <w:r>
        <w:rPr>
          <w:vertAlign w:val="baseline"/>
        </w:rPr>
        <w:t>the </w:t>
      </w:r>
      <w:r>
        <w:rPr>
          <w:rFonts w:ascii="Arial"/>
          <w:i/>
          <w:vertAlign w:val="baseline"/>
        </w:rPr>
        <w:t>Rivertrade </w:t>
      </w:r>
      <w:r>
        <w:rPr>
          <w:vertAlign w:val="baseline"/>
        </w:rPr>
        <w:t>case. No other authority squarely supports the view that estoppel by convention can, of </w:t>
      </w:r>
      <w:bookmarkStart w:name="_bookmark1085" w:id="1087"/>
      <w:bookmarkEnd w:id="1087"/>
      <w:r>
        <w:rPr>
          <w:vertAlign w:val="baseline"/>
        </w:rPr>
        <w:t>itself,</w:t>
      </w:r>
      <w:r>
        <w:rPr>
          <w:spacing w:val="22"/>
          <w:vertAlign w:val="baseline"/>
        </w:rPr>
        <w:t> </w:t>
      </w:r>
      <w:r>
        <w:rPr>
          <w:vertAlign w:val="baseline"/>
        </w:rPr>
        <w:t>create</w:t>
      </w:r>
      <w:r>
        <w:rPr>
          <w:spacing w:val="22"/>
          <w:vertAlign w:val="baseline"/>
        </w:rPr>
        <w:t> </w:t>
      </w:r>
      <w:r>
        <w:rPr>
          <w:vertAlign w:val="baseline"/>
        </w:rPr>
        <w:t>a</w:t>
      </w:r>
      <w:r>
        <w:rPr>
          <w:spacing w:val="22"/>
          <w:vertAlign w:val="baseline"/>
        </w:rPr>
        <w:t> </w:t>
      </w:r>
      <w:r>
        <w:rPr>
          <w:vertAlign w:val="baseline"/>
        </w:rPr>
        <w:t>new</w:t>
      </w:r>
      <w:r>
        <w:rPr>
          <w:spacing w:val="22"/>
          <w:vertAlign w:val="baseline"/>
        </w:rPr>
        <w:t> </w:t>
      </w:r>
      <w:r>
        <w:rPr>
          <w:vertAlign w:val="baseline"/>
        </w:rPr>
        <w:t>cause</w:t>
      </w:r>
      <w:r>
        <w:rPr>
          <w:spacing w:val="22"/>
          <w:vertAlign w:val="baseline"/>
        </w:rPr>
        <w:t> </w:t>
      </w:r>
      <w:r>
        <w:rPr>
          <w:vertAlign w:val="baseline"/>
        </w:rPr>
        <w:t>of</w:t>
      </w:r>
      <w:r>
        <w:rPr>
          <w:spacing w:val="22"/>
          <w:vertAlign w:val="baseline"/>
        </w:rPr>
        <w:t> </w:t>
      </w:r>
      <w:r>
        <w:rPr>
          <w:vertAlign w:val="baseline"/>
        </w:rPr>
        <w:t>action;</w:t>
      </w:r>
      <w:r>
        <w:rPr>
          <w:spacing w:val="22"/>
          <w:vertAlign w:val="baseline"/>
        </w:rPr>
        <w:t> </w:t>
      </w:r>
      <w:r>
        <w:rPr>
          <w:vertAlign w:val="baseline"/>
        </w:rPr>
        <w:t>and</w:t>
      </w:r>
      <w:r>
        <w:rPr>
          <w:spacing w:val="22"/>
          <w:vertAlign w:val="baseline"/>
        </w:rPr>
        <w:t> </w:t>
      </w:r>
      <w:r>
        <w:rPr>
          <w:vertAlign w:val="baseline"/>
        </w:rPr>
        <w:t>the</w:t>
      </w:r>
      <w:r>
        <w:rPr>
          <w:spacing w:val="22"/>
          <w:vertAlign w:val="baseline"/>
        </w:rPr>
        <w:t> </w:t>
      </w:r>
      <w:r>
        <w:rPr>
          <w:vertAlign w:val="baseline"/>
        </w:rPr>
        <w:t>present</w:t>
      </w:r>
      <w:r>
        <w:rPr>
          <w:spacing w:val="22"/>
          <w:vertAlign w:val="baseline"/>
        </w:rPr>
        <w:t> </w:t>
      </w:r>
      <w:r>
        <w:rPr>
          <w:vertAlign w:val="baseline"/>
        </w:rPr>
        <w:t>position</w:t>
      </w:r>
      <w:r>
        <w:rPr>
          <w:spacing w:val="22"/>
          <w:vertAlign w:val="baseline"/>
        </w:rPr>
        <w:t> </w:t>
      </w:r>
      <w:r>
        <w:rPr>
          <w:vertAlign w:val="baseline"/>
        </w:rPr>
        <w:t>seems</w:t>
      </w:r>
      <w:r>
        <w:rPr>
          <w:spacing w:val="22"/>
          <w:vertAlign w:val="baseline"/>
        </w:rPr>
        <w:t> </w:t>
      </w:r>
      <w:r>
        <w:rPr>
          <w:vertAlign w:val="baseline"/>
        </w:rPr>
        <w:t>to</w:t>
      </w:r>
      <w:r>
        <w:rPr>
          <w:spacing w:val="22"/>
          <w:vertAlign w:val="baseline"/>
        </w:rPr>
        <w:t> </w:t>
      </w:r>
      <w:r>
        <w:rPr>
          <w:vertAlign w:val="baseline"/>
        </w:rPr>
        <w:t>be</w:t>
      </w:r>
      <w:r>
        <w:rPr>
          <w:spacing w:val="22"/>
          <w:vertAlign w:val="baseline"/>
        </w:rPr>
        <w:t> </w:t>
      </w:r>
      <w:r>
        <w:rPr>
          <w:vertAlign w:val="baseline"/>
        </w:rPr>
        <w:t>that</w:t>
      </w:r>
      <w:r>
        <w:rPr>
          <w:spacing w:val="22"/>
          <w:vertAlign w:val="baseline"/>
        </w:rPr>
        <w:t> </w:t>
      </w:r>
      <w:r>
        <w:rPr>
          <w:vertAlign w:val="baseline"/>
        </w:rPr>
        <w:t>it</w:t>
      </w:r>
      <w:r>
        <w:rPr>
          <w:spacing w:val="22"/>
          <w:vertAlign w:val="baseline"/>
        </w:rPr>
        <w:t> </w:t>
      </w:r>
      <w:r>
        <w:rPr>
          <w:vertAlign w:val="baseline"/>
        </w:rPr>
        <w:t>cannot,</w:t>
      </w:r>
      <w:r>
        <w:rPr>
          <w:spacing w:val="22"/>
          <w:vertAlign w:val="baseline"/>
        </w:rPr>
        <w:t> </w:t>
      </w:r>
      <w:r>
        <w:rPr>
          <w:vertAlign w:val="baseline"/>
        </w:rPr>
        <w:t>any</w:t>
      </w:r>
      <w:r>
        <w:rPr>
          <w:spacing w:val="22"/>
          <w:vertAlign w:val="baseline"/>
        </w:rPr>
        <w:t> </w:t>
      </w:r>
      <w:r>
        <w:rPr>
          <w:spacing w:val="-4"/>
          <w:vertAlign w:val="baseline"/>
        </w:rPr>
        <w:t>more</w:t>
      </w:r>
    </w:p>
    <w:p>
      <w:pPr>
        <w:pStyle w:val="BodyText"/>
        <w:spacing w:before="116"/>
        <w:ind w:left="165"/>
        <w:jc w:val="both"/>
        <w:rPr>
          <w:position w:val="-2"/>
        </w:rPr>
      </w:pPr>
      <w:r>
        <w:rPr/>
        <w:t>than promissory estoppel or estoppel by representation, produce this effect. </w:t>
      </w:r>
      <w:r>
        <w:rPr>
          <w:color w:val="005DA1"/>
          <w:u w:val="single" w:color="005DA1"/>
          <w:vertAlign w:val="superscript"/>
        </w:rPr>
        <w:t>700</w:t>
      </w:r>
      <w:r>
        <w:rPr>
          <w:color w:val="005DA1"/>
          <w:spacing w:val="80"/>
          <w:w w:val="150"/>
          <w:vertAlign w:val="baseline"/>
        </w:rPr>
        <w:t> </w:t>
      </w:r>
      <w:r>
        <w:rPr>
          <w:color w:val="005DA1"/>
          <w:position w:val="-2"/>
          <w:vertAlign w:val="baseline"/>
        </w:rPr>
        <w:drawing>
          <wp:inline distT="0" distB="0" distL="0" distR="0">
            <wp:extent cx="107988" cy="107988"/>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Invalidity of assumed </w:t>
      </w:r>
      <w:r>
        <w:rPr>
          <w:rFonts w:ascii="Arial"/>
          <w:b/>
          <w:spacing w:val="-4"/>
          <w:sz w:val="18"/>
        </w:rPr>
        <w:t>term</w:t>
      </w:r>
    </w:p>
    <w:p>
      <w:pPr>
        <w:pStyle w:val="BodyText"/>
        <w:spacing w:before="41"/>
        <w:rPr>
          <w:rFonts w:ascii="Arial"/>
          <w:b/>
          <w:sz w:val="18"/>
        </w:rPr>
      </w:pPr>
    </w:p>
    <w:p>
      <w:pPr>
        <w:pStyle w:val="Heading2"/>
      </w:pPr>
      <w:r>
        <w:rPr/>
        <w:t>4-</w:t>
      </w:r>
      <w:r>
        <w:rPr>
          <w:spacing w:val="-5"/>
        </w:rPr>
        <w:t>115</w:t>
      </w:r>
    </w:p>
    <w:p>
      <w:pPr>
        <w:pStyle w:val="BodyText"/>
        <w:spacing w:line="235" w:lineRule="auto" w:before="203"/>
        <w:ind w:left="164" w:right="167"/>
        <w:jc w:val="both"/>
      </w:pPr>
      <w:bookmarkStart w:name="_bookmark1086" w:id="1088"/>
      <w:bookmarkEnd w:id="1088"/>
      <w:r>
        <w:rPr/>
      </w:r>
      <w:r>
        <w:rPr/>
        <w:t>A party is not liable on the basis of estoppel by convention where the alleged agreement would, if </w:t>
      </w:r>
      <w:bookmarkStart w:name="_bookmark1087" w:id="1089"/>
      <w:bookmarkEnd w:id="1089"/>
      <w:r>
        <w:rPr/>
        <w:t>concluded,</w:t>
      </w:r>
      <w:r>
        <w:rPr/>
        <w:t> have been ineffective for want of contractual intention, </w:t>
      </w:r>
      <w:r>
        <w:rPr>
          <w:color w:val="005DA1"/>
          <w:u w:val="single" w:color="005DA1"/>
          <w:vertAlign w:val="superscript"/>
        </w:rPr>
        <w:t>701</w:t>
      </w:r>
      <w:r>
        <w:rPr>
          <w:color w:val="005DA1"/>
          <w:vertAlign w:val="baseline"/>
        </w:rPr>
        <w:t> </w:t>
      </w:r>
      <w:r>
        <w:rPr>
          <w:vertAlign w:val="baseline"/>
        </w:rPr>
        <w:t>or on account of a formal defect </w:t>
      </w:r>
      <w:r>
        <w:rPr>
          <w:color w:val="005DA1"/>
          <w:u w:val="single" w:color="005DA1"/>
          <w:vertAlign w:val="superscript"/>
        </w:rPr>
        <w:t>702</w:t>
      </w:r>
      <w:r>
        <w:rPr>
          <w:color w:val="005DA1"/>
          <w:vertAlign w:val="baseline"/>
        </w:rPr>
        <w:t> </w:t>
      </w:r>
      <w:r>
        <w:rPr>
          <w:vertAlign w:val="baseline"/>
        </w:rPr>
        <w:t>(other than a minor one) </w:t>
      </w:r>
      <w:r>
        <w:rPr>
          <w:color w:val="005DA1"/>
          <w:u w:val="single" w:color="005DA1"/>
          <w:vertAlign w:val="superscript"/>
        </w:rPr>
        <w:t>703</w:t>
      </w:r>
      <w:r>
        <w:rPr>
          <w:color w:val="005DA1"/>
          <w:vertAlign w:val="baseline"/>
        </w:rPr>
        <w:t> </w:t>
      </w:r>
      <w:r>
        <w:rPr>
          <w:vertAlign w:val="baseline"/>
        </w:rPr>
        <w:t>or unenforceable for want of written evidence of it, </w:t>
      </w:r>
      <w:r>
        <w:rPr>
          <w:color w:val="005DA1"/>
          <w:u w:val="single" w:color="005DA1"/>
          <w:vertAlign w:val="superscript"/>
        </w:rPr>
        <w:t>704</w:t>
      </w:r>
      <w:r>
        <w:rPr>
          <w:color w:val="005DA1"/>
          <w:vertAlign w:val="baseline"/>
        </w:rPr>
        <w:t> </w:t>
      </w:r>
      <w:r>
        <w:rPr>
          <w:vertAlign w:val="baseline"/>
        </w:rPr>
        <w:t>or where the term in respect of which such an estoppel is alleged to operate would, if actually incorporated in </w:t>
      </w:r>
      <w:r>
        <w:rPr>
          <w:vertAlign w:val="baseline"/>
        </w:rPr>
        <w:t>the </w:t>
      </w:r>
      <w:bookmarkStart w:name="_bookmark1088" w:id="1090"/>
      <w:bookmarkEnd w:id="1090"/>
      <w:r>
        <w:rPr>
          <w:vertAlign w:val="baseline"/>
        </w:rPr>
        <w:t>contract,</w:t>
      </w:r>
      <w:r>
        <w:rPr>
          <w:vertAlign w:val="baseline"/>
        </w:rPr>
        <w:t> have been invalid (e.g. because it amounted to an attempt to deprive a tenant of statutory </w:t>
      </w:r>
      <w:bookmarkStart w:name="_bookmark1089" w:id="1091"/>
      <w:bookmarkEnd w:id="1091"/>
      <w:r>
        <w:rPr>
          <w:vertAlign w:val="baseline"/>
        </w:rPr>
        <w:t>security</w:t>
      </w:r>
      <w:r>
        <w:rPr>
          <w:vertAlign w:val="baseline"/>
        </w:rPr>
        <w:t> of tenure which could not be excluded </w:t>
      </w:r>
      <w:r>
        <w:rPr>
          <w:color w:val="005DA1"/>
          <w:u w:val="single" w:color="005DA1"/>
          <w:vertAlign w:val="superscript"/>
        </w:rPr>
        <w:t>705</w:t>
      </w:r>
      <w:r>
        <w:rPr>
          <w:color w:val="005DA1"/>
          <w:vertAlign w:val="baseline"/>
        </w:rPr>
        <w:t> </w:t>
      </w:r>
      <w:r>
        <w:rPr>
          <w:vertAlign w:val="baseline"/>
        </w:rPr>
        <w:t>by contract) </w:t>
      </w:r>
      <w:r>
        <w:rPr>
          <w:color w:val="005DA1"/>
          <w:u w:val="single" w:color="005DA1"/>
          <w:vertAlign w:val="superscript"/>
        </w:rPr>
        <w:t>706</w:t>
      </w:r>
      <w:r>
        <w:rPr>
          <w:vertAlign w:val="baseline"/>
        </w:rPr>
        <w:t>; nor does such an estoppel prevent </w:t>
      </w:r>
      <w:bookmarkStart w:name="_bookmark1090" w:id="1092"/>
      <w:bookmarkEnd w:id="1092"/>
      <w:r>
        <w:rPr>
          <w:vertAlign w:val="baseline"/>
        </w:rPr>
        <w:t>a</w:t>
      </w:r>
      <w:r>
        <w:rPr>
          <w:vertAlign w:val="baseline"/>
        </w:rPr>
        <w:t> party from relying on the true legal effect (as opposed to the meaning </w:t>
      </w:r>
      <w:r>
        <w:rPr>
          <w:color w:val="005DA1"/>
          <w:u w:val="single" w:color="005DA1"/>
          <w:vertAlign w:val="superscript"/>
        </w:rPr>
        <w:t>707</w:t>
      </w:r>
      <w:r>
        <w:rPr>
          <w:vertAlign w:val="baseline"/>
        </w:rPr>
        <w:t>) of an admitted contract merely because the parties have entered into it under a mistaken view as to that effect. </w:t>
      </w:r>
      <w:r>
        <w:rPr>
          <w:color w:val="005DA1"/>
          <w:u w:val="single" w:color="005DA1"/>
          <w:vertAlign w:val="superscript"/>
        </w:rPr>
        <w:t>708</w:t>
      </w:r>
    </w:p>
    <w:p>
      <w:pPr>
        <w:pStyle w:val="BodyText"/>
      </w:pPr>
    </w:p>
    <w:p>
      <w:pPr>
        <w:pStyle w:val="BodyText"/>
        <w:spacing w:before="35"/>
      </w:pPr>
    </w:p>
    <w:p>
      <w:pPr>
        <w:spacing w:before="1"/>
        <w:ind w:left="165" w:right="0" w:firstLine="0"/>
        <w:jc w:val="both"/>
        <w:rPr>
          <w:rFonts w:ascii="Arial" w:hAnsi="Arial"/>
          <w:b/>
          <w:sz w:val="18"/>
        </w:rPr>
      </w:pPr>
      <w:r>
        <w:rPr>
          <w:rFonts w:ascii="Arial" w:hAnsi="Arial"/>
          <w:b/>
          <w:sz w:val="18"/>
        </w:rPr>
        <w:t>“Contractual </w:t>
      </w:r>
      <w:r>
        <w:rPr>
          <w:rFonts w:ascii="Arial" w:hAnsi="Arial"/>
          <w:b/>
          <w:spacing w:val="-2"/>
          <w:sz w:val="18"/>
        </w:rPr>
        <w:t>estoppel”</w:t>
      </w:r>
    </w:p>
    <w:p>
      <w:pPr>
        <w:pStyle w:val="BodyText"/>
        <w:spacing w:before="41"/>
        <w:rPr>
          <w:rFonts w:ascii="Arial"/>
          <w:b/>
          <w:sz w:val="18"/>
        </w:rPr>
      </w:pPr>
    </w:p>
    <w:p>
      <w:pPr>
        <w:pStyle w:val="Heading2"/>
      </w:pPr>
      <w:r>
        <w:rPr/>
        <w:t>4-</w:t>
      </w:r>
      <w:r>
        <w:rPr>
          <w:spacing w:val="-5"/>
        </w:rPr>
        <w:t>116</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1"/>
        </w:rPr>
        <w:t> </w:t>
      </w:r>
      <w:r>
        <w:rPr/>
        <w:t>This form of “estoppel” is said to arise when contracting parties have, in their contract, agreed </w:t>
      </w:r>
      <w:r>
        <w:rPr/>
        <w:t>that</w:t>
      </w:r>
      <w:r>
        <w:rPr>
          <w:spacing w:val="40"/>
        </w:rPr>
        <w:t> </w:t>
      </w:r>
      <w:r>
        <w:rPr/>
        <w:t>a specified state of affairs is to form the basis on which they are contracting or is to be taken, for the purposes of the contract, to exist. The effect of such “contractual estoppel” is that it precludes a party </w:t>
      </w:r>
      <w:bookmarkStart w:name="_bookmark1091" w:id="1093"/>
      <w:bookmarkEnd w:id="1093"/>
      <w:r>
        <w:rPr/>
        <w:t>to</w:t>
      </w:r>
      <w:r>
        <w:rPr>
          <w:spacing w:val="7"/>
        </w:rPr>
        <w:t> </w:t>
      </w:r>
      <w:r>
        <w:rPr/>
        <w:t>the</w:t>
      </w:r>
      <w:r>
        <w:rPr>
          <w:spacing w:val="7"/>
        </w:rPr>
        <w:t> </w:t>
      </w:r>
      <w:r>
        <w:rPr/>
        <w:t>contract</w:t>
      </w:r>
      <w:r>
        <w:rPr>
          <w:spacing w:val="7"/>
        </w:rPr>
        <w:t> </w:t>
      </w:r>
      <w:r>
        <w:rPr/>
        <w:t>from</w:t>
      </w:r>
      <w:r>
        <w:rPr>
          <w:spacing w:val="7"/>
        </w:rPr>
        <w:t> </w:t>
      </w:r>
      <w:r>
        <w:rPr/>
        <w:t>alleging</w:t>
      </w:r>
      <w:r>
        <w:rPr>
          <w:spacing w:val="7"/>
        </w:rPr>
        <w:t> </w:t>
      </w:r>
      <w:r>
        <w:rPr/>
        <w:t>that</w:t>
      </w:r>
      <w:r>
        <w:rPr>
          <w:spacing w:val="7"/>
        </w:rPr>
        <w:t> </w:t>
      </w:r>
      <w:r>
        <w:rPr/>
        <w:t>the</w:t>
      </w:r>
      <w:r>
        <w:rPr>
          <w:spacing w:val="7"/>
        </w:rPr>
        <w:t> </w:t>
      </w:r>
      <w:r>
        <w:rPr/>
        <w:t>actual</w:t>
      </w:r>
      <w:r>
        <w:rPr>
          <w:spacing w:val="7"/>
        </w:rPr>
        <w:t> </w:t>
      </w:r>
      <w:r>
        <w:rPr/>
        <w:t>facts</w:t>
      </w:r>
      <w:r>
        <w:rPr>
          <w:spacing w:val="7"/>
        </w:rPr>
        <w:t> </w:t>
      </w:r>
      <w:r>
        <w:rPr/>
        <w:t>are</w:t>
      </w:r>
      <w:r>
        <w:rPr>
          <w:spacing w:val="7"/>
        </w:rPr>
        <w:t> </w:t>
      </w:r>
      <w:r>
        <w:rPr/>
        <w:t>inconsistent</w:t>
      </w:r>
      <w:r>
        <w:rPr>
          <w:spacing w:val="7"/>
        </w:rPr>
        <w:t> </w:t>
      </w:r>
      <w:r>
        <w:rPr/>
        <w:t>with</w:t>
      </w:r>
      <w:r>
        <w:rPr>
          <w:spacing w:val="7"/>
        </w:rPr>
        <w:t> </w:t>
      </w:r>
      <w:r>
        <w:rPr/>
        <w:t>the</w:t>
      </w:r>
      <w:r>
        <w:rPr>
          <w:spacing w:val="7"/>
        </w:rPr>
        <w:t> </w:t>
      </w:r>
      <w:r>
        <w:rPr/>
        <w:t>state</w:t>
      </w:r>
      <w:r>
        <w:rPr>
          <w:spacing w:val="7"/>
        </w:rPr>
        <w:t> </w:t>
      </w:r>
      <w:r>
        <w:rPr/>
        <w:t>of</w:t>
      </w:r>
      <w:r>
        <w:rPr>
          <w:spacing w:val="7"/>
        </w:rPr>
        <w:t> </w:t>
      </w:r>
      <w:r>
        <w:rPr/>
        <w:t>affairs</w:t>
      </w:r>
      <w:r>
        <w:rPr>
          <w:spacing w:val="7"/>
        </w:rPr>
        <w:t> </w:t>
      </w:r>
      <w:r>
        <w:rPr/>
        <w:t>so</w:t>
      </w:r>
      <w:r>
        <w:rPr>
          <w:spacing w:val="7"/>
        </w:rPr>
        <w:t> </w:t>
      </w:r>
      <w:r>
        <w:rPr>
          <w:spacing w:val="-2"/>
        </w:rPr>
        <w:t>specified</w:t>
      </w:r>
    </w:p>
    <w:p>
      <w:pPr>
        <w:pStyle w:val="BodyText"/>
        <w:spacing w:line="235" w:lineRule="auto" w:before="118"/>
        <w:ind w:left="165" w:right="167"/>
        <w:jc w:val="both"/>
      </w:pPr>
      <w:r>
        <w:rPr/>
        <w:t>in</w:t>
      </w:r>
      <w:r>
        <w:rPr>
          <w:spacing w:val="-1"/>
        </w:rPr>
        <w:t> </w:t>
      </w:r>
      <w:r>
        <w:rPr/>
        <w:t>the</w:t>
      </w:r>
      <w:r>
        <w:rPr>
          <w:spacing w:val="-2"/>
        </w:rPr>
        <w:t> </w:t>
      </w:r>
      <w:r>
        <w:rPr/>
        <w:t>contract.</w:t>
      </w:r>
      <w:r>
        <w:rPr>
          <w:spacing w:val="-1"/>
        </w:rPr>
        <w:t> </w:t>
      </w:r>
      <w:r>
        <w:rPr>
          <w:color w:val="005DA1"/>
          <w:u w:val="single" w:color="005DA1"/>
          <w:vertAlign w:val="superscript"/>
        </w:rPr>
        <w:t>709</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vertAlign w:val="baseline"/>
        </w:rPr>
        <w:t> </w:t>
      </w:r>
      <w:r>
        <w:rPr>
          <w:vertAlign w:val="baseline"/>
        </w:rPr>
        <w:t>Three</w:t>
      </w:r>
      <w:r>
        <w:rPr>
          <w:spacing w:val="-1"/>
          <w:vertAlign w:val="baseline"/>
        </w:rPr>
        <w:t> </w:t>
      </w:r>
      <w:r>
        <w:rPr>
          <w:vertAlign w:val="baseline"/>
        </w:rPr>
        <w:t>points</w:t>
      </w:r>
      <w:r>
        <w:rPr>
          <w:spacing w:val="-2"/>
          <w:vertAlign w:val="baseline"/>
        </w:rPr>
        <w:t> </w:t>
      </w:r>
      <w:r>
        <w:rPr>
          <w:vertAlign w:val="baseline"/>
        </w:rPr>
        <w:t>must</w:t>
      </w:r>
      <w:r>
        <w:rPr>
          <w:spacing w:val="-1"/>
          <w:vertAlign w:val="baseline"/>
        </w:rPr>
        <w:t> </w:t>
      </w:r>
      <w:r>
        <w:rPr>
          <w:vertAlign w:val="baseline"/>
        </w:rPr>
        <w:t>here</w:t>
      </w:r>
      <w:r>
        <w:rPr>
          <w:spacing w:val="-2"/>
          <w:vertAlign w:val="baseline"/>
        </w:rPr>
        <w:t> </w:t>
      </w:r>
      <w:r>
        <w:rPr>
          <w:vertAlign w:val="baseline"/>
        </w:rPr>
        <w:t>be</w:t>
      </w:r>
      <w:r>
        <w:rPr>
          <w:spacing w:val="-1"/>
          <w:vertAlign w:val="baseline"/>
        </w:rPr>
        <w:t> </w:t>
      </w:r>
      <w:r>
        <w:rPr>
          <w:vertAlign w:val="baseline"/>
        </w:rPr>
        <w:t>made</w:t>
      </w:r>
      <w:r>
        <w:rPr>
          <w:spacing w:val="-2"/>
          <w:vertAlign w:val="baseline"/>
        </w:rPr>
        <w:t> </w:t>
      </w:r>
      <w:r>
        <w:rPr>
          <w:vertAlign w:val="baseline"/>
        </w:rPr>
        <w:t>about</w:t>
      </w:r>
      <w:r>
        <w:rPr>
          <w:spacing w:val="-1"/>
          <w:vertAlign w:val="baseline"/>
        </w:rPr>
        <w:t> </w:t>
      </w:r>
      <w:r>
        <w:rPr>
          <w:vertAlign w:val="baseline"/>
        </w:rPr>
        <w:t>this</w:t>
      </w:r>
      <w:r>
        <w:rPr>
          <w:spacing w:val="-2"/>
          <w:vertAlign w:val="baseline"/>
        </w:rPr>
        <w:t> </w:t>
      </w:r>
      <w:r>
        <w:rPr>
          <w:vertAlign w:val="baseline"/>
        </w:rPr>
        <w:t>concept.</w:t>
      </w:r>
      <w:r>
        <w:rPr>
          <w:spacing w:val="-1"/>
          <w:vertAlign w:val="baseline"/>
        </w:rPr>
        <w:t> </w:t>
      </w:r>
      <w:r>
        <w:rPr>
          <w:vertAlign w:val="baseline"/>
        </w:rPr>
        <w:t>The</w:t>
      </w:r>
      <w:r>
        <w:rPr>
          <w:spacing w:val="-2"/>
          <w:vertAlign w:val="baseline"/>
        </w:rPr>
        <w:t> </w:t>
      </w:r>
      <w:r>
        <w:rPr>
          <w:vertAlign w:val="baseline"/>
        </w:rPr>
        <w:t>first</w:t>
      </w:r>
      <w:r>
        <w:rPr>
          <w:spacing w:val="-1"/>
          <w:vertAlign w:val="baseline"/>
        </w:rPr>
        <w:t> </w:t>
      </w:r>
      <w:r>
        <w:rPr>
          <w:vertAlign w:val="baseline"/>
        </w:rPr>
        <w:t>is</w:t>
      </w:r>
      <w:r>
        <w:rPr>
          <w:spacing w:val="-2"/>
          <w:vertAlign w:val="baseline"/>
        </w:rPr>
        <w:t> </w:t>
      </w:r>
      <w:r>
        <w:rPr>
          <w:vertAlign w:val="baseline"/>
        </w:rPr>
        <w:t>that</w:t>
      </w:r>
      <w:r>
        <w:rPr>
          <w:spacing w:val="-1"/>
          <w:vertAlign w:val="baseline"/>
        </w:rPr>
        <w:t> </w:t>
      </w:r>
      <w:r>
        <w:rPr>
          <w:vertAlign w:val="baseline"/>
        </w:rPr>
        <w:t>the</w:t>
      </w:r>
      <w:r>
        <w:rPr>
          <w:spacing w:val="-2"/>
          <w:vertAlign w:val="baseline"/>
        </w:rPr>
        <w:t> </w:t>
      </w:r>
      <w:r>
        <w:rPr>
          <w:vertAlign w:val="baseline"/>
        </w:rPr>
        <w:t>answer to the question whether the contract term alleged to be of the kind described above in fact has </w:t>
      </w:r>
      <w:r>
        <w:rPr>
          <w:vertAlign w:val="baseline"/>
        </w:rPr>
        <w:t>this effect</w:t>
      </w:r>
      <w:r>
        <w:rPr>
          <w:spacing w:val="18"/>
          <w:vertAlign w:val="baseline"/>
        </w:rPr>
        <w:t> </w:t>
      </w:r>
      <w:r>
        <w:rPr>
          <w:vertAlign w:val="baseline"/>
        </w:rPr>
        <w:t>turns</w:t>
      </w:r>
      <w:r>
        <w:rPr>
          <w:spacing w:val="18"/>
          <w:vertAlign w:val="baseline"/>
        </w:rPr>
        <w:t> </w:t>
      </w:r>
      <w:r>
        <w:rPr>
          <w:vertAlign w:val="baseline"/>
        </w:rPr>
        <w:t>on</w:t>
      </w:r>
      <w:r>
        <w:rPr>
          <w:spacing w:val="18"/>
          <w:vertAlign w:val="baseline"/>
        </w:rPr>
        <w:t> </w:t>
      </w:r>
      <w:r>
        <w:rPr>
          <w:vertAlign w:val="baseline"/>
        </w:rPr>
        <w:t>the</w:t>
      </w:r>
      <w:r>
        <w:rPr>
          <w:spacing w:val="18"/>
          <w:vertAlign w:val="baseline"/>
        </w:rPr>
        <w:t> </w:t>
      </w:r>
      <w:r>
        <w:rPr>
          <w:vertAlign w:val="baseline"/>
        </w:rPr>
        <w:t>construction</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contract;</w:t>
      </w:r>
      <w:r>
        <w:rPr>
          <w:spacing w:val="18"/>
          <w:vertAlign w:val="baseline"/>
        </w:rPr>
        <w:t> </w:t>
      </w:r>
      <w:r>
        <w:rPr>
          <w:vertAlign w:val="baseline"/>
        </w:rPr>
        <w:t>and</w:t>
      </w:r>
      <w:r>
        <w:rPr>
          <w:spacing w:val="18"/>
          <w:vertAlign w:val="baseline"/>
        </w:rPr>
        <w:t> </w:t>
      </w:r>
      <w:r>
        <w:rPr>
          <w:vertAlign w:val="baseline"/>
        </w:rPr>
        <w:t>once</w:t>
      </w:r>
      <w:r>
        <w:rPr>
          <w:spacing w:val="18"/>
          <w:vertAlign w:val="baseline"/>
        </w:rPr>
        <w:t> </w:t>
      </w:r>
      <w:r>
        <w:rPr>
          <w:vertAlign w:val="baseline"/>
        </w:rPr>
        <w:t>the</w:t>
      </w:r>
      <w:r>
        <w:rPr>
          <w:spacing w:val="18"/>
          <w:vertAlign w:val="baseline"/>
        </w:rPr>
        <w:t> </w:t>
      </w:r>
      <w:r>
        <w:rPr>
          <w:vertAlign w:val="baseline"/>
        </w:rPr>
        <w:t>court</w:t>
      </w:r>
      <w:r>
        <w:rPr>
          <w:spacing w:val="18"/>
          <w:vertAlign w:val="baseline"/>
        </w:rPr>
        <w:t> </w:t>
      </w:r>
      <w:r>
        <w:rPr>
          <w:vertAlign w:val="baseline"/>
        </w:rPr>
        <w:t>has</w:t>
      </w:r>
      <w:r>
        <w:rPr>
          <w:spacing w:val="18"/>
          <w:vertAlign w:val="baseline"/>
        </w:rPr>
        <w:t> </w:t>
      </w:r>
      <w:r>
        <w:rPr>
          <w:vertAlign w:val="baseline"/>
        </w:rPr>
        <w:t>decided</w:t>
      </w:r>
      <w:r>
        <w:rPr>
          <w:spacing w:val="18"/>
          <w:vertAlign w:val="baseline"/>
        </w:rPr>
        <w:t> </w:t>
      </w:r>
      <w:r>
        <w:rPr>
          <w:vertAlign w:val="baseline"/>
        </w:rPr>
        <w:t>that,</w:t>
      </w:r>
      <w:r>
        <w:rPr>
          <w:spacing w:val="18"/>
          <w:vertAlign w:val="baseline"/>
        </w:rPr>
        <w:t> </w:t>
      </w:r>
      <w:r>
        <w:rPr>
          <w:vertAlign w:val="baseline"/>
        </w:rPr>
        <w:t>as</w:t>
      </w:r>
      <w:r>
        <w:rPr>
          <w:spacing w:val="18"/>
          <w:vertAlign w:val="baseline"/>
        </w:rPr>
        <w:t> </w:t>
      </w:r>
      <w:r>
        <w:rPr>
          <w:vertAlign w:val="baseline"/>
        </w:rPr>
        <w:t>a</w:t>
      </w:r>
      <w:r>
        <w:rPr>
          <w:spacing w:val="18"/>
          <w:vertAlign w:val="baseline"/>
        </w:rPr>
        <w:t> </w:t>
      </w:r>
      <w:r>
        <w:rPr>
          <w:vertAlign w:val="baseline"/>
        </w:rPr>
        <w:t>matter</w:t>
      </w:r>
      <w:r>
        <w:rPr>
          <w:spacing w:val="18"/>
          <w:vertAlign w:val="baseline"/>
        </w:rPr>
        <w:t> </w:t>
      </w:r>
      <w:r>
        <w:rPr>
          <w:spacing w:val="-7"/>
          <w:vertAlign w:val="baseline"/>
        </w:rPr>
        <w:t>of</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r>
        <w:rPr/>
        <w:t>construction that term is held to preclude one of the parties from denying the existence of a specified </w:t>
      </w:r>
      <w:bookmarkStart w:name="_bookmark1092" w:id="1094"/>
      <w:bookmarkEnd w:id="1094"/>
      <w:r>
        <w:rPr/>
        <w:t>state</w:t>
      </w:r>
      <w:r>
        <w:rPr/>
        <w:t> of facts, then nothing of substance is gained by classifying this conclusion under the rubric of “contractual estoppel.” </w:t>
      </w:r>
      <w:r>
        <w:rPr>
          <w:color w:val="005DA1"/>
          <w:u w:val="single" w:color="005DA1"/>
          <w:vertAlign w:val="superscript"/>
        </w:rPr>
        <w:t>710</w:t>
      </w:r>
      <w:r>
        <w:rPr>
          <w:color w:val="005DA1"/>
          <w:vertAlign w:val="baseline"/>
        </w:rPr>
        <w:t> </w:t>
      </w:r>
      <w:r>
        <w:rPr>
          <w:vertAlign w:val="baseline"/>
        </w:rPr>
        <w:t>The second is that, even if that phrase is used, such an “estoppel” </w:t>
      </w:r>
      <w:r>
        <w:rPr>
          <w:vertAlign w:val="baseline"/>
        </w:rPr>
        <w:t>would differ from estoppels by convention in that “contractual estoppel” gives effect to a term of a contract </w:t>
      </w:r>
      <w:bookmarkStart w:name="_bookmark1093" w:id="1095"/>
      <w:bookmarkEnd w:id="1095"/>
      <w:r>
        <w:rPr>
          <w:vertAlign w:val="baseline"/>
        </w:rPr>
        <w:t>which,</w:t>
      </w:r>
      <w:r>
        <w:rPr>
          <w:vertAlign w:val="baseline"/>
        </w:rPr>
        <w:t> on its true construction, prevents a party from denying facts specified in that term and in the circumstances (if any) specified in it </w:t>
      </w:r>
      <w:r>
        <w:rPr>
          <w:color w:val="005DA1"/>
          <w:u w:val="single" w:color="005DA1"/>
          <w:vertAlign w:val="superscript"/>
        </w:rPr>
        <w:t>711</w:t>
      </w:r>
      <w:r>
        <w:rPr>
          <w:vertAlign w:val="baseline"/>
        </w:rPr>
        <w:t>; while estoppels by convention invoke factors extrinsic to the </w:t>
      </w:r>
      <w:bookmarkStart w:name="_bookmark1094" w:id="1096"/>
      <w:bookmarkEnd w:id="1096"/>
      <w:r>
        <w:rPr>
          <w:vertAlign w:val="baseline"/>
        </w:rPr>
        <w:t>contract</w:t>
      </w:r>
      <w:r>
        <w:rPr>
          <w:vertAlign w:val="baseline"/>
        </w:rPr>
        <w:t> as grounds for precluding the estopped party from denying facts such as the existence of a </w:t>
      </w:r>
      <w:bookmarkStart w:name="_bookmark1095" w:id="1097"/>
      <w:bookmarkEnd w:id="1097"/>
      <w:r>
        <w:rPr>
          <w:vertAlign w:val="baseline"/>
        </w:rPr>
        <w:t>promise</w:t>
      </w:r>
      <w:r>
        <w:rPr>
          <w:vertAlign w:val="baseline"/>
        </w:rPr>
        <w:t> </w:t>
      </w:r>
      <w:r>
        <w:rPr>
          <w:rFonts w:ascii="Arial" w:hAnsi="Arial"/>
          <w:i/>
          <w:vertAlign w:val="baseline"/>
        </w:rPr>
        <w:t>not </w:t>
      </w:r>
      <w:r>
        <w:rPr>
          <w:vertAlign w:val="baseline"/>
        </w:rPr>
        <w:t>included in the contract on its true construction </w:t>
      </w:r>
      <w:r>
        <w:rPr>
          <w:color w:val="005DA1"/>
          <w:u w:val="single" w:color="005DA1"/>
          <w:vertAlign w:val="superscript"/>
        </w:rPr>
        <w:t>712</w:t>
      </w:r>
      <w:r>
        <w:rPr>
          <w:color w:val="005DA1"/>
          <w:vertAlign w:val="baseline"/>
        </w:rPr>
        <w:t> </w:t>
      </w:r>
      <w:r>
        <w:rPr>
          <w:vertAlign w:val="baseline"/>
        </w:rPr>
        <w:t>and of holding him bound by that promise (if the circumstances specified in para.4-108 above</w:t>
      </w:r>
      <w:r>
        <w:rPr>
          <w:spacing w:val="-1"/>
          <w:vertAlign w:val="baseline"/>
        </w:rPr>
        <w:t> </w:t>
      </w:r>
      <w:r>
        <w:rPr>
          <w:color w:val="005DA1"/>
          <w:u w:val="single" w:color="005DA1"/>
          <w:vertAlign w:val="superscript"/>
        </w:rPr>
        <w:t>713</w:t>
      </w:r>
      <w:r>
        <w:rPr>
          <w:color w:val="005DA1"/>
          <w:vertAlign w:val="baseline"/>
        </w:rPr>
        <w:t> </w:t>
      </w:r>
      <w:r>
        <w:rPr>
          <w:vertAlign w:val="baseline"/>
        </w:rPr>
        <w:t>are satisfied) to the extent specified in paras 4-112 to 4-115 above. The third is that “contractual estoppel” does not give rise to any of the problems of consideration which are our concern in this chapter: the term alleged to give rise to such an estoppels derives its binding force from the fact of being part of a legally binding contract, it being simply assumed that the requirement of consideration is satisfied in relation to the promises constituting that contract. For all these reasons, no further discussion of “contractual estoppel” is called for in this Chapter.</w:t>
      </w:r>
    </w:p>
    <w:p>
      <w:pPr>
        <w:pStyle w:val="BodyText"/>
      </w:pPr>
    </w:p>
    <w:p>
      <w:pPr>
        <w:pStyle w:val="BodyText"/>
        <w:spacing w:before="34"/>
      </w:pPr>
      <w:r>
        <w:rPr/>
        <mc:AlternateContent>
          <mc:Choice Requires="wps">
            <w:drawing>
              <wp:anchor distT="0" distB="0" distL="0" distR="0" allowOverlap="1" layoutInCell="1" locked="0" behindDoc="1" simplePos="0" relativeHeight="487628288">
                <wp:simplePos x="0" y="0"/>
                <wp:positionH relativeFrom="page">
                  <wp:posOffset>914400</wp:posOffset>
                </wp:positionH>
                <wp:positionV relativeFrom="paragraph">
                  <wp:posOffset>182968</wp:posOffset>
                </wp:positionV>
                <wp:extent cx="5724525" cy="1270"/>
                <wp:effectExtent l="0" t="0" r="0" b="0"/>
                <wp:wrapTopAndBottom/>
                <wp:docPr id="191" name="Graphic 191"/>
                <wp:cNvGraphicFramePr>
                  <a:graphicFrameLocks/>
                </wp:cNvGraphicFramePr>
                <a:graphic>
                  <a:graphicData uri="http://schemas.microsoft.com/office/word/2010/wordprocessingShape">
                    <wps:wsp>
                      <wps:cNvPr id="191" name="Graphic 19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06996pt;width:450.75pt;height:.1pt;mso-position-horizontal-relative:page;mso-position-vertical-relative:paragraph;z-index:-15688192;mso-wrap-distance-left:0;mso-wrap-distance-right:0" id="docshape60" coordorigin="1440,288" coordsize="9015,0" path="m1440,288l10454,288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195456">
                <wp:simplePos x="0" y="0"/>
                <wp:positionH relativeFrom="page">
                  <wp:posOffset>914400</wp:posOffset>
                </wp:positionH>
                <wp:positionV relativeFrom="paragraph">
                  <wp:posOffset>97116</wp:posOffset>
                </wp:positionV>
                <wp:extent cx="4953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21024"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before="5"/>
      </w:pPr>
    </w:p>
    <w:p>
      <w:pPr>
        <w:tabs>
          <w:tab w:pos="705" w:val="left" w:leader="none"/>
        </w:tabs>
        <w:spacing w:before="0"/>
        <w:ind w:left="165" w:right="0" w:firstLine="0"/>
        <w:jc w:val="left"/>
        <w:rPr>
          <w:sz w:val="20"/>
        </w:rPr>
      </w:pPr>
      <w:bookmarkStart w:name="_bookmark1096" w:id="1098"/>
      <w:bookmarkEnd w:id="1098"/>
      <w:r>
        <w:rPr/>
      </w:r>
      <w:hyperlink w:history="true" w:anchor="_bookmark871">
        <w:r>
          <w:rPr>
            <w:color w:val="005DA1"/>
            <w:spacing w:val="-4"/>
            <w:position w:val="5"/>
            <w:sz w:val="14"/>
            <w:u w:val="single" w:color="005DA1"/>
          </w:rPr>
          <w:t>460</w:t>
        </w:r>
      </w:hyperlink>
      <w:r>
        <w:rPr>
          <w:spacing w:val="-4"/>
          <w:position w:val="5"/>
          <w:sz w:val="14"/>
        </w:rPr>
        <w:t>.</w:t>
      </w:r>
      <w:r>
        <w:rPr>
          <w:position w:val="5"/>
          <w:sz w:val="14"/>
        </w:rPr>
        <w:tab/>
      </w:r>
      <w:r>
        <w:rPr>
          <w:rFonts w:ascii="Arial"/>
          <w:i/>
          <w:sz w:val="20"/>
        </w:rPr>
        <w:t>(1877)</w:t>
      </w:r>
      <w:r>
        <w:rPr>
          <w:rFonts w:ascii="Arial"/>
          <w:i/>
          <w:spacing w:val="-2"/>
          <w:sz w:val="20"/>
        </w:rPr>
        <w:t> </w:t>
      </w:r>
      <w:r>
        <w:rPr>
          <w:rFonts w:ascii="Arial"/>
          <w:i/>
          <w:sz w:val="20"/>
        </w:rPr>
        <w:t>2 App. Cas. </w:t>
      </w:r>
      <w:r>
        <w:rPr>
          <w:rFonts w:ascii="Arial"/>
          <w:i/>
          <w:spacing w:val="-4"/>
          <w:sz w:val="20"/>
        </w:rPr>
        <w:t>439</w:t>
      </w:r>
      <w:r>
        <w:rPr>
          <w:spacing w:val="-4"/>
          <w:sz w:val="20"/>
        </w:rPr>
        <w:t>.</w:t>
      </w:r>
    </w:p>
    <w:p>
      <w:pPr>
        <w:pStyle w:val="BodyText"/>
        <w:spacing w:before="9"/>
      </w:pPr>
    </w:p>
    <w:p>
      <w:pPr>
        <w:pStyle w:val="BodyText"/>
        <w:spacing w:line="235" w:lineRule="auto"/>
        <w:ind w:left="705" w:right="167" w:hanging="541"/>
        <w:jc w:val="both"/>
      </w:pPr>
      <w:bookmarkStart w:name="_bookmark1097" w:id="1099"/>
      <w:bookmarkEnd w:id="1099"/>
      <w:r>
        <w:rPr/>
      </w:r>
      <w:hyperlink w:history="true" w:anchor="_bookmark872">
        <w:r>
          <w:rPr>
            <w:color w:val="005DA1"/>
            <w:position w:val="5"/>
            <w:sz w:val="14"/>
            <w:u w:val="single" w:color="005DA1"/>
          </w:rPr>
          <w:t>461</w:t>
        </w:r>
      </w:hyperlink>
      <w:r>
        <w:rPr>
          <w:position w:val="5"/>
          <w:sz w:val="14"/>
        </w:rPr>
        <w:t>.</w:t>
      </w:r>
      <w:r>
        <w:rPr>
          <w:spacing w:val="80"/>
          <w:position w:val="5"/>
          <w:sz w:val="14"/>
        </w:rPr>
        <w:t>  </w:t>
      </w:r>
      <w:r>
        <w:rPr/>
        <w:t>ibid., at 448; cf. </w:t>
      </w:r>
      <w:r>
        <w:rPr>
          <w:rFonts w:ascii="Arial"/>
          <w:i/>
        </w:rPr>
        <w:t>Smith v Lawson (1998) 75 P. &amp; C.R. 466</w:t>
      </w:r>
      <w:r>
        <w:rPr/>
        <w:t>: landlord who had told tenant that he would</w:t>
      </w:r>
      <w:r>
        <w:rPr>
          <w:spacing w:val="-1"/>
        </w:rPr>
        <w:t> </w:t>
      </w:r>
      <w:r>
        <w:rPr/>
        <w:t>not</w:t>
      </w:r>
      <w:r>
        <w:rPr>
          <w:spacing w:val="-1"/>
        </w:rPr>
        <w:t> </w:t>
      </w:r>
      <w:r>
        <w:rPr/>
        <w:t>ask</w:t>
      </w:r>
      <w:r>
        <w:rPr>
          <w:spacing w:val="-1"/>
        </w:rPr>
        <w:t> </w:t>
      </w:r>
      <w:r>
        <w:rPr/>
        <w:t>her</w:t>
      </w:r>
      <w:r>
        <w:rPr>
          <w:spacing w:val="-1"/>
        </w:rPr>
        <w:t> </w:t>
      </w:r>
      <w:r>
        <w:rPr/>
        <w:t>to</w:t>
      </w:r>
      <w:r>
        <w:rPr>
          <w:spacing w:val="-1"/>
        </w:rPr>
        <w:t> </w:t>
      </w:r>
      <w:r>
        <w:rPr/>
        <w:t>continue</w:t>
      </w:r>
      <w:r>
        <w:rPr>
          <w:spacing w:val="-1"/>
        </w:rPr>
        <w:t> </w:t>
      </w:r>
      <w:r>
        <w:rPr/>
        <w:t>to</w:t>
      </w:r>
      <w:r>
        <w:rPr>
          <w:spacing w:val="-1"/>
        </w:rPr>
        <w:t> </w:t>
      </w:r>
      <w:r>
        <w:rPr/>
        <w:t>pay</w:t>
      </w:r>
      <w:r>
        <w:rPr>
          <w:spacing w:val="-1"/>
        </w:rPr>
        <w:t> </w:t>
      </w:r>
      <w:r>
        <w:rPr/>
        <w:t>rent</w:t>
      </w:r>
      <w:r>
        <w:rPr>
          <w:spacing w:val="-1"/>
        </w:rPr>
        <w:t> </w:t>
      </w:r>
      <w:r>
        <w:rPr/>
        <w:t>could</w:t>
      </w:r>
      <w:r>
        <w:rPr>
          <w:spacing w:val="-1"/>
        </w:rPr>
        <w:t> </w:t>
      </w:r>
      <w:r>
        <w:rPr/>
        <w:t>not</w:t>
      </w:r>
      <w:r>
        <w:rPr>
          <w:spacing w:val="-1"/>
        </w:rPr>
        <w:t> </w:t>
      </w:r>
      <w:r>
        <w:rPr/>
        <w:t>have</w:t>
      </w:r>
      <w:r>
        <w:rPr>
          <w:spacing w:val="-1"/>
        </w:rPr>
        <w:t> </w:t>
      </w:r>
      <w:r>
        <w:rPr/>
        <w:t>recovered</w:t>
      </w:r>
      <w:r>
        <w:rPr>
          <w:spacing w:val="-1"/>
        </w:rPr>
        <w:t> </w:t>
      </w:r>
      <w:r>
        <w:rPr/>
        <w:t>possession</w:t>
      </w:r>
      <w:r>
        <w:rPr>
          <w:spacing w:val="-1"/>
        </w:rPr>
        <w:t> </w:t>
      </w:r>
      <w:r>
        <w:rPr/>
        <w:t>for</w:t>
      </w:r>
      <w:r>
        <w:rPr>
          <w:spacing w:val="-1"/>
        </w:rPr>
        <w:t> </w:t>
      </w:r>
      <w:r>
        <w:rPr/>
        <w:t>failure</w:t>
      </w:r>
      <w:r>
        <w:rPr>
          <w:spacing w:val="-1"/>
        </w:rPr>
        <w:t> </w:t>
      </w:r>
      <w:r>
        <w:rPr/>
        <w:t>to</w:t>
      </w:r>
      <w:r>
        <w:rPr>
          <w:spacing w:val="-1"/>
        </w:rPr>
        <w:t> </w:t>
      </w:r>
      <w:r>
        <w:rPr/>
        <w:t>pay the rent when due. See further para.4-103, below.</w:t>
      </w:r>
    </w:p>
    <w:p>
      <w:pPr>
        <w:pStyle w:val="BodyText"/>
        <w:spacing w:before="9"/>
      </w:pPr>
    </w:p>
    <w:p>
      <w:pPr>
        <w:spacing w:line="235" w:lineRule="auto" w:before="0"/>
        <w:ind w:left="705" w:right="167" w:hanging="541"/>
        <w:jc w:val="both"/>
        <w:rPr>
          <w:sz w:val="20"/>
        </w:rPr>
      </w:pPr>
      <w:bookmarkStart w:name="_bookmark1098" w:id="1100"/>
      <w:bookmarkEnd w:id="1100"/>
      <w:r>
        <w:rPr/>
      </w:r>
      <w:hyperlink w:history="true" w:anchor="_bookmark873">
        <w:r>
          <w:rPr>
            <w:color w:val="005DA1"/>
            <w:position w:val="5"/>
            <w:sz w:val="14"/>
            <w:u w:val="single" w:color="005DA1"/>
          </w:rPr>
          <w:t>462</w:t>
        </w:r>
      </w:hyperlink>
      <w:r>
        <w:rPr>
          <w:position w:val="5"/>
          <w:sz w:val="14"/>
        </w:rPr>
        <w:t>.</w:t>
      </w:r>
      <w:r>
        <w:rPr>
          <w:spacing w:val="40"/>
          <w:position w:val="5"/>
          <w:sz w:val="14"/>
        </w:rPr>
        <w:t>  </w:t>
      </w:r>
      <w:r>
        <w:rPr>
          <w:sz w:val="20"/>
        </w:rPr>
        <w:t>e.g.</w:t>
      </w:r>
      <w:r>
        <w:rPr>
          <w:spacing w:val="-2"/>
          <w:sz w:val="20"/>
        </w:rPr>
        <w:t> </w:t>
      </w:r>
      <w:r>
        <w:rPr>
          <w:rFonts w:ascii="Arial" w:hAnsi="Arial"/>
          <w:i/>
          <w:sz w:val="20"/>
        </w:rPr>
        <w:t>Charles</w:t>
      </w:r>
      <w:r>
        <w:rPr>
          <w:rFonts w:ascii="Arial" w:hAnsi="Arial"/>
          <w:i/>
          <w:spacing w:val="-2"/>
          <w:sz w:val="20"/>
        </w:rPr>
        <w:t> </w:t>
      </w:r>
      <w:r>
        <w:rPr>
          <w:rFonts w:ascii="Arial" w:hAnsi="Arial"/>
          <w:i/>
          <w:sz w:val="20"/>
        </w:rPr>
        <w:t>Rickards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Oppenhaim</w:t>
      </w:r>
      <w:r>
        <w:rPr>
          <w:rFonts w:ascii="Arial" w:hAnsi="Arial"/>
          <w:i/>
          <w:spacing w:val="-2"/>
          <w:sz w:val="20"/>
        </w:rPr>
        <w:t> </w:t>
      </w:r>
      <w:r>
        <w:rPr>
          <w:rFonts w:ascii="Arial" w:hAnsi="Arial"/>
          <w:i/>
          <w:sz w:val="20"/>
        </w:rPr>
        <w:t>[1950]</w:t>
      </w:r>
      <w:r>
        <w:rPr>
          <w:rFonts w:ascii="Arial" w:hAnsi="Arial"/>
          <w:i/>
          <w:spacing w:val="-2"/>
          <w:sz w:val="20"/>
        </w:rPr>
        <w:t> </w:t>
      </w:r>
      <w:r>
        <w:rPr>
          <w:rFonts w:ascii="Arial" w:hAnsi="Arial"/>
          <w:i/>
          <w:sz w:val="20"/>
        </w:rPr>
        <w:t>K.B.</w:t>
      </w:r>
      <w:r>
        <w:rPr>
          <w:rFonts w:ascii="Arial" w:hAnsi="Arial"/>
          <w:i/>
          <w:spacing w:val="-2"/>
          <w:sz w:val="20"/>
        </w:rPr>
        <w:t> </w:t>
      </w:r>
      <w:r>
        <w:rPr>
          <w:rFonts w:ascii="Arial" w:hAnsi="Arial"/>
          <w:i/>
          <w:sz w:val="20"/>
        </w:rPr>
        <w:t>616</w:t>
      </w:r>
      <w:r>
        <w:rPr>
          <w:rFonts w:ascii="Arial" w:hAnsi="Arial"/>
          <w:i/>
          <w:spacing w:val="-3"/>
          <w:sz w:val="20"/>
        </w:rPr>
        <w:t> </w:t>
      </w:r>
      <w:r>
        <w:rPr>
          <w:sz w:val="20"/>
        </w:rPr>
        <w:t>(where</w:t>
      </w:r>
      <w:r>
        <w:rPr>
          <w:spacing w:val="-2"/>
          <w:sz w:val="20"/>
        </w:rPr>
        <w:t> </w:t>
      </w:r>
      <w:r>
        <w:rPr>
          <w:sz w:val="20"/>
        </w:rPr>
        <w:t>both</w:t>
      </w:r>
      <w:r>
        <w:rPr>
          <w:spacing w:val="-2"/>
          <w:sz w:val="20"/>
        </w:rPr>
        <w:t> </w:t>
      </w:r>
      <w:r>
        <w:rPr>
          <w:sz w:val="20"/>
        </w:rPr>
        <w:t>common</w:t>
      </w:r>
      <w:r>
        <w:rPr>
          <w:spacing w:val="-2"/>
          <w:sz w:val="20"/>
        </w:rPr>
        <w:t> </w:t>
      </w:r>
      <w:r>
        <w:rPr>
          <w:sz w:val="20"/>
        </w:rPr>
        <w:t>law</w:t>
      </w:r>
      <w:r>
        <w:rPr>
          <w:spacing w:val="-2"/>
          <w:sz w:val="20"/>
        </w:rPr>
        <w:t> </w:t>
      </w:r>
      <w:r>
        <w:rPr>
          <w:sz w:val="20"/>
        </w:rPr>
        <w:t>and</w:t>
      </w:r>
      <w:r>
        <w:rPr>
          <w:spacing w:val="-2"/>
          <w:sz w:val="20"/>
        </w:rPr>
        <w:t> </w:t>
      </w:r>
      <w:r>
        <w:rPr>
          <w:sz w:val="20"/>
        </w:rPr>
        <w:t>equitable principles were applied). The principle in </w:t>
      </w:r>
      <w:r>
        <w:rPr>
          <w:rFonts w:ascii="Arial" w:hAnsi="Arial"/>
          <w:i/>
          <w:sz w:val="20"/>
        </w:rPr>
        <w:t>Hughes v Metropolitan Ry </w:t>
      </w:r>
      <w:r>
        <w:rPr>
          <w:sz w:val="20"/>
        </w:rPr>
        <w:t>was said in </w:t>
      </w:r>
      <w:r>
        <w:rPr>
          <w:rFonts w:ascii="Arial" w:hAnsi="Arial"/>
          <w:i/>
          <w:sz w:val="20"/>
        </w:rPr>
        <w:t>Brikom Investments Ltd v Carr [1979] Q.B. 467, 489 </w:t>
      </w:r>
      <w:r>
        <w:rPr>
          <w:sz w:val="20"/>
        </w:rPr>
        <w:t>to be “an illustration of contractual variation of</w:t>
      </w:r>
      <w:r>
        <w:rPr>
          <w:spacing w:val="40"/>
          <w:sz w:val="20"/>
        </w:rPr>
        <w:t> </w:t>
      </w:r>
      <w:r>
        <w:rPr>
          <w:sz w:val="20"/>
        </w:rPr>
        <w:t>strict contractual rights” (italics supplied). This description was apt on the facts of that case, where</w:t>
      </w:r>
      <w:r>
        <w:rPr>
          <w:spacing w:val="40"/>
          <w:sz w:val="20"/>
        </w:rPr>
        <w:t> </w:t>
      </w:r>
      <w:r>
        <w:rPr>
          <w:sz w:val="20"/>
        </w:rPr>
        <w:t>the</w:t>
      </w:r>
      <w:r>
        <w:rPr>
          <w:spacing w:val="40"/>
          <w:sz w:val="20"/>
        </w:rPr>
        <w:t> </w:t>
      </w:r>
      <w:r>
        <w:rPr>
          <w:sz w:val="20"/>
        </w:rPr>
        <w:t>promise</w:t>
      </w:r>
      <w:r>
        <w:rPr>
          <w:spacing w:val="40"/>
          <w:sz w:val="20"/>
        </w:rPr>
        <w:t> </w:t>
      </w:r>
      <w:r>
        <w:rPr>
          <w:sz w:val="20"/>
        </w:rPr>
        <w:t>not</w:t>
      </w:r>
      <w:r>
        <w:rPr>
          <w:spacing w:val="40"/>
          <w:sz w:val="20"/>
        </w:rPr>
        <w:t> </w:t>
      </w:r>
      <w:r>
        <w:rPr>
          <w:sz w:val="20"/>
        </w:rPr>
        <w:t>to</w:t>
      </w:r>
      <w:r>
        <w:rPr>
          <w:spacing w:val="40"/>
          <w:sz w:val="20"/>
        </w:rPr>
        <w:t> </w:t>
      </w:r>
      <w:r>
        <w:rPr>
          <w:sz w:val="20"/>
        </w:rPr>
        <w:t>enforce</w:t>
      </w:r>
      <w:r>
        <w:rPr>
          <w:spacing w:val="40"/>
          <w:sz w:val="20"/>
        </w:rPr>
        <w:t> </w:t>
      </w:r>
      <w:r>
        <w:rPr>
          <w:sz w:val="20"/>
        </w:rPr>
        <w:t>such</w:t>
      </w:r>
      <w:r>
        <w:rPr>
          <w:spacing w:val="40"/>
          <w:sz w:val="20"/>
        </w:rPr>
        <w:t> </w:t>
      </w:r>
      <w:r>
        <w:rPr>
          <w:sz w:val="20"/>
        </w:rPr>
        <w:t>rights</w:t>
      </w:r>
      <w:r>
        <w:rPr>
          <w:spacing w:val="40"/>
          <w:sz w:val="20"/>
        </w:rPr>
        <w:t> </w:t>
      </w:r>
      <w:r>
        <w:rPr>
          <w:sz w:val="20"/>
        </w:rPr>
        <w:t>was</w:t>
      </w:r>
      <w:r>
        <w:rPr>
          <w:spacing w:val="40"/>
          <w:sz w:val="20"/>
        </w:rPr>
        <w:t> </w:t>
      </w:r>
      <w:r>
        <w:rPr>
          <w:sz w:val="20"/>
        </w:rPr>
        <w:t>supported</w:t>
      </w:r>
      <w:r>
        <w:rPr>
          <w:spacing w:val="40"/>
          <w:sz w:val="20"/>
        </w:rPr>
        <w:t> </w:t>
      </w:r>
      <w:r>
        <w:rPr>
          <w:sz w:val="20"/>
        </w:rPr>
        <w:t>by</w:t>
      </w:r>
      <w:r>
        <w:rPr>
          <w:spacing w:val="40"/>
          <w:sz w:val="20"/>
        </w:rPr>
        <w:t> </w:t>
      </w:r>
      <w:r>
        <w:rPr>
          <w:sz w:val="20"/>
        </w:rPr>
        <w:t>consideration:</w:t>
      </w:r>
      <w:r>
        <w:rPr>
          <w:spacing w:val="40"/>
          <w:sz w:val="20"/>
        </w:rPr>
        <w:t> </w:t>
      </w:r>
      <w:r>
        <w:rPr>
          <w:sz w:val="20"/>
        </w:rPr>
        <w:t>above, para.4-081. But the principle stated in</w:t>
      </w:r>
      <w:r>
        <w:rPr>
          <w:spacing w:val="-1"/>
          <w:sz w:val="20"/>
        </w:rPr>
        <w:t> </w:t>
      </w:r>
      <w:r>
        <w:rPr>
          <w:rFonts w:ascii="Arial" w:hAnsi="Arial"/>
          <w:i/>
          <w:sz w:val="20"/>
        </w:rPr>
        <w:t>Hughes v Metropolitan Ry </w:t>
      </w:r>
      <w:r>
        <w:rPr>
          <w:sz w:val="20"/>
        </w:rPr>
        <w:t>applies even in the absence of such consideration: cf. below, para.4-134.</w:t>
      </w:r>
    </w:p>
    <w:p>
      <w:pPr>
        <w:pStyle w:val="BodyText"/>
        <w:spacing w:before="7"/>
      </w:pPr>
    </w:p>
    <w:p>
      <w:pPr>
        <w:spacing w:line="235" w:lineRule="auto" w:before="0"/>
        <w:ind w:left="705" w:right="167" w:hanging="541"/>
        <w:jc w:val="both"/>
        <w:rPr>
          <w:sz w:val="20"/>
        </w:rPr>
      </w:pPr>
      <w:bookmarkStart w:name="_bookmark1099" w:id="1101"/>
      <w:bookmarkEnd w:id="1101"/>
      <w:r>
        <w:rPr/>
      </w:r>
      <w:hyperlink w:history="true" w:anchor="_bookmark874">
        <w:r>
          <w:rPr>
            <w:color w:val="005DA1"/>
            <w:position w:val="5"/>
            <w:sz w:val="14"/>
            <w:u w:val="single" w:color="005DA1"/>
          </w:rPr>
          <w:t>463</w:t>
        </w:r>
      </w:hyperlink>
      <w:r>
        <w:rPr>
          <w:position w:val="5"/>
          <w:sz w:val="14"/>
        </w:rPr>
        <w:t>.</w:t>
      </w:r>
      <w:r>
        <w:rPr>
          <w:spacing w:val="80"/>
          <w:position w:val="5"/>
          <w:sz w:val="14"/>
        </w:rPr>
        <w:t>  </w:t>
      </w:r>
      <w:r>
        <w:rPr>
          <w:rFonts w:ascii="Arial" w:hAnsi="Arial"/>
          <w:i/>
          <w:sz w:val="20"/>
        </w:rPr>
        <w:t>B.P. Exploration (Libya) v Hunt (No.2) [1979] 1 W.L.R. 783, 812</w:t>
      </w:r>
      <w:r>
        <w:rPr>
          <w:sz w:val="20"/>
        </w:rPr>
        <w:t>, affirmed (without reference to the</w:t>
      </w:r>
      <w:r>
        <w:rPr>
          <w:spacing w:val="-3"/>
          <w:sz w:val="20"/>
        </w:rPr>
        <w:t> </w:t>
      </w:r>
      <w:r>
        <w:rPr>
          <w:sz w:val="20"/>
        </w:rPr>
        <w:t>point)</w:t>
      </w:r>
      <w:r>
        <w:rPr>
          <w:spacing w:val="-3"/>
          <w:sz w:val="20"/>
        </w:rPr>
        <w:t> </w:t>
      </w:r>
      <w:r>
        <w:rPr>
          <w:rFonts w:ascii="Arial" w:hAnsi="Arial"/>
          <w:i/>
          <w:sz w:val="20"/>
        </w:rPr>
        <w:t>[1983]</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A.C.</w:t>
      </w:r>
      <w:r>
        <w:rPr>
          <w:rFonts w:ascii="Arial" w:hAnsi="Arial"/>
          <w:i/>
          <w:spacing w:val="-3"/>
          <w:sz w:val="20"/>
        </w:rPr>
        <w:t> </w:t>
      </w:r>
      <w:r>
        <w:rPr>
          <w:rFonts w:ascii="Arial" w:hAnsi="Arial"/>
          <w:i/>
          <w:sz w:val="20"/>
        </w:rPr>
        <w:t>352</w:t>
      </w:r>
      <w:r>
        <w:rPr>
          <w:sz w:val="20"/>
        </w:rPr>
        <w:t>;</w:t>
      </w:r>
      <w:r>
        <w:rPr>
          <w:spacing w:val="-3"/>
          <w:sz w:val="20"/>
        </w:rPr>
        <w:t> </w:t>
      </w:r>
      <w:r>
        <w:rPr>
          <w:rFonts w:ascii="Arial" w:hAnsi="Arial"/>
          <w:i/>
          <w:sz w:val="20"/>
        </w:rPr>
        <w:t>Nippon</w:t>
      </w:r>
      <w:r>
        <w:rPr>
          <w:rFonts w:ascii="Arial" w:hAnsi="Arial"/>
          <w:i/>
          <w:spacing w:val="-3"/>
          <w:sz w:val="20"/>
        </w:rPr>
        <w:t> </w:t>
      </w:r>
      <w:r>
        <w:rPr>
          <w:rFonts w:ascii="Arial" w:hAnsi="Arial"/>
          <w:i/>
          <w:sz w:val="20"/>
        </w:rPr>
        <w:t>Yusen</w:t>
      </w:r>
      <w:r>
        <w:rPr>
          <w:rFonts w:ascii="Arial" w:hAnsi="Arial"/>
          <w:i/>
          <w:spacing w:val="-3"/>
          <w:sz w:val="20"/>
        </w:rPr>
        <w:t> </w:t>
      </w:r>
      <w:r>
        <w:rPr>
          <w:rFonts w:ascii="Arial" w:hAnsi="Arial"/>
          <w:i/>
          <w:sz w:val="20"/>
        </w:rPr>
        <w:t>Kaisha</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Pacifica</w:t>
      </w:r>
      <w:r>
        <w:rPr>
          <w:rFonts w:ascii="Arial" w:hAnsi="Arial"/>
          <w:i/>
          <w:spacing w:val="-3"/>
          <w:sz w:val="20"/>
        </w:rPr>
        <w:t> </w:t>
      </w:r>
      <w:r>
        <w:rPr>
          <w:rFonts w:ascii="Arial" w:hAnsi="Arial"/>
          <w:i/>
          <w:sz w:val="20"/>
        </w:rPr>
        <w:t>Navegacion</w:t>
      </w:r>
      <w:r>
        <w:rPr>
          <w:rFonts w:ascii="Arial" w:hAnsi="Arial"/>
          <w:i/>
          <w:spacing w:val="-3"/>
          <w:sz w:val="20"/>
        </w:rPr>
        <w:t> </w:t>
      </w:r>
      <w:r>
        <w:rPr>
          <w:rFonts w:ascii="Arial" w:hAnsi="Arial"/>
          <w:i/>
          <w:sz w:val="20"/>
        </w:rPr>
        <w:t>SA</w:t>
      </w:r>
      <w:r>
        <w:rPr>
          <w:rFonts w:ascii="Arial" w:hAnsi="Arial"/>
          <w:i/>
          <w:spacing w:val="-3"/>
          <w:sz w:val="20"/>
        </w:rPr>
        <w:t> </w:t>
      </w:r>
      <w:r>
        <w:rPr>
          <w:rFonts w:ascii="Arial" w:hAnsi="Arial"/>
          <w:i/>
          <w:sz w:val="20"/>
        </w:rPr>
        <w:t>(The</w:t>
      </w:r>
      <w:r>
        <w:rPr>
          <w:rFonts w:ascii="Arial" w:hAnsi="Arial"/>
          <w:i/>
          <w:spacing w:val="-3"/>
          <w:sz w:val="20"/>
        </w:rPr>
        <w:t> </w:t>
      </w:r>
      <w:r>
        <w:rPr>
          <w:rFonts w:ascii="Arial" w:hAnsi="Arial"/>
          <w:i/>
          <w:sz w:val="20"/>
        </w:rPr>
        <w:t>Ion)</w:t>
      </w:r>
      <w:r>
        <w:rPr>
          <w:rFonts w:ascii="Arial" w:hAnsi="Arial"/>
          <w:i/>
          <w:spacing w:val="-3"/>
          <w:sz w:val="20"/>
        </w:rPr>
        <w:t> </w:t>
      </w:r>
      <w:r>
        <w:rPr>
          <w:rFonts w:ascii="Arial" w:hAnsi="Arial"/>
          <w:i/>
          <w:sz w:val="20"/>
        </w:rPr>
        <w:t>[1980]</w:t>
      </w:r>
      <w:r>
        <w:rPr>
          <w:rFonts w:ascii="Arial" w:hAnsi="Arial"/>
          <w:i/>
          <w:spacing w:val="-3"/>
          <w:sz w:val="20"/>
        </w:rPr>
        <w:t> </w:t>
      </w:r>
      <w:r>
        <w:rPr>
          <w:rFonts w:ascii="Arial" w:hAnsi="Arial"/>
          <w:i/>
          <w:sz w:val="20"/>
        </w:rPr>
        <w:t>2 Lloyd’s Rep. 245, 250</w:t>
      </w:r>
      <w:r>
        <w:rPr>
          <w:sz w:val="20"/>
        </w:rPr>
        <w:t>.</w:t>
      </w:r>
    </w:p>
    <w:p>
      <w:pPr>
        <w:pStyle w:val="BodyText"/>
        <w:spacing w:before="9"/>
      </w:pPr>
    </w:p>
    <w:p>
      <w:pPr>
        <w:spacing w:line="235" w:lineRule="auto" w:before="0"/>
        <w:ind w:left="705" w:right="167" w:hanging="541"/>
        <w:jc w:val="both"/>
        <w:rPr>
          <w:sz w:val="20"/>
        </w:rPr>
      </w:pPr>
      <w:bookmarkStart w:name="_bookmark1100" w:id="1102"/>
      <w:bookmarkEnd w:id="1102"/>
      <w:r>
        <w:rPr/>
      </w:r>
      <w:hyperlink w:history="true" w:anchor="_bookmark875">
        <w:r>
          <w:rPr>
            <w:color w:val="005DA1"/>
            <w:position w:val="5"/>
            <w:sz w:val="14"/>
            <w:u w:val="single" w:color="005DA1"/>
          </w:rPr>
          <w:t>464</w:t>
        </w:r>
      </w:hyperlink>
      <w:r>
        <w:rPr>
          <w:position w:val="5"/>
          <w:sz w:val="14"/>
        </w:rPr>
        <w:t>.</w:t>
      </w:r>
      <w:r>
        <w:rPr>
          <w:spacing w:val="80"/>
          <w:w w:val="150"/>
          <w:position w:val="5"/>
          <w:sz w:val="14"/>
        </w:rPr>
        <w:t> </w:t>
      </w:r>
      <w:r>
        <w:rPr>
          <w:rFonts w:ascii="Arial"/>
          <w:i/>
          <w:sz w:val="20"/>
        </w:rPr>
        <w:t>Durham</w:t>
      </w:r>
      <w:r>
        <w:rPr>
          <w:rFonts w:ascii="Arial"/>
          <w:i/>
          <w:spacing w:val="40"/>
          <w:sz w:val="20"/>
        </w:rPr>
        <w:t> </w:t>
      </w:r>
      <w:r>
        <w:rPr>
          <w:rFonts w:ascii="Arial"/>
          <w:i/>
          <w:sz w:val="20"/>
        </w:rPr>
        <w:t>Fancy</w:t>
      </w:r>
      <w:r>
        <w:rPr>
          <w:rFonts w:ascii="Arial"/>
          <w:i/>
          <w:spacing w:val="40"/>
          <w:sz w:val="20"/>
        </w:rPr>
        <w:t> </w:t>
      </w:r>
      <w:r>
        <w:rPr>
          <w:rFonts w:ascii="Arial"/>
          <w:i/>
          <w:sz w:val="20"/>
        </w:rPr>
        <w:t>Goods</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Michael</w:t>
      </w:r>
      <w:r>
        <w:rPr>
          <w:rFonts w:ascii="Arial"/>
          <w:i/>
          <w:spacing w:val="40"/>
          <w:sz w:val="20"/>
        </w:rPr>
        <w:t> </w:t>
      </w:r>
      <w:r>
        <w:rPr>
          <w:rFonts w:ascii="Arial"/>
          <w:i/>
          <w:sz w:val="20"/>
        </w:rPr>
        <w:t>Jackson</w:t>
      </w:r>
      <w:r>
        <w:rPr>
          <w:rFonts w:ascii="Arial"/>
          <w:i/>
          <w:spacing w:val="40"/>
          <w:sz w:val="20"/>
        </w:rPr>
        <w:t> </w:t>
      </w:r>
      <w:r>
        <w:rPr>
          <w:rFonts w:ascii="Arial"/>
          <w:i/>
          <w:sz w:val="20"/>
        </w:rPr>
        <w:t>(Fancy</w:t>
      </w:r>
      <w:r>
        <w:rPr>
          <w:rFonts w:ascii="Arial"/>
          <w:i/>
          <w:spacing w:val="40"/>
          <w:sz w:val="20"/>
        </w:rPr>
        <w:t> </w:t>
      </w:r>
      <w:r>
        <w:rPr>
          <w:rFonts w:ascii="Arial"/>
          <w:i/>
          <w:sz w:val="20"/>
        </w:rPr>
        <w:t>Goods)</w:t>
      </w:r>
      <w:r>
        <w:rPr>
          <w:rFonts w:ascii="Arial"/>
          <w:i/>
          <w:spacing w:val="40"/>
          <w:sz w:val="20"/>
        </w:rPr>
        <w:t> </w:t>
      </w:r>
      <w:r>
        <w:rPr>
          <w:rFonts w:ascii="Arial"/>
          <w:i/>
          <w:sz w:val="20"/>
        </w:rPr>
        <w:t>Ltd</w:t>
      </w:r>
      <w:r>
        <w:rPr>
          <w:rFonts w:ascii="Arial"/>
          <w:i/>
          <w:spacing w:val="40"/>
          <w:sz w:val="20"/>
        </w:rPr>
        <w:t> </w:t>
      </w:r>
      <w:r>
        <w:rPr>
          <w:rFonts w:ascii="Arial"/>
          <w:i/>
          <w:sz w:val="20"/>
        </w:rPr>
        <w:t>[1968]</w:t>
      </w:r>
      <w:r>
        <w:rPr>
          <w:rFonts w:ascii="Arial"/>
          <w:i/>
          <w:spacing w:val="40"/>
          <w:sz w:val="20"/>
        </w:rPr>
        <w:t> </w:t>
      </w:r>
      <w:r>
        <w:rPr>
          <w:rFonts w:ascii="Arial"/>
          <w:i/>
          <w:sz w:val="20"/>
        </w:rPr>
        <w:t>2</w:t>
      </w:r>
      <w:r>
        <w:rPr>
          <w:rFonts w:ascii="Arial"/>
          <w:i/>
          <w:spacing w:val="40"/>
          <w:sz w:val="20"/>
        </w:rPr>
        <w:t> </w:t>
      </w:r>
      <w:r>
        <w:rPr>
          <w:rFonts w:ascii="Arial"/>
          <w:i/>
          <w:sz w:val="20"/>
        </w:rPr>
        <w:t>Q.B.</w:t>
      </w:r>
      <w:r>
        <w:rPr>
          <w:rFonts w:ascii="Arial"/>
          <w:i/>
          <w:spacing w:val="40"/>
          <w:sz w:val="20"/>
        </w:rPr>
        <w:t> </w:t>
      </w:r>
      <w:r>
        <w:rPr>
          <w:rFonts w:ascii="Arial"/>
          <w:i/>
          <w:sz w:val="20"/>
        </w:rPr>
        <w:t>839</w:t>
      </w:r>
      <w:r>
        <w:rPr>
          <w:sz w:val="20"/>
        </w:rPr>
        <w:t>.</w:t>
      </w:r>
      <w:r>
        <w:rPr>
          <w:spacing w:val="40"/>
          <w:sz w:val="20"/>
        </w:rPr>
        <w:t> </w:t>
      </w:r>
      <w:r>
        <w:rPr>
          <w:sz w:val="20"/>
        </w:rPr>
        <w:t>A statement may also prevent the representor from denying the existence of a statutory </w:t>
      </w:r>
      <w:r>
        <w:rPr>
          <w:sz w:val="20"/>
        </w:rPr>
        <w:t>liability,</w:t>
      </w:r>
      <w:r>
        <w:rPr>
          <w:spacing w:val="40"/>
          <w:sz w:val="20"/>
        </w:rPr>
        <w:t> </w:t>
      </w:r>
      <w:r>
        <w:rPr>
          <w:sz w:val="20"/>
        </w:rPr>
        <w:t>as</w:t>
      </w:r>
      <w:r>
        <w:rPr>
          <w:spacing w:val="25"/>
          <w:sz w:val="20"/>
        </w:rPr>
        <w:t> </w:t>
      </w:r>
      <w:r>
        <w:rPr>
          <w:sz w:val="20"/>
        </w:rPr>
        <w:t>in</w:t>
      </w:r>
      <w:r>
        <w:rPr>
          <w:spacing w:val="28"/>
          <w:sz w:val="20"/>
        </w:rPr>
        <w:t> </w:t>
      </w:r>
      <w:r>
        <w:rPr>
          <w:rFonts w:ascii="Arial"/>
          <w:i/>
          <w:sz w:val="20"/>
        </w:rPr>
        <w:t>Robertson</w:t>
      </w:r>
      <w:r>
        <w:rPr>
          <w:rFonts w:ascii="Arial"/>
          <w:i/>
          <w:spacing w:val="28"/>
          <w:sz w:val="20"/>
        </w:rPr>
        <w:t> </w:t>
      </w:r>
      <w:r>
        <w:rPr>
          <w:rFonts w:ascii="Arial"/>
          <w:i/>
          <w:sz w:val="20"/>
        </w:rPr>
        <w:t>v</w:t>
      </w:r>
      <w:r>
        <w:rPr>
          <w:rFonts w:ascii="Arial"/>
          <w:i/>
          <w:spacing w:val="28"/>
          <w:sz w:val="20"/>
        </w:rPr>
        <w:t> </w:t>
      </w:r>
      <w:r>
        <w:rPr>
          <w:rFonts w:ascii="Arial"/>
          <w:i/>
          <w:sz w:val="20"/>
        </w:rPr>
        <w:t>Minister</w:t>
      </w:r>
      <w:r>
        <w:rPr>
          <w:rFonts w:ascii="Arial"/>
          <w:i/>
          <w:spacing w:val="28"/>
          <w:sz w:val="20"/>
        </w:rPr>
        <w:t> </w:t>
      </w:r>
      <w:r>
        <w:rPr>
          <w:rFonts w:ascii="Arial"/>
          <w:i/>
          <w:sz w:val="20"/>
        </w:rPr>
        <w:t>of</w:t>
      </w:r>
      <w:r>
        <w:rPr>
          <w:rFonts w:ascii="Arial"/>
          <w:i/>
          <w:spacing w:val="28"/>
          <w:sz w:val="20"/>
        </w:rPr>
        <w:t> </w:t>
      </w:r>
      <w:r>
        <w:rPr>
          <w:rFonts w:ascii="Arial"/>
          <w:i/>
          <w:sz w:val="20"/>
        </w:rPr>
        <w:t>Pensions</w:t>
      </w:r>
      <w:r>
        <w:rPr>
          <w:rFonts w:ascii="Arial"/>
          <w:i/>
          <w:spacing w:val="28"/>
          <w:sz w:val="20"/>
        </w:rPr>
        <w:t> </w:t>
      </w:r>
      <w:r>
        <w:rPr>
          <w:rFonts w:ascii="Arial"/>
          <w:i/>
          <w:sz w:val="20"/>
        </w:rPr>
        <w:t>[1949]</w:t>
      </w:r>
      <w:r>
        <w:rPr>
          <w:rFonts w:ascii="Arial"/>
          <w:i/>
          <w:spacing w:val="28"/>
          <w:sz w:val="20"/>
        </w:rPr>
        <w:t> </w:t>
      </w:r>
      <w:r>
        <w:rPr>
          <w:rFonts w:ascii="Arial"/>
          <w:i/>
          <w:sz w:val="20"/>
        </w:rPr>
        <w:t>1</w:t>
      </w:r>
      <w:r>
        <w:rPr>
          <w:rFonts w:ascii="Arial"/>
          <w:i/>
          <w:spacing w:val="28"/>
          <w:sz w:val="20"/>
        </w:rPr>
        <w:t> </w:t>
      </w:r>
      <w:r>
        <w:rPr>
          <w:rFonts w:ascii="Arial"/>
          <w:i/>
          <w:sz w:val="20"/>
        </w:rPr>
        <w:t>K.B.</w:t>
      </w:r>
      <w:r>
        <w:rPr>
          <w:rFonts w:ascii="Arial"/>
          <w:i/>
          <w:spacing w:val="28"/>
          <w:sz w:val="20"/>
        </w:rPr>
        <w:t> </w:t>
      </w:r>
      <w:r>
        <w:rPr>
          <w:rFonts w:ascii="Arial"/>
          <w:i/>
          <w:sz w:val="20"/>
        </w:rPr>
        <w:t>227</w:t>
      </w:r>
      <w:r>
        <w:rPr>
          <w:sz w:val="20"/>
        </w:rPr>
        <w:t>,</w:t>
      </w:r>
      <w:r>
        <w:rPr>
          <w:spacing w:val="28"/>
          <w:sz w:val="20"/>
        </w:rPr>
        <w:t> </w:t>
      </w:r>
      <w:r>
        <w:rPr>
          <w:sz w:val="20"/>
        </w:rPr>
        <w:t>as</w:t>
      </w:r>
      <w:r>
        <w:rPr>
          <w:spacing w:val="28"/>
          <w:sz w:val="20"/>
        </w:rPr>
        <w:t> </w:t>
      </w:r>
      <w:r>
        <w:rPr>
          <w:sz w:val="20"/>
        </w:rPr>
        <w:t>to</w:t>
      </w:r>
      <w:r>
        <w:rPr>
          <w:spacing w:val="28"/>
          <w:sz w:val="20"/>
        </w:rPr>
        <w:t> </w:t>
      </w:r>
      <w:r>
        <w:rPr>
          <w:sz w:val="20"/>
        </w:rPr>
        <w:t>which</w:t>
      </w:r>
      <w:r>
        <w:rPr>
          <w:spacing w:val="28"/>
          <w:sz w:val="20"/>
        </w:rPr>
        <w:t> </w:t>
      </w:r>
      <w:r>
        <w:rPr>
          <w:sz w:val="20"/>
        </w:rPr>
        <w:t>see</w:t>
      </w:r>
      <w:r>
        <w:rPr>
          <w:spacing w:val="28"/>
          <w:sz w:val="20"/>
        </w:rPr>
        <w:t> </w:t>
      </w:r>
      <w:r>
        <w:rPr>
          <w:sz w:val="20"/>
        </w:rPr>
        <w:t>also</w:t>
      </w:r>
      <w:r>
        <w:rPr>
          <w:spacing w:val="28"/>
          <w:sz w:val="20"/>
        </w:rPr>
        <w:t> </w:t>
      </w:r>
      <w:r>
        <w:rPr>
          <w:sz w:val="20"/>
        </w:rPr>
        <w:t>para.4-</w:t>
      </w:r>
      <w:r>
        <w:rPr>
          <w:spacing w:val="-4"/>
          <w:sz w:val="20"/>
        </w:rPr>
        <w:t>104,</w:t>
      </w:r>
    </w:p>
    <w:p>
      <w:pPr>
        <w:pStyle w:val="BodyText"/>
        <w:spacing w:line="225" w:lineRule="exact"/>
        <w:ind w:left="705"/>
        <w:jc w:val="both"/>
      </w:pPr>
      <w:r>
        <w:rPr/>
        <w:t>n.579 </w:t>
      </w:r>
      <w:r>
        <w:rPr>
          <w:spacing w:val="-2"/>
        </w:rPr>
        <w:t>below.</w:t>
      </w:r>
    </w:p>
    <w:p>
      <w:pPr>
        <w:pStyle w:val="BodyText"/>
        <w:spacing w:before="5"/>
      </w:pPr>
    </w:p>
    <w:p>
      <w:pPr>
        <w:tabs>
          <w:tab w:pos="705" w:val="left" w:leader="none"/>
        </w:tabs>
        <w:spacing w:before="0"/>
        <w:ind w:left="165" w:right="0" w:firstLine="0"/>
        <w:jc w:val="left"/>
        <w:rPr>
          <w:sz w:val="20"/>
        </w:rPr>
      </w:pPr>
      <w:bookmarkStart w:name="_bookmark1101" w:id="1103"/>
      <w:bookmarkEnd w:id="1103"/>
      <w:r>
        <w:rPr/>
      </w:r>
      <w:hyperlink w:history="true" w:anchor="_bookmark876">
        <w:r>
          <w:rPr>
            <w:color w:val="005DA1"/>
            <w:spacing w:val="-4"/>
            <w:position w:val="5"/>
            <w:sz w:val="14"/>
            <w:u w:val="single" w:color="005DA1"/>
          </w:rPr>
          <w:t>465</w:t>
        </w:r>
      </w:hyperlink>
      <w:r>
        <w:rPr>
          <w:spacing w:val="-4"/>
          <w:position w:val="5"/>
          <w:sz w:val="14"/>
        </w:rPr>
        <w:t>.</w:t>
      </w:r>
      <w:r>
        <w:rPr>
          <w:position w:val="5"/>
          <w:sz w:val="14"/>
        </w:rPr>
        <w:tab/>
      </w:r>
      <w:r>
        <w:rPr>
          <w:rFonts w:ascii="Arial"/>
          <w:i/>
          <w:sz w:val="20"/>
        </w:rPr>
        <w:t>Maharaj v Chand [1986] A.C. </w:t>
      </w:r>
      <w:r>
        <w:rPr>
          <w:rFonts w:ascii="Arial"/>
          <w:i/>
          <w:spacing w:val="-4"/>
          <w:sz w:val="20"/>
        </w:rPr>
        <w:t>898</w:t>
      </w:r>
      <w:r>
        <w:rPr>
          <w:spacing w:val="-4"/>
          <w:sz w:val="20"/>
        </w:rPr>
        <w:t>.</w:t>
      </w:r>
    </w:p>
    <w:p>
      <w:pPr>
        <w:pStyle w:val="BodyText"/>
        <w:spacing w:before="9"/>
      </w:pPr>
    </w:p>
    <w:p>
      <w:pPr>
        <w:spacing w:line="235" w:lineRule="auto" w:before="0"/>
        <w:ind w:left="705" w:right="167" w:hanging="541"/>
        <w:jc w:val="both"/>
        <w:rPr>
          <w:sz w:val="20"/>
        </w:rPr>
      </w:pPr>
      <w:bookmarkStart w:name="_bookmark1102" w:id="1104"/>
      <w:bookmarkEnd w:id="1104"/>
      <w:r>
        <w:rPr/>
      </w:r>
      <w:hyperlink w:history="true" w:anchor="_bookmark877">
        <w:r>
          <w:rPr>
            <w:color w:val="005DA1"/>
            <w:position w:val="5"/>
            <w:sz w:val="14"/>
            <w:u w:val="single" w:color="005DA1"/>
          </w:rPr>
          <w:t>466</w:t>
        </w:r>
      </w:hyperlink>
      <w:r>
        <w:rPr>
          <w:position w:val="5"/>
          <w:sz w:val="14"/>
        </w:rPr>
        <w:t>.</w:t>
      </w:r>
      <w:r>
        <w:rPr>
          <w:spacing w:val="40"/>
          <w:position w:val="5"/>
          <w:sz w:val="14"/>
        </w:rPr>
        <w:t>  </w:t>
      </w:r>
      <w:r>
        <w:rPr>
          <w:rFonts w:ascii="Arial" w:hAnsi="Arial"/>
          <w:i/>
          <w:sz w:val="20"/>
        </w:rPr>
        <w:t>Morris v Tarrant [1971] 2 Q.B. 143, 160</w:t>
      </w:r>
      <w:r>
        <w:rPr>
          <w:sz w:val="20"/>
        </w:rPr>
        <w:t>; cf. </w:t>
      </w:r>
      <w:r>
        <w:rPr>
          <w:rFonts w:ascii="Arial" w:hAnsi="Arial"/>
          <w:i/>
          <w:sz w:val="20"/>
        </w:rPr>
        <w:t>Burrows v Brent LBC [1996] 1 W.L.R. 1448, 1455</w:t>
      </w:r>
      <w:r>
        <w:rPr>
          <w:sz w:val="20"/>
        </w:rPr>
        <w:t>, where no attempt was made to invoke the doctrine in favour of a “tolerated trespasser”; </w:t>
      </w:r>
      <w:r>
        <w:rPr>
          <w:sz w:val="20"/>
        </w:rPr>
        <w:t>for discussion of this phrase, see </w:t>
      </w:r>
      <w:r>
        <w:rPr>
          <w:rFonts w:ascii="Arial" w:hAnsi="Arial"/>
          <w:i/>
          <w:sz w:val="20"/>
        </w:rPr>
        <w:t>Knowsley Housing Trust v White [2009] UKHL 70, [2009] 1 A.C. 636</w:t>
      </w:r>
      <w:r>
        <w:rPr>
          <w:sz w:val="20"/>
        </w:rPr>
        <w:t>, above para.2-196; there is no reference in this case to the equitable doctrine discussed in the text above.</w:t>
      </w:r>
    </w:p>
    <w:p>
      <w:pPr>
        <w:pStyle w:val="BodyText"/>
        <w:spacing w:before="4"/>
      </w:pPr>
    </w:p>
    <w:p>
      <w:pPr>
        <w:tabs>
          <w:tab w:pos="705" w:val="left" w:leader="none"/>
        </w:tabs>
        <w:spacing w:before="0"/>
        <w:ind w:left="165" w:right="0" w:firstLine="0"/>
        <w:jc w:val="left"/>
        <w:rPr>
          <w:sz w:val="20"/>
        </w:rPr>
      </w:pPr>
      <w:bookmarkStart w:name="_bookmark1103" w:id="1105"/>
      <w:bookmarkEnd w:id="1105"/>
      <w:r>
        <w:rPr/>
      </w:r>
      <w:hyperlink w:history="true" w:anchor="_bookmark878">
        <w:r>
          <w:rPr>
            <w:color w:val="005DA1"/>
            <w:spacing w:val="-4"/>
            <w:position w:val="5"/>
            <w:sz w:val="14"/>
            <w:u w:val="single" w:color="005DA1"/>
          </w:rPr>
          <w:t>467</w:t>
        </w:r>
      </w:hyperlink>
      <w:r>
        <w:rPr>
          <w:spacing w:val="-4"/>
          <w:position w:val="5"/>
          <w:sz w:val="14"/>
        </w:rPr>
        <w:t>.</w:t>
      </w:r>
      <w:r>
        <w:rPr>
          <w:position w:val="5"/>
          <w:sz w:val="14"/>
        </w:rPr>
        <w:tab/>
      </w:r>
      <w:r>
        <w:rPr>
          <w:rFonts w:ascii="Arial" w:hAnsi="Arial"/>
          <w:i/>
          <w:sz w:val="20"/>
        </w:rPr>
        <w:t>Lambeth LBC v O’Kane Holdings Ltd [2005] EWCA Civ 1010; [2006] H.L.R. </w:t>
      </w:r>
      <w:r>
        <w:rPr>
          <w:rFonts w:ascii="Arial" w:hAnsi="Arial"/>
          <w:i/>
          <w:spacing w:val="-5"/>
          <w:sz w:val="20"/>
        </w:rPr>
        <w:t>2</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104" w:id="1106"/>
      <w:bookmarkEnd w:id="1106"/>
      <w:r>
        <w:rPr/>
      </w:r>
      <w:hyperlink w:history="true" w:anchor="_bookmark879">
        <w:r>
          <w:rPr>
            <w:color w:val="005DA1"/>
            <w:spacing w:val="-4"/>
            <w:position w:val="5"/>
            <w:sz w:val="14"/>
            <w:u w:val="single" w:color="005DA1"/>
          </w:rPr>
          <w:t>468</w:t>
        </w:r>
      </w:hyperlink>
      <w:r>
        <w:rPr>
          <w:spacing w:val="-4"/>
          <w:position w:val="5"/>
          <w:sz w:val="14"/>
        </w:rPr>
        <w:t>.</w:t>
      </w:r>
      <w:r>
        <w:rPr>
          <w:position w:val="5"/>
          <w:sz w:val="14"/>
        </w:rPr>
        <w:tab/>
      </w:r>
      <w:r>
        <w:rPr>
          <w:rFonts w:ascii="Arial"/>
          <w:i/>
          <w:sz w:val="20"/>
        </w:rPr>
        <w:t>Evans v Amicus Healthcare Ltd [2004] EWCA Civ 727, [2005] Fam. </w:t>
      </w:r>
      <w:r>
        <w:rPr>
          <w:rFonts w:ascii="Arial"/>
          <w:i/>
          <w:spacing w:val="-5"/>
          <w:sz w:val="20"/>
        </w:rPr>
        <w:t>1</w:t>
      </w:r>
      <w:r>
        <w:rPr>
          <w:spacing w:val="-5"/>
          <w:sz w:val="20"/>
        </w:rPr>
        <w:t>.</w:t>
      </w:r>
    </w:p>
    <w:p>
      <w:pPr>
        <w:pStyle w:val="BodyText"/>
        <w:spacing w:before="5"/>
      </w:pPr>
    </w:p>
    <w:p>
      <w:pPr>
        <w:pStyle w:val="BodyText"/>
        <w:tabs>
          <w:tab w:pos="705" w:val="left" w:leader="none"/>
        </w:tabs>
        <w:ind w:left="165"/>
      </w:pPr>
      <w:bookmarkStart w:name="_bookmark1105" w:id="1107"/>
      <w:bookmarkEnd w:id="1107"/>
      <w:r>
        <w:rPr/>
      </w:r>
      <w:hyperlink w:history="true" w:anchor="_bookmark880">
        <w:r>
          <w:rPr>
            <w:color w:val="005DA1"/>
            <w:spacing w:val="-4"/>
            <w:position w:val="5"/>
            <w:sz w:val="14"/>
            <w:u w:val="single" w:color="005DA1"/>
          </w:rPr>
          <w:t>469</w:t>
        </w:r>
      </w:hyperlink>
      <w:r>
        <w:rPr>
          <w:spacing w:val="-4"/>
          <w:position w:val="5"/>
          <w:sz w:val="14"/>
        </w:rPr>
        <w:t>.</w:t>
      </w:r>
      <w:r>
        <w:rPr>
          <w:position w:val="5"/>
          <w:sz w:val="14"/>
        </w:rPr>
        <w:tab/>
      </w:r>
      <w:r>
        <w:rPr/>
        <w:t>Human Fertilisation and Embryology Act 1990, Sch.3 </w:t>
      </w:r>
      <w:r>
        <w:rPr>
          <w:spacing w:val="-2"/>
        </w:rPr>
        <w:t>para.4(1).</w:t>
      </w:r>
    </w:p>
    <w:p>
      <w:pPr>
        <w:pStyle w:val="BodyText"/>
        <w:spacing w:before="5"/>
      </w:pPr>
    </w:p>
    <w:p>
      <w:pPr>
        <w:tabs>
          <w:tab w:pos="705" w:val="left" w:leader="none"/>
        </w:tabs>
        <w:spacing w:before="0"/>
        <w:ind w:left="165" w:right="0" w:firstLine="0"/>
        <w:jc w:val="left"/>
        <w:rPr>
          <w:sz w:val="20"/>
        </w:rPr>
      </w:pPr>
      <w:bookmarkStart w:name="_bookmark1106" w:id="1108"/>
      <w:bookmarkEnd w:id="1108"/>
      <w:r>
        <w:rPr/>
      </w:r>
      <w:hyperlink w:history="true" w:anchor="_bookmark881">
        <w:r>
          <w:rPr>
            <w:color w:val="005DA1"/>
            <w:spacing w:val="-4"/>
            <w:position w:val="5"/>
            <w:sz w:val="14"/>
            <w:u w:val="single" w:color="005DA1"/>
          </w:rPr>
          <w:t>470</w:t>
        </w:r>
      </w:hyperlink>
      <w:r>
        <w:rPr>
          <w:spacing w:val="-4"/>
          <w:position w:val="5"/>
          <w:sz w:val="14"/>
        </w:rPr>
        <w:t>.</w:t>
      </w:r>
      <w:r>
        <w:rPr>
          <w:position w:val="5"/>
          <w:sz w:val="14"/>
        </w:rPr>
        <w:tab/>
      </w:r>
      <w:r>
        <w:rPr>
          <w:rFonts w:ascii="Arial"/>
          <w:i/>
          <w:sz w:val="20"/>
        </w:rPr>
        <w:t>Evans</w:t>
      </w:r>
      <w:r>
        <w:rPr>
          <w:rFonts w:ascii="Arial"/>
          <w:i/>
          <w:spacing w:val="-1"/>
          <w:sz w:val="20"/>
        </w:rPr>
        <w:t> </w:t>
      </w:r>
      <w:r>
        <w:rPr>
          <w:rFonts w:ascii="Arial"/>
          <w:i/>
          <w:sz w:val="20"/>
        </w:rPr>
        <w:t>v Amicus Healthcare Ltd</w:t>
      </w:r>
      <w:r>
        <w:rPr>
          <w:sz w:val="20"/>
        </w:rPr>
        <w:t>, above n.463, at [37]; see also at [36] and </w:t>
      </w:r>
      <w:r>
        <w:rPr>
          <w:spacing w:val="-2"/>
          <w:sz w:val="20"/>
        </w:rPr>
        <w:t>[120].</w:t>
      </w:r>
    </w:p>
    <w:p>
      <w:pPr>
        <w:spacing w:after="0"/>
        <w:jc w:val="left"/>
        <w:rPr>
          <w:sz w:val="20"/>
        </w:rPr>
        <w:sectPr>
          <w:pgSz w:w="11900" w:h="16840"/>
          <w:pgMar w:header="971" w:footer="0" w:top="1160" w:bottom="280" w:left="1275" w:right="1275"/>
        </w:sectPr>
      </w:pPr>
    </w:p>
    <w:p>
      <w:pPr>
        <w:pStyle w:val="BodyText"/>
        <w:spacing w:before="84"/>
      </w:pPr>
    </w:p>
    <w:p>
      <w:pPr>
        <w:spacing w:line="235" w:lineRule="auto" w:before="1"/>
        <w:ind w:left="705" w:right="167" w:hanging="541"/>
        <w:jc w:val="both"/>
        <w:rPr>
          <w:sz w:val="20"/>
        </w:rPr>
      </w:pPr>
      <w:hyperlink w:history="true" w:anchor="_bookmark882">
        <w:r>
          <w:rPr>
            <w:color w:val="005DA1"/>
            <w:position w:val="5"/>
            <w:sz w:val="14"/>
            <w:u w:val="single" w:color="005DA1"/>
          </w:rPr>
          <w:t>471</w:t>
        </w:r>
      </w:hyperlink>
      <w:r>
        <w:rPr>
          <w:position w:val="5"/>
          <w:sz w:val="14"/>
        </w:rPr>
        <w:t>.</w:t>
      </w:r>
      <w:r>
        <w:rPr>
          <w:spacing w:val="80"/>
          <w:position w:val="5"/>
          <w:sz w:val="14"/>
        </w:rPr>
        <w:t>  </w:t>
      </w:r>
      <w:r>
        <w:rPr>
          <w:rFonts w:ascii="Arial"/>
          <w:i/>
          <w:sz w:val="20"/>
        </w:rPr>
        <w:t>Evenden</w:t>
      </w:r>
      <w:r>
        <w:rPr>
          <w:rFonts w:ascii="Arial"/>
          <w:i/>
          <w:spacing w:val="-1"/>
          <w:sz w:val="20"/>
        </w:rPr>
        <w:t> </w:t>
      </w:r>
      <w:r>
        <w:rPr>
          <w:rFonts w:ascii="Arial"/>
          <w:i/>
          <w:sz w:val="20"/>
        </w:rPr>
        <w:t>v</w:t>
      </w:r>
      <w:r>
        <w:rPr>
          <w:rFonts w:ascii="Arial"/>
          <w:i/>
          <w:spacing w:val="-1"/>
          <w:sz w:val="20"/>
        </w:rPr>
        <w:t> </w:t>
      </w:r>
      <w:r>
        <w:rPr>
          <w:rFonts w:ascii="Arial"/>
          <w:i/>
          <w:sz w:val="20"/>
        </w:rPr>
        <w:t>Guildford</w:t>
      </w:r>
      <w:r>
        <w:rPr>
          <w:rFonts w:ascii="Arial"/>
          <w:i/>
          <w:spacing w:val="-1"/>
          <w:sz w:val="20"/>
        </w:rPr>
        <w:t> </w:t>
      </w:r>
      <w:r>
        <w:rPr>
          <w:rFonts w:ascii="Arial"/>
          <w:i/>
          <w:sz w:val="20"/>
        </w:rPr>
        <w:t>City</w:t>
      </w:r>
      <w:r>
        <w:rPr>
          <w:rFonts w:ascii="Arial"/>
          <w:i/>
          <w:spacing w:val="-1"/>
          <w:sz w:val="20"/>
        </w:rPr>
        <w:t> </w:t>
      </w:r>
      <w:r>
        <w:rPr>
          <w:rFonts w:ascii="Arial"/>
          <w:i/>
          <w:sz w:val="20"/>
        </w:rPr>
        <w:t>F.C.</w:t>
      </w:r>
      <w:r>
        <w:rPr>
          <w:rFonts w:ascii="Arial"/>
          <w:i/>
          <w:spacing w:val="-1"/>
          <w:sz w:val="20"/>
        </w:rPr>
        <w:t> </w:t>
      </w:r>
      <w:r>
        <w:rPr>
          <w:rFonts w:ascii="Arial"/>
          <w:i/>
          <w:sz w:val="20"/>
        </w:rPr>
        <w:t>[1975]</w:t>
      </w:r>
      <w:r>
        <w:rPr>
          <w:rFonts w:ascii="Arial"/>
          <w:i/>
          <w:spacing w:val="-1"/>
          <w:sz w:val="20"/>
        </w:rPr>
        <w:t> </w:t>
      </w:r>
      <w:r>
        <w:rPr>
          <w:rFonts w:ascii="Arial"/>
          <w:i/>
          <w:sz w:val="20"/>
        </w:rPr>
        <w:t>Q.B.</w:t>
      </w:r>
      <w:r>
        <w:rPr>
          <w:rFonts w:ascii="Arial"/>
          <w:i/>
          <w:spacing w:val="-1"/>
          <w:sz w:val="20"/>
        </w:rPr>
        <w:t> </w:t>
      </w:r>
      <w:r>
        <w:rPr>
          <w:rFonts w:ascii="Arial"/>
          <w:i/>
          <w:sz w:val="20"/>
        </w:rPr>
        <w:t>917,</w:t>
      </w:r>
      <w:r>
        <w:rPr>
          <w:rFonts w:ascii="Arial"/>
          <w:i/>
          <w:spacing w:val="-1"/>
          <w:sz w:val="20"/>
        </w:rPr>
        <w:t> </w:t>
      </w:r>
      <w:r>
        <w:rPr>
          <w:rFonts w:ascii="Arial"/>
          <w:i/>
          <w:sz w:val="20"/>
        </w:rPr>
        <w:t>924,</w:t>
      </w:r>
      <w:r>
        <w:rPr>
          <w:rFonts w:ascii="Arial"/>
          <w:i/>
          <w:spacing w:val="-1"/>
          <w:sz w:val="20"/>
        </w:rPr>
        <w:t> </w:t>
      </w:r>
      <w:r>
        <w:rPr>
          <w:rFonts w:ascii="Arial"/>
          <w:i/>
          <w:sz w:val="20"/>
        </w:rPr>
        <w:t>926</w:t>
      </w:r>
      <w:r>
        <w:rPr>
          <w:rFonts w:ascii="Arial"/>
          <w:i/>
          <w:spacing w:val="-1"/>
          <w:sz w:val="20"/>
        </w:rPr>
        <w:t> </w:t>
      </w:r>
      <w:r>
        <w:rPr>
          <w:sz w:val="20"/>
        </w:rPr>
        <w:t>(actual</w:t>
      </w:r>
      <w:r>
        <w:rPr>
          <w:spacing w:val="-1"/>
          <w:sz w:val="20"/>
        </w:rPr>
        <w:t> </w:t>
      </w:r>
      <w:r>
        <w:rPr>
          <w:sz w:val="20"/>
        </w:rPr>
        <w:t>decision</w:t>
      </w:r>
      <w:r>
        <w:rPr>
          <w:spacing w:val="-1"/>
          <w:sz w:val="20"/>
        </w:rPr>
        <w:t> </w:t>
      </w:r>
      <w:r>
        <w:rPr>
          <w:sz w:val="20"/>
        </w:rPr>
        <w:t>overruled</w:t>
      </w:r>
      <w:r>
        <w:rPr>
          <w:spacing w:val="-1"/>
          <w:sz w:val="20"/>
        </w:rPr>
        <w:t> </w:t>
      </w:r>
      <w:r>
        <w:rPr>
          <w:sz w:val="20"/>
        </w:rPr>
        <w:t>in</w:t>
      </w:r>
      <w:r>
        <w:rPr>
          <w:spacing w:val="-1"/>
          <w:sz w:val="20"/>
        </w:rPr>
        <w:t> </w:t>
      </w:r>
      <w:r>
        <w:rPr>
          <w:rFonts w:ascii="Arial"/>
          <w:i/>
          <w:sz w:val="20"/>
        </w:rPr>
        <w:t>Secretary of State for Employment v Globe Elastic Thread Co Ltd [1980] A.C. 506</w:t>
      </w:r>
      <w:r>
        <w:rPr>
          <w:sz w:val="20"/>
        </w:rPr>
        <w:t>). The view stated in </w:t>
      </w:r>
      <w:r>
        <w:rPr>
          <w:sz w:val="20"/>
        </w:rPr>
        <w:t>the text above was expressed at first instance in </w:t>
      </w:r>
      <w:r>
        <w:rPr>
          <w:rFonts w:ascii="Arial"/>
          <w:i/>
          <w:sz w:val="20"/>
        </w:rPr>
        <w:t>Evans v Amicus Healthcare Ltd [2003] EWHC 2161 (Fam), [2003] 4 All E.R. 903 </w:t>
      </w:r>
      <w:r>
        <w:rPr>
          <w:sz w:val="20"/>
        </w:rPr>
        <w:t>at [304], [305], but the only authority there cited for this view was</w:t>
      </w:r>
      <w:r>
        <w:rPr>
          <w:spacing w:val="-1"/>
          <w:sz w:val="20"/>
        </w:rPr>
        <w:t> </w:t>
      </w:r>
      <w:r>
        <w:rPr>
          <w:sz w:val="20"/>
        </w:rPr>
        <w:t>one</w:t>
      </w:r>
      <w:r>
        <w:rPr>
          <w:spacing w:val="-1"/>
          <w:sz w:val="20"/>
        </w:rPr>
        <w:t> </w:t>
      </w:r>
      <w:r>
        <w:rPr>
          <w:sz w:val="20"/>
        </w:rPr>
        <w:t>of</w:t>
      </w:r>
      <w:r>
        <w:rPr>
          <w:spacing w:val="-1"/>
          <w:sz w:val="20"/>
        </w:rPr>
        <w:t> </w:t>
      </w:r>
      <w:r>
        <w:rPr>
          <w:sz w:val="20"/>
        </w:rPr>
        <w:t>proprietary</w:t>
      </w:r>
      <w:r>
        <w:rPr>
          <w:spacing w:val="-1"/>
          <w:sz w:val="20"/>
        </w:rPr>
        <w:t> </w:t>
      </w:r>
      <w:r>
        <w:rPr>
          <w:sz w:val="20"/>
        </w:rPr>
        <w:t>estoppel,</w:t>
      </w:r>
      <w:r>
        <w:rPr>
          <w:spacing w:val="-1"/>
          <w:sz w:val="20"/>
        </w:rPr>
        <w:t> </w:t>
      </w:r>
      <w:r>
        <w:rPr>
          <w:sz w:val="20"/>
        </w:rPr>
        <w:t>to</w:t>
      </w:r>
      <w:r>
        <w:rPr>
          <w:spacing w:val="-1"/>
          <w:sz w:val="20"/>
        </w:rPr>
        <w:t> </w:t>
      </w:r>
      <w:r>
        <w:rPr>
          <w:sz w:val="20"/>
        </w:rPr>
        <w:t>which</w:t>
      </w:r>
      <w:r>
        <w:rPr>
          <w:spacing w:val="-1"/>
          <w:sz w:val="20"/>
        </w:rPr>
        <w:t> </w:t>
      </w:r>
      <w:r>
        <w:rPr>
          <w:sz w:val="20"/>
        </w:rPr>
        <w:t>the</w:t>
      </w:r>
      <w:r>
        <w:rPr>
          <w:spacing w:val="-1"/>
          <w:sz w:val="20"/>
        </w:rPr>
        <w:t> </w:t>
      </w:r>
      <w:r>
        <w:rPr>
          <w:sz w:val="20"/>
        </w:rPr>
        <w:t>present</w:t>
      </w:r>
      <w:r>
        <w:rPr>
          <w:spacing w:val="-1"/>
          <w:sz w:val="20"/>
        </w:rPr>
        <w:t> </w:t>
      </w:r>
      <w:r>
        <w:rPr>
          <w:sz w:val="20"/>
        </w:rPr>
        <w:t>requirement</w:t>
      </w:r>
      <w:r>
        <w:rPr>
          <w:spacing w:val="-1"/>
          <w:sz w:val="20"/>
        </w:rPr>
        <w:t> </w:t>
      </w:r>
      <w:r>
        <w:rPr>
          <w:sz w:val="20"/>
        </w:rPr>
        <w:t>does</w:t>
      </w:r>
      <w:r>
        <w:rPr>
          <w:spacing w:val="-1"/>
          <w:sz w:val="20"/>
        </w:rPr>
        <w:t> </w:t>
      </w:r>
      <w:r>
        <w:rPr>
          <w:sz w:val="20"/>
        </w:rPr>
        <w:t>not</w:t>
      </w:r>
      <w:r>
        <w:rPr>
          <w:spacing w:val="-1"/>
          <w:sz w:val="20"/>
        </w:rPr>
        <w:t> </w:t>
      </w:r>
      <w:r>
        <w:rPr>
          <w:sz w:val="20"/>
        </w:rPr>
        <w:t>apply</w:t>
      </w:r>
      <w:r>
        <w:rPr>
          <w:spacing w:val="-1"/>
          <w:sz w:val="20"/>
        </w:rPr>
        <w:t> </w:t>
      </w:r>
      <w:r>
        <w:rPr>
          <w:sz w:val="20"/>
        </w:rPr>
        <w:t>as</w:t>
      </w:r>
      <w:r>
        <w:rPr>
          <w:spacing w:val="-1"/>
          <w:sz w:val="20"/>
        </w:rPr>
        <w:t> </w:t>
      </w:r>
      <w:r>
        <w:rPr>
          <w:sz w:val="20"/>
        </w:rPr>
        <w:t>this</w:t>
      </w:r>
      <w:r>
        <w:rPr>
          <w:spacing w:val="-1"/>
          <w:sz w:val="20"/>
        </w:rPr>
        <w:t> </w:t>
      </w:r>
      <w:r>
        <w:rPr>
          <w:sz w:val="20"/>
        </w:rPr>
        <w:t>kind</w:t>
      </w:r>
      <w:r>
        <w:rPr>
          <w:spacing w:val="-1"/>
          <w:sz w:val="20"/>
        </w:rPr>
        <w:t> </w:t>
      </w:r>
      <w:r>
        <w:rPr>
          <w:sz w:val="20"/>
        </w:rPr>
        <w:t>of estoppel can give rise to a cause of action: see below, para.4-183. The </w:t>
      </w:r>
      <w:r>
        <w:rPr>
          <w:rFonts w:ascii="Arial"/>
          <w:i/>
          <w:sz w:val="20"/>
        </w:rPr>
        <w:t>Evans </w:t>
      </w:r>
      <w:r>
        <w:rPr>
          <w:sz w:val="20"/>
        </w:rPr>
        <w:t>case was affirmed on other grounds </w:t>
      </w:r>
      <w:r>
        <w:rPr>
          <w:rFonts w:ascii="Arial"/>
          <w:i/>
          <w:sz w:val="20"/>
        </w:rPr>
        <w:t>[2004] EWCA Civ 727, [2005] Fam. 1</w:t>
      </w:r>
      <w:r>
        <w:rPr>
          <w:sz w:val="20"/>
        </w:rPr>
        <w:t>, above para.4-088. For the position in Australia, see </w:t>
      </w:r>
      <w:r>
        <w:rPr>
          <w:rFonts w:ascii="Arial"/>
          <w:i/>
          <w:sz w:val="20"/>
        </w:rPr>
        <w:t>Waltons Stores (Interstate) Ltd v Maher (1988) 164 C.L.R. 387</w:t>
      </w:r>
      <w:r>
        <w:rPr>
          <w:sz w:val="20"/>
        </w:rPr>
        <w:t>; below, </w:t>
      </w:r>
      <w:r>
        <w:rPr>
          <w:spacing w:val="-2"/>
          <w:sz w:val="20"/>
        </w:rPr>
        <w:t>para.4-107.</w:t>
      </w:r>
    </w:p>
    <w:p>
      <w:pPr>
        <w:pStyle w:val="BodyText"/>
        <w:spacing w:before="6"/>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0112">
            <wp:simplePos x="0" y="0"/>
            <wp:positionH relativeFrom="page">
              <wp:posOffset>1257846</wp:posOffset>
            </wp:positionH>
            <wp:positionV relativeFrom="paragraph">
              <wp:posOffset>160538</wp:posOffset>
            </wp:positionV>
            <wp:extent cx="107988" cy="107988"/>
            <wp:effectExtent l="0" t="0" r="0" b="0"/>
            <wp:wrapNone/>
            <wp:docPr id="193" name="Image 193"/>
            <wp:cNvGraphicFramePr>
              <a:graphicFrameLocks/>
            </wp:cNvGraphicFramePr>
            <a:graphic>
              <a:graphicData uri="http://schemas.openxmlformats.org/drawingml/2006/picture">
                <pic:pic>
                  <pic:nvPicPr>
                    <pic:cNvPr id="193" name="Image 19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107" w:id="1109"/>
      <w:bookmarkEnd w:id="1109"/>
      <w:r>
        <w:rPr/>
      </w:r>
      <w:hyperlink w:history="true" w:anchor="_bookmark883">
        <w:r>
          <w:rPr>
            <w:color w:val="005DA1"/>
            <w:spacing w:val="-4"/>
            <w:sz w:val="14"/>
            <w:u w:val="single" w:color="005DA1"/>
          </w:rPr>
          <w:t>472</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Pacol Ltd v Trade Lines Ltd (The Henrik Sif) [1982] 1 Lloyd’s Rep. 456, 466</w:t>
      </w:r>
      <w:r>
        <w:rPr>
          <w:sz w:val="20"/>
        </w:rPr>
        <w:t>. Some doubt </w:t>
      </w:r>
      <w:r>
        <w:rPr>
          <w:sz w:val="20"/>
        </w:rPr>
        <w:t>as</w:t>
      </w:r>
      <w:r>
        <w:rPr>
          <w:spacing w:val="40"/>
          <w:sz w:val="20"/>
        </w:rPr>
        <w:t> </w:t>
      </w:r>
      <w:r>
        <w:rPr>
          <w:sz w:val="20"/>
        </w:rPr>
        <w:t>to the correctness of this case is expressed by Webster J. (who decided it) in </w:t>
      </w:r>
      <w:r>
        <w:rPr>
          <w:rFonts w:ascii="Arial" w:hAnsi="Arial"/>
          <w:i/>
          <w:sz w:val="20"/>
        </w:rPr>
        <w:t>Shearson</w:t>
      </w:r>
      <w:r>
        <w:rPr>
          <w:rFonts w:ascii="Arial" w:hAnsi="Arial"/>
          <w:i/>
          <w:spacing w:val="40"/>
          <w:sz w:val="20"/>
        </w:rPr>
        <w:t> </w:t>
      </w:r>
      <w:r>
        <w:rPr>
          <w:rFonts w:ascii="Arial" w:hAnsi="Arial"/>
          <w:i/>
          <w:sz w:val="20"/>
        </w:rPr>
        <w:t>Lehman Hutton Inc v MacLaine Watson &amp; Co Ltd [1989] 2 Lloyd’s Rep. 570, 596, 604 </w:t>
      </w:r>
      <w:r>
        <w:rPr>
          <w:sz w:val="20"/>
        </w:rPr>
        <w:t>though the decision was approved on another point in </w:t>
      </w:r>
      <w:r>
        <w:rPr>
          <w:rFonts w:ascii="Arial" w:hAnsi="Arial"/>
          <w:i/>
          <w:sz w:val="20"/>
        </w:rPr>
        <w:t>The Stolt Loyalty [1993] 2 Lloyd’s Rep. 281, 289–290, 291</w:t>
      </w:r>
      <w:r>
        <w:rPr>
          <w:sz w:val="20"/>
        </w:rPr>
        <w:t>, affirmed without reference to this point </w:t>
      </w:r>
      <w:r>
        <w:rPr>
          <w:rFonts w:ascii="Arial" w:hAnsi="Arial"/>
          <w:i/>
          <w:sz w:val="20"/>
        </w:rPr>
        <w:t>[1995] 1 Lloyd’s Rep. 599</w:t>
      </w:r>
      <w:r>
        <w:rPr>
          <w:sz w:val="20"/>
        </w:rPr>
        <w:t>; </w:t>
      </w:r>
      <w:r>
        <w:rPr>
          <w:rFonts w:ascii="Arial" w:hAnsi="Arial"/>
          <w:i/>
          <w:sz w:val="20"/>
        </w:rPr>
        <w:t>Pacol Ltd v Trade Lines Ltd (The Henrik Sif) [1982] 1 Lloyd’s Rep. 456 </w:t>
      </w:r>
      <w:r>
        <w:rPr>
          <w:sz w:val="20"/>
        </w:rPr>
        <w:t>and </w:t>
      </w:r>
      <w:r>
        <w:rPr>
          <w:rFonts w:ascii="Arial" w:hAnsi="Arial"/>
          <w:i/>
          <w:sz w:val="20"/>
        </w:rPr>
        <w:t>The Stolt Loyalty [1993] 2 Lloyd’s Rep. 281 </w:t>
      </w:r>
      <w:r>
        <w:rPr>
          <w:sz w:val="20"/>
        </w:rPr>
        <w:t>were cited without adverse comment in </w:t>
      </w:r>
      <w:r>
        <w:rPr>
          <w:rFonts w:ascii="Arial" w:hAnsi="Arial"/>
          <w:i/>
          <w:sz w:val="20"/>
        </w:rPr>
        <w:t>Costain Ltd v Tarmac Holdings Ltd [2017] EWHC 319 (TCC), [2017] 1 Lloyd’s Rep. 331 </w:t>
      </w:r>
      <w:r>
        <w:rPr>
          <w:sz w:val="20"/>
        </w:rPr>
        <w:t>at [103]-[104], but that discussion is concerned with the scope of the circumstances in which a person may be estopped (by representation or by convention) on the ground of having failed to perform a “duty to speak”:</w:t>
      </w:r>
      <w:r>
        <w:rPr>
          <w:spacing w:val="40"/>
          <w:sz w:val="20"/>
        </w:rPr>
        <w:t> </w:t>
      </w:r>
      <w:r>
        <w:rPr>
          <w:sz w:val="20"/>
        </w:rPr>
        <w:t>see below, para.4-092. There is no reference in the </w:t>
      </w:r>
      <w:r>
        <w:rPr>
          <w:rFonts w:ascii="Arial" w:hAnsi="Arial"/>
          <w:i/>
          <w:sz w:val="20"/>
        </w:rPr>
        <w:t>Costain </w:t>
      </w:r>
      <w:r>
        <w:rPr>
          <w:sz w:val="20"/>
        </w:rPr>
        <w:t>case to the question discussed in Main Work, Vol.I, para.4-089, i.e. whether promissory estoppel can operate where there is no pre-existing legal relationship between the parties and so give rise to a cause of action, as opposed to a defence (on this point, see Main Work Vol.I, para.4-099); see also </w:t>
      </w:r>
      <w:r>
        <w:rPr>
          <w:rFonts w:ascii="Arial" w:hAnsi="Arial"/>
          <w:i/>
          <w:sz w:val="20"/>
        </w:rPr>
        <w:t>Orion Finance Ltd v J. D. Williams &amp; Co Ltd [1997] C.L.Y. 986</w:t>
      </w:r>
      <w:r>
        <w:rPr>
          <w:sz w:val="20"/>
        </w:rPr>
        <w:t>, where no estoppel arose in the absence of a previous legal relationship; </w:t>
      </w:r>
      <w:r>
        <w:rPr>
          <w:rFonts w:ascii="Arial" w:hAnsi="Arial"/>
          <w:i/>
          <w:sz w:val="20"/>
        </w:rPr>
        <w:t>Baird Textile Holdings Ltd v Marks &amp; Spencer plc [2001] EWCA Civ 274; [2002] 1 All E.R. (Comm) 737</w:t>
      </w:r>
      <w:r>
        <w:rPr>
          <w:sz w:val="20"/>
        </w:rPr>
        <w:t>, at [89] apparently doubting some of the reasoning in The Henrik Sif, but not the outcome since there was undoubtedly “a legal relationship … whoever were the parties thereto” (though the difficulty remains that the first defendants, against whom the doctrine was said to operate, were not parties to that relationship).</w:t>
      </w:r>
    </w:p>
    <w:p>
      <w:pPr>
        <w:spacing w:after="0" w:line="235" w:lineRule="auto"/>
        <w:jc w:val="both"/>
        <w:rPr>
          <w:sz w:val="20"/>
        </w:rPr>
        <w:sectPr>
          <w:type w:val="continuous"/>
          <w:pgSz w:w="11900" w:h="16840"/>
          <w:pgMar w:header="971" w:footer="0" w:top="3760" w:bottom="280" w:left="1275" w:right="1275"/>
          <w:cols w:num="2" w:equalWidth="0">
            <w:col w:w="478" w:space="63"/>
            <w:col w:w="8809"/>
          </w:cols>
        </w:sectPr>
      </w:pPr>
    </w:p>
    <w:p>
      <w:pPr>
        <w:tabs>
          <w:tab w:pos="705" w:val="left" w:leader="none"/>
        </w:tabs>
        <w:spacing w:line="227" w:lineRule="exact" w:before="229"/>
        <w:ind w:left="165" w:right="0" w:firstLine="0"/>
        <w:jc w:val="left"/>
        <w:rPr>
          <w:rFonts w:ascii="Arial"/>
          <w:i/>
          <w:sz w:val="20"/>
        </w:rPr>
      </w:pPr>
      <w:bookmarkStart w:name="_bookmark1108" w:id="1110"/>
      <w:bookmarkEnd w:id="1110"/>
      <w:r>
        <w:rPr/>
      </w:r>
      <w:hyperlink w:history="true" w:anchor="_bookmark884">
        <w:r>
          <w:rPr>
            <w:color w:val="005DA1"/>
            <w:spacing w:val="-4"/>
            <w:position w:val="5"/>
            <w:sz w:val="14"/>
            <w:u w:val="single" w:color="005DA1"/>
          </w:rPr>
          <w:t>473</w:t>
        </w:r>
      </w:hyperlink>
      <w:r>
        <w:rPr>
          <w:spacing w:val="-4"/>
          <w:position w:val="5"/>
          <w:sz w:val="14"/>
        </w:rPr>
        <w:t>.</w:t>
      </w:r>
      <w:r>
        <w:rPr>
          <w:position w:val="5"/>
          <w:sz w:val="14"/>
        </w:rPr>
        <w:tab/>
      </w:r>
      <w:r>
        <w:rPr>
          <w:rFonts w:ascii="Arial"/>
          <w:i/>
          <w:sz w:val="20"/>
        </w:rPr>
        <w:t>James</w:t>
      </w:r>
      <w:r>
        <w:rPr>
          <w:rFonts w:ascii="Arial"/>
          <w:i/>
          <w:spacing w:val="19"/>
          <w:sz w:val="20"/>
        </w:rPr>
        <w:t> </w:t>
      </w:r>
      <w:r>
        <w:rPr>
          <w:rFonts w:ascii="Arial"/>
          <w:i/>
          <w:sz w:val="20"/>
        </w:rPr>
        <w:t>v</w:t>
      </w:r>
      <w:r>
        <w:rPr>
          <w:rFonts w:ascii="Arial"/>
          <w:i/>
          <w:spacing w:val="20"/>
          <w:sz w:val="20"/>
        </w:rPr>
        <w:t> </w:t>
      </w:r>
      <w:r>
        <w:rPr>
          <w:rFonts w:ascii="Arial"/>
          <w:i/>
          <w:sz w:val="20"/>
        </w:rPr>
        <w:t>Heim</w:t>
      </w:r>
      <w:r>
        <w:rPr>
          <w:rFonts w:ascii="Arial"/>
          <w:i/>
          <w:spacing w:val="20"/>
          <w:sz w:val="20"/>
        </w:rPr>
        <w:t> </w:t>
      </w:r>
      <w:r>
        <w:rPr>
          <w:rFonts w:ascii="Arial"/>
          <w:i/>
          <w:sz w:val="20"/>
        </w:rPr>
        <w:t>Galleries</w:t>
      </w:r>
      <w:r>
        <w:rPr>
          <w:rFonts w:ascii="Arial"/>
          <w:i/>
          <w:spacing w:val="20"/>
          <w:sz w:val="20"/>
        </w:rPr>
        <w:t> </w:t>
      </w:r>
      <w:r>
        <w:rPr>
          <w:rFonts w:ascii="Arial"/>
          <w:i/>
          <w:sz w:val="20"/>
        </w:rPr>
        <w:t>(1980)</w:t>
      </w:r>
      <w:r>
        <w:rPr>
          <w:rFonts w:ascii="Arial"/>
          <w:i/>
          <w:spacing w:val="20"/>
          <w:sz w:val="20"/>
        </w:rPr>
        <w:t> </w:t>
      </w:r>
      <w:r>
        <w:rPr>
          <w:rFonts w:ascii="Arial"/>
          <w:i/>
          <w:sz w:val="20"/>
        </w:rPr>
        <w:t>256</w:t>
      </w:r>
      <w:r>
        <w:rPr>
          <w:rFonts w:ascii="Arial"/>
          <w:i/>
          <w:spacing w:val="20"/>
          <w:sz w:val="20"/>
        </w:rPr>
        <w:t> </w:t>
      </w:r>
      <w:r>
        <w:rPr>
          <w:rFonts w:ascii="Arial"/>
          <w:i/>
          <w:sz w:val="20"/>
        </w:rPr>
        <w:t>E.G.</w:t>
      </w:r>
      <w:r>
        <w:rPr>
          <w:rFonts w:ascii="Arial"/>
          <w:i/>
          <w:spacing w:val="20"/>
          <w:sz w:val="20"/>
        </w:rPr>
        <w:t> </w:t>
      </w:r>
      <w:r>
        <w:rPr>
          <w:rFonts w:ascii="Arial"/>
          <w:i/>
          <w:sz w:val="20"/>
        </w:rPr>
        <w:t>819,</w:t>
      </w:r>
      <w:r>
        <w:rPr>
          <w:rFonts w:ascii="Arial"/>
          <w:i/>
          <w:spacing w:val="20"/>
          <w:sz w:val="20"/>
        </w:rPr>
        <w:t> </w:t>
      </w:r>
      <w:r>
        <w:rPr>
          <w:rFonts w:ascii="Arial"/>
          <w:i/>
          <w:sz w:val="20"/>
        </w:rPr>
        <w:t>821</w:t>
      </w:r>
      <w:r>
        <w:rPr>
          <w:sz w:val="20"/>
        </w:rPr>
        <w:t>;</w:t>
      </w:r>
      <w:r>
        <w:rPr>
          <w:spacing w:val="20"/>
          <w:sz w:val="20"/>
        </w:rPr>
        <w:t> </w:t>
      </w:r>
      <w:r>
        <w:rPr>
          <w:rFonts w:ascii="Arial"/>
          <w:i/>
          <w:sz w:val="20"/>
        </w:rPr>
        <w:t>Collin</w:t>
      </w:r>
      <w:r>
        <w:rPr>
          <w:rFonts w:ascii="Arial"/>
          <w:i/>
          <w:spacing w:val="20"/>
          <w:sz w:val="20"/>
        </w:rPr>
        <w:t> </w:t>
      </w:r>
      <w:r>
        <w:rPr>
          <w:rFonts w:ascii="Arial"/>
          <w:i/>
          <w:sz w:val="20"/>
        </w:rPr>
        <w:t>v</w:t>
      </w:r>
      <w:r>
        <w:rPr>
          <w:rFonts w:ascii="Arial"/>
          <w:i/>
          <w:spacing w:val="20"/>
          <w:sz w:val="20"/>
        </w:rPr>
        <w:t> </w:t>
      </w:r>
      <w:r>
        <w:rPr>
          <w:rFonts w:ascii="Arial"/>
          <w:i/>
          <w:sz w:val="20"/>
        </w:rPr>
        <w:t>Duke</w:t>
      </w:r>
      <w:r>
        <w:rPr>
          <w:rFonts w:ascii="Arial"/>
          <w:i/>
          <w:spacing w:val="20"/>
          <w:sz w:val="20"/>
        </w:rPr>
        <w:t> </w:t>
      </w:r>
      <w:r>
        <w:rPr>
          <w:rFonts w:ascii="Arial"/>
          <w:i/>
          <w:sz w:val="20"/>
        </w:rPr>
        <w:t>of</w:t>
      </w:r>
      <w:r>
        <w:rPr>
          <w:rFonts w:ascii="Arial"/>
          <w:i/>
          <w:spacing w:val="20"/>
          <w:sz w:val="20"/>
        </w:rPr>
        <w:t> </w:t>
      </w:r>
      <w:r>
        <w:rPr>
          <w:rFonts w:ascii="Arial"/>
          <w:i/>
          <w:sz w:val="20"/>
        </w:rPr>
        <w:t>Westminster</w:t>
      </w:r>
      <w:r>
        <w:rPr>
          <w:rFonts w:ascii="Arial"/>
          <w:i/>
          <w:spacing w:val="20"/>
          <w:sz w:val="20"/>
        </w:rPr>
        <w:t> </w:t>
      </w:r>
      <w:r>
        <w:rPr>
          <w:rFonts w:ascii="Arial"/>
          <w:i/>
          <w:sz w:val="20"/>
        </w:rPr>
        <w:t>[1985]</w:t>
      </w:r>
      <w:r>
        <w:rPr>
          <w:rFonts w:ascii="Arial"/>
          <w:i/>
          <w:spacing w:val="20"/>
          <w:sz w:val="20"/>
        </w:rPr>
        <w:t> </w:t>
      </w:r>
      <w:r>
        <w:rPr>
          <w:rFonts w:ascii="Arial"/>
          <w:i/>
          <w:spacing w:val="-4"/>
          <w:sz w:val="20"/>
        </w:rPr>
        <w:t>Q.B.</w:t>
      </w:r>
    </w:p>
    <w:p>
      <w:pPr>
        <w:spacing w:line="235" w:lineRule="auto" w:before="1"/>
        <w:ind w:left="705" w:right="167" w:firstLine="0"/>
        <w:jc w:val="both"/>
        <w:rPr>
          <w:sz w:val="20"/>
        </w:rPr>
      </w:pPr>
      <w:r>
        <w:rPr>
          <w:rFonts w:ascii="Arial" w:hAnsi="Arial"/>
          <w:i/>
          <w:sz w:val="20"/>
        </w:rPr>
        <w:t>581, 595</w:t>
      </w:r>
      <w:r>
        <w:rPr>
          <w:sz w:val="20"/>
        </w:rPr>
        <w:t>. See also </w:t>
      </w:r>
      <w:r>
        <w:rPr>
          <w:rFonts w:ascii="Arial" w:hAnsi="Arial"/>
          <w:i/>
          <w:sz w:val="20"/>
        </w:rPr>
        <w:t>Kim v Chasewood Park Residents Ltd [2013] EWCA Civ 239, [2013] H.L.R. 24 </w:t>
      </w:r>
      <w:r>
        <w:rPr>
          <w:sz w:val="20"/>
        </w:rPr>
        <w:t>where a letter to tenants of flats setting out the benefits to be obtained from a scheme </w:t>
      </w:r>
      <w:r>
        <w:rPr>
          <w:sz w:val="20"/>
        </w:rPr>
        <w:t>for acquiring the interest of a superior leaseholder was held not to give rise to a promissory estoppel (at [34]) because, on its true construction, it “did not promise anything” (at [31]).</w:t>
      </w:r>
    </w:p>
    <w:p>
      <w:pPr>
        <w:pStyle w:val="BodyText"/>
        <w:spacing w:before="8"/>
      </w:pPr>
    </w:p>
    <w:p>
      <w:pPr>
        <w:tabs>
          <w:tab w:pos="705" w:val="left" w:leader="none"/>
        </w:tabs>
        <w:spacing w:line="235" w:lineRule="auto" w:before="1"/>
        <w:ind w:left="705" w:right="168" w:hanging="541"/>
        <w:jc w:val="left"/>
        <w:rPr>
          <w:sz w:val="20"/>
        </w:rPr>
      </w:pPr>
      <w:bookmarkStart w:name="_bookmark1109" w:id="1111"/>
      <w:bookmarkEnd w:id="1111"/>
      <w:r>
        <w:rPr/>
      </w:r>
      <w:hyperlink w:history="true" w:anchor="_bookmark885">
        <w:r>
          <w:rPr>
            <w:color w:val="005DA1"/>
            <w:spacing w:val="-4"/>
            <w:position w:val="5"/>
            <w:sz w:val="14"/>
            <w:u w:val="single" w:color="005DA1"/>
          </w:rPr>
          <w:t>474</w:t>
        </w:r>
      </w:hyperlink>
      <w:r>
        <w:rPr>
          <w:spacing w:val="-4"/>
          <w:position w:val="5"/>
          <w:sz w:val="14"/>
        </w:rPr>
        <w:t>.</w:t>
      </w:r>
      <w:r>
        <w:rPr>
          <w:position w:val="5"/>
          <w:sz w:val="14"/>
        </w:rPr>
        <w:tab/>
      </w:r>
      <w:r>
        <w:rPr>
          <w:rFonts w:ascii="Arial"/>
          <w:i/>
          <w:sz w:val="20"/>
        </w:rPr>
        <w:t>Central London Property Trust Ltd v High Trees House Ltd [1947] K.B. 130 </w:t>
      </w:r>
      <w:r>
        <w:rPr>
          <w:sz w:val="20"/>
        </w:rPr>
        <w:t>at 134; </w:t>
      </w:r>
      <w:r>
        <w:rPr>
          <w:rFonts w:ascii="Arial"/>
          <w:i/>
          <w:sz w:val="20"/>
        </w:rPr>
        <w:t>Spence v</w:t>
      </w:r>
      <w:r>
        <w:rPr>
          <w:rFonts w:ascii="Arial"/>
          <w:i/>
          <w:spacing w:val="80"/>
          <w:sz w:val="20"/>
        </w:rPr>
        <w:t> </w:t>
      </w:r>
      <w:r>
        <w:rPr>
          <w:rFonts w:ascii="Arial"/>
          <w:i/>
          <w:sz w:val="20"/>
        </w:rPr>
        <w:t>Shell (1980) 256 E.G. 55, 63</w:t>
      </w:r>
      <w:r>
        <w:rPr>
          <w:sz w:val="20"/>
        </w:rPr>
        <w:t>; </w:t>
      </w:r>
      <w:r>
        <w:rPr>
          <w:rFonts w:ascii="Arial"/>
          <w:i/>
          <w:sz w:val="20"/>
        </w:rPr>
        <w:t>Baird Textile </w:t>
      </w:r>
      <w:r>
        <w:rPr>
          <w:sz w:val="20"/>
        </w:rPr>
        <w:t>case, above n.467, at [92].</w:t>
      </w:r>
    </w:p>
    <w:p>
      <w:pPr>
        <w:pStyle w:val="BodyText"/>
        <w:spacing w:before="5"/>
      </w:pPr>
    </w:p>
    <w:p>
      <w:pPr>
        <w:pStyle w:val="BodyText"/>
        <w:tabs>
          <w:tab w:pos="705" w:val="left" w:leader="none"/>
        </w:tabs>
        <w:ind w:left="165"/>
      </w:pPr>
      <w:bookmarkStart w:name="_bookmark1110" w:id="1112"/>
      <w:bookmarkEnd w:id="1112"/>
      <w:r>
        <w:rPr/>
      </w:r>
      <w:hyperlink w:history="true" w:anchor="_bookmark886">
        <w:r>
          <w:rPr>
            <w:color w:val="005DA1"/>
            <w:spacing w:val="-4"/>
            <w:position w:val="5"/>
            <w:sz w:val="14"/>
            <w:u w:val="single" w:color="005DA1"/>
          </w:rPr>
          <w:t>475</w:t>
        </w:r>
      </w:hyperlink>
      <w:r>
        <w:rPr>
          <w:spacing w:val="-4"/>
          <w:position w:val="5"/>
          <w:sz w:val="14"/>
        </w:rPr>
        <w:t>.</w:t>
      </w:r>
      <w:r>
        <w:rPr>
          <w:position w:val="5"/>
          <w:sz w:val="14"/>
        </w:rPr>
        <w:tab/>
      </w:r>
      <w:r>
        <w:rPr/>
        <w:t>Or that he will not rely on an available defence: below para.4-</w:t>
      </w:r>
      <w:r>
        <w:rPr>
          <w:spacing w:val="-4"/>
        </w:rPr>
        <w:t>102.</w:t>
      </w:r>
    </w:p>
    <w:p>
      <w:pPr>
        <w:pStyle w:val="BodyText"/>
        <w:spacing w:before="9"/>
      </w:pPr>
    </w:p>
    <w:p>
      <w:pPr>
        <w:spacing w:line="235" w:lineRule="auto" w:before="0"/>
        <w:ind w:left="705" w:right="167" w:hanging="541"/>
        <w:jc w:val="both"/>
        <w:rPr>
          <w:sz w:val="20"/>
        </w:rPr>
      </w:pPr>
      <w:bookmarkStart w:name="_bookmark1111" w:id="1113"/>
      <w:bookmarkEnd w:id="1113"/>
      <w:r>
        <w:rPr/>
      </w:r>
      <w:hyperlink w:history="true" w:anchor="_bookmark887">
        <w:r>
          <w:rPr>
            <w:color w:val="005DA1"/>
            <w:position w:val="5"/>
            <w:sz w:val="14"/>
            <w:u w:val="single" w:color="005DA1"/>
          </w:rPr>
          <w:t>476</w:t>
        </w:r>
      </w:hyperlink>
      <w:r>
        <w:rPr>
          <w:position w:val="5"/>
          <w:sz w:val="14"/>
        </w:rPr>
        <w:t>.</w:t>
      </w:r>
      <w:r>
        <w:rPr>
          <w:spacing w:val="80"/>
          <w:position w:val="5"/>
          <w:sz w:val="14"/>
        </w:rPr>
        <w:t>  </w:t>
      </w:r>
      <w:r>
        <w:rPr>
          <w:rFonts w:ascii="Arial" w:hAnsi="Arial"/>
          <w:i/>
          <w:sz w:val="20"/>
        </w:rPr>
        <w:t>Bremer</w:t>
      </w:r>
      <w:r>
        <w:rPr>
          <w:rFonts w:ascii="Arial" w:hAnsi="Arial"/>
          <w:i/>
          <w:spacing w:val="36"/>
          <w:sz w:val="20"/>
        </w:rPr>
        <w:t> </w:t>
      </w:r>
      <w:r>
        <w:rPr>
          <w:rFonts w:ascii="Arial" w:hAnsi="Arial"/>
          <w:i/>
          <w:sz w:val="20"/>
        </w:rPr>
        <w:t>Handelsgesellschaft</w:t>
      </w:r>
      <w:r>
        <w:rPr>
          <w:rFonts w:ascii="Arial" w:hAnsi="Arial"/>
          <w:i/>
          <w:spacing w:val="36"/>
          <w:sz w:val="20"/>
        </w:rPr>
        <w:t> </w:t>
      </w:r>
      <w:r>
        <w:rPr>
          <w:rFonts w:ascii="Arial" w:hAnsi="Arial"/>
          <w:i/>
          <w:sz w:val="20"/>
        </w:rPr>
        <w:t>mbH</w:t>
      </w:r>
      <w:r>
        <w:rPr>
          <w:rFonts w:ascii="Arial" w:hAnsi="Arial"/>
          <w:i/>
          <w:spacing w:val="36"/>
          <w:sz w:val="20"/>
        </w:rPr>
        <w:t> </w:t>
      </w:r>
      <w:r>
        <w:rPr>
          <w:rFonts w:ascii="Arial" w:hAnsi="Arial"/>
          <w:i/>
          <w:sz w:val="20"/>
        </w:rPr>
        <w:t>v</w:t>
      </w:r>
      <w:r>
        <w:rPr>
          <w:rFonts w:ascii="Arial" w:hAnsi="Arial"/>
          <w:i/>
          <w:spacing w:val="36"/>
          <w:sz w:val="20"/>
        </w:rPr>
        <w:t> </w:t>
      </w:r>
      <w:r>
        <w:rPr>
          <w:rFonts w:ascii="Arial" w:hAnsi="Arial"/>
          <w:i/>
          <w:sz w:val="20"/>
        </w:rPr>
        <w:t>Vanden</w:t>
      </w:r>
      <w:r>
        <w:rPr>
          <w:rFonts w:ascii="Arial" w:hAnsi="Arial"/>
          <w:i/>
          <w:spacing w:val="36"/>
          <w:sz w:val="20"/>
        </w:rPr>
        <w:t> </w:t>
      </w:r>
      <w:r>
        <w:rPr>
          <w:rFonts w:ascii="Arial" w:hAnsi="Arial"/>
          <w:i/>
          <w:sz w:val="20"/>
        </w:rPr>
        <w:t>Avenne-Izegem</w:t>
      </w:r>
      <w:r>
        <w:rPr>
          <w:rFonts w:ascii="Arial" w:hAnsi="Arial"/>
          <w:i/>
          <w:spacing w:val="36"/>
          <w:sz w:val="20"/>
        </w:rPr>
        <w:t> </w:t>
      </w:r>
      <w:r>
        <w:rPr>
          <w:rFonts w:ascii="Arial" w:hAnsi="Arial"/>
          <w:i/>
          <w:sz w:val="20"/>
        </w:rPr>
        <w:t>P.V.B.A.</w:t>
      </w:r>
      <w:r>
        <w:rPr>
          <w:rFonts w:ascii="Arial" w:hAnsi="Arial"/>
          <w:i/>
          <w:spacing w:val="36"/>
          <w:sz w:val="20"/>
        </w:rPr>
        <w:t> </w:t>
      </w:r>
      <w:r>
        <w:rPr>
          <w:rFonts w:ascii="Arial" w:hAnsi="Arial"/>
          <w:i/>
          <w:sz w:val="20"/>
        </w:rPr>
        <w:t>[1978]</w:t>
      </w:r>
      <w:r>
        <w:rPr>
          <w:rFonts w:ascii="Arial" w:hAnsi="Arial"/>
          <w:i/>
          <w:spacing w:val="36"/>
          <w:sz w:val="20"/>
        </w:rPr>
        <w:t> </w:t>
      </w:r>
      <w:r>
        <w:rPr>
          <w:rFonts w:ascii="Arial" w:hAnsi="Arial"/>
          <w:i/>
          <w:sz w:val="20"/>
        </w:rPr>
        <w:t>2</w:t>
      </w:r>
      <w:r>
        <w:rPr>
          <w:rFonts w:ascii="Arial" w:hAnsi="Arial"/>
          <w:i/>
          <w:spacing w:val="36"/>
          <w:sz w:val="20"/>
        </w:rPr>
        <w:t> </w:t>
      </w:r>
      <w:r>
        <w:rPr>
          <w:rFonts w:ascii="Arial" w:hAnsi="Arial"/>
          <w:i/>
          <w:sz w:val="20"/>
        </w:rPr>
        <w:t>Lloyd’s</w:t>
      </w:r>
      <w:r>
        <w:rPr>
          <w:rFonts w:ascii="Arial" w:hAnsi="Arial"/>
          <w:i/>
          <w:spacing w:val="36"/>
          <w:sz w:val="20"/>
        </w:rPr>
        <w:t> </w:t>
      </w:r>
      <w:r>
        <w:rPr>
          <w:rFonts w:ascii="Arial" w:hAnsi="Arial"/>
          <w:i/>
          <w:sz w:val="20"/>
        </w:rPr>
        <w:t>Rep. 109, 126</w:t>
      </w:r>
      <w:r>
        <w:rPr>
          <w:sz w:val="20"/>
        </w:rPr>
        <w:t>; </w:t>
      </w:r>
      <w:r>
        <w:rPr>
          <w:rFonts w:ascii="Arial" w:hAnsi="Arial"/>
          <w:i/>
          <w:sz w:val="20"/>
        </w:rPr>
        <w:t>Bremer Handelsgesellschaft mbH v C. Mackprang Jr. [1979] 1 Lloyd’s Rep. 221</w:t>
      </w:r>
      <w:r>
        <w:rPr>
          <w:rFonts w:ascii="Arial" w:hAnsi="Arial"/>
          <w:i/>
          <w:spacing w:val="-1"/>
          <w:sz w:val="20"/>
        </w:rPr>
        <w:t> </w:t>
      </w:r>
      <w:r>
        <w:rPr>
          <w:sz w:val="20"/>
        </w:rPr>
        <w:t>(both these cases concerned “waiver”); cf. below, n.474.</w:t>
      </w:r>
    </w:p>
    <w:p>
      <w:pPr>
        <w:pStyle w:val="BodyText"/>
        <w:spacing w:before="5"/>
      </w:pPr>
    </w:p>
    <w:p>
      <w:pPr>
        <w:tabs>
          <w:tab w:pos="705" w:val="left" w:leader="none"/>
        </w:tabs>
        <w:spacing w:before="0"/>
        <w:ind w:left="165" w:right="0" w:firstLine="0"/>
        <w:jc w:val="left"/>
        <w:rPr>
          <w:sz w:val="20"/>
        </w:rPr>
      </w:pPr>
      <w:bookmarkStart w:name="_bookmark1112" w:id="1114"/>
      <w:bookmarkEnd w:id="1114"/>
      <w:r>
        <w:rPr/>
      </w:r>
      <w:hyperlink w:history="true" w:anchor="_bookmark888">
        <w:r>
          <w:rPr>
            <w:color w:val="005DA1"/>
            <w:spacing w:val="-4"/>
            <w:position w:val="5"/>
            <w:sz w:val="14"/>
            <w:u w:val="single" w:color="005DA1"/>
          </w:rPr>
          <w:t>477</w:t>
        </w:r>
      </w:hyperlink>
      <w:r>
        <w:rPr>
          <w:spacing w:val="-4"/>
          <w:position w:val="5"/>
          <w:sz w:val="14"/>
        </w:rPr>
        <w:t>.</w:t>
      </w:r>
      <w:r>
        <w:rPr>
          <w:position w:val="5"/>
          <w:sz w:val="14"/>
        </w:rPr>
        <w:tab/>
      </w:r>
      <w:r>
        <w:rPr>
          <w:rFonts w:ascii="Arial" w:hAnsi="Arial"/>
          <w:i/>
          <w:sz w:val="20"/>
        </w:rPr>
        <w:t>Drexel Burnham Lambert International NV v El Nasr [1986] 1 Lloyd’s Rep. </w:t>
      </w:r>
      <w:r>
        <w:rPr>
          <w:rFonts w:ascii="Arial" w:hAnsi="Arial"/>
          <w:i/>
          <w:spacing w:val="-4"/>
          <w:sz w:val="20"/>
        </w:rPr>
        <w:t>357</w:t>
      </w:r>
      <w:r>
        <w:rPr>
          <w:spacing w:val="-4"/>
          <w:sz w:val="20"/>
        </w:rPr>
        <w:t>.</w:t>
      </w: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0624">
            <wp:simplePos x="0" y="0"/>
            <wp:positionH relativeFrom="page">
              <wp:posOffset>1257846</wp:posOffset>
            </wp:positionH>
            <wp:positionV relativeFrom="paragraph">
              <wp:posOffset>160280</wp:posOffset>
            </wp:positionV>
            <wp:extent cx="107988" cy="107988"/>
            <wp:effectExtent l="0" t="0" r="0" b="0"/>
            <wp:wrapNone/>
            <wp:docPr id="194" name="Image 194"/>
            <wp:cNvGraphicFramePr>
              <a:graphicFrameLocks/>
            </wp:cNvGraphicFramePr>
            <a:graphic>
              <a:graphicData uri="http://schemas.openxmlformats.org/drawingml/2006/picture">
                <pic:pic>
                  <pic:nvPicPr>
                    <pic:cNvPr id="194" name="Image 19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113" w:id="1115"/>
      <w:bookmarkEnd w:id="1115"/>
      <w:r>
        <w:rPr/>
      </w:r>
      <w:hyperlink w:history="true" w:anchor="_bookmark889">
        <w:r>
          <w:rPr>
            <w:color w:val="005DA1"/>
            <w:spacing w:val="-4"/>
            <w:sz w:val="14"/>
            <w:u w:val="single" w:color="005DA1"/>
          </w:rPr>
          <w:t>478</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Low v Bouverie [1891] 3 Ch. 82, 106</w:t>
      </w:r>
      <w:r>
        <w:rPr>
          <w:sz w:val="20"/>
        </w:rPr>
        <w:t>; </w:t>
      </w:r>
      <w:r>
        <w:rPr>
          <w:rFonts w:ascii="Arial" w:hAnsi="Arial"/>
          <w:i/>
          <w:sz w:val="20"/>
        </w:rPr>
        <w:t>Woodhouse A.C. Israel Cocoa Ltd SA v </w:t>
      </w:r>
      <w:r>
        <w:rPr>
          <w:rFonts w:ascii="Arial" w:hAnsi="Arial"/>
          <w:i/>
          <w:sz w:val="20"/>
        </w:rPr>
        <w:t>Nigerian Produce Marketing Co Ltd [1972] A.C. 741</w:t>
      </w:r>
      <w:r>
        <w:rPr>
          <w:sz w:val="20"/>
        </w:rPr>
        <w:t>; </w:t>
      </w:r>
      <w:r>
        <w:rPr>
          <w:rFonts w:ascii="Arial" w:hAnsi="Arial"/>
          <w:i/>
          <w:sz w:val="20"/>
        </w:rPr>
        <w:t>The Shackleford [1978] 2 Lloyd’s Rep. 155, 159</w:t>
      </w:r>
      <w:r>
        <w:rPr>
          <w:sz w:val="20"/>
        </w:rPr>
        <w:t>; </w:t>
      </w:r>
      <w:r>
        <w:rPr>
          <w:rFonts w:ascii="Arial" w:hAnsi="Arial"/>
          <w:i/>
          <w:sz w:val="20"/>
        </w:rPr>
        <w:t>Channel Island Ferries Ltd v Sealink UK Ltd [1987] 1 Lloyd’s Rep. 559, 580</w:t>
      </w:r>
      <w:r>
        <w:rPr>
          <w:sz w:val="20"/>
        </w:rPr>
        <w:t>, affirmed without reference to this point </w:t>
      </w:r>
      <w:r>
        <w:rPr>
          <w:rFonts w:ascii="Arial" w:hAnsi="Arial"/>
          <w:i/>
          <w:sz w:val="20"/>
        </w:rPr>
        <w:t>[1988] 1 Lloyd’s Rep. 323</w:t>
      </w:r>
      <w:r>
        <w:rPr>
          <w:sz w:val="20"/>
        </w:rPr>
        <w:t>; </w:t>
      </w:r>
      <w:r>
        <w:rPr>
          <w:rFonts w:ascii="Arial" w:hAnsi="Arial"/>
          <w:i/>
          <w:sz w:val="20"/>
        </w:rPr>
        <w:t>Kim v Chasewood Park Residents Ltd [2013] 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239,</w:t>
      </w:r>
      <w:r>
        <w:rPr>
          <w:rFonts w:ascii="Arial" w:hAnsi="Arial"/>
          <w:i/>
          <w:spacing w:val="-1"/>
          <w:sz w:val="20"/>
        </w:rPr>
        <w:t> </w:t>
      </w:r>
      <w:r>
        <w:rPr>
          <w:rFonts w:ascii="Arial" w:hAnsi="Arial"/>
          <w:i/>
          <w:sz w:val="20"/>
        </w:rPr>
        <w:t>[2013]</w:t>
      </w:r>
      <w:r>
        <w:rPr>
          <w:rFonts w:ascii="Arial" w:hAnsi="Arial"/>
          <w:i/>
          <w:spacing w:val="-1"/>
          <w:sz w:val="20"/>
        </w:rPr>
        <w:t> </w:t>
      </w:r>
      <w:r>
        <w:rPr>
          <w:rFonts w:ascii="Arial" w:hAnsi="Arial"/>
          <w:i/>
          <w:sz w:val="20"/>
        </w:rPr>
        <w:t>H.L.R.</w:t>
      </w:r>
      <w:r>
        <w:rPr>
          <w:rFonts w:ascii="Arial" w:hAnsi="Arial"/>
          <w:i/>
          <w:spacing w:val="-1"/>
          <w:sz w:val="20"/>
        </w:rPr>
        <w:t> </w:t>
      </w:r>
      <w:r>
        <w:rPr>
          <w:rFonts w:ascii="Arial" w:hAnsi="Arial"/>
          <w:i/>
          <w:sz w:val="20"/>
        </w:rPr>
        <w:t>24</w:t>
      </w:r>
      <w:r>
        <w:rPr>
          <w:rFonts w:ascii="Arial" w:hAnsi="Arial"/>
          <w:i/>
          <w:spacing w:val="-1"/>
          <w:sz w:val="20"/>
        </w:rPr>
        <w:t> </w:t>
      </w:r>
      <w:r>
        <w:rPr>
          <w:sz w:val="20"/>
        </w:rPr>
        <w:t>at</w:t>
      </w:r>
      <w:r>
        <w:rPr>
          <w:spacing w:val="-1"/>
          <w:sz w:val="20"/>
        </w:rPr>
        <w:t> </w:t>
      </w:r>
      <w:r>
        <w:rPr>
          <w:sz w:val="20"/>
        </w:rPr>
        <w:t>[23]–[26];</w:t>
      </w:r>
      <w:r>
        <w:rPr>
          <w:spacing w:val="-1"/>
          <w:sz w:val="20"/>
        </w:rPr>
        <w:t> </w:t>
      </w:r>
      <w:r>
        <w:rPr>
          <w:sz w:val="20"/>
        </w:rPr>
        <w:t>for</w:t>
      </w:r>
      <w:r>
        <w:rPr>
          <w:spacing w:val="-1"/>
          <w:sz w:val="20"/>
        </w:rPr>
        <w:t> </w:t>
      </w:r>
      <w:r>
        <w:rPr>
          <w:sz w:val="20"/>
        </w:rPr>
        <w:t>the</w:t>
      </w:r>
      <w:r>
        <w:rPr>
          <w:spacing w:val="-1"/>
          <w:sz w:val="20"/>
        </w:rPr>
        <w:t> </w:t>
      </w:r>
      <w:r>
        <w:rPr>
          <w:sz w:val="20"/>
        </w:rPr>
        <w:t>actual</w:t>
      </w:r>
      <w:r>
        <w:rPr>
          <w:spacing w:val="-1"/>
          <w:sz w:val="20"/>
        </w:rPr>
        <w:t> </w:t>
      </w:r>
      <w:r>
        <w:rPr>
          <w:sz w:val="20"/>
        </w:rPr>
        <w:t>ground</w:t>
      </w:r>
      <w:r>
        <w:rPr>
          <w:spacing w:val="-1"/>
          <w:sz w:val="20"/>
        </w:rPr>
        <w:t> </w:t>
      </w:r>
      <w:r>
        <w:rPr>
          <w:sz w:val="20"/>
        </w:rPr>
        <w:t>for</w:t>
      </w:r>
      <w:r>
        <w:rPr>
          <w:spacing w:val="-1"/>
          <w:sz w:val="20"/>
        </w:rPr>
        <w:t> </w:t>
      </w:r>
      <w:r>
        <w:rPr>
          <w:sz w:val="20"/>
        </w:rPr>
        <w:t>this</w:t>
      </w:r>
      <w:r>
        <w:rPr>
          <w:spacing w:val="-1"/>
          <w:sz w:val="20"/>
        </w:rPr>
        <w:t> </w:t>
      </w:r>
      <w:r>
        <w:rPr>
          <w:sz w:val="20"/>
        </w:rPr>
        <w:t>decision,</w:t>
      </w:r>
      <w:r>
        <w:rPr>
          <w:spacing w:val="-1"/>
          <w:sz w:val="20"/>
        </w:rPr>
        <w:t> </w:t>
      </w:r>
      <w:r>
        <w:rPr>
          <w:sz w:val="20"/>
        </w:rPr>
        <w:t>see</w:t>
      </w:r>
      <w:r>
        <w:rPr>
          <w:spacing w:val="-1"/>
          <w:sz w:val="20"/>
        </w:rPr>
        <w:t> </w:t>
      </w:r>
      <w:r>
        <w:rPr>
          <w:sz w:val="20"/>
        </w:rPr>
        <w:t>above, para.4-090 n.468. The requirement that, for the purpose of an estoppel by representation, the representation</w:t>
      </w:r>
      <w:r>
        <w:rPr>
          <w:spacing w:val="-2"/>
          <w:sz w:val="20"/>
        </w:rPr>
        <w:t> </w:t>
      </w:r>
      <w:r>
        <w:rPr>
          <w:sz w:val="20"/>
        </w:rPr>
        <w:t>must</w:t>
      </w:r>
      <w:r>
        <w:rPr>
          <w:spacing w:val="-2"/>
          <w:sz w:val="20"/>
        </w:rPr>
        <w:t> </w:t>
      </w:r>
      <w:r>
        <w:rPr>
          <w:sz w:val="20"/>
        </w:rPr>
        <w:t>be</w:t>
      </w:r>
      <w:r>
        <w:rPr>
          <w:spacing w:val="-2"/>
          <w:sz w:val="20"/>
        </w:rPr>
        <w:t> </w:t>
      </w:r>
      <w:r>
        <w:rPr>
          <w:sz w:val="20"/>
        </w:rPr>
        <w:t>“clear</w:t>
      </w:r>
      <w:r>
        <w:rPr>
          <w:spacing w:val="-2"/>
          <w:sz w:val="20"/>
        </w:rPr>
        <w:t> </w:t>
      </w:r>
      <w:r>
        <w:rPr>
          <w:sz w:val="20"/>
        </w:rPr>
        <w:t>or</w:t>
      </w:r>
      <w:r>
        <w:rPr>
          <w:spacing w:val="-2"/>
          <w:sz w:val="20"/>
        </w:rPr>
        <w:t> </w:t>
      </w:r>
      <w:r>
        <w:rPr>
          <w:sz w:val="20"/>
        </w:rPr>
        <w:t>unequivocal”</w:t>
      </w:r>
      <w:r>
        <w:rPr>
          <w:spacing w:val="-2"/>
          <w:sz w:val="20"/>
        </w:rPr>
        <w:t> </w:t>
      </w:r>
      <w:r>
        <w:rPr>
          <w:sz w:val="20"/>
        </w:rPr>
        <w:t>or</w:t>
      </w:r>
      <w:r>
        <w:rPr>
          <w:spacing w:val="-2"/>
          <w:sz w:val="20"/>
        </w:rPr>
        <w:t> </w:t>
      </w:r>
      <w:r>
        <w:rPr>
          <w:sz w:val="20"/>
        </w:rPr>
        <w:t>“precise</w:t>
      </w:r>
      <w:r>
        <w:rPr>
          <w:spacing w:val="-2"/>
          <w:sz w:val="20"/>
        </w:rPr>
        <w:t> </w:t>
      </w:r>
      <w:r>
        <w:rPr>
          <w:sz w:val="20"/>
        </w:rPr>
        <w:t>and</w:t>
      </w:r>
      <w:r>
        <w:rPr>
          <w:spacing w:val="-2"/>
          <w:sz w:val="20"/>
        </w:rPr>
        <w:t> </w:t>
      </w:r>
      <w:r>
        <w:rPr>
          <w:sz w:val="20"/>
        </w:rPr>
        <w:t>unambiguous”</w:t>
      </w:r>
      <w:r>
        <w:rPr>
          <w:spacing w:val="-2"/>
          <w:sz w:val="20"/>
        </w:rPr>
        <w:t> </w:t>
      </w:r>
      <w:r>
        <w:rPr>
          <w:sz w:val="20"/>
        </w:rPr>
        <w:t>is</w:t>
      </w:r>
      <w:r>
        <w:rPr>
          <w:spacing w:val="-2"/>
          <w:sz w:val="20"/>
        </w:rPr>
        <w:t> </w:t>
      </w:r>
      <w:r>
        <w:rPr>
          <w:sz w:val="20"/>
        </w:rPr>
        <w:t>stated</w:t>
      </w:r>
      <w:r>
        <w:rPr>
          <w:spacing w:val="-2"/>
          <w:sz w:val="20"/>
        </w:rPr>
        <w:t> </w:t>
      </w:r>
      <w:r>
        <w:rPr>
          <w:sz w:val="20"/>
        </w:rPr>
        <w:t>by</w:t>
      </w:r>
      <w:r>
        <w:rPr>
          <w:spacing w:val="-2"/>
          <w:sz w:val="20"/>
        </w:rPr>
        <w:t> </w:t>
      </w:r>
      <w:r>
        <w:rPr>
          <w:sz w:val="20"/>
        </w:rPr>
        <w:t>Carr</w:t>
      </w:r>
      <w:r>
        <w:rPr>
          <w:spacing w:val="-2"/>
          <w:sz w:val="20"/>
        </w:rPr>
        <w:t> </w:t>
      </w:r>
      <w:r>
        <w:rPr>
          <w:sz w:val="20"/>
        </w:rPr>
        <w:t>J. in </w:t>
      </w:r>
      <w:r>
        <w:rPr>
          <w:rFonts w:ascii="Arial" w:hAnsi="Arial"/>
          <w:i/>
          <w:sz w:val="20"/>
        </w:rPr>
        <w:t>Spliethoff’s Bevrachtingskantoor BV v Bank of China [2015] EWHC 999 (Comm), [2015] 2 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123</w:t>
      </w:r>
      <w:r>
        <w:rPr>
          <w:rFonts w:ascii="Arial" w:hAnsi="Arial"/>
          <w:i/>
          <w:spacing w:val="-2"/>
          <w:sz w:val="20"/>
        </w:rPr>
        <w:t> </w:t>
      </w:r>
      <w:r>
        <w:rPr>
          <w:sz w:val="20"/>
        </w:rPr>
        <w:t>at</w:t>
      </w:r>
      <w:r>
        <w:rPr>
          <w:spacing w:val="-2"/>
          <w:sz w:val="20"/>
        </w:rPr>
        <w:t> </w:t>
      </w:r>
      <w:r>
        <w:rPr>
          <w:sz w:val="20"/>
        </w:rPr>
        <w:t>[156]</w:t>
      </w:r>
      <w:r>
        <w:rPr>
          <w:spacing w:val="-2"/>
          <w:sz w:val="20"/>
        </w:rPr>
        <w:t> </w:t>
      </w:r>
      <w:r>
        <w:rPr>
          <w:sz w:val="20"/>
        </w:rPr>
        <w:t>citing,</w:t>
      </w:r>
      <w:r>
        <w:rPr>
          <w:spacing w:val="-2"/>
          <w:sz w:val="20"/>
        </w:rPr>
        <w:t> </w:t>
      </w:r>
      <w:r>
        <w:rPr>
          <w:sz w:val="20"/>
        </w:rPr>
        <w:t>with</w:t>
      </w:r>
      <w:r>
        <w:rPr>
          <w:spacing w:val="-2"/>
          <w:sz w:val="20"/>
        </w:rPr>
        <w:t> </w:t>
      </w:r>
      <w:r>
        <w:rPr>
          <w:sz w:val="20"/>
        </w:rPr>
        <w:t>apparent</w:t>
      </w:r>
      <w:r>
        <w:rPr>
          <w:spacing w:val="-2"/>
          <w:sz w:val="20"/>
        </w:rPr>
        <w:t> </w:t>
      </w:r>
      <w:r>
        <w:rPr>
          <w:sz w:val="20"/>
        </w:rPr>
        <w:t>approval,</w:t>
      </w:r>
      <w:r>
        <w:rPr>
          <w:spacing w:val="-2"/>
          <w:sz w:val="20"/>
        </w:rPr>
        <w:t> </w:t>
      </w:r>
      <w:r>
        <w:rPr>
          <w:sz w:val="20"/>
        </w:rPr>
        <w:t>para.3-090</w:t>
      </w:r>
      <w:r>
        <w:rPr>
          <w:spacing w:val="-2"/>
          <w:sz w:val="20"/>
        </w:rPr>
        <w:t> </w:t>
      </w:r>
      <w:r>
        <w:rPr>
          <w:sz w:val="20"/>
        </w:rPr>
        <w:t>of</w:t>
      </w:r>
      <w:r>
        <w:rPr>
          <w:spacing w:val="-2"/>
          <w:sz w:val="20"/>
        </w:rPr>
        <w:t> </w:t>
      </w:r>
      <w:r>
        <w:rPr>
          <w:sz w:val="20"/>
        </w:rPr>
        <w:t>the</w:t>
      </w:r>
      <w:r>
        <w:rPr>
          <w:spacing w:val="-2"/>
          <w:sz w:val="20"/>
        </w:rPr>
        <w:t> </w:t>
      </w:r>
      <w:r>
        <w:rPr>
          <w:sz w:val="20"/>
        </w:rPr>
        <w:t>31st</w:t>
      </w:r>
      <w:r>
        <w:rPr>
          <w:spacing w:val="-2"/>
          <w:sz w:val="20"/>
        </w:rPr>
        <w:t> </w:t>
      </w:r>
      <w:r>
        <w:rPr>
          <w:sz w:val="20"/>
        </w:rPr>
        <w:t>edition,</w:t>
      </w:r>
      <w:r>
        <w:rPr>
          <w:spacing w:val="-2"/>
          <w:sz w:val="20"/>
        </w:rPr>
        <w:t> </w:t>
      </w:r>
      <w:r>
        <w:rPr>
          <w:sz w:val="20"/>
        </w:rPr>
        <w:t>replaced by para.4-091 of the 32nd (present) edition.</w:t>
      </w:r>
    </w:p>
    <w:p>
      <w:pPr>
        <w:spacing w:after="0" w:line="235" w:lineRule="auto"/>
        <w:jc w:val="both"/>
        <w:rPr>
          <w:sz w:val="20"/>
        </w:rPr>
        <w:sectPr>
          <w:type w:val="continuous"/>
          <w:pgSz w:w="11900" w:h="16840"/>
          <w:pgMar w:header="971" w:footer="0" w:top="3760" w:bottom="280" w:left="1275" w:right="1275"/>
          <w:cols w:num="2" w:equalWidth="0">
            <w:col w:w="478" w:space="63"/>
            <w:col w:w="8809"/>
          </w:cols>
        </w:sectPr>
      </w:pPr>
    </w:p>
    <w:p>
      <w:pPr>
        <w:pStyle w:val="BodyText"/>
        <w:spacing w:before="2"/>
      </w:pPr>
    </w:p>
    <w:p>
      <w:pPr>
        <w:tabs>
          <w:tab w:pos="705" w:val="left" w:leader="none"/>
        </w:tabs>
        <w:spacing w:before="0"/>
        <w:ind w:left="165" w:right="0" w:firstLine="0"/>
        <w:jc w:val="left"/>
        <w:rPr>
          <w:rFonts w:ascii="Arial" w:hAnsi="Arial"/>
          <w:i/>
          <w:sz w:val="20"/>
        </w:rPr>
      </w:pPr>
      <w:bookmarkStart w:name="_bookmark1114" w:id="1116"/>
      <w:bookmarkEnd w:id="1116"/>
      <w:r>
        <w:rPr/>
      </w:r>
      <w:hyperlink w:history="true" w:anchor="_bookmark890">
        <w:r>
          <w:rPr>
            <w:color w:val="005DA1"/>
            <w:spacing w:val="-4"/>
            <w:position w:val="5"/>
            <w:sz w:val="14"/>
            <w:u w:val="single" w:color="005DA1"/>
          </w:rPr>
          <w:t>479</w:t>
        </w:r>
      </w:hyperlink>
      <w:r>
        <w:rPr>
          <w:spacing w:val="-4"/>
          <w:position w:val="5"/>
          <w:sz w:val="14"/>
        </w:rPr>
        <w:t>.</w:t>
      </w:r>
      <w:r>
        <w:rPr>
          <w:position w:val="5"/>
          <w:sz w:val="14"/>
        </w:rPr>
        <w:tab/>
      </w:r>
      <w:r>
        <w:rPr>
          <w:rFonts w:ascii="Arial" w:hAnsi="Arial"/>
          <w:i/>
          <w:sz w:val="20"/>
        </w:rPr>
        <w:t>Finagrain</w:t>
      </w:r>
      <w:r>
        <w:rPr>
          <w:rFonts w:ascii="Arial" w:hAnsi="Arial"/>
          <w:i/>
          <w:spacing w:val="-1"/>
          <w:sz w:val="20"/>
        </w:rPr>
        <w:t> </w:t>
      </w:r>
      <w:r>
        <w:rPr>
          <w:rFonts w:ascii="Arial" w:hAnsi="Arial"/>
          <w:i/>
          <w:sz w:val="20"/>
        </w:rPr>
        <w:t>SA Geneva v P. Kruse Hamburg [1976] 2 Lloyd’s Rep. 508, 534</w:t>
      </w:r>
      <w:r>
        <w:rPr>
          <w:sz w:val="20"/>
        </w:rPr>
        <w:t>; </w:t>
      </w:r>
      <w:r>
        <w:rPr>
          <w:rFonts w:ascii="Arial" w:hAnsi="Arial"/>
          <w:i/>
          <w:sz w:val="20"/>
        </w:rPr>
        <w:t>Mardorf Peach &amp; </w:t>
      </w:r>
      <w:r>
        <w:rPr>
          <w:rFonts w:ascii="Arial" w:hAnsi="Arial"/>
          <w:i/>
          <w:spacing w:val="-5"/>
          <w:sz w:val="20"/>
        </w:rPr>
        <w:t>Co</w:t>
      </w:r>
    </w:p>
    <w:p>
      <w:pPr>
        <w:spacing w:after="0"/>
        <w:jc w:val="left"/>
        <w:rPr>
          <w:rFonts w:ascii="Arial" w:hAnsi="Arial"/>
          <w:i/>
          <w:sz w:val="20"/>
        </w:rPr>
        <w:sectPr>
          <w:type w:val="continuous"/>
          <w:pgSz w:w="11900" w:h="16840"/>
          <w:pgMar w:header="971" w:footer="0" w:top="3760" w:bottom="280" w:left="1275" w:right="1275"/>
        </w:sectPr>
      </w:pPr>
    </w:p>
    <w:p>
      <w:pPr>
        <w:pStyle w:val="BodyText"/>
        <w:spacing w:before="24"/>
        <w:rPr>
          <w:rFonts w:ascii="Arial"/>
          <w:i/>
        </w:rPr>
      </w:pPr>
    </w:p>
    <w:p>
      <w:pPr>
        <w:spacing w:line="235" w:lineRule="auto" w:before="1"/>
        <w:ind w:left="705" w:right="167" w:firstLine="0"/>
        <w:jc w:val="both"/>
        <w:rPr>
          <w:rFonts w:ascii="Arial" w:hAnsi="Arial"/>
          <w:i/>
          <w:sz w:val="20"/>
        </w:rPr>
      </w:pPr>
      <w:r>
        <w:rPr>
          <w:rFonts w:ascii="Arial" w:hAnsi="Arial"/>
          <w:i/>
          <w:sz w:val="20"/>
        </w:rPr>
        <w:t>Ltd v Attica Sea Carriers Corp. of Liberia (The Laconia) [1977] A.C. 850, 871</w:t>
      </w:r>
      <w:r>
        <w:rPr>
          <w:sz w:val="20"/>
        </w:rPr>
        <w:t>; </w:t>
      </w:r>
      <w:r>
        <w:rPr>
          <w:rFonts w:ascii="Arial" w:hAnsi="Arial"/>
          <w:i/>
          <w:sz w:val="20"/>
        </w:rPr>
        <w:t>Bremer Handelsgesellschaft mbH v Vanden Avenne-Izegem P.V.B.A. [1978] 2 Lloyd’s Rep. 109, 126</w:t>
      </w:r>
      <w:r>
        <w:rPr>
          <w:sz w:val="20"/>
        </w:rPr>
        <w:t>; </w:t>
      </w:r>
      <w:r>
        <w:rPr>
          <w:rFonts w:ascii="Arial" w:hAnsi="Arial"/>
          <w:i/>
          <w:sz w:val="20"/>
        </w:rPr>
        <w:t>China National Foreign Trade Transportation Corp. v Evoglia Shipping Co of Panama SA (The Mihalios</w:t>
      </w:r>
      <w:r>
        <w:rPr>
          <w:rFonts w:ascii="Arial" w:hAnsi="Arial"/>
          <w:i/>
          <w:spacing w:val="13"/>
          <w:sz w:val="20"/>
        </w:rPr>
        <w:t> </w:t>
      </w:r>
      <w:r>
        <w:rPr>
          <w:rFonts w:ascii="Arial" w:hAnsi="Arial"/>
          <w:i/>
          <w:sz w:val="20"/>
        </w:rPr>
        <w:t>Xilas)</w:t>
      </w:r>
      <w:r>
        <w:rPr>
          <w:rFonts w:ascii="Arial" w:hAnsi="Arial"/>
          <w:i/>
          <w:spacing w:val="14"/>
          <w:sz w:val="20"/>
        </w:rPr>
        <w:t> </w:t>
      </w:r>
      <w:r>
        <w:rPr>
          <w:rFonts w:ascii="Arial" w:hAnsi="Arial"/>
          <w:i/>
          <w:sz w:val="20"/>
        </w:rPr>
        <w:t>[1979]</w:t>
      </w:r>
      <w:r>
        <w:rPr>
          <w:rFonts w:ascii="Arial" w:hAnsi="Arial"/>
          <w:i/>
          <w:spacing w:val="14"/>
          <w:sz w:val="20"/>
        </w:rPr>
        <w:t> </w:t>
      </w:r>
      <w:r>
        <w:rPr>
          <w:rFonts w:ascii="Arial" w:hAnsi="Arial"/>
          <w:i/>
          <w:sz w:val="20"/>
        </w:rPr>
        <w:t>1</w:t>
      </w:r>
      <w:r>
        <w:rPr>
          <w:rFonts w:ascii="Arial" w:hAnsi="Arial"/>
          <w:i/>
          <w:spacing w:val="14"/>
          <w:sz w:val="20"/>
        </w:rPr>
        <w:t> </w:t>
      </w:r>
      <w:r>
        <w:rPr>
          <w:rFonts w:ascii="Arial" w:hAnsi="Arial"/>
          <w:i/>
          <w:sz w:val="20"/>
        </w:rPr>
        <w:t>W.L.R.</w:t>
      </w:r>
      <w:r>
        <w:rPr>
          <w:rFonts w:ascii="Arial" w:hAnsi="Arial"/>
          <w:i/>
          <w:spacing w:val="14"/>
          <w:sz w:val="20"/>
        </w:rPr>
        <w:t> </w:t>
      </w:r>
      <w:r>
        <w:rPr>
          <w:rFonts w:ascii="Arial" w:hAnsi="Arial"/>
          <w:i/>
          <w:sz w:val="20"/>
        </w:rPr>
        <w:t>1018,</w:t>
      </w:r>
      <w:r>
        <w:rPr>
          <w:rFonts w:ascii="Arial" w:hAnsi="Arial"/>
          <w:i/>
          <w:spacing w:val="14"/>
          <w:sz w:val="20"/>
        </w:rPr>
        <w:t> </w:t>
      </w:r>
      <w:r>
        <w:rPr>
          <w:rFonts w:ascii="Arial" w:hAnsi="Arial"/>
          <w:i/>
          <w:sz w:val="20"/>
        </w:rPr>
        <w:t>1024</w:t>
      </w:r>
      <w:r>
        <w:rPr>
          <w:sz w:val="20"/>
        </w:rPr>
        <w:t>;</w:t>
      </w:r>
      <w:r>
        <w:rPr>
          <w:spacing w:val="14"/>
          <w:sz w:val="20"/>
        </w:rPr>
        <w:t> </w:t>
      </w:r>
      <w:r>
        <w:rPr>
          <w:rFonts w:ascii="Arial" w:hAnsi="Arial"/>
          <w:i/>
          <w:sz w:val="20"/>
        </w:rPr>
        <w:t>Avimex</w:t>
      </w:r>
      <w:r>
        <w:rPr>
          <w:rFonts w:ascii="Arial" w:hAnsi="Arial"/>
          <w:i/>
          <w:spacing w:val="14"/>
          <w:sz w:val="20"/>
        </w:rPr>
        <w:t> </w:t>
      </w:r>
      <w:r>
        <w:rPr>
          <w:rFonts w:ascii="Arial" w:hAnsi="Arial"/>
          <w:i/>
          <w:sz w:val="20"/>
        </w:rPr>
        <w:t>SA</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Dewulf</w:t>
      </w:r>
      <w:r>
        <w:rPr>
          <w:rFonts w:ascii="Arial" w:hAnsi="Arial"/>
          <w:i/>
          <w:spacing w:val="14"/>
          <w:sz w:val="20"/>
        </w:rPr>
        <w:t> </w:t>
      </w:r>
      <w:r>
        <w:rPr>
          <w:rFonts w:ascii="Arial" w:hAnsi="Arial"/>
          <w:i/>
          <w:sz w:val="20"/>
        </w:rPr>
        <w:t>&amp;</w:t>
      </w:r>
      <w:r>
        <w:rPr>
          <w:rFonts w:ascii="Arial" w:hAnsi="Arial"/>
          <w:i/>
          <w:spacing w:val="14"/>
          <w:sz w:val="20"/>
        </w:rPr>
        <w:t> </w:t>
      </w:r>
      <w:r>
        <w:rPr>
          <w:rFonts w:ascii="Arial" w:hAnsi="Arial"/>
          <w:i/>
          <w:sz w:val="20"/>
        </w:rPr>
        <w:t>Cie.</w:t>
      </w:r>
      <w:r>
        <w:rPr>
          <w:rFonts w:ascii="Arial" w:hAnsi="Arial"/>
          <w:i/>
          <w:spacing w:val="14"/>
          <w:sz w:val="20"/>
        </w:rPr>
        <w:t> </w:t>
      </w:r>
      <w:r>
        <w:rPr>
          <w:rFonts w:ascii="Arial" w:hAnsi="Arial"/>
          <w:i/>
          <w:sz w:val="20"/>
        </w:rPr>
        <w:t>[1979]</w:t>
      </w:r>
      <w:r>
        <w:rPr>
          <w:rFonts w:ascii="Arial" w:hAnsi="Arial"/>
          <w:i/>
          <w:spacing w:val="14"/>
          <w:sz w:val="20"/>
        </w:rPr>
        <w:t> </w:t>
      </w:r>
      <w:r>
        <w:rPr>
          <w:rFonts w:ascii="Arial" w:hAnsi="Arial"/>
          <w:i/>
          <w:sz w:val="20"/>
        </w:rPr>
        <w:t>2</w:t>
      </w:r>
      <w:r>
        <w:rPr>
          <w:rFonts w:ascii="Arial" w:hAnsi="Arial"/>
          <w:i/>
          <w:spacing w:val="14"/>
          <w:sz w:val="20"/>
        </w:rPr>
        <w:t> </w:t>
      </w:r>
      <w:r>
        <w:rPr>
          <w:rFonts w:ascii="Arial" w:hAnsi="Arial"/>
          <w:i/>
          <w:sz w:val="20"/>
        </w:rPr>
        <w:t>Lloyd’s</w:t>
      </w:r>
      <w:r>
        <w:rPr>
          <w:rFonts w:ascii="Arial" w:hAnsi="Arial"/>
          <w:i/>
          <w:spacing w:val="14"/>
          <w:sz w:val="20"/>
        </w:rPr>
        <w:t> </w:t>
      </w:r>
      <w:r>
        <w:rPr>
          <w:rFonts w:ascii="Arial" w:hAnsi="Arial"/>
          <w:i/>
          <w:spacing w:val="-4"/>
          <w:sz w:val="20"/>
        </w:rPr>
        <w:t>Rep.</w:t>
      </w:r>
    </w:p>
    <w:p>
      <w:pPr>
        <w:spacing w:line="235" w:lineRule="auto" w:before="0"/>
        <w:ind w:left="705" w:right="167" w:firstLine="0"/>
        <w:jc w:val="both"/>
        <w:rPr>
          <w:rFonts w:ascii="Arial" w:hAnsi="Arial"/>
          <w:i/>
          <w:sz w:val="20"/>
        </w:rPr>
      </w:pPr>
      <w:r>
        <w:rPr>
          <w:rFonts w:ascii="Arial" w:hAnsi="Arial"/>
          <w:i/>
          <w:sz w:val="20"/>
        </w:rPr>
        <w:t>57, 67</w:t>
      </w:r>
      <w:r>
        <w:rPr>
          <w:sz w:val="20"/>
        </w:rPr>
        <w:t>; </w:t>
      </w:r>
      <w:r>
        <w:rPr>
          <w:rFonts w:ascii="Arial" w:hAnsi="Arial"/>
          <w:i/>
          <w:sz w:val="20"/>
        </w:rPr>
        <w:t>Bremer Handelsgesellschaft mbH v Westzucker GmbH [1981] 1 Lloyd’s Rep. 207, 212</w:t>
      </w:r>
      <w:r>
        <w:rPr>
          <w:sz w:val="20"/>
        </w:rPr>
        <w:t>; </w:t>
      </w:r>
      <w:r>
        <w:rPr>
          <w:rFonts w:ascii="Arial" w:hAnsi="Arial"/>
          <w:i/>
          <w:sz w:val="20"/>
        </w:rPr>
        <w:t>Bremer</w:t>
      </w:r>
      <w:r>
        <w:rPr>
          <w:rFonts w:ascii="Arial" w:hAnsi="Arial"/>
          <w:i/>
          <w:spacing w:val="-1"/>
          <w:sz w:val="20"/>
        </w:rPr>
        <w:t> </w:t>
      </w:r>
      <w:r>
        <w:rPr>
          <w:rFonts w:ascii="Arial" w:hAnsi="Arial"/>
          <w:i/>
          <w:sz w:val="20"/>
        </w:rPr>
        <w:t>Handelsgesellschaft</w:t>
      </w:r>
      <w:r>
        <w:rPr>
          <w:rFonts w:ascii="Arial" w:hAnsi="Arial"/>
          <w:i/>
          <w:spacing w:val="-1"/>
          <w:sz w:val="20"/>
        </w:rPr>
        <w:t> </w:t>
      </w:r>
      <w:r>
        <w:rPr>
          <w:rFonts w:ascii="Arial" w:hAnsi="Arial"/>
          <w:i/>
          <w:sz w:val="20"/>
        </w:rPr>
        <w:t>mbH</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Finagrain</w:t>
      </w:r>
      <w:r>
        <w:rPr>
          <w:rFonts w:ascii="Arial" w:hAnsi="Arial"/>
          <w:i/>
          <w:spacing w:val="-1"/>
          <w:sz w:val="20"/>
        </w:rPr>
        <w:t> </w:t>
      </w:r>
      <w:r>
        <w:rPr>
          <w:rFonts w:ascii="Arial" w:hAnsi="Arial"/>
          <w:i/>
          <w:sz w:val="20"/>
        </w:rPr>
        <w:t>Cie.</w:t>
      </w:r>
      <w:r>
        <w:rPr>
          <w:rFonts w:ascii="Arial" w:hAnsi="Arial"/>
          <w:i/>
          <w:spacing w:val="-1"/>
          <w:sz w:val="20"/>
        </w:rPr>
        <w:t> </w:t>
      </w:r>
      <w:r>
        <w:rPr>
          <w:rFonts w:ascii="Arial" w:hAnsi="Arial"/>
          <w:i/>
          <w:sz w:val="20"/>
        </w:rPr>
        <w:t>Commercial</w:t>
      </w:r>
      <w:r>
        <w:rPr>
          <w:rFonts w:ascii="Arial" w:hAnsi="Arial"/>
          <w:i/>
          <w:spacing w:val="-1"/>
          <w:sz w:val="20"/>
        </w:rPr>
        <w:t> </w:t>
      </w:r>
      <w:r>
        <w:rPr>
          <w:rFonts w:ascii="Arial" w:hAnsi="Arial"/>
          <w:i/>
          <w:sz w:val="20"/>
        </w:rPr>
        <w:t>Agricole</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Financière</w:t>
      </w:r>
      <w:r>
        <w:rPr>
          <w:rFonts w:ascii="Arial" w:hAnsi="Arial"/>
          <w:i/>
          <w:spacing w:val="-1"/>
          <w:sz w:val="20"/>
        </w:rPr>
        <w:t> </w:t>
      </w:r>
      <w:r>
        <w:rPr>
          <w:rFonts w:ascii="Arial" w:hAnsi="Arial"/>
          <w:i/>
          <w:sz w:val="20"/>
        </w:rPr>
        <w:t>SA</w:t>
      </w:r>
      <w:r>
        <w:rPr>
          <w:rFonts w:ascii="Arial" w:hAnsi="Arial"/>
          <w:i/>
          <w:spacing w:val="-1"/>
          <w:sz w:val="20"/>
        </w:rPr>
        <w:t> </w:t>
      </w:r>
      <w:r>
        <w:rPr>
          <w:rFonts w:ascii="Arial" w:hAnsi="Arial"/>
          <w:i/>
          <w:sz w:val="20"/>
        </w:rPr>
        <w:t>[1981] 2 Lloyd’s Rep, 259, 266</w:t>
      </w:r>
      <w:r>
        <w:rPr>
          <w:sz w:val="20"/>
        </w:rPr>
        <w:t>; </w:t>
      </w:r>
      <w:r>
        <w:rPr>
          <w:rFonts w:ascii="Arial" w:hAnsi="Arial"/>
          <w:i/>
          <w:sz w:val="20"/>
        </w:rPr>
        <w:t>Scandinavian Tanker Co A.B. v Flota Petrolera Ecuatoriana (The Scaptrade)</w:t>
      </w:r>
      <w:r>
        <w:rPr>
          <w:rFonts w:ascii="Arial" w:hAnsi="Arial"/>
          <w:i/>
          <w:spacing w:val="1"/>
          <w:sz w:val="20"/>
        </w:rPr>
        <w:t> </w:t>
      </w:r>
      <w:r>
        <w:rPr>
          <w:rFonts w:ascii="Arial" w:hAnsi="Arial"/>
          <w:i/>
          <w:sz w:val="20"/>
        </w:rPr>
        <w:t>[1981]</w:t>
      </w:r>
      <w:r>
        <w:rPr>
          <w:rFonts w:ascii="Arial" w:hAnsi="Arial"/>
          <w:i/>
          <w:spacing w:val="4"/>
          <w:sz w:val="20"/>
        </w:rPr>
        <w:t> </w:t>
      </w:r>
      <w:r>
        <w:rPr>
          <w:rFonts w:ascii="Arial" w:hAnsi="Arial"/>
          <w:i/>
          <w:sz w:val="20"/>
        </w:rPr>
        <w:t>2</w:t>
      </w:r>
      <w:r>
        <w:rPr>
          <w:rFonts w:ascii="Arial" w:hAnsi="Arial"/>
          <w:i/>
          <w:spacing w:val="4"/>
          <w:sz w:val="20"/>
        </w:rPr>
        <w:t> </w:t>
      </w:r>
      <w:r>
        <w:rPr>
          <w:rFonts w:ascii="Arial" w:hAnsi="Arial"/>
          <w:i/>
          <w:sz w:val="20"/>
        </w:rPr>
        <w:t>Lloyd’s</w:t>
      </w:r>
      <w:r>
        <w:rPr>
          <w:rFonts w:ascii="Arial" w:hAnsi="Arial"/>
          <w:i/>
          <w:spacing w:val="4"/>
          <w:sz w:val="20"/>
        </w:rPr>
        <w:t> </w:t>
      </w:r>
      <w:r>
        <w:rPr>
          <w:rFonts w:ascii="Arial" w:hAnsi="Arial"/>
          <w:i/>
          <w:sz w:val="20"/>
        </w:rPr>
        <w:t>Rep.</w:t>
      </w:r>
      <w:r>
        <w:rPr>
          <w:rFonts w:ascii="Arial" w:hAnsi="Arial"/>
          <w:i/>
          <w:spacing w:val="4"/>
          <w:sz w:val="20"/>
        </w:rPr>
        <w:t> </w:t>
      </w:r>
      <w:r>
        <w:rPr>
          <w:rFonts w:ascii="Arial" w:hAnsi="Arial"/>
          <w:i/>
          <w:sz w:val="20"/>
        </w:rPr>
        <w:t>425,</w:t>
      </w:r>
      <w:r>
        <w:rPr>
          <w:rFonts w:ascii="Arial" w:hAnsi="Arial"/>
          <w:i/>
          <w:spacing w:val="4"/>
          <w:sz w:val="20"/>
        </w:rPr>
        <w:t> </w:t>
      </w:r>
      <w:r>
        <w:rPr>
          <w:rFonts w:ascii="Arial" w:hAnsi="Arial"/>
          <w:i/>
          <w:sz w:val="20"/>
        </w:rPr>
        <w:t>431</w:t>
      </w:r>
      <w:r>
        <w:rPr>
          <w:sz w:val="20"/>
        </w:rPr>
        <w:t>;</w:t>
      </w:r>
      <w:r>
        <w:rPr>
          <w:spacing w:val="4"/>
          <w:sz w:val="20"/>
        </w:rPr>
        <w:t> </w:t>
      </w:r>
      <w:r>
        <w:rPr>
          <w:sz w:val="20"/>
        </w:rPr>
        <w:t>(affirmed</w:t>
      </w:r>
      <w:r>
        <w:rPr>
          <w:spacing w:val="3"/>
          <w:sz w:val="20"/>
        </w:rPr>
        <w:t> </w:t>
      </w:r>
      <w:r>
        <w:rPr>
          <w:rFonts w:ascii="Arial" w:hAnsi="Arial"/>
          <w:i/>
          <w:sz w:val="20"/>
        </w:rPr>
        <w:t>[1983]</w:t>
      </w:r>
      <w:r>
        <w:rPr>
          <w:rFonts w:ascii="Arial" w:hAnsi="Arial"/>
          <w:i/>
          <w:spacing w:val="4"/>
          <w:sz w:val="20"/>
        </w:rPr>
        <w:t> </w:t>
      </w:r>
      <w:r>
        <w:rPr>
          <w:rFonts w:ascii="Arial" w:hAnsi="Arial"/>
          <w:i/>
          <w:sz w:val="20"/>
        </w:rPr>
        <w:t>2</w:t>
      </w:r>
      <w:r>
        <w:rPr>
          <w:rFonts w:ascii="Arial" w:hAnsi="Arial"/>
          <w:i/>
          <w:spacing w:val="4"/>
          <w:sz w:val="20"/>
        </w:rPr>
        <w:t> </w:t>
      </w:r>
      <w:r>
        <w:rPr>
          <w:rFonts w:ascii="Arial" w:hAnsi="Arial"/>
          <w:i/>
          <w:sz w:val="20"/>
        </w:rPr>
        <w:t>A.C.</w:t>
      </w:r>
      <w:r>
        <w:rPr>
          <w:rFonts w:ascii="Arial" w:hAnsi="Arial"/>
          <w:i/>
          <w:spacing w:val="4"/>
          <w:sz w:val="20"/>
        </w:rPr>
        <w:t> </w:t>
      </w:r>
      <w:r>
        <w:rPr>
          <w:rFonts w:ascii="Arial" w:hAnsi="Arial"/>
          <w:i/>
          <w:sz w:val="20"/>
        </w:rPr>
        <w:t>694</w:t>
      </w:r>
      <w:r>
        <w:rPr>
          <w:sz w:val="20"/>
        </w:rPr>
        <w:t>)</w:t>
      </w:r>
      <w:r>
        <w:rPr>
          <w:spacing w:val="4"/>
          <w:sz w:val="20"/>
        </w:rPr>
        <w:t> </w:t>
      </w:r>
      <w:r>
        <w:rPr>
          <w:rFonts w:ascii="Arial" w:hAnsi="Arial"/>
          <w:i/>
          <w:sz w:val="20"/>
        </w:rPr>
        <w:t>Italmare</w:t>
      </w:r>
      <w:r>
        <w:rPr>
          <w:rFonts w:ascii="Arial" w:hAnsi="Arial"/>
          <w:i/>
          <w:spacing w:val="4"/>
          <w:sz w:val="20"/>
        </w:rPr>
        <w:t> </w:t>
      </w:r>
      <w:r>
        <w:rPr>
          <w:rFonts w:ascii="Arial" w:hAnsi="Arial"/>
          <w:i/>
          <w:sz w:val="20"/>
        </w:rPr>
        <w:t>Shipping</w:t>
      </w:r>
      <w:r>
        <w:rPr>
          <w:rFonts w:ascii="Arial" w:hAnsi="Arial"/>
          <w:i/>
          <w:spacing w:val="4"/>
          <w:sz w:val="20"/>
        </w:rPr>
        <w:t> </w:t>
      </w:r>
      <w:r>
        <w:rPr>
          <w:rFonts w:ascii="Arial" w:hAnsi="Arial"/>
          <w:i/>
          <w:sz w:val="20"/>
        </w:rPr>
        <w:t>Co</w:t>
      </w:r>
      <w:r>
        <w:rPr>
          <w:rFonts w:ascii="Arial" w:hAnsi="Arial"/>
          <w:i/>
          <w:spacing w:val="4"/>
          <w:sz w:val="20"/>
        </w:rPr>
        <w:t> </w:t>
      </w:r>
      <w:r>
        <w:rPr>
          <w:rFonts w:ascii="Arial" w:hAnsi="Arial"/>
          <w:i/>
          <w:spacing w:val="-10"/>
          <w:sz w:val="20"/>
        </w:rPr>
        <w:t>v</w:t>
      </w:r>
    </w:p>
    <w:p>
      <w:pPr>
        <w:spacing w:line="235" w:lineRule="auto" w:before="0"/>
        <w:ind w:left="705" w:right="167" w:firstLine="0"/>
        <w:jc w:val="both"/>
        <w:rPr>
          <w:rFonts w:ascii="Arial" w:hAnsi="Arial"/>
          <w:i/>
          <w:sz w:val="20"/>
        </w:rPr>
      </w:pPr>
      <w:r>
        <w:rPr>
          <w:rFonts w:ascii="Arial" w:hAnsi="Arial"/>
          <w:i/>
          <w:sz w:val="20"/>
        </w:rPr>
        <w:t>Ocean Tanker Co Inc (The Rio Sun) [1981] 2 Lloyd’s Rep. 489 and [1982] 1 Lloyd’s Rep. 404</w:t>
      </w:r>
      <w:r>
        <w:rPr>
          <w:sz w:val="20"/>
        </w:rPr>
        <w:t>; </w:t>
      </w:r>
      <w:r>
        <w:rPr>
          <w:rFonts w:ascii="Arial" w:hAnsi="Arial"/>
          <w:i/>
          <w:sz w:val="20"/>
        </w:rPr>
        <w:t>Telfair Shipping Corp. v Athos Shipping Corp. (The Athos) [1983] 1 Lloyd’s Rep. 127, 134-</w:t>
      </w:r>
      <w:r>
        <w:rPr>
          <w:rFonts w:ascii="Arial" w:hAnsi="Arial"/>
          <w:i/>
          <w:sz w:val="20"/>
        </w:rPr>
        <w:t>135</w:t>
      </w:r>
      <w:r>
        <w:rPr>
          <w:sz w:val="20"/>
        </w:rPr>
        <w:t>; </w:t>
      </w:r>
      <w:r>
        <w:rPr>
          <w:rFonts w:ascii="Arial" w:hAnsi="Arial"/>
          <w:i/>
          <w:sz w:val="20"/>
        </w:rPr>
        <w:t>Bremer Handelsgesellschaft mbH v Deutsche-Conti Handelsgesellschaft mbH [1983] 1 Lloyd’s Rep. 689</w:t>
      </w:r>
      <w:r>
        <w:rPr>
          <w:sz w:val="20"/>
        </w:rPr>
        <w:t>; </w:t>
      </w:r>
      <w:r>
        <w:rPr>
          <w:rFonts w:ascii="Arial" w:hAnsi="Arial"/>
          <w:i/>
          <w:sz w:val="20"/>
        </w:rPr>
        <w:t>Super Chem Products Ltd v American Life &amp; General Insurance Co Ltd [2004] UKPC 2, [2004] 2 All E.R. 358 </w:t>
      </w:r>
      <w:r>
        <w:rPr>
          <w:sz w:val="20"/>
        </w:rPr>
        <w:t>at [23], where the present requirement was not satisfied; </w:t>
      </w:r>
      <w:r>
        <w:rPr>
          <w:rFonts w:ascii="Arial" w:hAnsi="Arial"/>
          <w:i/>
          <w:sz w:val="20"/>
        </w:rPr>
        <w:t>Fortisbank SA v</w:t>
      </w:r>
      <w:r>
        <w:rPr>
          <w:rFonts w:ascii="Arial" w:hAnsi="Arial"/>
          <w:i/>
          <w:spacing w:val="18"/>
          <w:sz w:val="20"/>
        </w:rPr>
        <w:t> </w:t>
      </w:r>
      <w:r>
        <w:rPr>
          <w:rFonts w:ascii="Arial" w:hAnsi="Arial"/>
          <w:i/>
          <w:sz w:val="20"/>
        </w:rPr>
        <w:t>Trenwick</w:t>
      </w:r>
      <w:r>
        <w:rPr>
          <w:rFonts w:ascii="Arial" w:hAnsi="Arial"/>
          <w:i/>
          <w:spacing w:val="18"/>
          <w:sz w:val="20"/>
        </w:rPr>
        <w:t> </w:t>
      </w:r>
      <w:r>
        <w:rPr>
          <w:rFonts w:ascii="Arial" w:hAnsi="Arial"/>
          <w:i/>
          <w:sz w:val="20"/>
        </w:rPr>
        <w:t>International</w:t>
      </w:r>
      <w:r>
        <w:rPr>
          <w:rFonts w:ascii="Arial" w:hAnsi="Arial"/>
          <w:i/>
          <w:spacing w:val="18"/>
          <w:sz w:val="20"/>
        </w:rPr>
        <w:t> </w:t>
      </w:r>
      <w:r>
        <w:rPr>
          <w:rFonts w:ascii="Arial" w:hAnsi="Arial"/>
          <w:i/>
          <w:sz w:val="20"/>
        </w:rPr>
        <w:t>[2005]</w:t>
      </w:r>
      <w:r>
        <w:rPr>
          <w:rFonts w:ascii="Arial" w:hAnsi="Arial"/>
          <w:i/>
          <w:spacing w:val="18"/>
          <w:sz w:val="20"/>
        </w:rPr>
        <w:t> </w:t>
      </w:r>
      <w:r>
        <w:rPr>
          <w:rFonts w:ascii="Arial" w:hAnsi="Arial"/>
          <w:i/>
          <w:sz w:val="20"/>
        </w:rPr>
        <w:t>EWHC</w:t>
      </w:r>
      <w:r>
        <w:rPr>
          <w:rFonts w:ascii="Arial" w:hAnsi="Arial"/>
          <w:i/>
          <w:spacing w:val="18"/>
          <w:sz w:val="20"/>
        </w:rPr>
        <w:t> </w:t>
      </w:r>
      <w:r>
        <w:rPr>
          <w:rFonts w:ascii="Arial" w:hAnsi="Arial"/>
          <w:i/>
          <w:sz w:val="20"/>
        </w:rPr>
        <w:t>339,</w:t>
      </w:r>
      <w:r>
        <w:rPr>
          <w:rFonts w:ascii="Arial" w:hAnsi="Arial"/>
          <w:i/>
          <w:spacing w:val="18"/>
          <w:sz w:val="20"/>
        </w:rPr>
        <w:t> </w:t>
      </w:r>
      <w:r>
        <w:rPr>
          <w:rFonts w:ascii="Arial" w:hAnsi="Arial"/>
          <w:i/>
          <w:sz w:val="20"/>
        </w:rPr>
        <w:t>[2005]</w:t>
      </w:r>
      <w:r>
        <w:rPr>
          <w:rFonts w:ascii="Arial" w:hAnsi="Arial"/>
          <w:i/>
          <w:spacing w:val="18"/>
          <w:sz w:val="20"/>
        </w:rPr>
        <w:t> </w:t>
      </w:r>
      <w:r>
        <w:rPr>
          <w:rFonts w:ascii="Arial" w:hAnsi="Arial"/>
          <w:i/>
          <w:sz w:val="20"/>
        </w:rPr>
        <w:t>Lloyd’s</w:t>
      </w:r>
      <w:r>
        <w:rPr>
          <w:rFonts w:ascii="Arial" w:hAnsi="Arial"/>
          <w:i/>
          <w:spacing w:val="18"/>
          <w:sz w:val="20"/>
        </w:rPr>
        <w:t> </w:t>
      </w:r>
      <w:r>
        <w:rPr>
          <w:rFonts w:ascii="Arial" w:hAnsi="Arial"/>
          <w:i/>
          <w:sz w:val="20"/>
        </w:rPr>
        <w:t>Rep.</w:t>
      </w:r>
      <w:r>
        <w:rPr>
          <w:rFonts w:ascii="Arial" w:hAnsi="Arial"/>
          <w:i/>
          <w:spacing w:val="18"/>
          <w:sz w:val="20"/>
        </w:rPr>
        <w:t> </w:t>
      </w:r>
      <w:r>
        <w:rPr>
          <w:rFonts w:ascii="Arial" w:hAnsi="Arial"/>
          <w:i/>
          <w:sz w:val="20"/>
        </w:rPr>
        <w:t>I.R.</w:t>
      </w:r>
      <w:r>
        <w:rPr>
          <w:rFonts w:ascii="Arial" w:hAnsi="Arial"/>
          <w:i/>
          <w:spacing w:val="18"/>
          <w:sz w:val="20"/>
        </w:rPr>
        <w:t> </w:t>
      </w:r>
      <w:r>
        <w:rPr>
          <w:rFonts w:ascii="Arial" w:hAnsi="Arial"/>
          <w:i/>
          <w:sz w:val="20"/>
        </w:rPr>
        <w:t>464</w:t>
      </w:r>
      <w:r>
        <w:rPr>
          <w:rFonts w:ascii="Arial" w:hAnsi="Arial"/>
          <w:i/>
          <w:spacing w:val="17"/>
          <w:sz w:val="20"/>
        </w:rPr>
        <w:t> </w:t>
      </w:r>
      <w:r>
        <w:rPr>
          <w:sz w:val="20"/>
        </w:rPr>
        <w:t>at</w:t>
      </w:r>
      <w:r>
        <w:rPr>
          <w:spacing w:val="18"/>
          <w:sz w:val="20"/>
        </w:rPr>
        <w:t> </w:t>
      </w:r>
      <w:r>
        <w:rPr>
          <w:sz w:val="20"/>
        </w:rPr>
        <w:t>[32],</w:t>
      </w:r>
      <w:r>
        <w:rPr>
          <w:spacing w:val="18"/>
          <w:sz w:val="20"/>
        </w:rPr>
        <w:t> </w:t>
      </w:r>
      <w:r>
        <w:rPr>
          <w:sz w:val="20"/>
        </w:rPr>
        <w:t>[35];</w:t>
      </w:r>
      <w:r>
        <w:rPr>
          <w:spacing w:val="18"/>
          <w:sz w:val="20"/>
        </w:rPr>
        <w:t> </w:t>
      </w:r>
      <w:r>
        <w:rPr>
          <w:rFonts w:ascii="Arial" w:hAnsi="Arial"/>
          <w:i/>
          <w:spacing w:val="-2"/>
          <w:sz w:val="20"/>
        </w:rPr>
        <w:t>Kosmar</w:t>
      </w:r>
    </w:p>
    <w:p>
      <w:pPr>
        <w:spacing w:line="235" w:lineRule="auto" w:before="0"/>
        <w:ind w:left="705" w:right="167" w:firstLine="0"/>
        <w:jc w:val="both"/>
        <w:rPr>
          <w:sz w:val="20"/>
        </w:rPr>
      </w:pPr>
      <w:r>
        <w:rPr>
          <w:rFonts w:ascii="Arial" w:hAnsi="Arial"/>
          <w:i/>
          <w:sz w:val="20"/>
        </w:rPr>
        <w:t>Villa Holidays plc v Trustees of Syndicate 1243 [2008] EWCA Civ 147, [2008] 2 All </w:t>
      </w:r>
      <w:r>
        <w:rPr>
          <w:rFonts w:ascii="Arial" w:hAnsi="Arial"/>
          <w:i/>
          <w:sz w:val="20"/>
        </w:rPr>
        <w:t>E.R.</w:t>
      </w:r>
      <w:r>
        <w:rPr>
          <w:rFonts w:ascii="Arial" w:hAnsi="Arial"/>
          <w:i/>
          <w:spacing w:val="40"/>
          <w:sz w:val="20"/>
        </w:rPr>
        <w:t> </w:t>
      </w:r>
      <w:r>
        <w:rPr>
          <w:rFonts w:ascii="Arial" w:hAnsi="Arial"/>
          <w:i/>
          <w:sz w:val="20"/>
        </w:rPr>
        <w:t>(Comm) 14 </w:t>
      </w:r>
      <w:r>
        <w:rPr>
          <w:sz w:val="20"/>
        </w:rPr>
        <w:t>at [38], where the reference seems to be to “promissory estoppel”: see below para.4-095 n.516). For the analogy between waiver and the equitable doctrine here under discussion, see above, para.4-086; below, para.4-104. For the further concept of “waiver by estoppel”, see above, para.4-082 n.447.</w:t>
      </w:r>
    </w:p>
    <w:p>
      <w:pPr>
        <w:pStyle w:val="BodyText"/>
        <w:spacing w:before="2"/>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bookmarkStart w:name="_bookmark1115" w:id="1117"/>
      <w:bookmarkEnd w:id="1117"/>
      <w:r>
        <w:rPr/>
      </w:r>
      <w:hyperlink w:history="true" w:anchor="_bookmark890">
        <w:r>
          <w:rPr>
            <w:color w:val="005DA1"/>
            <w:spacing w:val="-4"/>
            <w:sz w:val="14"/>
            <w:u w:val="single" w:color="005DA1"/>
          </w:rPr>
          <w:t>480</w:t>
        </w:r>
      </w:hyperlink>
      <w:r>
        <w:rPr>
          <w:spacing w:val="-4"/>
          <w:sz w:val="14"/>
        </w:rPr>
        <w:t>.</w:t>
      </w:r>
    </w:p>
    <w:p>
      <w:pPr>
        <w:spacing w:line="235" w:lineRule="auto" w:before="212"/>
        <w:ind w:left="165" w:right="168" w:firstLine="170"/>
        <w:jc w:val="both"/>
        <w:rPr>
          <w:rFonts w:ascii="Arial" w:hAnsi="Arial"/>
          <w:i/>
          <w:sz w:val="20"/>
        </w:rPr>
      </w:pPr>
      <w:r>
        <w:rPr/>
        <w:br w:type="column"/>
      </w:r>
      <w:r>
        <w:rPr>
          <w:rFonts w:ascii="Arial" w:hAnsi="Arial"/>
          <w:i/>
          <w:sz w:val="20"/>
        </w:rPr>
        <w:t>B.P. Exploration Co (Libya) Ltd v Hunt (No.2) [1979] 1 W.L.R. 783, 812 </w:t>
      </w:r>
      <w:r>
        <w:rPr>
          <w:sz w:val="20"/>
        </w:rPr>
        <w:t>(affirmed </w:t>
      </w:r>
      <w:r>
        <w:rPr>
          <w:sz w:val="20"/>
        </w:rPr>
        <w:t>without reference to this point </w:t>
      </w:r>
      <w:r>
        <w:rPr>
          <w:rFonts w:ascii="Arial" w:hAnsi="Arial"/>
          <w:i/>
          <w:sz w:val="20"/>
        </w:rPr>
        <w:t>[1983] 2 A.C. 352</w:t>
      </w:r>
      <w:r>
        <w:rPr>
          <w:sz w:val="20"/>
        </w:rPr>
        <w:t>.); </w:t>
      </w:r>
      <w:r>
        <w:rPr>
          <w:rFonts w:ascii="Arial" w:hAnsi="Arial"/>
          <w:i/>
          <w:sz w:val="20"/>
        </w:rPr>
        <w:t>Spence v Shell (1980) 256 E.G. 55, 63</w:t>
      </w:r>
      <w:r>
        <w:rPr>
          <w:sz w:val="20"/>
        </w:rPr>
        <w:t>; </w:t>
      </w:r>
      <w:r>
        <w:rPr>
          <w:rFonts w:ascii="Arial" w:hAnsi="Arial"/>
          <w:i/>
          <w:sz w:val="20"/>
        </w:rPr>
        <w:t>James </w:t>
      </w:r>
      <w:r>
        <w:rPr>
          <w:rFonts w:ascii="Arial" w:hAnsi="Arial"/>
          <w:i/>
          <w:sz w:val="20"/>
        </w:rPr>
        <w:t>v Heim Galleries (1980) 256 E.G. 819, 821</w:t>
      </w:r>
      <w:r>
        <w:rPr>
          <w:sz w:val="20"/>
        </w:rPr>
        <w:t>; </w:t>
      </w:r>
      <w:r>
        <w:rPr>
          <w:rFonts w:ascii="Arial" w:hAnsi="Arial"/>
          <w:i/>
          <w:sz w:val="20"/>
        </w:rPr>
        <w:t>Société Italo-Belge pour le Commerce et l’Industrie </w:t>
      </w:r>
      <w:r>
        <w:rPr>
          <w:rFonts w:ascii="Arial" w:hAnsi="Arial"/>
          <w:i/>
          <w:sz w:val="20"/>
        </w:rPr>
        <w:t>v Palm &amp; Vegetable Oils (Malaysia) Sdn. Bhd. (The Post Chaser) [1981] 2 Lloyd’s Rep. 695, </w:t>
      </w:r>
      <w:r>
        <w:rPr>
          <w:rFonts w:ascii="Arial" w:hAnsi="Arial"/>
          <w:i/>
          <w:sz w:val="20"/>
        </w:rPr>
        <w:t>700</w:t>
      </w:r>
      <w:r>
        <w:rPr>
          <w:sz w:val="20"/>
        </w:rPr>
        <w:t>; </w:t>
      </w:r>
      <w:r>
        <w:rPr>
          <w:rFonts w:ascii="Arial" w:hAnsi="Arial"/>
          <w:i/>
          <w:sz w:val="20"/>
        </w:rPr>
        <w:t>Goldsworthy</w:t>
      </w:r>
      <w:r>
        <w:rPr>
          <w:rFonts w:ascii="Arial" w:hAnsi="Arial"/>
          <w:i/>
          <w:spacing w:val="22"/>
          <w:sz w:val="20"/>
        </w:rPr>
        <w:t> </w:t>
      </w:r>
      <w:r>
        <w:rPr>
          <w:rFonts w:ascii="Arial" w:hAnsi="Arial"/>
          <w:i/>
          <w:sz w:val="20"/>
        </w:rPr>
        <w:t>v</w:t>
      </w:r>
      <w:r>
        <w:rPr>
          <w:rFonts w:ascii="Arial" w:hAnsi="Arial"/>
          <w:i/>
          <w:spacing w:val="23"/>
          <w:sz w:val="20"/>
        </w:rPr>
        <w:t> </w:t>
      </w:r>
      <w:r>
        <w:rPr>
          <w:rFonts w:ascii="Arial" w:hAnsi="Arial"/>
          <w:i/>
          <w:sz w:val="20"/>
        </w:rPr>
        <w:t>Brickell</w:t>
      </w:r>
      <w:r>
        <w:rPr>
          <w:rFonts w:ascii="Arial" w:hAnsi="Arial"/>
          <w:i/>
          <w:spacing w:val="23"/>
          <w:sz w:val="20"/>
        </w:rPr>
        <w:t> </w:t>
      </w:r>
      <w:r>
        <w:rPr>
          <w:rFonts w:ascii="Arial" w:hAnsi="Arial"/>
          <w:i/>
          <w:sz w:val="20"/>
        </w:rPr>
        <w:t>[1987]</w:t>
      </w:r>
      <w:r>
        <w:rPr>
          <w:rFonts w:ascii="Arial" w:hAnsi="Arial"/>
          <w:i/>
          <w:spacing w:val="23"/>
          <w:sz w:val="20"/>
        </w:rPr>
        <w:t> </w:t>
      </w:r>
      <w:r>
        <w:rPr>
          <w:rFonts w:ascii="Arial" w:hAnsi="Arial"/>
          <w:i/>
          <w:sz w:val="20"/>
        </w:rPr>
        <w:t>Ch.</w:t>
      </w:r>
      <w:r>
        <w:rPr>
          <w:rFonts w:ascii="Arial" w:hAnsi="Arial"/>
          <w:i/>
          <w:spacing w:val="23"/>
          <w:sz w:val="20"/>
        </w:rPr>
        <w:t> </w:t>
      </w:r>
      <w:r>
        <w:rPr>
          <w:rFonts w:ascii="Arial" w:hAnsi="Arial"/>
          <w:i/>
          <w:sz w:val="20"/>
        </w:rPr>
        <w:t>378,</w:t>
      </w:r>
      <w:r>
        <w:rPr>
          <w:rFonts w:ascii="Arial" w:hAnsi="Arial"/>
          <w:i/>
          <w:spacing w:val="23"/>
          <w:sz w:val="20"/>
        </w:rPr>
        <w:t> </w:t>
      </w:r>
      <w:r>
        <w:rPr>
          <w:rFonts w:ascii="Arial" w:hAnsi="Arial"/>
          <w:i/>
          <w:sz w:val="20"/>
        </w:rPr>
        <w:t>410</w:t>
      </w:r>
      <w:r>
        <w:rPr>
          <w:sz w:val="20"/>
        </w:rPr>
        <w:t>;</w:t>
      </w:r>
      <w:r>
        <w:rPr>
          <w:spacing w:val="23"/>
          <w:sz w:val="20"/>
        </w:rPr>
        <w:t> </w:t>
      </w:r>
      <w:r>
        <w:rPr>
          <w:rFonts w:ascii="Arial" w:hAnsi="Arial"/>
          <w:i/>
          <w:sz w:val="20"/>
        </w:rPr>
        <w:t>Hiscox</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Outhwaite</w:t>
      </w:r>
      <w:r>
        <w:rPr>
          <w:rFonts w:ascii="Arial" w:hAnsi="Arial"/>
          <w:i/>
          <w:spacing w:val="23"/>
          <w:sz w:val="20"/>
        </w:rPr>
        <w:t> </w:t>
      </w:r>
      <w:r>
        <w:rPr>
          <w:rFonts w:ascii="Arial" w:hAnsi="Arial"/>
          <w:i/>
          <w:sz w:val="20"/>
        </w:rPr>
        <w:t>(No.3)</w:t>
      </w:r>
      <w:r>
        <w:rPr>
          <w:rFonts w:ascii="Arial" w:hAnsi="Arial"/>
          <w:i/>
          <w:spacing w:val="23"/>
          <w:sz w:val="20"/>
        </w:rPr>
        <w:t> </w:t>
      </w:r>
      <w:r>
        <w:rPr>
          <w:rFonts w:ascii="Arial" w:hAnsi="Arial"/>
          <w:i/>
          <w:sz w:val="20"/>
        </w:rPr>
        <w:t>[1991]</w:t>
      </w:r>
      <w:r>
        <w:rPr>
          <w:rFonts w:ascii="Arial" w:hAnsi="Arial"/>
          <w:i/>
          <w:spacing w:val="23"/>
          <w:sz w:val="20"/>
        </w:rPr>
        <w:t> </w:t>
      </w:r>
      <w:r>
        <w:rPr>
          <w:rFonts w:ascii="Arial" w:hAnsi="Arial"/>
          <w:i/>
          <w:sz w:val="20"/>
        </w:rPr>
        <w:t>2</w:t>
      </w:r>
      <w:r>
        <w:rPr>
          <w:rFonts w:ascii="Arial" w:hAnsi="Arial"/>
          <w:i/>
          <w:spacing w:val="23"/>
          <w:sz w:val="20"/>
        </w:rPr>
        <w:t> </w:t>
      </w:r>
      <w:r>
        <w:rPr>
          <w:rFonts w:ascii="Arial" w:hAnsi="Arial"/>
          <w:i/>
          <w:sz w:val="20"/>
        </w:rPr>
        <w:t>Lloyd’s</w:t>
      </w:r>
      <w:r>
        <w:rPr>
          <w:rFonts w:ascii="Arial" w:hAnsi="Arial"/>
          <w:i/>
          <w:spacing w:val="23"/>
          <w:sz w:val="20"/>
        </w:rPr>
        <w:t> </w:t>
      </w:r>
      <w:r>
        <w:rPr>
          <w:rFonts w:ascii="Arial" w:hAnsi="Arial"/>
          <w:i/>
          <w:spacing w:val="-4"/>
          <w:sz w:val="20"/>
        </w:rPr>
        <w:t>Rep</w:t>
      </w:r>
      <w:r>
        <w:rPr>
          <w:rFonts w:ascii="Arial" w:hAnsi="Arial"/>
          <w:i/>
          <w:spacing w:val="-4"/>
          <w:sz w:val="20"/>
        </w:rPr>
        <w:t>.</w:t>
      </w:r>
    </w:p>
    <w:p>
      <w:pPr>
        <w:spacing w:line="235" w:lineRule="auto" w:before="0"/>
        <w:ind w:left="165" w:right="167" w:firstLine="0"/>
        <w:jc w:val="both"/>
        <w:rPr>
          <w:rFonts w:ascii="Arial" w:hAnsi="Arial"/>
          <w:i/>
          <w:sz w:val="20"/>
        </w:rPr>
      </w:pPr>
      <w:r>
        <w:rPr>
          <w:rFonts w:ascii="Arial" w:hAnsi="Arial"/>
          <w:i/>
          <w:sz w:val="20"/>
        </w:rPr>
        <w:drawing>
          <wp:anchor distT="0" distB="0" distL="0" distR="0" allowOverlap="1" layoutInCell="1" locked="0" behindDoc="0" simplePos="0" relativeHeight="15771136">
            <wp:simplePos x="0" y="0"/>
            <wp:positionH relativeFrom="page">
              <wp:posOffset>1257846</wp:posOffset>
            </wp:positionH>
            <wp:positionV relativeFrom="paragraph">
              <wp:posOffset>-689543</wp:posOffset>
            </wp:positionV>
            <wp:extent cx="107988" cy="107988"/>
            <wp:effectExtent l="0" t="0" r="0" b="0"/>
            <wp:wrapNone/>
            <wp:docPr id="195" name="Image 195"/>
            <wp:cNvGraphicFramePr>
              <a:graphicFrameLocks/>
            </wp:cNvGraphicFramePr>
            <a:graphic>
              <a:graphicData uri="http://schemas.openxmlformats.org/drawingml/2006/picture">
                <pic:pic>
                  <pic:nvPicPr>
                    <pic:cNvPr id="195" name="Image 195"/>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sz w:val="20"/>
        </w:rPr>
        <w:t>523, 524, 535</w:t>
      </w:r>
      <w:r>
        <w:rPr>
          <w:sz w:val="20"/>
        </w:rPr>
        <w:t>; </w:t>
      </w:r>
      <w:r>
        <w:rPr>
          <w:rFonts w:ascii="Arial" w:hAnsi="Arial"/>
          <w:i/>
          <w:sz w:val="20"/>
        </w:rPr>
        <w:t>Rowan Companies Inc v Lambert Eggink Offshore Transport Consultants [1999] 2 Lloyd’s Rep. 443 </w:t>
      </w:r>
      <w:r>
        <w:rPr>
          <w:sz w:val="20"/>
        </w:rPr>
        <w:t>at 448, </w:t>
      </w:r>
      <w:r>
        <w:rPr>
          <w:rFonts w:ascii="Arial" w:hAnsi="Arial"/>
          <w:i/>
          <w:sz w:val="20"/>
        </w:rPr>
        <w:t>Thameside MBC v Barlow Securities Group Services Ltd </w:t>
      </w:r>
      <w:r>
        <w:rPr>
          <w:rFonts w:ascii="Arial" w:hAnsi="Arial"/>
          <w:i/>
          <w:sz w:val="20"/>
        </w:rPr>
        <w:t>[2001] EWCA Civ 1; [2001] B.L.R. 113 </w:t>
      </w:r>
      <w:r>
        <w:rPr>
          <w:sz w:val="20"/>
        </w:rPr>
        <w:t>and </w:t>
      </w:r>
      <w:r>
        <w:rPr>
          <w:rFonts w:ascii="Arial" w:hAnsi="Arial"/>
          <w:i/>
          <w:sz w:val="20"/>
        </w:rPr>
        <w:t>Evans v Amicus Healthcare Ltd [2003] EWHC 2161 (Fam), [2003] 4 All E.R. 903 </w:t>
      </w:r>
      <w:r>
        <w:rPr>
          <w:sz w:val="20"/>
        </w:rPr>
        <w:t>at [303]–[306] (where this requirement was not satisfied), affirmed on</w:t>
      </w:r>
      <w:r>
        <w:rPr>
          <w:spacing w:val="40"/>
          <w:sz w:val="20"/>
        </w:rPr>
        <w:t> </w:t>
      </w:r>
      <w:r>
        <w:rPr>
          <w:sz w:val="20"/>
        </w:rPr>
        <w:t>other grounds </w:t>
      </w:r>
      <w:r>
        <w:rPr>
          <w:rFonts w:ascii="Arial" w:hAnsi="Arial"/>
          <w:i/>
          <w:sz w:val="20"/>
        </w:rPr>
        <w:t>[2004] EWCA Civ 727; [2005] Fam. 1 </w:t>
      </w:r>
      <w:r>
        <w:rPr>
          <w:sz w:val="20"/>
        </w:rPr>
        <w:t>(see above, para.4-089); for the requirement of an “unequivocal representation in a case of “waiver … by estoppel”, see </w:t>
      </w:r>
      <w:r>
        <w:rPr>
          <w:rFonts w:ascii="Arial" w:hAnsi="Arial"/>
          <w:i/>
          <w:sz w:val="20"/>
        </w:rPr>
        <w:t>Warren v Burns [2014] EWHC 3671 (QB) </w:t>
      </w:r>
      <w:r>
        <w:rPr>
          <w:sz w:val="20"/>
        </w:rPr>
        <w:t>at [17] (where this requirement was not satisfied: at [20]); </w:t>
      </w:r>
      <w:r>
        <w:rPr>
          <w:rFonts w:ascii="Arial" w:hAnsi="Arial"/>
          <w:i/>
          <w:sz w:val="20"/>
        </w:rPr>
        <w:t>MWB</w:t>
      </w:r>
      <w:r>
        <w:rPr>
          <w:rFonts w:ascii="Arial" w:hAnsi="Arial"/>
          <w:i/>
          <w:spacing w:val="27"/>
          <w:sz w:val="20"/>
        </w:rPr>
        <w:t> </w:t>
      </w:r>
      <w:r>
        <w:rPr>
          <w:rFonts w:ascii="Arial" w:hAnsi="Arial"/>
          <w:i/>
          <w:sz w:val="20"/>
        </w:rPr>
        <w:t>Business</w:t>
      </w:r>
      <w:r>
        <w:rPr>
          <w:rFonts w:ascii="Arial" w:hAnsi="Arial"/>
          <w:i/>
          <w:spacing w:val="27"/>
          <w:sz w:val="20"/>
        </w:rPr>
        <w:t> </w:t>
      </w:r>
      <w:r>
        <w:rPr>
          <w:rFonts w:ascii="Arial" w:hAnsi="Arial"/>
          <w:i/>
          <w:sz w:val="20"/>
        </w:rPr>
        <w:t>Exchange</w:t>
      </w:r>
      <w:r>
        <w:rPr>
          <w:rFonts w:ascii="Arial" w:hAnsi="Arial"/>
          <w:i/>
          <w:spacing w:val="27"/>
          <w:sz w:val="20"/>
        </w:rPr>
        <w:t> </w:t>
      </w:r>
      <w:r>
        <w:rPr>
          <w:rFonts w:ascii="Arial" w:hAnsi="Arial"/>
          <w:i/>
          <w:sz w:val="20"/>
        </w:rPr>
        <w:t>Centres</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Rock</w:t>
      </w:r>
      <w:r>
        <w:rPr>
          <w:rFonts w:ascii="Arial" w:hAnsi="Arial"/>
          <w:i/>
          <w:spacing w:val="27"/>
          <w:sz w:val="20"/>
        </w:rPr>
        <w:t> </w:t>
      </w:r>
      <w:r>
        <w:rPr>
          <w:rFonts w:ascii="Arial" w:hAnsi="Arial"/>
          <w:i/>
          <w:sz w:val="20"/>
        </w:rPr>
        <w:t>Advertising</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[2016]</w:t>
      </w:r>
      <w:r>
        <w:rPr>
          <w:rFonts w:ascii="Arial" w:hAnsi="Arial"/>
          <w:i/>
          <w:spacing w:val="27"/>
          <w:sz w:val="20"/>
        </w:rPr>
        <w:t> </w:t>
      </w:r>
      <w:r>
        <w:rPr>
          <w:rFonts w:ascii="Arial" w:hAnsi="Arial"/>
          <w:i/>
          <w:sz w:val="20"/>
        </w:rPr>
        <w:t>EWCA</w:t>
      </w:r>
      <w:r>
        <w:rPr>
          <w:rFonts w:ascii="Arial" w:hAnsi="Arial"/>
          <w:i/>
          <w:spacing w:val="27"/>
          <w:sz w:val="20"/>
        </w:rPr>
        <w:t> </w:t>
      </w:r>
      <w:r>
        <w:rPr>
          <w:rFonts w:ascii="Arial" w:hAnsi="Arial"/>
          <w:i/>
          <w:sz w:val="20"/>
        </w:rPr>
        <w:t>Civ</w:t>
      </w:r>
      <w:r>
        <w:rPr>
          <w:rFonts w:ascii="Arial" w:hAnsi="Arial"/>
          <w:i/>
          <w:spacing w:val="27"/>
          <w:sz w:val="20"/>
        </w:rPr>
        <w:t> </w:t>
      </w:r>
      <w:r>
        <w:rPr>
          <w:rFonts w:ascii="Arial" w:hAnsi="Arial"/>
          <w:i/>
          <w:sz w:val="20"/>
        </w:rPr>
        <w:t>553,</w:t>
      </w:r>
      <w:r>
        <w:rPr>
          <w:rFonts w:ascii="Arial" w:hAnsi="Arial"/>
          <w:i/>
          <w:spacing w:val="27"/>
          <w:sz w:val="20"/>
        </w:rPr>
        <w:t> </w:t>
      </w:r>
      <w:r>
        <w:rPr>
          <w:rFonts w:ascii="Arial" w:hAnsi="Arial"/>
          <w:i/>
          <w:spacing w:val="-2"/>
          <w:sz w:val="20"/>
        </w:rPr>
        <w:t>[2017]</w:t>
      </w:r>
    </w:p>
    <w:p>
      <w:pPr>
        <w:pStyle w:val="BodyText"/>
        <w:spacing w:line="235" w:lineRule="auto"/>
        <w:ind w:left="165" w:right="168"/>
      </w:pPr>
      <w:r>
        <w:rPr>
          <w:rFonts w:ascii="Arial"/>
          <w:i/>
        </w:rPr>
        <w:t>Q.B. 604 </w:t>
      </w:r>
      <w:r>
        <w:rPr/>
        <w:t>at [51], [52] and passim; as the promise in this case was supported by consideration (see below, para.4-119A) it was not strictly necessary to decide the estoppel issue: see at [50].</w:t>
      </w:r>
    </w:p>
    <w:p>
      <w:pPr>
        <w:pStyle w:val="BodyText"/>
        <w:spacing w:after="0" w:line="235" w:lineRule="auto"/>
        <w:sectPr>
          <w:type w:val="continuous"/>
          <w:pgSz w:w="11900" w:h="16840"/>
          <w:pgMar w:header="971" w:footer="0" w:top="3760" w:bottom="280" w:left="1275" w:right="1275"/>
          <w:cols w:num="2" w:equalWidth="0">
            <w:col w:w="478" w:space="63"/>
            <w:col w:w="8809"/>
          </w:cols>
        </w:sectPr>
      </w:pPr>
    </w:p>
    <w:p>
      <w:pPr>
        <w:pStyle w:val="BodyText"/>
        <w:spacing w:before="1"/>
      </w:pPr>
    </w:p>
    <w:p>
      <w:pPr>
        <w:tabs>
          <w:tab w:pos="705" w:val="left" w:leader="none"/>
        </w:tabs>
        <w:spacing w:before="0"/>
        <w:ind w:left="165" w:right="0" w:firstLine="0"/>
        <w:jc w:val="left"/>
        <w:rPr>
          <w:sz w:val="20"/>
        </w:rPr>
      </w:pPr>
      <w:bookmarkStart w:name="_bookmark1116" w:id="1118"/>
      <w:bookmarkEnd w:id="1118"/>
      <w:r>
        <w:rPr/>
      </w:r>
      <w:hyperlink w:history="true" w:anchor="_bookmark891">
        <w:r>
          <w:rPr>
            <w:color w:val="005DA1"/>
            <w:spacing w:val="-4"/>
            <w:position w:val="5"/>
            <w:sz w:val="14"/>
            <w:u w:val="single" w:color="005DA1"/>
          </w:rPr>
          <w:t>481</w:t>
        </w:r>
      </w:hyperlink>
      <w:r>
        <w:rPr>
          <w:spacing w:val="-4"/>
          <w:position w:val="5"/>
          <w:sz w:val="14"/>
        </w:rPr>
        <w:t>.</w:t>
      </w:r>
      <w:r>
        <w:rPr>
          <w:position w:val="5"/>
          <w:sz w:val="14"/>
        </w:rPr>
        <w:tab/>
      </w:r>
      <w:r>
        <w:rPr>
          <w:rFonts w:ascii="Arial"/>
          <w:i/>
          <w:sz w:val="20"/>
        </w:rPr>
        <w:t>Spence v Shell (1980) 256 E.G. 55, </w:t>
      </w:r>
      <w:r>
        <w:rPr>
          <w:rFonts w:ascii="Arial"/>
          <w:i/>
          <w:spacing w:val="-5"/>
          <w:sz w:val="20"/>
        </w:rPr>
        <w:t>63</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117" w:id="1119"/>
      <w:bookmarkEnd w:id="1119"/>
      <w:r>
        <w:rPr/>
      </w:r>
      <w:hyperlink w:history="true" w:anchor="_bookmark892">
        <w:r>
          <w:rPr>
            <w:color w:val="005DA1"/>
            <w:spacing w:val="-4"/>
            <w:position w:val="5"/>
            <w:sz w:val="14"/>
            <w:u w:val="single" w:color="005DA1"/>
          </w:rPr>
          <w:t>482</w:t>
        </w:r>
      </w:hyperlink>
      <w:r>
        <w:rPr>
          <w:spacing w:val="-4"/>
          <w:position w:val="5"/>
          <w:sz w:val="14"/>
        </w:rPr>
        <w:t>.</w:t>
      </w:r>
      <w:r>
        <w:rPr>
          <w:position w:val="5"/>
          <w:sz w:val="14"/>
        </w:rPr>
        <w:tab/>
      </w:r>
      <w:r>
        <w:rPr>
          <w:rFonts w:ascii="Arial"/>
          <w:i/>
          <w:sz w:val="20"/>
        </w:rPr>
        <w:t>(1877)</w:t>
      </w:r>
      <w:r>
        <w:rPr>
          <w:rFonts w:ascii="Arial"/>
          <w:i/>
          <w:spacing w:val="-1"/>
          <w:sz w:val="20"/>
        </w:rPr>
        <w:t> </w:t>
      </w:r>
      <w:r>
        <w:rPr>
          <w:rFonts w:ascii="Arial"/>
          <w:i/>
          <w:sz w:val="20"/>
        </w:rPr>
        <w:t>2 App. Cas. 439</w:t>
      </w:r>
      <w:r>
        <w:rPr>
          <w:sz w:val="20"/>
        </w:rPr>
        <w:t>; cf. </w:t>
      </w:r>
      <w:r>
        <w:rPr>
          <w:rFonts w:ascii="Arial"/>
          <w:i/>
          <w:sz w:val="20"/>
        </w:rPr>
        <w:t>The</w:t>
      </w:r>
      <w:r>
        <w:rPr>
          <w:rFonts w:ascii="Arial"/>
          <w:i/>
          <w:spacing w:val="-1"/>
          <w:sz w:val="20"/>
        </w:rPr>
        <w:t> </w:t>
      </w:r>
      <w:r>
        <w:rPr>
          <w:rFonts w:ascii="Arial"/>
          <w:i/>
          <w:sz w:val="20"/>
        </w:rPr>
        <w:t>Post Chaser</w:t>
      </w:r>
      <w:r>
        <w:rPr>
          <w:sz w:val="20"/>
        </w:rPr>
        <w:t>, above, n.475, at </w:t>
      </w:r>
      <w:r>
        <w:rPr>
          <w:spacing w:val="-4"/>
          <w:sz w:val="20"/>
        </w:rPr>
        <w:t>700.</w:t>
      </w:r>
    </w:p>
    <w:p>
      <w:pPr>
        <w:pStyle w:val="BodyText"/>
        <w:spacing w:before="9"/>
      </w:pPr>
    </w:p>
    <w:p>
      <w:pPr>
        <w:spacing w:line="235" w:lineRule="auto" w:before="0"/>
        <w:ind w:left="705" w:right="168" w:hanging="541"/>
        <w:jc w:val="both"/>
        <w:rPr>
          <w:sz w:val="20"/>
        </w:rPr>
      </w:pPr>
      <w:bookmarkStart w:name="_bookmark1118" w:id="1120"/>
      <w:bookmarkEnd w:id="1120"/>
      <w:r>
        <w:rPr/>
      </w:r>
      <w:hyperlink w:history="true" w:anchor="_bookmark893">
        <w:r>
          <w:rPr>
            <w:color w:val="005DA1"/>
            <w:position w:val="5"/>
            <w:sz w:val="14"/>
            <w:u w:val="single" w:color="005DA1"/>
          </w:rPr>
          <w:t>483</w:t>
        </w:r>
      </w:hyperlink>
      <w:r>
        <w:rPr>
          <w:position w:val="5"/>
          <w:sz w:val="14"/>
        </w:rPr>
        <w:t>.</w:t>
      </w:r>
      <w:r>
        <w:rPr>
          <w:spacing w:val="80"/>
          <w:w w:val="150"/>
          <w:position w:val="5"/>
          <w:sz w:val="14"/>
        </w:rPr>
        <w:t> </w:t>
      </w:r>
      <w:r>
        <w:rPr>
          <w:rFonts w:ascii="Arial" w:hAnsi="Arial"/>
          <w:i/>
          <w:sz w:val="20"/>
        </w:rPr>
        <w:t>China-Pacific SA v The Food Corp. of India (The Winson) [1980] 2 Lloyd’s Rep. 213, 222</w:t>
      </w:r>
      <w:r>
        <w:rPr>
          <w:sz w:val="20"/>
        </w:rPr>
        <w:t>; reversed on other grounds </w:t>
      </w:r>
      <w:r>
        <w:rPr>
          <w:rFonts w:ascii="Arial" w:hAnsi="Arial"/>
          <w:i/>
          <w:sz w:val="20"/>
        </w:rPr>
        <w:t>[1982] A.C. 939</w:t>
      </w:r>
      <w:r>
        <w:rPr>
          <w:sz w:val="20"/>
        </w:rPr>
        <w:t>; </w:t>
      </w:r>
      <w:r>
        <w:rPr>
          <w:rFonts w:ascii="Arial" w:hAnsi="Arial"/>
          <w:i/>
          <w:sz w:val="20"/>
        </w:rPr>
        <w:t>Food Corp. of India v Antclizo Shipping Corp. (The Antclizo) [1988] 2 Lloyd’s Rep. 130, 142</w:t>
      </w:r>
      <w:r>
        <w:rPr>
          <w:sz w:val="20"/>
        </w:rPr>
        <w:t>, affirmed </w:t>
      </w:r>
      <w:r>
        <w:rPr>
          <w:rFonts w:ascii="Arial" w:hAnsi="Arial"/>
          <w:i/>
          <w:sz w:val="20"/>
        </w:rPr>
        <w:t>[1988] 1 W.L.R. 603</w:t>
      </w:r>
      <w:r>
        <w:rPr>
          <w:sz w:val="20"/>
        </w:rPr>
        <w:t>; </w:t>
      </w:r>
      <w:r>
        <w:rPr>
          <w:rFonts w:ascii="Arial" w:hAnsi="Arial"/>
          <w:i/>
          <w:sz w:val="20"/>
        </w:rPr>
        <w:t>Youell v Bland Welch </w:t>
      </w:r>
      <w:r>
        <w:rPr>
          <w:rFonts w:ascii="Arial" w:hAnsi="Arial"/>
          <w:i/>
          <w:sz w:val="20"/>
        </w:rPr>
        <w:t>&amp; Co Ltd (The Superhulls Cover Case) (No.2) [1990] 2 Lloyd’s Rep. 431, 452</w:t>
      </w:r>
      <w:r>
        <w:rPr>
          <w:sz w:val="20"/>
        </w:rPr>
        <w:t>; </w:t>
      </w:r>
      <w:r>
        <w:rPr>
          <w:rFonts w:ascii="Arial" w:hAnsi="Arial"/>
          <w:i/>
          <w:sz w:val="20"/>
        </w:rPr>
        <w:t>Rafsanjan</w:t>
      </w:r>
      <w:r>
        <w:rPr>
          <w:rFonts w:ascii="Arial" w:hAnsi="Arial"/>
          <w:i/>
          <w:spacing w:val="40"/>
          <w:sz w:val="20"/>
        </w:rPr>
        <w:t> </w:t>
      </w:r>
      <w:r>
        <w:rPr>
          <w:rFonts w:ascii="Arial" w:hAnsi="Arial"/>
          <w:i/>
          <w:sz w:val="20"/>
        </w:rPr>
        <w:t>Pistachio Producers Co-operative v Bank Leumi (UK) plc [1992] 1 Lloyd’s Rep. 513, 542</w:t>
      </w:r>
      <w:r>
        <w:rPr>
          <w:sz w:val="20"/>
        </w:rPr>
        <w:t>.</w:t>
      </w:r>
    </w:p>
    <w:p>
      <w:pPr>
        <w:pStyle w:val="BodyText"/>
        <w:spacing w:before="8"/>
      </w:pPr>
    </w:p>
    <w:p>
      <w:pPr>
        <w:pStyle w:val="BodyText"/>
        <w:spacing w:line="235" w:lineRule="auto"/>
        <w:ind w:left="705" w:right="167" w:hanging="541"/>
        <w:jc w:val="both"/>
      </w:pPr>
      <w:bookmarkStart w:name="_bookmark1119" w:id="1121"/>
      <w:bookmarkEnd w:id="1121"/>
      <w:r>
        <w:rPr/>
      </w:r>
      <w:hyperlink w:history="true" w:anchor="_bookmark894">
        <w:r>
          <w:rPr>
            <w:color w:val="005DA1"/>
            <w:position w:val="5"/>
            <w:sz w:val="14"/>
            <w:u w:val="single" w:color="005DA1"/>
          </w:rPr>
          <w:t>484</w:t>
        </w:r>
      </w:hyperlink>
      <w:r>
        <w:rPr>
          <w:position w:val="5"/>
          <w:sz w:val="14"/>
        </w:rPr>
        <w:t>.</w:t>
      </w:r>
      <w:r>
        <w:rPr>
          <w:spacing w:val="80"/>
          <w:position w:val="5"/>
          <w:sz w:val="14"/>
        </w:rPr>
        <w:t>  </w:t>
      </w:r>
      <w:r>
        <w:rPr/>
        <w:t>Above, paras 2-147—2-152; cf. </w:t>
      </w:r>
      <w:r>
        <w:rPr>
          <w:rFonts w:ascii="Arial" w:hAnsi="Arial"/>
          <w:i/>
        </w:rPr>
        <w:t>Baird Textile Holdings Ltd v Marks &amp; Spencer plc [2001] EWCA Civ 274; [2002] 1 All E.R. (Comm) 737 </w:t>
      </w:r>
      <w:r>
        <w:rPr/>
        <w:t>at [38], [54], where one reason why the claim based on estoppel failed was that the implied agreement on which it was based was not sufficiently certain to have contractual force: see above, para.2-194 and below, para.4-099. The difficulty arising from lack of certainty was said, at [54], to “extend to the estoppel as well as </w:t>
      </w:r>
      <w:r>
        <w:rPr/>
        <w:t>the contractual issue.” Cf., in cases of estoppel by convention, below, para.4-108 at n.625.</w:t>
      </w:r>
    </w:p>
    <w:p>
      <w:pPr>
        <w:pStyle w:val="BodyText"/>
        <w:spacing w:before="4"/>
      </w:pPr>
    </w:p>
    <w:p>
      <w:pPr>
        <w:tabs>
          <w:tab w:pos="705" w:val="left" w:leader="none"/>
        </w:tabs>
        <w:spacing w:before="0"/>
        <w:ind w:left="165" w:right="0" w:firstLine="0"/>
        <w:jc w:val="left"/>
        <w:rPr>
          <w:sz w:val="20"/>
        </w:rPr>
      </w:pPr>
      <w:bookmarkStart w:name="_bookmark1120" w:id="1122"/>
      <w:bookmarkEnd w:id="1122"/>
      <w:r>
        <w:rPr/>
      </w:r>
      <w:hyperlink w:history="true" w:anchor="_bookmark894">
        <w:r>
          <w:rPr>
            <w:color w:val="005DA1"/>
            <w:spacing w:val="-4"/>
            <w:position w:val="5"/>
            <w:sz w:val="14"/>
            <w:u w:val="single" w:color="005DA1"/>
          </w:rPr>
          <w:t>485</w:t>
        </w:r>
      </w:hyperlink>
      <w:r>
        <w:rPr>
          <w:spacing w:val="-4"/>
          <w:position w:val="5"/>
          <w:sz w:val="14"/>
        </w:rPr>
        <w:t>.</w:t>
      </w:r>
      <w:r>
        <w:rPr>
          <w:position w:val="5"/>
          <w:sz w:val="14"/>
        </w:rPr>
        <w:tab/>
      </w:r>
      <w:r>
        <w:rPr>
          <w:sz w:val="20"/>
        </w:rPr>
        <w:t>Above, para.2-</w:t>
      </w:r>
      <w:r>
        <w:rPr>
          <w:spacing w:val="-4"/>
          <w:sz w:val="20"/>
        </w:rPr>
        <w:t>003.</w:t>
      </w:r>
    </w:p>
    <w:p>
      <w:pPr>
        <w:pStyle w:val="BodyText"/>
        <w:spacing w:before="9"/>
      </w:pPr>
    </w:p>
    <w:p>
      <w:pPr>
        <w:spacing w:line="235" w:lineRule="auto" w:before="0"/>
        <w:ind w:left="705" w:right="167" w:hanging="541"/>
        <w:jc w:val="both"/>
        <w:rPr>
          <w:sz w:val="20"/>
        </w:rPr>
      </w:pPr>
      <w:bookmarkStart w:name="_bookmark1121" w:id="1123"/>
      <w:bookmarkEnd w:id="1123"/>
      <w:r>
        <w:rPr/>
      </w:r>
      <w:hyperlink w:history="true" w:anchor="_bookmark895">
        <w:r>
          <w:rPr>
            <w:color w:val="005DA1"/>
            <w:position w:val="5"/>
            <w:sz w:val="14"/>
            <w:u w:val="single" w:color="005DA1"/>
          </w:rPr>
          <w:t>486</w:t>
        </w:r>
      </w:hyperlink>
      <w:r>
        <w:rPr>
          <w:position w:val="5"/>
          <w:sz w:val="14"/>
        </w:rPr>
        <w:t>.</w:t>
      </w:r>
      <w:r>
        <w:rPr>
          <w:spacing w:val="80"/>
          <w:w w:val="150"/>
          <w:position w:val="5"/>
          <w:sz w:val="14"/>
        </w:rPr>
        <w:t> </w:t>
      </w:r>
      <w:r>
        <w:rPr>
          <w:rFonts w:ascii="Arial" w:hAnsi="Arial"/>
          <w:i/>
          <w:sz w:val="20"/>
        </w:rPr>
        <w:t>Azov Shipping Co v Baltic Shipping Co [1999] 2 Lloyd’s Rep. 159, 173</w:t>
      </w:r>
      <w:r>
        <w:rPr>
          <w:sz w:val="20"/>
        </w:rPr>
        <w:t>, a case of estoppel by representation,</w:t>
      </w:r>
      <w:r>
        <w:rPr>
          <w:spacing w:val="-3"/>
          <w:sz w:val="20"/>
        </w:rPr>
        <w:t> </w:t>
      </w:r>
      <w:r>
        <w:rPr>
          <w:sz w:val="20"/>
        </w:rPr>
        <w:t>to</w:t>
      </w:r>
      <w:r>
        <w:rPr>
          <w:spacing w:val="-3"/>
          <w:sz w:val="20"/>
        </w:rPr>
        <w:t> </w:t>
      </w:r>
      <w:r>
        <w:rPr>
          <w:sz w:val="20"/>
        </w:rPr>
        <w:t>which</w:t>
      </w:r>
      <w:r>
        <w:rPr>
          <w:spacing w:val="-3"/>
          <w:sz w:val="20"/>
        </w:rPr>
        <w:t> </w:t>
      </w:r>
      <w:r>
        <w:rPr>
          <w:sz w:val="20"/>
        </w:rPr>
        <w:t>the</w:t>
      </w:r>
      <w:r>
        <w:rPr>
          <w:spacing w:val="-3"/>
          <w:sz w:val="20"/>
        </w:rPr>
        <w:t> </w:t>
      </w:r>
      <w:r>
        <w:rPr>
          <w:sz w:val="20"/>
        </w:rPr>
        <w:t>requirement</w:t>
      </w:r>
      <w:r>
        <w:rPr>
          <w:spacing w:val="-3"/>
          <w:sz w:val="20"/>
        </w:rPr>
        <w:t> </w:t>
      </w:r>
      <w:r>
        <w:rPr>
          <w:sz w:val="20"/>
        </w:rPr>
        <w:t>of</w:t>
      </w:r>
      <w:r>
        <w:rPr>
          <w:spacing w:val="-3"/>
          <w:sz w:val="20"/>
        </w:rPr>
        <w:t> </w:t>
      </w:r>
      <w:r>
        <w:rPr>
          <w:sz w:val="20"/>
        </w:rPr>
        <w:t>a</w:t>
      </w:r>
      <w:r>
        <w:rPr>
          <w:spacing w:val="-3"/>
          <w:sz w:val="20"/>
        </w:rPr>
        <w:t> </w:t>
      </w:r>
      <w:r>
        <w:rPr>
          <w:sz w:val="20"/>
        </w:rPr>
        <w:t>clear</w:t>
      </w:r>
      <w:r>
        <w:rPr>
          <w:spacing w:val="-3"/>
          <w:sz w:val="20"/>
        </w:rPr>
        <w:t> </w:t>
      </w:r>
      <w:r>
        <w:rPr>
          <w:sz w:val="20"/>
        </w:rPr>
        <w:t>and</w:t>
      </w:r>
      <w:r>
        <w:rPr>
          <w:spacing w:val="-3"/>
          <w:sz w:val="20"/>
        </w:rPr>
        <w:t> </w:t>
      </w:r>
      <w:r>
        <w:rPr>
          <w:sz w:val="20"/>
        </w:rPr>
        <w:t>unequivocal</w:t>
      </w:r>
      <w:r>
        <w:rPr>
          <w:spacing w:val="-3"/>
          <w:sz w:val="20"/>
        </w:rPr>
        <w:t> </w:t>
      </w:r>
      <w:r>
        <w:rPr>
          <w:sz w:val="20"/>
        </w:rPr>
        <w:t>representation</w:t>
      </w:r>
      <w:r>
        <w:rPr>
          <w:spacing w:val="-3"/>
          <w:sz w:val="20"/>
        </w:rPr>
        <w:t> </w:t>
      </w:r>
      <w:r>
        <w:rPr>
          <w:sz w:val="20"/>
        </w:rPr>
        <w:t>also</w:t>
      </w:r>
      <w:r>
        <w:rPr>
          <w:spacing w:val="-3"/>
          <w:sz w:val="20"/>
        </w:rPr>
        <w:t> </w:t>
      </w:r>
      <w:r>
        <w:rPr>
          <w:sz w:val="20"/>
        </w:rPr>
        <w:t>applies: see </w:t>
      </w:r>
      <w:r>
        <w:rPr>
          <w:rFonts w:ascii="Arial" w:hAnsi="Arial"/>
          <w:i/>
          <w:sz w:val="20"/>
        </w:rPr>
        <w:t>Low v Bouverie [1891] 3 Ch. 82</w:t>
      </w:r>
      <w:r>
        <w:rPr>
          <w:sz w:val="20"/>
        </w:rPr>
        <w:t>; </w:t>
      </w:r>
      <w:r>
        <w:rPr>
          <w:rFonts w:ascii="Arial" w:hAnsi="Arial"/>
          <w:i/>
          <w:sz w:val="20"/>
        </w:rPr>
        <w:t>Woodhouse A.C. Israel Cocoa Ltd v Nigerian Produce Marketing Co [1972] A.C. 741</w:t>
      </w:r>
      <w:r>
        <w:rPr>
          <w:sz w:val="20"/>
        </w:rPr>
        <w:t>. For the requirement of an “unqualified” acceptance, see above, </w:t>
      </w:r>
      <w:r>
        <w:rPr>
          <w:spacing w:val="-2"/>
          <w:sz w:val="20"/>
        </w:rPr>
        <w:t>para.2-031.</w:t>
      </w:r>
    </w:p>
    <w:p>
      <w:pPr>
        <w:spacing w:after="0" w:line="235" w:lineRule="auto"/>
        <w:jc w:val="both"/>
        <w:rPr>
          <w:sz w:val="20"/>
        </w:rPr>
        <w:sectPr>
          <w:type w:val="continuous"/>
          <w:pgSz w:w="11900" w:h="16840"/>
          <w:pgMar w:header="971" w:footer="0" w:top="3760" w:bottom="280" w:left="1275" w:right="1275"/>
        </w:sectPr>
      </w:pPr>
    </w:p>
    <w:p>
      <w:pPr>
        <w:pStyle w:val="BodyText"/>
        <w:spacing w:before="84"/>
      </w:pPr>
    </w:p>
    <w:p>
      <w:pPr>
        <w:spacing w:line="235" w:lineRule="auto" w:before="1"/>
        <w:ind w:left="705" w:right="167" w:hanging="541"/>
        <w:jc w:val="both"/>
        <w:rPr>
          <w:sz w:val="20"/>
        </w:rPr>
      </w:pPr>
      <w:hyperlink w:history="true" w:anchor="_bookmark895">
        <w:r>
          <w:rPr>
            <w:color w:val="005DA1"/>
            <w:position w:val="5"/>
            <w:sz w:val="14"/>
            <w:u w:val="single" w:color="005DA1"/>
          </w:rPr>
          <w:t>487</w:t>
        </w:r>
      </w:hyperlink>
      <w:r>
        <w:rPr>
          <w:position w:val="5"/>
          <w:sz w:val="14"/>
        </w:rPr>
        <w:t>.</w:t>
      </w:r>
      <w:r>
        <w:rPr>
          <w:spacing w:val="80"/>
          <w:w w:val="150"/>
          <w:position w:val="5"/>
          <w:sz w:val="14"/>
        </w:rPr>
        <w:t> </w:t>
      </w:r>
      <w:r>
        <w:rPr>
          <w:rFonts w:ascii="Arial" w:hAnsi="Arial"/>
          <w:i/>
          <w:sz w:val="20"/>
        </w:rPr>
        <w:t>China-Pacific SA v The Food Corp. of India (The Winson) [1980] 2 Lloyd’s Rep. 213, 223</w:t>
      </w:r>
      <w:r>
        <w:rPr>
          <w:sz w:val="20"/>
        </w:rPr>
        <w:t>; reversed on other grounds </w:t>
      </w:r>
      <w:r>
        <w:rPr>
          <w:rFonts w:ascii="Arial" w:hAnsi="Arial"/>
          <w:i/>
          <w:sz w:val="20"/>
        </w:rPr>
        <w:t>[1982] A.C. 939</w:t>
      </w:r>
      <w:r>
        <w:rPr>
          <w:sz w:val="20"/>
        </w:rPr>
        <w:t>; </w:t>
      </w:r>
      <w:r>
        <w:rPr>
          <w:rFonts w:ascii="Arial" w:hAnsi="Arial"/>
          <w:i/>
          <w:sz w:val="20"/>
        </w:rPr>
        <w:t>Drexel Burnham Lambert International NV v El</w:t>
      </w:r>
      <w:r>
        <w:rPr>
          <w:rFonts w:ascii="Arial" w:hAnsi="Arial"/>
          <w:i/>
          <w:spacing w:val="40"/>
          <w:sz w:val="20"/>
        </w:rPr>
        <w:t> </w:t>
      </w:r>
      <w:r>
        <w:rPr>
          <w:rFonts w:ascii="Arial" w:hAnsi="Arial"/>
          <w:i/>
          <w:sz w:val="20"/>
        </w:rPr>
        <w:t>Nasr [1986] 1 Lloyd’s Rep. 357</w:t>
      </w:r>
      <w:r>
        <w:rPr>
          <w:sz w:val="20"/>
        </w:rPr>
        <w:t>. A promise which lacks contractual force can give rise to </w:t>
      </w:r>
      <w:r>
        <w:rPr>
          <w:sz w:val="20"/>
        </w:rPr>
        <w:t>a proprietary estoppel even though by reason of its uncertainty or incompleteness it lacks contractual force (see below, para.4-145); but in </w:t>
      </w:r>
      <w:r>
        <w:rPr>
          <w:rFonts w:ascii="Arial" w:hAnsi="Arial"/>
          <w:i/>
          <w:sz w:val="20"/>
        </w:rPr>
        <w:t>Cobbe v Yeoman’s Row Management Ltd [2008]</w:t>
      </w:r>
      <w:r>
        <w:rPr>
          <w:rFonts w:ascii="Arial" w:hAnsi="Arial"/>
          <w:i/>
          <w:spacing w:val="-2"/>
          <w:sz w:val="20"/>
        </w:rPr>
        <w:t> </w:t>
      </w:r>
      <w:r>
        <w:rPr>
          <w:rFonts w:ascii="Arial" w:hAnsi="Arial"/>
          <w:i/>
          <w:sz w:val="20"/>
        </w:rPr>
        <w:t>UKHL</w:t>
      </w:r>
      <w:r>
        <w:rPr>
          <w:rFonts w:ascii="Arial" w:hAnsi="Arial"/>
          <w:i/>
          <w:spacing w:val="-2"/>
          <w:sz w:val="20"/>
        </w:rPr>
        <w:t> </w:t>
      </w:r>
      <w:r>
        <w:rPr>
          <w:rFonts w:ascii="Arial" w:hAnsi="Arial"/>
          <w:i/>
          <w:sz w:val="20"/>
        </w:rPr>
        <w:t>55,</w:t>
      </w:r>
      <w:r>
        <w:rPr>
          <w:rFonts w:ascii="Arial" w:hAnsi="Arial"/>
          <w:i/>
          <w:spacing w:val="-2"/>
          <w:sz w:val="20"/>
        </w:rPr>
        <w:t> </w:t>
      </w:r>
      <w:r>
        <w:rPr>
          <w:rFonts w:ascii="Arial" w:hAnsi="Arial"/>
          <w:i/>
          <w:sz w:val="20"/>
        </w:rPr>
        <w:t>[2008]</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1752</w:t>
      </w:r>
      <w:r>
        <w:rPr>
          <w:rFonts w:ascii="Arial" w:hAnsi="Arial"/>
          <w:i/>
          <w:spacing w:val="-2"/>
          <w:sz w:val="20"/>
        </w:rPr>
        <w:t> </w:t>
      </w:r>
      <w:r>
        <w:rPr>
          <w:sz w:val="20"/>
        </w:rPr>
        <w:t>(below</w:t>
      </w:r>
      <w:r>
        <w:rPr>
          <w:spacing w:val="-2"/>
          <w:sz w:val="20"/>
        </w:rPr>
        <w:t> </w:t>
      </w:r>
      <w:r>
        <w:rPr>
          <w:sz w:val="20"/>
        </w:rPr>
        <w:t>paras</w:t>
      </w:r>
      <w:r>
        <w:rPr>
          <w:spacing w:val="-2"/>
          <w:sz w:val="20"/>
        </w:rPr>
        <w:t> </w:t>
      </w:r>
      <w:r>
        <w:rPr>
          <w:sz w:val="20"/>
        </w:rPr>
        <w:t>4-161</w:t>
      </w:r>
      <w:r>
        <w:rPr>
          <w:spacing w:val="-2"/>
          <w:sz w:val="20"/>
        </w:rPr>
        <w:t> </w:t>
      </w:r>
      <w:r>
        <w:rPr>
          <w:sz w:val="20"/>
        </w:rPr>
        <w:t>to</w:t>
      </w:r>
      <w:r>
        <w:rPr>
          <w:spacing w:val="-2"/>
          <w:sz w:val="20"/>
        </w:rPr>
        <w:t> </w:t>
      </w:r>
      <w:r>
        <w:rPr>
          <w:sz w:val="20"/>
        </w:rPr>
        <w:t>4-162,</w:t>
      </w:r>
      <w:r>
        <w:rPr>
          <w:spacing w:val="-2"/>
          <w:sz w:val="20"/>
        </w:rPr>
        <w:t> </w:t>
      </w:r>
      <w:r>
        <w:rPr>
          <w:sz w:val="20"/>
        </w:rPr>
        <w:t>4-165</w:t>
      </w:r>
      <w:r>
        <w:rPr>
          <w:spacing w:val="-2"/>
          <w:sz w:val="20"/>
        </w:rPr>
        <w:t> </w:t>
      </w:r>
      <w:r>
        <w:rPr>
          <w:sz w:val="20"/>
        </w:rPr>
        <w:t>to</w:t>
      </w:r>
      <w:r>
        <w:rPr>
          <w:spacing w:val="-2"/>
          <w:sz w:val="20"/>
        </w:rPr>
        <w:t> </w:t>
      </w:r>
      <w:r>
        <w:rPr>
          <w:sz w:val="20"/>
        </w:rPr>
        <w:t>4-167)</w:t>
      </w:r>
      <w:r>
        <w:rPr>
          <w:spacing w:val="-2"/>
          <w:sz w:val="20"/>
        </w:rPr>
        <w:t> </w:t>
      </w:r>
      <w:r>
        <w:rPr>
          <w:sz w:val="20"/>
        </w:rPr>
        <w:t>it</w:t>
      </w:r>
      <w:r>
        <w:rPr>
          <w:spacing w:val="-2"/>
          <w:sz w:val="20"/>
        </w:rPr>
        <w:t> </w:t>
      </w:r>
      <w:r>
        <w:rPr>
          <w:sz w:val="20"/>
        </w:rPr>
        <w:t>was</w:t>
      </w:r>
      <w:r>
        <w:rPr>
          <w:spacing w:val="-2"/>
          <w:sz w:val="20"/>
        </w:rPr>
        <w:t> </w:t>
      </w:r>
      <w:r>
        <w:rPr>
          <w:sz w:val="20"/>
        </w:rPr>
        <w:t>held that no such estoppel arose in favour of a party who knew that the promise was binding only in </w:t>
      </w:r>
      <w:r>
        <w:rPr>
          <w:spacing w:val="-2"/>
          <w:sz w:val="20"/>
        </w:rPr>
        <w:t>honour.</w:t>
      </w:r>
    </w:p>
    <w:p>
      <w:pPr>
        <w:pStyle w:val="BodyText"/>
        <w:spacing w:before="6"/>
      </w:pPr>
    </w:p>
    <w:p>
      <w:pPr>
        <w:spacing w:line="235" w:lineRule="auto" w:before="1"/>
        <w:ind w:left="705" w:right="167" w:hanging="541"/>
        <w:jc w:val="both"/>
        <w:rPr>
          <w:rFonts w:ascii="Arial" w:hAnsi="Arial"/>
          <w:i/>
          <w:sz w:val="20"/>
        </w:rPr>
      </w:pPr>
      <w:bookmarkStart w:name="_bookmark1122" w:id="1124"/>
      <w:bookmarkEnd w:id="1124"/>
      <w:r>
        <w:rPr/>
      </w:r>
      <w:hyperlink w:history="true" w:anchor="_bookmark896">
        <w:r>
          <w:rPr>
            <w:color w:val="005DA1"/>
            <w:position w:val="5"/>
            <w:sz w:val="14"/>
            <w:u w:val="single" w:color="005DA1"/>
          </w:rPr>
          <w:t>488</w:t>
        </w:r>
      </w:hyperlink>
      <w:r>
        <w:rPr>
          <w:position w:val="5"/>
          <w:sz w:val="14"/>
        </w:rPr>
        <w:t>.</w:t>
      </w:r>
      <w:r>
        <w:rPr>
          <w:spacing w:val="80"/>
          <w:w w:val="150"/>
          <w:position w:val="5"/>
          <w:sz w:val="14"/>
        </w:rPr>
        <w:t> </w:t>
      </w:r>
      <w:r>
        <w:rPr>
          <w:rFonts w:ascii="Arial" w:hAnsi="Arial"/>
          <w:i/>
          <w:sz w:val="20"/>
        </w:rPr>
        <w:t>Scandinavian Trading Tanker Co A.B. v Flora Petrolera Ecuatoriana (The Scaptrade) [1981] </w:t>
      </w:r>
      <w:r>
        <w:rPr>
          <w:rFonts w:ascii="Arial" w:hAnsi="Arial"/>
          <w:i/>
          <w:sz w:val="20"/>
        </w:rPr>
        <w:t>2 Lloyd’s Rep. 425, 431</w:t>
      </w:r>
      <w:r>
        <w:rPr>
          <w:sz w:val="20"/>
        </w:rPr>
        <w:t>, distinguishing </w:t>
      </w:r>
      <w:r>
        <w:rPr>
          <w:rFonts w:ascii="Arial" w:hAnsi="Arial"/>
          <w:i/>
          <w:sz w:val="20"/>
        </w:rPr>
        <w:t>Tankexpress AS v Cie. Financière Belge des Petroles SA [1949] A.C. 76 </w:t>
      </w:r>
      <w:r>
        <w:rPr>
          <w:sz w:val="20"/>
        </w:rPr>
        <w:t>on the ground that there the creditor’s conduct had resulted in a change in the “accepted method of payments”; </w:t>
      </w:r>
      <w:r>
        <w:rPr>
          <w:rFonts w:ascii="Arial" w:hAnsi="Arial"/>
          <w:i/>
          <w:sz w:val="20"/>
        </w:rPr>
        <w:t>The Scaptrade</w:t>
      </w:r>
      <w:r>
        <w:rPr>
          <w:sz w:val="20"/>
        </w:rPr>
        <w:t>, above was affirmed without reference to the present</w:t>
      </w:r>
      <w:r>
        <w:rPr>
          <w:spacing w:val="-1"/>
          <w:sz w:val="20"/>
        </w:rPr>
        <w:t> </w:t>
      </w:r>
      <w:r>
        <w:rPr>
          <w:sz w:val="20"/>
        </w:rPr>
        <w:t>point </w:t>
      </w:r>
      <w:r>
        <w:rPr>
          <w:rFonts w:ascii="Arial" w:hAnsi="Arial"/>
          <w:i/>
          <w:sz w:val="20"/>
        </w:rPr>
        <w:t>[1983] 2 A.C. 694</w:t>
      </w:r>
      <w:r>
        <w:rPr>
          <w:sz w:val="20"/>
        </w:rPr>
        <w:t>; cf. </w:t>
      </w:r>
      <w:r>
        <w:rPr>
          <w:rFonts w:ascii="Arial" w:hAnsi="Arial"/>
          <w:i/>
          <w:sz w:val="20"/>
        </w:rPr>
        <w:t>Cape Asbestos Ltd v Lloyd’s Bank Ltd [1921] W.N. 274, </w:t>
      </w:r>
      <w:r>
        <w:rPr>
          <w:rFonts w:ascii="Arial" w:hAnsi="Arial"/>
          <w:i/>
          <w:spacing w:val="-5"/>
          <w:sz w:val="20"/>
        </w:rPr>
        <w:t>276</w:t>
      </w:r>
    </w:p>
    <w:p>
      <w:pPr>
        <w:spacing w:line="235" w:lineRule="auto" w:before="0"/>
        <w:ind w:left="705" w:right="168" w:firstLine="0"/>
        <w:jc w:val="both"/>
        <w:rPr>
          <w:sz w:val="20"/>
        </w:rPr>
      </w:pPr>
      <w:r>
        <w:rPr>
          <w:sz w:val="20"/>
        </w:rPr>
        <w:t>; </w:t>
      </w:r>
      <w:r>
        <w:rPr>
          <w:rFonts w:ascii="Arial" w:hAnsi="Arial"/>
          <w:i/>
          <w:sz w:val="20"/>
        </w:rPr>
        <w:t>Bunge SA v Compagnie Européenne de Céréales [1982] 1 Lloyd’s Rep. 306</w:t>
      </w:r>
      <w:r>
        <w:rPr>
          <w:sz w:val="20"/>
        </w:rPr>
        <w:t>; </w:t>
      </w:r>
      <w:r>
        <w:rPr>
          <w:rFonts w:ascii="Arial" w:hAnsi="Arial"/>
          <w:i/>
          <w:sz w:val="20"/>
        </w:rPr>
        <w:t>Bremer Handelsgesellschaft mbH v Raiffeisen Hauptgenossenschaft E.G. [1982] 2 Lloyd’s Rep. </w:t>
      </w:r>
      <w:r>
        <w:rPr>
          <w:rFonts w:ascii="Arial" w:hAnsi="Arial"/>
          <w:i/>
          <w:sz w:val="20"/>
        </w:rPr>
        <w:t>599</w:t>
      </w:r>
      <w:r>
        <w:rPr>
          <w:sz w:val="20"/>
        </w:rPr>
        <w:t>; </w:t>
      </w:r>
      <w:r>
        <w:rPr>
          <w:rFonts w:ascii="Arial" w:hAnsi="Arial"/>
          <w:i/>
          <w:sz w:val="20"/>
        </w:rPr>
        <w:t>Bremer Handelsgesellschaft mbH v Bunge Corp. [1983] 1 Lloyd’s Rep. 476</w:t>
      </w:r>
      <w:r>
        <w:rPr>
          <w:sz w:val="20"/>
        </w:rPr>
        <w:t>.</w:t>
      </w:r>
    </w:p>
    <w:p>
      <w:pPr>
        <w:pStyle w:val="BodyText"/>
        <w:spacing w:before="3"/>
      </w:pPr>
    </w:p>
    <w:p>
      <w:pPr>
        <w:tabs>
          <w:tab w:pos="705" w:val="left" w:leader="none"/>
        </w:tabs>
        <w:spacing w:before="0"/>
        <w:ind w:left="165" w:right="0" w:firstLine="0"/>
        <w:jc w:val="left"/>
        <w:rPr>
          <w:sz w:val="20"/>
        </w:rPr>
      </w:pPr>
      <w:bookmarkStart w:name="_bookmark1123" w:id="1125"/>
      <w:bookmarkEnd w:id="1125"/>
      <w:r>
        <w:rPr/>
      </w:r>
      <w:hyperlink w:history="true" w:anchor="_bookmark897">
        <w:r>
          <w:rPr>
            <w:color w:val="005DA1"/>
            <w:spacing w:val="-4"/>
            <w:position w:val="5"/>
            <w:sz w:val="14"/>
            <w:u w:val="single" w:color="005DA1"/>
          </w:rPr>
          <w:t>489</w:t>
        </w:r>
      </w:hyperlink>
      <w:r>
        <w:rPr>
          <w:spacing w:val="-4"/>
          <w:position w:val="5"/>
          <w:sz w:val="14"/>
        </w:rPr>
        <w:t>.</w:t>
      </w:r>
      <w:r>
        <w:rPr>
          <w:position w:val="5"/>
          <w:sz w:val="14"/>
        </w:rPr>
        <w:tab/>
      </w:r>
      <w:r>
        <w:rPr>
          <w:sz w:val="20"/>
        </w:rPr>
        <w:t>cf. </w:t>
      </w:r>
      <w:r>
        <w:rPr>
          <w:rFonts w:ascii="Arial"/>
          <w:i/>
          <w:sz w:val="20"/>
        </w:rPr>
        <w:t>London &amp; Clydebank Properties v H.M. Investment Co [1993] E.G.C.S. </w:t>
      </w:r>
      <w:r>
        <w:rPr>
          <w:rFonts w:ascii="Arial"/>
          <w:i/>
          <w:spacing w:val="-5"/>
          <w:sz w:val="20"/>
        </w:rPr>
        <w:t>63</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124" w:id="1126"/>
      <w:bookmarkEnd w:id="1126"/>
      <w:r>
        <w:rPr/>
      </w:r>
      <w:hyperlink w:history="true" w:anchor="_bookmark898">
        <w:r>
          <w:rPr>
            <w:color w:val="005DA1"/>
            <w:spacing w:val="-4"/>
            <w:position w:val="5"/>
            <w:sz w:val="14"/>
            <w:u w:val="single" w:color="005DA1"/>
          </w:rPr>
          <w:t>490</w:t>
        </w:r>
      </w:hyperlink>
      <w:r>
        <w:rPr>
          <w:spacing w:val="-4"/>
          <w:position w:val="5"/>
          <w:sz w:val="14"/>
        </w:rPr>
        <w:t>.</w:t>
      </w:r>
      <w:r>
        <w:rPr>
          <w:position w:val="5"/>
          <w:sz w:val="14"/>
        </w:rPr>
        <w:tab/>
      </w:r>
      <w:r>
        <w:rPr>
          <w:rFonts w:ascii="Arial" w:hAnsi="Arial"/>
          <w:i/>
          <w:sz w:val="20"/>
        </w:rPr>
        <w:t>Seechurn</w:t>
      </w:r>
      <w:r>
        <w:rPr>
          <w:rFonts w:ascii="Arial" w:hAnsi="Arial"/>
          <w:i/>
          <w:spacing w:val="-1"/>
          <w:sz w:val="20"/>
        </w:rPr>
        <w:t> </w:t>
      </w:r>
      <w:r>
        <w:rPr>
          <w:rFonts w:ascii="Arial" w:hAnsi="Arial"/>
          <w:i/>
          <w:sz w:val="20"/>
        </w:rPr>
        <w:t>v Ace Insurance SA [2002] EWCA Civ 67; [2002] 2 Lloyd’s Rep. 390</w:t>
      </w:r>
      <w:r>
        <w:rPr>
          <w:sz w:val="20"/>
        </w:rPr>
        <w:t>, esp. at </w:t>
      </w:r>
      <w:r>
        <w:rPr>
          <w:spacing w:val="-2"/>
          <w:sz w:val="20"/>
        </w:rPr>
        <w:t>[55].</w:t>
      </w:r>
    </w:p>
    <w:p>
      <w:pPr>
        <w:pStyle w:val="BodyText"/>
        <w:spacing w:before="9"/>
      </w:pPr>
    </w:p>
    <w:p>
      <w:pPr>
        <w:tabs>
          <w:tab w:pos="705" w:val="left" w:leader="none"/>
        </w:tabs>
        <w:spacing w:line="235" w:lineRule="auto" w:before="0"/>
        <w:ind w:left="705" w:right="168" w:hanging="541"/>
        <w:jc w:val="left"/>
        <w:rPr>
          <w:sz w:val="20"/>
        </w:rPr>
      </w:pPr>
      <w:bookmarkStart w:name="_bookmark1125" w:id="1127"/>
      <w:bookmarkEnd w:id="1127"/>
      <w:r>
        <w:rPr/>
      </w:r>
      <w:hyperlink w:history="true" w:anchor="_bookmark899">
        <w:r>
          <w:rPr>
            <w:color w:val="005DA1"/>
            <w:spacing w:val="-4"/>
            <w:position w:val="5"/>
            <w:sz w:val="14"/>
            <w:u w:val="single" w:color="005DA1"/>
          </w:rPr>
          <w:t>491</w:t>
        </w:r>
      </w:hyperlink>
      <w:r>
        <w:rPr>
          <w:spacing w:val="-4"/>
          <w:position w:val="5"/>
          <w:sz w:val="14"/>
        </w:rPr>
        <w:t>.</w:t>
      </w:r>
      <w:r>
        <w:rPr>
          <w:position w:val="5"/>
          <w:sz w:val="14"/>
        </w:rPr>
        <w:tab/>
      </w:r>
      <w:r>
        <w:rPr>
          <w:rFonts w:ascii="Arial" w:hAnsi="Arial"/>
          <w:i/>
          <w:sz w:val="20"/>
        </w:rPr>
        <w:t>V. Berg &amp; Son Ltd v Vanden Avenne-Izegem P.V.B.A. [1977] 1 Lloyd’s Rep. 500</w:t>
      </w:r>
      <w:r>
        <w:rPr>
          <w:sz w:val="20"/>
        </w:rPr>
        <w:t>; cf. </w:t>
      </w:r>
      <w:r>
        <w:rPr>
          <w:rFonts w:ascii="Arial" w:hAnsi="Arial"/>
          <w:i/>
          <w:sz w:val="20"/>
        </w:rPr>
        <w:t>Edm. J. M. Mertens &amp; Co P.V.B.A. v Veevoeder Import Export Vimex B.V. [1979] 2 Lloyd’s Rep. 372</w:t>
      </w:r>
      <w:r>
        <w:rPr>
          <w:sz w:val="20"/>
        </w:rPr>
        <w:t>.</w:t>
      </w:r>
    </w:p>
    <w:p>
      <w:pPr>
        <w:pStyle w:val="BodyText"/>
        <w:spacing w:before="9"/>
      </w:pPr>
    </w:p>
    <w:p>
      <w:pPr>
        <w:spacing w:line="235" w:lineRule="auto" w:before="0"/>
        <w:ind w:left="705" w:right="167" w:hanging="541"/>
        <w:jc w:val="both"/>
        <w:rPr>
          <w:sz w:val="20"/>
        </w:rPr>
      </w:pPr>
      <w:bookmarkStart w:name="_bookmark1126" w:id="1128"/>
      <w:bookmarkEnd w:id="1128"/>
      <w:r>
        <w:rPr/>
      </w:r>
      <w:hyperlink w:history="true" w:anchor="_bookmark900">
        <w:r>
          <w:rPr>
            <w:color w:val="005DA1"/>
            <w:position w:val="5"/>
            <w:sz w:val="14"/>
            <w:u w:val="single" w:color="005DA1"/>
          </w:rPr>
          <w:t>492</w:t>
        </w:r>
      </w:hyperlink>
      <w:r>
        <w:rPr>
          <w:position w:val="5"/>
          <w:sz w:val="14"/>
        </w:rPr>
        <w:t>.</w:t>
      </w:r>
      <w:r>
        <w:rPr>
          <w:spacing w:val="40"/>
          <w:position w:val="5"/>
          <w:sz w:val="14"/>
        </w:rPr>
        <w:t>  </w:t>
      </w:r>
      <w:r>
        <w:rPr>
          <w:rFonts w:ascii="Arial" w:hAnsi="Arial"/>
          <w:i/>
          <w:sz w:val="20"/>
        </w:rPr>
        <w:t>Finagrain SA Geneva v P. Kruse Hamburg [1976] 2 Lloyd’s Rep. 508</w:t>
      </w:r>
      <w:r>
        <w:rPr>
          <w:sz w:val="20"/>
        </w:rPr>
        <w:t>; cf. </w:t>
      </w:r>
      <w:r>
        <w:rPr>
          <w:rFonts w:ascii="Arial" w:hAnsi="Arial"/>
          <w:i/>
          <w:sz w:val="20"/>
        </w:rPr>
        <w:t>Cook Industries Inc v Meunerie Liegeois SA [1981] 1 Lloyd’s Rep. 359, 368</w:t>
      </w:r>
      <w:r>
        <w:rPr>
          <w:sz w:val="20"/>
        </w:rPr>
        <w:t>; </w:t>
      </w:r>
      <w:r>
        <w:rPr>
          <w:rFonts w:ascii="Arial" w:hAnsi="Arial"/>
          <w:i/>
          <w:sz w:val="20"/>
        </w:rPr>
        <w:t>Peter Cremer v Granaria B.V. [1981] 2 Lloyd’s Rep. 583</w:t>
      </w:r>
      <w:r>
        <w:rPr>
          <w:sz w:val="20"/>
        </w:rPr>
        <w:t>; </w:t>
      </w:r>
      <w:r>
        <w:rPr>
          <w:rFonts w:ascii="Arial" w:hAnsi="Arial"/>
          <w:i/>
          <w:sz w:val="20"/>
        </w:rPr>
        <w:t>Bremer Handelsgesellschaft mbH v Deutsche Conti-Handelsgesellschaft</w:t>
      </w:r>
      <w:r>
        <w:rPr>
          <w:rFonts w:ascii="Arial" w:hAnsi="Arial"/>
          <w:i/>
          <w:spacing w:val="40"/>
          <w:sz w:val="20"/>
        </w:rPr>
        <w:t> </w:t>
      </w:r>
      <w:r>
        <w:rPr>
          <w:rFonts w:ascii="Arial" w:hAnsi="Arial"/>
          <w:i/>
          <w:sz w:val="20"/>
        </w:rPr>
        <w:t>mbH [1983] 2 Lloyd’s Rep. 476</w:t>
      </w:r>
      <w:r>
        <w:rPr>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127" w:id="1129"/>
      <w:bookmarkEnd w:id="1129"/>
      <w:r>
        <w:rPr/>
      </w:r>
      <w:hyperlink w:history="true" w:anchor="_bookmark901">
        <w:r>
          <w:rPr>
            <w:color w:val="005DA1"/>
            <w:spacing w:val="-4"/>
            <w:position w:val="5"/>
            <w:sz w:val="14"/>
            <w:u w:val="single" w:color="005DA1"/>
          </w:rPr>
          <w:t>493</w:t>
        </w:r>
      </w:hyperlink>
      <w:r>
        <w:rPr>
          <w:spacing w:val="-4"/>
          <w:position w:val="5"/>
          <w:sz w:val="14"/>
        </w:rPr>
        <w:t>.</w:t>
      </w:r>
      <w:r>
        <w:rPr>
          <w:position w:val="5"/>
          <w:sz w:val="14"/>
        </w:rPr>
        <w:tab/>
      </w:r>
      <w:r>
        <w:rPr>
          <w:rFonts w:ascii="Arial" w:hAnsi="Arial"/>
          <w:i/>
          <w:sz w:val="20"/>
        </w:rPr>
        <w:t>China-Pacific SA v The Food Corp. of India (The Winson) [1980] 2 Lloyd’s Rep. 213 </w:t>
      </w:r>
      <w:r>
        <w:rPr>
          <w:sz w:val="20"/>
        </w:rPr>
        <w:t>(reversed on other grounds </w:t>
      </w:r>
      <w:r>
        <w:rPr>
          <w:rFonts w:ascii="Arial" w:hAnsi="Arial"/>
          <w:i/>
          <w:sz w:val="20"/>
        </w:rPr>
        <w:t>[1982] A.C. 399</w:t>
      </w:r>
      <w:r>
        <w:rPr>
          <w:sz w:val="20"/>
        </w:rPr>
        <w:t>).</w:t>
      </w:r>
    </w:p>
    <w:p>
      <w:pPr>
        <w:pStyle w:val="BodyText"/>
        <w:spacing w:before="10"/>
      </w:pPr>
    </w:p>
    <w:p>
      <w:pPr>
        <w:tabs>
          <w:tab w:pos="705" w:val="left" w:leader="none"/>
        </w:tabs>
        <w:spacing w:line="235" w:lineRule="auto" w:before="0"/>
        <w:ind w:left="705" w:right="168" w:hanging="541"/>
        <w:jc w:val="left"/>
        <w:rPr>
          <w:sz w:val="20"/>
        </w:rPr>
      </w:pPr>
      <w:bookmarkStart w:name="_bookmark1128" w:id="1130"/>
      <w:bookmarkEnd w:id="1130"/>
      <w:r>
        <w:rPr/>
      </w:r>
      <w:hyperlink w:history="true" w:anchor="_bookmark902">
        <w:r>
          <w:rPr>
            <w:color w:val="005DA1"/>
            <w:spacing w:val="-4"/>
            <w:position w:val="5"/>
            <w:sz w:val="14"/>
            <w:u w:val="single" w:color="005DA1"/>
          </w:rPr>
          <w:t>494</w:t>
        </w:r>
      </w:hyperlink>
      <w:r>
        <w:rPr>
          <w:spacing w:val="-4"/>
          <w:position w:val="5"/>
          <w:sz w:val="14"/>
        </w:rPr>
        <w:t>.</w:t>
      </w:r>
      <w:r>
        <w:rPr>
          <w:position w:val="5"/>
          <w:sz w:val="14"/>
        </w:rPr>
        <w:tab/>
      </w:r>
      <w:r>
        <w:rPr>
          <w:rFonts w:ascii="Arial"/>
          <w:i/>
          <w:sz w:val="20"/>
        </w:rPr>
        <w:t>SMT</w:t>
      </w:r>
      <w:r>
        <w:rPr>
          <w:rFonts w:ascii="Arial"/>
          <w:i/>
          <w:spacing w:val="-1"/>
          <w:sz w:val="20"/>
        </w:rPr>
        <w:t> </w:t>
      </w:r>
      <w:r>
        <w:rPr>
          <w:rFonts w:ascii="Arial"/>
          <w:i/>
          <w:sz w:val="20"/>
        </w:rPr>
        <w:t>Shipping</w:t>
      </w:r>
      <w:r>
        <w:rPr>
          <w:rFonts w:ascii="Arial"/>
          <w:i/>
          <w:spacing w:val="-1"/>
          <w:sz w:val="20"/>
        </w:rPr>
        <w:t> </w:t>
      </w:r>
      <w:r>
        <w:rPr>
          <w:rFonts w:ascii="Arial"/>
          <w:i/>
          <w:sz w:val="20"/>
        </w:rPr>
        <w:t>and</w:t>
      </w:r>
      <w:r>
        <w:rPr>
          <w:rFonts w:ascii="Arial"/>
          <w:i/>
          <w:spacing w:val="-1"/>
          <w:sz w:val="20"/>
        </w:rPr>
        <w:t> </w:t>
      </w:r>
      <w:r>
        <w:rPr>
          <w:rFonts w:ascii="Arial"/>
          <w:i/>
          <w:sz w:val="20"/>
        </w:rPr>
        <w:t>Chartering</w:t>
      </w:r>
      <w:r>
        <w:rPr>
          <w:rFonts w:ascii="Arial"/>
          <w:i/>
          <w:spacing w:val="-1"/>
          <w:sz w:val="20"/>
        </w:rPr>
        <w:t> </w:t>
      </w:r>
      <w:r>
        <w:rPr>
          <w:rFonts w:ascii="Arial"/>
          <w:i/>
          <w:sz w:val="20"/>
        </w:rPr>
        <w:t>GmbH</w:t>
      </w:r>
      <w:r>
        <w:rPr>
          <w:rFonts w:ascii="Arial"/>
          <w:i/>
          <w:spacing w:val="-1"/>
          <w:sz w:val="20"/>
        </w:rPr>
        <w:t> </w:t>
      </w:r>
      <w:r>
        <w:rPr>
          <w:rFonts w:ascii="Arial"/>
          <w:i/>
          <w:sz w:val="20"/>
        </w:rPr>
        <w:t>v</w:t>
      </w:r>
      <w:r>
        <w:rPr>
          <w:rFonts w:ascii="Arial"/>
          <w:i/>
          <w:spacing w:val="-1"/>
          <w:sz w:val="20"/>
        </w:rPr>
        <w:t> </w:t>
      </w:r>
      <w:r>
        <w:rPr>
          <w:rFonts w:ascii="Arial"/>
          <w:i/>
          <w:sz w:val="20"/>
        </w:rPr>
        <w:t>Chansung</w:t>
      </w:r>
      <w:r>
        <w:rPr>
          <w:rFonts w:ascii="Arial"/>
          <w:i/>
          <w:spacing w:val="-1"/>
          <w:sz w:val="20"/>
        </w:rPr>
        <w:t> </w:t>
      </w:r>
      <w:r>
        <w:rPr>
          <w:rFonts w:ascii="Arial"/>
          <w:i/>
          <w:sz w:val="20"/>
        </w:rPr>
        <w:t>Shipping</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(The</w:t>
      </w:r>
      <w:r>
        <w:rPr>
          <w:rFonts w:ascii="Arial"/>
          <w:i/>
          <w:spacing w:val="-1"/>
          <w:sz w:val="20"/>
        </w:rPr>
        <w:t> </w:t>
      </w:r>
      <w:r>
        <w:rPr>
          <w:rFonts w:ascii="Arial"/>
          <w:i/>
          <w:sz w:val="20"/>
        </w:rPr>
        <w:t>Zenovia)</w:t>
      </w:r>
      <w:r>
        <w:rPr>
          <w:rFonts w:ascii="Arial"/>
          <w:i/>
          <w:spacing w:val="-1"/>
          <w:sz w:val="20"/>
        </w:rPr>
        <w:t> </w:t>
      </w:r>
      <w:r>
        <w:rPr>
          <w:rFonts w:ascii="Arial"/>
          <w:i/>
          <w:sz w:val="20"/>
        </w:rPr>
        <w:t>[2009]</w:t>
      </w:r>
      <w:r>
        <w:rPr>
          <w:rFonts w:ascii="Arial"/>
          <w:i/>
          <w:spacing w:val="-1"/>
          <w:sz w:val="20"/>
        </w:rPr>
        <w:t> </w:t>
      </w:r>
      <w:r>
        <w:rPr>
          <w:rFonts w:ascii="Arial"/>
          <w:i/>
          <w:sz w:val="20"/>
        </w:rPr>
        <w:t>EWHC 739 (Comm), [2009] 2 All E.R. (Comm) 177 </w:t>
      </w:r>
      <w:r>
        <w:rPr>
          <w:sz w:val="20"/>
        </w:rPr>
        <w:t>at [34].</w:t>
      </w:r>
    </w:p>
    <w:p>
      <w:pPr>
        <w:pStyle w:val="BodyText"/>
        <w:spacing w:before="5"/>
      </w:pPr>
    </w:p>
    <w:p>
      <w:pPr>
        <w:tabs>
          <w:tab w:pos="705" w:val="left" w:leader="none"/>
        </w:tabs>
        <w:spacing w:before="0"/>
        <w:ind w:left="165" w:right="0" w:firstLine="0"/>
        <w:jc w:val="left"/>
        <w:rPr>
          <w:sz w:val="20"/>
        </w:rPr>
      </w:pPr>
      <w:bookmarkStart w:name="_bookmark1129" w:id="1131"/>
      <w:bookmarkEnd w:id="1131"/>
      <w:r>
        <w:rPr/>
      </w:r>
      <w:hyperlink w:history="true" w:anchor="_bookmark903">
        <w:r>
          <w:rPr>
            <w:color w:val="005DA1"/>
            <w:spacing w:val="-4"/>
            <w:position w:val="5"/>
            <w:sz w:val="14"/>
            <w:u w:val="single" w:color="005DA1"/>
          </w:rPr>
          <w:t>495</w:t>
        </w:r>
      </w:hyperlink>
      <w:r>
        <w:rPr>
          <w:spacing w:val="-4"/>
          <w:position w:val="5"/>
          <w:sz w:val="14"/>
        </w:rPr>
        <w:t>.</w:t>
      </w:r>
      <w:r>
        <w:rPr>
          <w:position w:val="5"/>
          <w:sz w:val="14"/>
        </w:rPr>
        <w:tab/>
      </w:r>
      <w:r>
        <w:rPr>
          <w:rFonts w:ascii="Arial" w:hAnsi="Arial"/>
          <w:i/>
          <w:sz w:val="20"/>
        </w:rPr>
        <w:t>Avimex SA v Dewulf &amp; Cie [1979] 2 Lloyd’s Rep. </w:t>
      </w:r>
      <w:r>
        <w:rPr>
          <w:rFonts w:ascii="Arial" w:hAnsi="Arial"/>
          <w:i/>
          <w:spacing w:val="-5"/>
          <w:sz w:val="20"/>
        </w:rPr>
        <w:t>57</w:t>
      </w:r>
      <w:r>
        <w:rPr>
          <w:spacing w:val="-5"/>
          <w:sz w:val="20"/>
        </w:rPr>
        <w:t>.</w:t>
      </w:r>
    </w:p>
    <w:p>
      <w:pPr>
        <w:pStyle w:val="BodyText"/>
        <w:spacing w:before="9"/>
      </w:pPr>
    </w:p>
    <w:p>
      <w:pPr>
        <w:spacing w:line="235" w:lineRule="auto" w:before="0"/>
        <w:ind w:left="705" w:right="167" w:hanging="541"/>
        <w:jc w:val="both"/>
        <w:rPr>
          <w:rFonts w:ascii="Arial" w:hAnsi="Arial"/>
          <w:i/>
          <w:sz w:val="20"/>
        </w:rPr>
      </w:pPr>
      <w:bookmarkStart w:name="_bookmark1130" w:id="1132"/>
      <w:bookmarkEnd w:id="1132"/>
      <w:r>
        <w:rPr/>
      </w:r>
      <w:hyperlink w:history="true" w:anchor="_bookmark904">
        <w:r>
          <w:rPr>
            <w:color w:val="005DA1"/>
            <w:position w:val="5"/>
            <w:sz w:val="14"/>
            <w:u w:val="single" w:color="005DA1"/>
          </w:rPr>
          <w:t>496</w:t>
        </w:r>
      </w:hyperlink>
      <w:r>
        <w:rPr>
          <w:position w:val="5"/>
          <w:sz w:val="14"/>
        </w:rPr>
        <w:t>.</w:t>
      </w:r>
      <w:r>
        <w:rPr>
          <w:spacing w:val="80"/>
          <w:w w:val="150"/>
          <w:position w:val="5"/>
          <w:sz w:val="14"/>
        </w:rPr>
        <w:t> </w:t>
      </w:r>
      <w:r>
        <w:rPr>
          <w:rFonts w:ascii="Arial" w:hAnsi="Arial"/>
          <w:i/>
          <w:sz w:val="20"/>
        </w:rPr>
        <w:t>China National Foreign Trade Transportation Corp. v Evoglia Shipping Co SA of Panama (The Mihalios Xilas) [1979] 1 W.L.R. 1018</w:t>
      </w:r>
      <w:r>
        <w:rPr>
          <w:sz w:val="20"/>
        </w:rPr>
        <w:t>; </w:t>
      </w:r>
      <w:r>
        <w:rPr>
          <w:rFonts w:ascii="Arial" w:hAnsi="Arial"/>
          <w:i/>
          <w:sz w:val="20"/>
        </w:rPr>
        <w:t>Bremer Handelsgesellschaft mbH v Westzucker GmbH [1981]</w:t>
      </w:r>
      <w:r>
        <w:rPr>
          <w:rFonts w:ascii="Arial" w:hAnsi="Arial"/>
          <w:i/>
          <w:spacing w:val="39"/>
          <w:sz w:val="20"/>
        </w:rPr>
        <w:t> </w:t>
      </w:r>
      <w:r>
        <w:rPr>
          <w:rFonts w:ascii="Arial" w:hAnsi="Arial"/>
          <w:i/>
          <w:sz w:val="20"/>
        </w:rPr>
        <w:t>1</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207,</w:t>
      </w:r>
      <w:r>
        <w:rPr>
          <w:rFonts w:ascii="Arial" w:hAnsi="Arial"/>
          <w:i/>
          <w:spacing w:val="40"/>
          <w:sz w:val="20"/>
        </w:rPr>
        <w:t> </w:t>
      </w:r>
      <w:r>
        <w:rPr>
          <w:rFonts w:ascii="Arial" w:hAnsi="Arial"/>
          <w:i/>
          <w:sz w:val="20"/>
        </w:rPr>
        <w:t>212–213</w:t>
      </w:r>
      <w:r>
        <w:rPr>
          <w:sz w:val="20"/>
        </w:rPr>
        <w:t>;</w:t>
      </w:r>
      <w:r>
        <w:rPr>
          <w:spacing w:val="40"/>
          <w:sz w:val="20"/>
        </w:rPr>
        <w:t> </w:t>
      </w:r>
      <w:r>
        <w:rPr>
          <w:rFonts w:ascii="Arial" w:hAnsi="Arial"/>
          <w:i/>
          <w:sz w:val="20"/>
        </w:rPr>
        <w:t>Bremer</w:t>
      </w:r>
      <w:r>
        <w:rPr>
          <w:rFonts w:ascii="Arial" w:hAnsi="Arial"/>
          <w:i/>
          <w:spacing w:val="40"/>
          <w:sz w:val="20"/>
        </w:rPr>
        <w:t> </w:t>
      </w:r>
      <w:r>
        <w:rPr>
          <w:rFonts w:ascii="Arial" w:hAnsi="Arial"/>
          <w:i/>
          <w:sz w:val="20"/>
        </w:rPr>
        <w:t>Handelsgesellschaft</w:t>
      </w:r>
      <w:r>
        <w:rPr>
          <w:rFonts w:ascii="Arial" w:hAnsi="Arial"/>
          <w:i/>
          <w:spacing w:val="40"/>
          <w:sz w:val="20"/>
        </w:rPr>
        <w:t> </w:t>
      </w:r>
      <w:r>
        <w:rPr>
          <w:rFonts w:ascii="Arial" w:hAnsi="Arial"/>
          <w:i/>
          <w:sz w:val="20"/>
        </w:rPr>
        <w:t>mbH</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C.</w:t>
      </w:r>
      <w:r>
        <w:rPr>
          <w:rFonts w:ascii="Arial" w:hAnsi="Arial"/>
          <w:i/>
          <w:spacing w:val="40"/>
          <w:sz w:val="20"/>
        </w:rPr>
        <w:t> </w:t>
      </w:r>
      <w:r>
        <w:rPr>
          <w:rFonts w:ascii="Arial" w:hAnsi="Arial"/>
          <w:i/>
          <w:sz w:val="20"/>
        </w:rPr>
        <w:t>Mackprang</w:t>
      </w:r>
      <w:r>
        <w:rPr>
          <w:rFonts w:ascii="Arial" w:hAnsi="Arial"/>
          <w:i/>
          <w:spacing w:val="40"/>
          <w:sz w:val="20"/>
        </w:rPr>
        <w:t> </w:t>
      </w:r>
      <w:r>
        <w:rPr>
          <w:rFonts w:ascii="Arial" w:hAnsi="Arial"/>
          <w:i/>
          <w:spacing w:val="-5"/>
          <w:sz w:val="20"/>
        </w:rPr>
        <w:t>Jr.</w:t>
      </w:r>
    </w:p>
    <w:p>
      <w:pPr>
        <w:spacing w:line="235" w:lineRule="auto" w:before="0"/>
        <w:ind w:left="705" w:right="168" w:firstLine="0"/>
        <w:jc w:val="both"/>
        <w:rPr>
          <w:sz w:val="20"/>
        </w:rPr>
      </w:pPr>
      <w:r>
        <w:rPr>
          <w:rFonts w:ascii="Arial" w:hAnsi="Arial"/>
          <w:i/>
          <w:sz w:val="20"/>
        </w:rPr>
        <w:t>[1981] 1 Lloyd’s Rep. 292, 299</w:t>
      </w:r>
      <w:r>
        <w:rPr>
          <w:sz w:val="20"/>
        </w:rPr>
        <w:t>; </w:t>
      </w:r>
      <w:r>
        <w:rPr>
          <w:rFonts w:ascii="Arial" w:hAnsi="Arial"/>
          <w:i/>
          <w:sz w:val="20"/>
        </w:rPr>
        <w:t>Peter Cremer v Granaria B.V. [1981] 2 Lloyd’s Rep. 583</w:t>
      </w:r>
      <w:r>
        <w:rPr>
          <w:sz w:val="20"/>
        </w:rPr>
        <w:t>; </w:t>
      </w:r>
      <w:r>
        <w:rPr>
          <w:rFonts w:ascii="Arial" w:hAnsi="Arial"/>
          <w:i/>
          <w:sz w:val="20"/>
        </w:rPr>
        <w:t>The Post Chaser</w:t>
      </w:r>
      <w:r>
        <w:rPr>
          <w:sz w:val="20"/>
        </w:rPr>
        <w:t>, above, para.4-091 n.475 at 700.</w:t>
      </w:r>
    </w:p>
    <w:p>
      <w:pPr>
        <w:pStyle w:val="BodyText"/>
        <w:spacing w:before="8"/>
      </w:pPr>
    </w:p>
    <w:p>
      <w:pPr>
        <w:spacing w:line="235" w:lineRule="auto" w:before="0"/>
        <w:ind w:left="705" w:right="167" w:hanging="541"/>
        <w:jc w:val="both"/>
        <w:rPr>
          <w:sz w:val="20"/>
        </w:rPr>
      </w:pPr>
      <w:bookmarkStart w:name="_bookmark1131" w:id="1133"/>
      <w:bookmarkEnd w:id="1133"/>
      <w:r>
        <w:rPr/>
      </w:r>
      <w:hyperlink w:history="true" w:anchor="_bookmark905">
        <w:r>
          <w:rPr>
            <w:color w:val="005DA1"/>
            <w:position w:val="5"/>
            <w:sz w:val="14"/>
            <w:u w:val="single" w:color="005DA1"/>
          </w:rPr>
          <w:t>497</w:t>
        </w:r>
      </w:hyperlink>
      <w:r>
        <w:rPr>
          <w:position w:val="5"/>
          <w:sz w:val="14"/>
        </w:rPr>
        <w:t>.</w:t>
      </w:r>
      <w:r>
        <w:rPr>
          <w:spacing w:val="80"/>
          <w:position w:val="5"/>
          <w:sz w:val="14"/>
        </w:rPr>
        <w:t>  </w:t>
      </w:r>
      <w:r>
        <w:rPr>
          <w:sz w:val="20"/>
        </w:rPr>
        <w:t>See </w:t>
      </w:r>
      <w:r>
        <w:rPr>
          <w:rFonts w:ascii="Arial" w:hAnsi="Arial"/>
          <w:i/>
          <w:sz w:val="20"/>
        </w:rPr>
        <w:t>Mardorf Peach &amp; Co Ltd v Attica Sea Carriers Corp. of Liberia (The Laconia) [1977] </w:t>
      </w:r>
      <w:r>
        <w:rPr>
          <w:rFonts w:ascii="Arial" w:hAnsi="Arial"/>
          <w:i/>
          <w:sz w:val="20"/>
        </w:rPr>
        <w:t>A.C. 850 </w:t>
      </w:r>
      <w:r>
        <w:rPr>
          <w:sz w:val="20"/>
        </w:rPr>
        <w:t>(where retention of an underpayment accepted without authority by the payee’s bank was held not to amount to a waiver).</w:t>
      </w:r>
    </w:p>
    <w:p>
      <w:pPr>
        <w:pStyle w:val="BodyText"/>
        <w:spacing w:before="9"/>
      </w:pPr>
    </w:p>
    <w:p>
      <w:pPr>
        <w:spacing w:line="235" w:lineRule="auto" w:before="0"/>
        <w:ind w:left="705" w:right="167" w:hanging="541"/>
        <w:jc w:val="both"/>
        <w:rPr>
          <w:sz w:val="20"/>
        </w:rPr>
      </w:pPr>
      <w:bookmarkStart w:name="_bookmark1132" w:id="1134"/>
      <w:bookmarkEnd w:id="1134"/>
      <w:r>
        <w:rPr/>
      </w:r>
      <w:hyperlink w:history="true" w:anchor="_bookmark906">
        <w:r>
          <w:rPr>
            <w:color w:val="005DA1"/>
            <w:position w:val="5"/>
            <w:sz w:val="14"/>
            <w:u w:val="single" w:color="005DA1"/>
          </w:rPr>
          <w:t>498</w:t>
        </w:r>
      </w:hyperlink>
      <w:r>
        <w:rPr>
          <w:position w:val="5"/>
          <w:sz w:val="14"/>
        </w:rPr>
        <w:t>.</w:t>
      </w:r>
      <w:r>
        <w:rPr>
          <w:spacing w:val="40"/>
          <w:position w:val="5"/>
          <w:sz w:val="14"/>
        </w:rPr>
        <w:t>  </w:t>
      </w:r>
      <w:r>
        <w:rPr>
          <w:sz w:val="20"/>
        </w:rPr>
        <w:t>e.g.</w:t>
      </w:r>
      <w:r>
        <w:rPr>
          <w:spacing w:val="-3"/>
          <w:sz w:val="20"/>
        </w:rPr>
        <w:t> </w:t>
      </w:r>
      <w:r>
        <w:rPr>
          <w:rFonts w:ascii="Arial" w:hAnsi="Arial"/>
          <w:i/>
          <w:sz w:val="20"/>
        </w:rPr>
        <w:t>Bremer</w:t>
      </w:r>
      <w:r>
        <w:rPr>
          <w:rFonts w:ascii="Arial" w:hAnsi="Arial"/>
          <w:i/>
          <w:spacing w:val="-3"/>
          <w:sz w:val="20"/>
        </w:rPr>
        <w:t> </w:t>
      </w:r>
      <w:r>
        <w:rPr>
          <w:rFonts w:ascii="Arial" w:hAnsi="Arial"/>
          <w:i/>
          <w:sz w:val="20"/>
        </w:rPr>
        <w:t>Handelsgesellschaft</w:t>
      </w:r>
      <w:r>
        <w:rPr>
          <w:rFonts w:ascii="Arial" w:hAnsi="Arial"/>
          <w:i/>
          <w:spacing w:val="-3"/>
          <w:sz w:val="20"/>
        </w:rPr>
        <w:t> </w:t>
      </w:r>
      <w:r>
        <w:rPr>
          <w:rFonts w:ascii="Arial" w:hAnsi="Arial"/>
          <w:i/>
          <w:sz w:val="20"/>
        </w:rPr>
        <w:t>mbH</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Vanden</w:t>
      </w:r>
      <w:r>
        <w:rPr>
          <w:rFonts w:ascii="Arial" w:hAnsi="Arial"/>
          <w:i/>
          <w:spacing w:val="-3"/>
          <w:sz w:val="20"/>
        </w:rPr>
        <w:t> </w:t>
      </w:r>
      <w:r>
        <w:rPr>
          <w:rFonts w:ascii="Arial" w:hAnsi="Arial"/>
          <w:i/>
          <w:sz w:val="20"/>
        </w:rPr>
        <w:t>Avenne-Izegem</w:t>
      </w:r>
      <w:r>
        <w:rPr>
          <w:rFonts w:ascii="Arial" w:hAnsi="Arial"/>
          <w:i/>
          <w:spacing w:val="-3"/>
          <w:sz w:val="20"/>
        </w:rPr>
        <w:t> </w:t>
      </w:r>
      <w:r>
        <w:rPr>
          <w:rFonts w:ascii="Arial" w:hAnsi="Arial"/>
          <w:i/>
          <w:sz w:val="20"/>
        </w:rPr>
        <w:t>P.V.B.A.</w:t>
      </w:r>
      <w:r>
        <w:rPr>
          <w:rFonts w:ascii="Arial" w:hAnsi="Arial"/>
          <w:i/>
          <w:spacing w:val="-3"/>
          <w:sz w:val="20"/>
        </w:rPr>
        <w:t> </w:t>
      </w:r>
      <w:r>
        <w:rPr>
          <w:rFonts w:ascii="Arial" w:hAnsi="Arial"/>
          <w:i/>
          <w:sz w:val="20"/>
        </w:rPr>
        <w:t>[1978]</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 109</w:t>
      </w:r>
      <w:r>
        <w:rPr>
          <w:sz w:val="20"/>
        </w:rPr>
        <w:t>;</w:t>
      </w:r>
      <w:r>
        <w:rPr>
          <w:spacing w:val="-3"/>
          <w:sz w:val="20"/>
        </w:rPr>
        <w:t> </w:t>
      </w:r>
      <w:r>
        <w:rPr>
          <w:rFonts w:ascii="Arial" w:hAnsi="Arial"/>
          <w:i/>
          <w:sz w:val="20"/>
        </w:rPr>
        <w:t>Hazel</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Akhtar</w:t>
      </w:r>
      <w:r>
        <w:rPr>
          <w:rFonts w:ascii="Arial" w:hAnsi="Arial"/>
          <w:i/>
          <w:spacing w:val="-3"/>
          <w:sz w:val="20"/>
        </w:rPr>
        <w:t> </w:t>
      </w:r>
      <w:r>
        <w:rPr>
          <w:rFonts w:ascii="Arial" w:hAnsi="Arial"/>
          <w:i/>
          <w:sz w:val="20"/>
        </w:rPr>
        <w:t>[2001]</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1883;</w:t>
      </w:r>
      <w:r>
        <w:rPr>
          <w:rFonts w:ascii="Arial" w:hAnsi="Arial"/>
          <w:i/>
          <w:spacing w:val="-3"/>
          <w:sz w:val="20"/>
        </w:rPr>
        <w:t> </w:t>
      </w:r>
      <w:r>
        <w:rPr>
          <w:rFonts w:ascii="Arial" w:hAnsi="Arial"/>
          <w:i/>
          <w:sz w:val="20"/>
        </w:rPr>
        <w:t>[2002]</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P.</w:t>
      </w:r>
      <w:r>
        <w:rPr>
          <w:rFonts w:ascii="Arial" w:hAnsi="Arial"/>
          <w:i/>
          <w:spacing w:val="-3"/>
          <w:sz w:val="20"/>
        </w:rPr>
        <w:t> </w:t>
      </w:r>
      <w:r>
        <w:rPr>
          <w:rFonts w:ascii="Arial" w:hAnsi="Arial"/>
          <w:i/>
          <w:sz w:val="20"/>
        </w:rPr>
        <w:t>&amp;</w:t>
      </w:r>
      <w:r>
        <w:rPr>
          <w:rFonts w:ascii="Arial" w:hAnsi="Arial"/>
          <w:i/>
          <w:spacing w:val="-3"/>
          <w:sz w:val="20"/>
        </w:rPr>
        <w:t> </w:t>
      </w:r>
      <w:r>
        <w:rPr>
          <w:rFonts w:ascii="Arial" w:hAnsi="Arial"/>
          <w:i/>
          <w:sz w:val="20"/>
        </w:rPr>
        <w:t>C.R.</w:t>
      </w:r>
      <w:r>
        <w:rPr>
          <w:rFonts w:ascii="Arial" w:hAnsi="Arial"/>
          <w:i/>
          <w:spacing w:val="-3"/>
          <w:sz w:val="20"/>
        </w:rPr>
        <w:t> </w:t>
      </w:r>
      <w:r>
        <w:rPr>
          <w:rFonts w:ascii="Arial" w:hAnsi="Arial"/>
          <w:i/>
          <w:sz w:val="20"/>
        </w:rPr>
        <w:t>17</w:t>
      </w:r>
      <w:r>
        <w:rPr>
          <w:rFonts w:ascii="Arial" w:hAnsi="Arial"/>
          <w:i/>
          <w:spacing w:val="-3"/>
          <w:sz w:val="20"/>
        </w:rPr>
        <w:t> </w:t>
      </w:r>
      <w:r>
        <w:rPr>
          <w:sz w:val="20"/>
        </w:rPr>
        <w:t>(landlord</w:t>
      </w:r>
      <w:r>
        <w:rPr>
          <w:spacing w:val="-3"/>
          <w:sz w:val="20"/>
        </w:rPr>
        <w:t> </w:t>
      </w:r>
      <w:r>
        <w:rPr>
          <w:sz w:val="20"/>
        </w:rPr>
        <w:t>tolerating</w:t>
      </w:r>
      <w:r>
        <w:rPr>
          <w:spacing w:val="-3"/>
          <w:sz w:val="20"/>
        </w:rPr>
        <w:t> </w:t>
      </w:r>
      <w:r>
        <w:rPr>
          <w:sz w:val="20"/>
        </w:rPr>
        <w:t>habitually late payment of rent).</w:t>
      </w:r>
    </w:p>
    <w:p>
      <w:pPr>
        <w:pStyle w:val="BodyText"/>
        <w:spacing w:before="9"/>
      </w:pPr>
    </w:p>
    <w:p>
      <w:pPr>
        <w:tabs>
          <w:tab w:pos="705" w:val="left" w:leader="none"/>
        </w:tabs>
        <w:spacing w:line="235" w:lineRule="auto" w:before="0"/>
        <w:ind w:left="705" w:right="168" w:hanging="541"/>
        <w:jc w:val="left"/>
        <w:rPr>
          <w:sz w:val="20"/>
        </w:rPr>
      </w:pPr>
      <w:bookmarkStart w:name="_bookmark1133" w:id="1135"/>
      <w:bookmarkEnd w:id="1135"/>
      <w:r>
        <w:rPr/>
      </w:r>
      <w:hyperlink w:history="true" w:anchor="_bookmark907">
        <w:r>
          <w:rPr>
            <w:color w:val="005DA1"/>
            <w:spacing w:val="-4"/>
            <w:position w:val="5"/>
            <w:sz w:val="14"/>
            <w:u w:val="single" w:color="005DA1"/>
          </w:rPr>
          <w:t>499</w:t>
        </w:r>
      </w:hyperlink>
      <w:r>
        <w:rPr>
          <w:spacing w:val="-4"/>
          <w:position w:val="5"/>
          <w:sz w:val="14"/>
        </w:rPr>
        <w:t>.</w:t>
      </w:r>
      <w:r>
        <w:rPr>
          <w:position w:val="5"/>
          <w:sz w:val="14"/>
        </w:rPr>
        <w:tab/>
      </w:r>
      <w:r>
        <w:rPr>
          <w:sz w:val="20"/>
        </w:rPr>
        <w:t>See</w:t>
      </w:r>
      <w:r>
        <w:rPr>
          <w:spacing w:val="25"/>
          <w:sz w:val="20"/>
        </w:rPr>
        <w:t> </w:t>
      </w:r>
      <w:r>
        <w:rPr>
          <w:rFonts w:ascii="Arial" w:hAnsi="Arial"/>
          <w:i/>
          <w:sz w:val="20"/>
        </w:rPr>
        <w:t>Bremer</w:t>
      </w:r>
      <w:r>
        <w:rPr>
          <w:rFonts w:ascii="Arial" w:hAnsi="Arial"/>
          <w:i/>
          <w:spacing w:val="25"/>
          <w:sz w:val="20"/>
        </w:rPr>
        <w:t> </w:t>
      </w:r>
      <w:r>
        <w:rPr>
          <w:rFonts w:ascii="Arial" w:hAnsi="Arial"/>
          <w:i/>
          <w:sz w:val="20"/>
        </w:rPr>
        <w:t>Handelsgesellschaft</w:t>
      </w:r>
      <w:r>
        <w:rPr>
          <w:rFonts w:ascii="Arial" w:hAnsi="Arial"/>
          <w:i/>
          <w:spacing w:val="25"/>
          <w:sz w:val="20"/>
        </w:rPr>
        <w:t> </w:t>
      </w:r>
      <w:r>
        <w:rPr>
          <w:rFonts w:ascii="Arial" w:hAnsi="Arial"/>
          <w:i/>
          <w:sz w:val="20"/>
        </w:rPr>
        <w:t>mbH</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C.</w:t>
      </w:r>
      <w:r>
        <w:rPr>
          <w:rFonts w:ascii="Arial" w:hAnsi="Arial"/>
          <w:i/>
          <w:spacing w:val="25"/>
          <w:sz w:val="20"/>
        </w:rPr>
        <w:t> </w:t>
      </w:r>
      <w:r>
        <w:rPr>
          <w:rFonts w:ascii="Arial" w:hAnsi="Arial"/>
          <w:i/>
          <w:sz w:val="20"/>
        </w:rPr>
        <w:t>Mackprang</w:t>
      </w:r>
      <w:r>
        <w:rPr>
          <w:rFonts w:ascii="Arial" w:hAnsi="Arial"/>
          <w:i/>
          <w:spacing w:val="25"/>
          <w:sz w:val="20"/>
        </w:rPr>
        <w:t> </w:t>
      </w:r>
      <w:r>
        <w:rPr>
          <w:rFonts w:ascii="Arial" w:hAnsi="Arial"/>
          <w:i/>
          <w:sz w:val="20"/>
        </w:rPr>
        <w:t>Jr.</w:t>
      </w:r>
      <w:r>
        <w:rPr>
          <w:rFonts w:ascii="Arial" w:hAnsi="Arial"/>
          <w:i/>
          <w:spacing w:val="25"/>
          <w:sz w:val="20"/>
        </w:rPr>
        <w:t> </w:t>
      </w:r>
      <w:r>
        <w:rPr>
          <w:rFonts w:ascii="Arial" w:hAnsi="Arial"/>
          <w:i/>
          <w:sz w:val="20"/>
        </w:rPr>
        <w:t>[1979]</w:t>
      </w:r>
      <w:r>
        <w:rPr>
          <w:rFonts w:ascii="Arial" w:hAnsi="Arial"/>
          <w:i/>
          <w:spacing w:val="25"/>
          <w:sz w:val="20"/>
        </w:rPr>
        <w:t> </w:t>
      </w:r>
      <w:r>
        <w:rPr>
          <w:rFonts w:ascii="Arial" w:hAnsi="Arial"/>
          <w:i/>
          <w:sz w:val="20"/>
        </w:rPr>
        <w:t>1</w:t>
      </w:r>
      <w:r>
        <w:rPr>
          <w:rFonts w:ascii="Arial" w:hAnsi="Arial"/>
          <w:i/>
          <w:spacing w:val="25"/>
          <w:sz w:val="20"/>
        </w:rPr>
        <w:t> </w:t>
      </w:r>
      <w:r>
        <w:rPr>
          <w:rFonts w:ascii="Arial" w:hAnsi="Arial"/>
          <w:i/>
          <w:sz w:val="20"/>
        </w:rPr>
        <w:t>Lloyd’s</w:t>
      </w:r>
      <w:r>
        <w:rPr>
          <w:rFonts w:ascii="Arial" w:hAnsi="Arial"/>
          <w:i/>
          <w:spacing w:val="25"/>
          <w:sz w:val="20"/>
        </w:rPr>
        <w:t> </w:t>
      </w:r>
      <w:r>
        <w:rPr>
          <w:rFonts w:ascii="Arial" w:hAnsi="Arial"/>
          <w:i/>
          <w:sz w:val="20"/>
        </w:rPr>
        <w:t>Rep.</w:t>
      </w:r>
      <w:r>
        <w:rPr>
          <w:rFonts w:ascii="Arial" w:hAnsi="Arial"/>
          <w:i/>
          <w:spacing w:val="25"/>
          <w:sz w:val="20"/>
        </w:rPr>
        <w:t> </w:t>
      </w:r>
      <w:r>
        <w:rPr>
          <w:rFonts w:ascii="Arial" w:hAnsi="Arial"/>
          <w:i/>
          <w:sz w:val="20"/>
        </w:rPr>
        <w:t>221</w:t>
      </w:r>
      <w:r>
        <w:rPr>
          <w:sz w:val="20"/>
        </w:rPr>
        <w:t>,</w:t>
      </w:r>
      <w:r>
        <w:rPr>
          <w:spacing w:val="25"/>
          <w:sz w:val="20"/>
        </w:rPr>
        <w:t> </w:t>
      </w:r>
      <w:r>
        <w:rPr>
          <w:sz w:val="20"/>
        </w:rPr>
        <w:t>where there was a division of opinion on the point in the Court of Appeal.</w:t>
      </w:r>
    </w:p>
    <w:p>
      <w:pPr>
        <w:pStyle w:val="BodyText"/>
        <w:spacing w:before="5"/>
      </w:pPr>
    </w:p>
    <w:p>
      <w:pPr>
        <w:tabs>
          <w:tab w:pos="705" w:val="left" w:leader="none"/>
        </w:tabs>
        <w:spacing w:before="0"/>
        <w:ind w:left="165" w:right="0" w:firstLine="0"/>
        <w:jc w:val="left"/>
        <w:rPr>
          <w:sz w:val="20"/>
        </w:rPr>
      </w:pPr>
      <w:bookmarkStart w:name="_bookmark1134" w:id="1136"/>
      <w:bookmarkEnd w:id="1136"/>
      <w:r>
        <w:rPr/>
      </w:r>
      <w:hyperlink w:history="true" w:anchor="_bookmark908">
        <w:r>
          <w:rPr>
            <w:color w:val="005DA1"/>
            <w:spacing w:val="-4"/>
            <w:position w:val="5"/>
            <w:sz w:val="14"/>
            <w:u w:val="single" w:color="005DA1"/>
          </w:rPr>
          <w:t>500</w:t>
        </w:r>
      </w:hyperlink>
      <w:r>
        <w:rPr>
          <w:spacing w:val="-4"/>
          <w:position w:val="5"/>
          <w:sz w:val="14"/>
        </w:rPr>
        <w:t>.</w:t>
      </w:r>
      <w:r>
        <w:rPr>
          <w:position w:val="5"/>
          <w:sz w:val="14"/>
        </w:rPr>
        <w:tab/>
      </w:r>
      <w:r>
        <w:rPr>
          <w:rFonts w:ascii="Arial" w:hAnsi="Arial"/>
          <w:i/>
          <w:sz w:val="20"/>
        </w:rPr>
        <w:t>Telfair Shipping Corp. v Athos Shipping Corp. (The Athos) [1983] 1 Lloyd’s Rep. 127, </w:t>
      </w:r>
      <w:r>
        <w:rPr>
          <w:rFonts w:ascii="Arial" w:hAnsi="Arial"/>
          <w:i/>
          <w:spacing w:val="-4"/>
          <w:sz w:val="20"/>
        </w:rPr>
        <w:t>135</w:t>
      </w:r>
      <w:r>
        <w:rPr>
          <w:spacing w:val="-4"/>
          <w:sz w:val="20"/>
        </w:rPr>
        <w:t>.</w:t>
      </w:r>
    </w:p>
    <w:p>
      <w:pPr>
        <w:pStyle w:val="BodyText"/>
        <w:spacing w:before="9"/>
      </w:pPr>
    </w:p>
    <w:p>
      <w:pPr>
        <w:spacing w:line="235" w:lineRule="auto" w:before="0"/>
        <w:ind w:left="705" w:right="167" w:hanging="541"/>
        <w:jc w:val="both"/>
        <w:rPr>
          <w:rFonts w:ascii="Arial" w:hAnsi="Arial"/>
          <w:i/>
          <w:sz w:val="20"/>
        </w:rPr>
      </w:pPr>
      <w:bookmarkStart w:name="_bookmark1135" w:id="1137"/>
      <w:bookmarkEnd w:id="1137"/>
      <w:r>
        <w:rPr/>
      </w:r>
      <w:hyperlink w:history="true" w:anchor="_bookmark909">
        <w:r>
          <w:rPr>
            <w:color w:val="005DA1"/>
            <w:position w:val="5"/>
            <w:sz w:val="14"/>
            <w:u w:val="single" w:color="005DA1"/>
          </w:rPr>
          <w:t>501</w:t>
        </w:r>
      </w:hyperlink>
      <w:r>
        <w:rPr>
          <w:position w:val="5"/>
          <w:sz w:val="14"/>
        </w:rPr>
        <w:t>.</w:t>
      </w:r>
      <w:r>
        <w:rPr>
          <w:spacing w:val="80"/>
          <w:position w:val="5"/>
          <w:sz w:val="14"/>
        </w:rPr>
        <w:t>  </w:t>
      </w:r>
      <w:r>
        <w:rPr>
          <w:rFonts w:ascii="Arial" w:hAnsi="Arial"/>
          <w:i/>
          <w:sz w:val="20"/>
        </w:rPr>
        <w:t>Allied Marine Transport v Vale do Rio Doce Navegaçao SA (The Leonidas D.) [1985] 1 W.L.R. 925, 937</w:t>
      </w:r>
      <w:r>
        <w:rPr>
          <w:sz w:val="20"/>
        </w:rPr>
        <w:t>; cf. </w:t>
      </w:r>
      <w:r>
        <w:rPr>
          <w:rFonts w:ascii="Arial" w:hAnsi="Arial"/>
          <w:i/>
          <w:sz w:val="20"/>
        </w:rPr>
        <w:t>Cook Industries v Tradax Export SA [1983] 1 Lloyd’s Rep. 327, 332 ([1985] </w:t>
      </w:r>
      <w:r>
        <w:rPr>
          <w:rFonts w:ascii="Arial" w:hAnsi="Arial"/>
          <w:i/>
          <w:sz w:val="20"/>
        </w:rPr>
        <w:t>2 Lloyd’s</w:t>
      </w:r>
      <w:r>
        <w:rPr>
          <w:rFonts w:ascii="Arial" w:hAnsi="Arial"/>
          <w:i/>
          <w:spacing w:val="1"/>
          <w:sz w:val="20"/>
        </w:rPr>
        <w:t> </w:t>
      </w:r>
      <w:r>
        <w:rPr>
          <w:rFonts w:ascii="Arial" w:hAnsi="Arial"/>
          <w:i/>
          <w:sz w:val="20"/>
        </w:rPr>
        <w:t>Rep.</w:t>
      </w:r>
      <w:r>
        <w:rPr>
          <w:rFonts w:ascii="Arial" w:hAnsi="Arial"/>
          <w:i/>
          <w:spacing w:val="2"/>
          <w:sz w:val="20"/>
        </w:rPr>
        <w:t> </w:t>
      </w:r>
      <w:r>
        <w:rPr>
          <w:rFonts w:ascii="Arial" w:hAnsi="Arial"/>
          <w:i/>
          <w:sz w:val="20"/>
        </w:rPr>
        <w:t>454)</w:t>
      </w:r>
      <w:r>
        <w:rPr>
          <w:sz w:val="20"/>
        </w:rPr>
        <w:t>;</w:t>
      </w:r>
      <w:r>
        <w:rPr>
          <w:spacing w:val="2"/>
          <w:sz w:val="20"/>
        </w:rPr>
        <w:t> </w:t>
      </w:r>
      <w:r>
        <w:rPr>
          <w:rFonts w:ascii="Arial" w:hAnsi="Arial"/>
          <w:i/>
          <w:sz w:val="20"/>
        </w:rPr>
        <w:t>K.</w:t>
      </w:r>
      <w:r>
        <w:rPr>
          <w:rFonts w:ascii="Arial" w:hAnsi="Arial"/>
          <w:i/>
          <w:spacing w:val="2"/>
          <w:sz w:val="20"/>
        </w:rPr>
        <w:t> </w:t>
      </w:r>
      <w:r>
        <w:rPr>
          <w:rFonts w:ascii="Arial" w:hAnsi="Arial"/>
          <w:i/>
          <w:sz w:val="20"/>
        </w:rPr>
        <w:t>Lokumal</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Sons</w:t>
      </w:r>
      <w:r>
        <w:rPr>
          <w:rFonts w:ascii="Arial" w:hAnsi="Arial"/>
          <w:i/>
          <w:spacing w:val="2"/>
          <w:sz w:val="20"/>
        </w:rPr>
        <w:t> </w:t>
      </w:r>
      <w:r>
        <w:rPr>
          <w:rFonts w:ascii="Arial" w:hAnsi="Arial"/>
          <w:i/>
          <w:sz w:val="20"/>
        </w:rPr>
        <w:t>(London)</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Lotte</w:t>
      </w:r>
      <w:r>
        <w:rPr>
          <w:rFonts w:ascii="Arial" w:hAnsi="Arial"/>
          <w:i/>
          <w:spacing w:val="2"/>
          <w:sz w:val="20"/>
        </w:rPr>
        <w:t> </w:t>
      </w:r>
      <w:r>
        <w:rPr>
          <w:rFonts w:ascii="Arial" w:hAnsi="Arial"/>
          <w:i/>
          <w:sz w:val="20"/>
        </w:rPr>
        <w:t>Shipping</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Pte</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(The</w:t>
      </w:r>
      <w:r>
        <w:rPr>
          <w:rFonts w:ascii="Arial" w:hAnsi="Arial"/>
          <w:i/>
          <w:spacing w:val="2"/>
          <w:sz w:val="20"/>
        </w:rPr>
        <w:t> </w:t>
      </w:r>
      <w:r>
        <w:rPr>
          <w:rFonts w:ascii="Arial" w:hAnsi="Arial"/>
          <w:i/>
          <w:sz w:val="20"/>
        </w:rPr>
        <w:t>August</w:t>
      </w:r>
      <w:r>
        <w:rPr>
          <w:rFonts w:ascii="Arial" w:hAnsi="Arial"/>
          <w:i/>
          <w:spacing w:val="2"/>
          <w:sz w:val="20"/>
        </w:rPr>
        <w:t> </w:t>
      </w:r>
      <w:r>
        <w:rPr>
          <w:rFonts w:ascii="Arial" w:hAnsi="Arial"/>
          <w:i/>
          <w:spacing w:val="-5"/>
          <w:sz w:val="20"/>
        </w:rPr>
        <w:t>P.</w:t>
      </w:r>
    </w:p>
    <w:p>
      <w:pPr>
        <w:spacing w:after="0" w:line="235" w:lineRule="auto"/>
        <w:jc w:val="both"/>
        <w:rPr>
          <w:rFonts w:ascii="Arial" w:hAnsi="Arial"/>
          <w:i/>
          <w:sz w:val="20"/>
        </w:rPr>
        <w:sectPr>
          <w:pgSz w:w="11900" w:h="16840"/>
          <w:pgMar w:header="971" w:footer="0" w:top="1160" w:bottom="280" w:left="1275" w:right="1275"/>
        </w:sectPr>
      </w:pPr>
    </w:p>
    <w:p>
      <w:pPr>
        <w:pStyle w:val="BodyText"/>
        <w:spacing w:before="24"/>
        <w:rPr>
          <w:rFonts w:ascii="Arial"/>
          <w:i/>
        </w:rPr>
      </w:pPr>
    </w:p>
    <w:p>
      <w:pPr>
        <w:spacing w:line="235" w:lineRule="auto" w:before="1"/>
        <w:ind w:left="705" w:right="167" w:firstLine="0"/>
        <w:jc w:val="both"/>
        <w:rPr>
          <w:rFonts w:ascii="Arial" w:hAnsi="Arial"/>
          <w:i/>
          <w:sz w:val="20"/>
        </w:rPr>
      </w:pPr>
      <w:r>
        <w:rPr>
          <w:rFonts w:ascii="Arial" w:hAnsi="Arial"/>
          <w:i/>
          <w:sz w:val="20"/>
        </w:rPr>
        <w:t>Leonhardt) [1985] 2 Lloyd’s Rep. 28, 33</w:t>
      </w:r>
      <w:r>
        <w:rPr>
          <w:sz w:val="20"/>
        </w:rPr>
        <w:t>; </w:t>
      </w:r>
      <w:r>
        <w:rPr>
          <w:rFonts w:ascii="Arial" w:hAnsi="Arial"/>
          <w:i/>
          <w:sz w:val="20"/>
        </w:rPr>
        <w:t>M.S.C. Mediterranean Shipping Co SA v B.R.E. </w:t>
      </w:r>
      <w:r>
        <w:rPr>
          <w:rFonts w:ascii="Arial" w:hAnsi="Arial"/>
          <w:i/>
          <w:sz w:val="20"/>
        </w:rPr>
        <w:t>Metro Ltd [1985] 2 Lloyd’s Rep. 239</w:t>
      </w:r>
      <w:r>
        <w:rPr>
          <w:sz w:val="20"/>
        </w:rPr>
        <w:t>; </w:t>
      </w:r>
      <w:r>
        <w:rPr>
          <w:rFonts w:ascii="Arial" w:hAnsi="Arial"/>
          <w:i/>
          <w:sz w:val="20"/>
        </w:rPr>
        <w:t>Cie Française d’Importation, etc., SA v Deutsche Continental Handelsgesellschaft [1985] 2 Lloyd’s Rep. 592, 598</w:t>
      </w:r>
      <w:r>
        <w:rPr>
          <w:sz w:val="20"/>
        </w:rPr>
        <w:t>; </w:t>
      </w:r>
      <w:r>
        <w:rPr>
          <w:rFonts w:ascii="Arial" w:hAnsi="Arial"/>
          <w:i/>
          <w:sz w:val="20"/>
        </w:rPr>
        <w:t>Food Corp. of India v Antclizo Shipping Corp. (The Antclizo) [1986] 1 Lloyd’s Rep. 181, 187, affirmed 1 W.L.R. 603</w:t>
      </w:r>
      <w:r>
        <w:rPr>
          <w:sz w:val="20"/>
        </w:rPr>
        <w:t>; </w:t>
      </w:r>
      <w:r>
        <w:rPr>
          <w:rFonts w:ascii="Arial" w:hAnsi="Arial"/>
          <w:i/>
          <w:sz w:val="20"/>
        </w:rPr>
        <w:t>Youell v Bland Welch &amp; Co Ltd (The Superhulls Cover Case) (No.2) [1990] 2 Lloyd’s Rep. 431, 452</w:t>
      </w:r>
      <w:r>
        <w:rPr>
          <w:sz w:val="20"/>
        </w:rPr>
        <w:t>; </w:t>
      </w:r>
      <w:r>
        <w:rPr>
          <w:rFonts w:ascii="Arial" w:hAnsi="Arial"/>
          <w:i/>
          <w:sz w:val="20"/>
        </w:rPr>
        <w:t>HIH Casualty</w:t>
      </w:r>
      <w:r>
        <w:rPr>
          <w:rFonts w:ascii="Arial" w:hAnsi="Arial"/>
          <w:i/>
          <w:spacing w:val="14"/>
          <w:sz w:val="20"/>
        </w:rPr>
        <w:t> </w:t>
      </w:r>
      <w:r>
        <w:rPr>
          <w:rFonts w:ascii="Arial" w:hAnsi="Arial"/>
          <w:i/>
          <w:sz w:val="20"/>
        </w:rPr>
        <w:t>&amp;</w:t>
      </w:r>
      <w:r>
        <w:rPr>
          <w:rFonts w:ascii="Arial" w:hAnsi="Arial"/>
          <w:i/>
          <w:spacing w:val="14"/>
          <w:sz w:val="20"/>
        </w:rPr>
        <w:t> </w:t>
      </w:r>
      <w:r>
        <w:rPr>
          <w:rFonts w:ascii="Arial" w:hAnsi="Arial"/>
          <w:i/>
          <w:sz w:val="20"/>
        </w:rPr>
        <w:t>General</w:t>
      </w:r>
      <w:r>
        <w:rPr>
          <w:rFonts w:ascii="Arial" w:hAnsi="Arial"/>
          <w:i/>
          <w:spacing w:val="14"/>
          <w:sz w:val="20"/>
        </w:rPr>
        <w:t> </w:t>
      </w:r>
      <w:r>
        <w:rPr>
          <w:rFonts w:ascii="Arial" w:hAnsi="Arial"/>
          <w:i/>
          <w:sz w:val="20"/>
        </w:rPr>
        <w:t>Insurance</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Axa</w:t>
      </w:r>
      <w:r>
        <w:rPr>
          <w:rFonts w:ascii="Arial" w:hAnsi="Arial"/>
          <w:i/>
          <w:spacing w:val="14"/>
          <w:sz w:val="20"/>
        </w:rPr>
        <w:t> </w:t>
      </w:r>
      <w:r>
        <w:rPr>
          <w:rFonts w:ascii="Arial" w:hAnsi="Arial"/>
          <w:i/>
          <w:sz w:val="20"/>
        </w:rPr>
        <w:t>Corporate</w:t>
      </w:r>
      <w:r>
        <w:rPr>
          <w:rFonts w:ascii="Arial" w:hAnsi="Arial"/>
          <w:i/>
          <w:spacing w:val="14"/>
          <w:sz w:val="20"/>
        </w:rPr>
        <w:t> </w:t>
      </w:r>
      <w:r>
        <w:rPr>
          <w:rFonts w:ascii="Arial" w:hAnsi="Arial"/>
          <w:i/>
          <w:sz w:val="20"/>
        </w:rPr>
        <w:t>Solutions</w:t>
      </w:r>
      <w:r>
        <w:rPr>
          <w:rFonts w:ascii="Arial" w:hAnsi="Arial"/>
          <w:i/>
          <w:spacing w:val="14"/>
          <w:sz w:val="20"/>
        </w:rPr>
        <w:t> </w:t>
      </w:r>
      <w:r>
        <w:rPr>
          <w:rFonts w:ascii="Arial" w:hAnsi="Arial"/>
          <w:i/>
          <w:sz w:val="20"/>
        </w:rPr>
        <w:t>[2002]</w:t>
      </w:r>
      <w:r>
        <w:rPr>
          <w:rFonts w:ascii="Arial" w:hAnsi="Arial"/>
          <w:i/>
          <w:spacing w:val="14"/>
          <w:sz w:val="20"/>
        </w:rPr>
        <w:t> </w:t>
      </w:r>
      <w:r>
        <w:rPr>
          <w:rFonts w:ascii="Arial" w:hAnsi="Arial"/>
          <w:i/>
          <w:sz w:val="20"/>
        </w:rPr>
        <w:t>EWCA</w:t>
      </w:r>
      <w:r>
        <w:rPr>
          <w:rFonts w:ascii="Arial" w:hAnsi="Arial"/>
          <w:i/>
          <w:spacing w:val="14"/>
          <w:sz w:val="20"/>
        </w:rPr>
        <w:t> </w:t>
      </w:r>
      <w:r>
        <w:rPr>
          <w:rFonts w:ascii="Arial" w:hAnsi="Arial"/>
          <w:i/>
          <w:sz w:val="20"/>
        </w:rPr>
        <w:t>Civ</w:t>
      </w:r>
      <w:r>
        <w:rPr>
          <w:rFonts w:ascii="Arial" w:hAnsi="Arial"/>
          <w:i/>
          <w:spacing w:val="14"/>
          <w:sz w:val="20"/>
        </w:rPr>
        <w:t> </w:t>
      </w:r>
      <w:r>
        <w:rPr>
          <w:rFonts w:ascii="Arial" w:hAnsi="Arial"/>
          <w:i/>
          <w:sz w:val="20"/>
        </w:rPr>
        <w:t>1253;</w:t>
      </w:r>
      <w:r>
        <w:rPr>
          <w:rFonts w:ascii="Arial" w:hAnsi="Arial"/>
          <w:i/>
          <w:spacing w:val="14"/>
          <w:sz w:val="20"/>
        </w:rPr>
        <w:t> </w:t>
      </w:r>
      <w:r>
        <w:rPr>
          <w:rFonts w:ascii="Arial" w:hAnsi="Arial"/>
          <w:i/>
          <w:sz w:val="20"/>
        </w:rPr>
        <w:t>[2002]</w:t>
      </w:r>
      <w:r>
        <w:rPr>
          <w:rFonts w:ascii="Arial" w:hAnsi="Arial"/>
          <w:i/>
          <w:spacing w:val="14"/>
          <w:sz w:val="20"/>
        </w:rPr>
        <w:t> </w:t>
      </w:r>
      <w:r>
        <w:rPr>
          <w:rFonts w:ascii="Arial" w:hAnsi="Arial"/>
          <w:i/>
          <w:sz w:val="20"/>
        </w:rPr>
        <w:t>2</w:t>
      </w:r>
      <w:r>
        <w:rPr>
          <w:rFonts w:ascii="Arial" w:hAnsi="Arial"/>
          <w:i/>
          <w:spacing w:val="14"/>
          <w:sz w:val="20"/>
        </w:rPr>
        <w:t> </w:t>
      </w:r>
      <w:r>
        <w:rPr>
          <w:rFonts w:ascii="Arial" w:hAnsi="Arial"/>
          <w:i/>
          <w:spacing w:val="-5"/>
          <w:sz w:val="20"/>
        </w:rPr>
        <w:t>All</w:t>
      </w:r>
    </w:p>
    <w:p>
      <w:pPr>
        <w:spacing w:line="235" w:lineRule="auto" w:before="0"/>
        <w:ind w:left="705" w:right="167" w:firstLine="0"/>
        <w:jc w:val="both"/>
        <w:rPr>
          <w:sz w:val="20"/>
        </w:rPr>
      </w:pPr>
      <w:r>
        <w:rPr>
          <w:rFonts w:ascii="Arial" w:hAnsi="Arial"/>
          <w:i/>
          <w:sz w:val="20"/>
        </w:rPr>
        <w:t>E.R. (Comm) 1053 </w:t>
      </w:r>
      <w:r>
        <w:rPr>
          <w:sz w:val="20"/>
        </w:rPr>
        <w:t>at [26] (where there was no action in reliance); </w:t>
      </w:r>
      <w:r>
        <w:rPr>
          <w:rFonts w:ascii="Arial" w:hAnsi="Arial"/>
          <w:i/>
          <w:sz w:val="20"/>
        </w:rPr>
        <w:t>Front Carriers Ltd v </w:t>
      </w:r>
      <w:r>
        <w:rPr>
          <w:rFonts w:ascii="Arial" w:hAnsi="Arial"/>
          <w:i/>
          <w:sz w:val="20"/>
        </w:rPr>
        <w:t>Atlantic Orient Shipping Corporation (The Archimidis) [2007] EWHC 421 (Comm), [2007] 2 Lloyd’s Rep. 131</w:t>
      </w:r>
      <w:r>
        <w:rPr>
          <w:rFonts w:ascii="Arial" w:hAnsi="Arial"/>
          <w:i/>
          <w:spacing w:val="-2"/>
          <w:sz w:val="20"/>
        </w:rPr>
        <w:t> </w:t>
      </w:r>
      <w:r>
        <w:rPr>
          <w:sz w:val="20"/>
        </w:rPr>
        <w:t>at</w:t>
      </w:r>
      <w:r>
        <w:rPr>
          <w:spacing w:val="-1"/>
          <w:sz w:val="20"/>
        </w:rPr>
        <w:t> </w:t>
      </w:r>
      <w:r>
        <w:rPr>
          <w:sz w:val="20"/>
        </w:rPr>
        <w:t>[45]–[46];</w:t>
      </w:r>
      <w:r>
        <w:rPr>
          <w:spacing w:val="-1"/>
          <w:sz w:val="20"/>
        </w:rPr>
        <w:t> </w:t>
      </w:r>
      <w:r>
        <w:rPr>
          <w:sz w:val="20"/>
        </w:rPr>
        <w:t>cf.</w:t>
      </w:r>
      <w:r>
        <w:rPr>
          <w:spacing w:val="-1"/>
          <w:sz w:val="20"/>
        </w:rPr>
        <w:t> </w:t>
      </w:r>
      <w:r>
        <w:rPr>
          <w:rFonts w:ascii="Arial" w:hAnsi="Arial"/>
          <w:i/>
          <w:sz w:val="20"/>
        </w:rPr>
        <w:t>Tankerederei</w:t>
      </w:r>
      <w:r>
        <w:rPr>
          <w:rFonts w:ascii="Arial" w:hAnsi="Arial"/>
          <w:i/>
          <w:spacing w:val="-1"/>
          <w:sz w:val="20"/>
        </w:rPr>
        <w:t> </w:t>
      </w:r>
      <w:r>
        <w:rPr>
          <w:rFonts w:ascii="Arial" w:hAnsi="Arial"/>
          <w:i/>
          <w:sz w:val="20"/>
        </w:rPr>
        <w:t>Ahrenkeil</w:t>
      </w:r>
      <w:r>
        <w:rPr>
          <w:rFonts w:ascii="Arial" w:hAnsi="Arial"/>
          <w:i/>
          <w:spacing w:val="-1"/>
          <w:sz w:val="20"/>
        </w:rPr>
        <w:t> </w:t>
      </w:r>
      <w:r>
        <w:rPr>
          <w:rFonts w:ascii="Arial" w:hAnsi="Arial"/>
          <w:i/>
          <w:sz w:val="20"/>
        </w:rPr>
        <w:t>GmbH</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Frahuil</w:t>
      </w:r>
      <w:r>
        <w:rPr>
          <w:rFonts w:ascii="Arial" w:hAnsi="Arial"/>
          <w:i/>
          <w:spacing w:val="-1"/>
          <w:sz w:val="20"/>
        </w:rPr>
        <w:t> </w:t>
      </w:r>
      <w:r>
        <w:rPr>
          <w:rFonts w:ascii="Arial" w:hAnsi="Arial"/>
          <w:i/>
          <w:sz w:val="20"/>
        </w:rPr>
        <w:t>SA</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Multibank</w:t>
      </w:r>
      <w:r>
        <w:rPr>
          <w:rFonts w:ascii="Arial" w:hAnsi="Arial"/>
          <w:i/>
          <w:spacing w:val="-1"/>
          <w:sz w:val="20"/>
        </w:rPr>
        <w:t> </w:t>
      </w:r>
      <w:r>
        <w:rPr>
          <w:rFonts w:ascii="Arial" w:hAnsi="Arial"/>
          <w:i/>
          <w:sz w:val="20"/>
        </w:rPr>
        <w:t>Holsatia)</w:t>
      </w:r>
      <w:r>
        <w:rPr>
          <w:rFonts w:ascii="Arial" w:hAnsi="Arial"/>
          <w:i/>
          <w:spacing w:val="-1"/>
          <w:sz w:val="20"/>
        </w:rPr>
        <w:t> </w:t>
      </w:r>
      <w:r>
        <w:rPr>
          <w:rFonts w:ascii="Arial" w:hAnsi="Arial"/>
          <w:i/>
          <w:sz w:val="20"/>
        </w:rPr>
        <w:t>[1988] 2 Lloyd’s Rep. 486, 493 </w:t>
      </w:r>
      <w:r>
        <w:rPr>
          <w:sz w:val="20"/>
        </w:rPr>
        <w:t>(no estoppel as no action in reliance).</w:t>
      </w:r>
    </w:p>
    <w:p>
      <w:pPr>
        <w:pStyle w:val="BodyText"/>
        <w:spacing w:before="6"/>
      </w:pPr>
    </w:p>
    <w:p>
      <w:pPr>
        <w:spacing w:line="235" w:lineRule="auto" w:before="0"/>
        <w:ind w:left="705" w:right="167" w:hanging="541"/>
        <w:jc w:val="both"/>
        <w:rPr>
          <w:sz w:val="20"/>
        </w:rPr>
      </w:pPr>
      <w:bookmarkStart w:name="_bookmark1136" w:id="1138"/>
      <w:bookmarkEnd w:id="1138"/>
      <w:r>
        <w:rPr/>
      </w:r>
      <w:hyperlink w:history="true" w:anchor="_bookmark910">
        <w:r>
          <w:rPr>
            <w:color w:val="005DA1"/>
            <w:position w:val="5"/>
            <w:sz w:val="14"/>
            <w:u w:val="single" w:color="005DA1"/>
          </w:rPr>
          <w:t>502</w:t>
        </w:r>
      </w:hyperlink>
      <w:r>
        <w:rPr>
          <w:position w:val="5"/>
          <w:sz w:val="14"/>
        </w:rPr>
        <w:t>.</w:t>
      </w:r>
      <w:r>
        <w:rPr>
          <w:spacing w:val="40"/>
          <w:position w:val="5"/>
          <w:sz w:val="14"/>
        </w:rPr>
        <w:t>  </w:t>
      </w:r>
      <w:r>
        <w:rPr>
          <w:rFonts w:ascii="Arial" w:hAnsi="Arial"/>
          <w:i/>
          <w:sz w:val="20"/>
        </w:rPr>
        <w:t>Amherst v James Walker Goldsmith &amp; Silversmith Ltd [1983] Ch. 305, 315</w:t>
      </w:r>
      <w:r>
        <w:rPr>
          <w:sz w:val="20"/>
        </w:rPr>
        <w:t>; cf., in another</w:t>
      </w:r>
      <w:r>
        <w:rPr>
          <w:spacing w:val="40"/>
          <w:sz w:val="20"/>
        </w:rPr>
        <w:t> </w:t>
      </w:r>
      <w:r>
        <w:rPr>
          <w:sz w:val="20"/>
        </w:rPr>
        <w:t>context, </w:t>
      </w:r>
      <w:r>
        <w:rPr>
          <w:rFonts w:ascii="Arial" w:hAnsi="Arial"/>
          <w:i/>
          <w:sz w:val="20"/>
        </w:rPr>
        <w:t>Agip SpA v Navigazione Alta Italia SpA (The Nai Genova) [1984] 1 Lloyd’s Rep. 353, </w:t>
      </w:r>
      <w:r>
        <w:rPr>
          <w:rFonts w:ascii="Arial" w:hAnsi="Arial"/>
          <w:i/>
          <w:spacing w:val="-4"/>
          <w:sz w:val="20"/>
        </w:rPr>
        <w:t>365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37" w:id="1139"/>
      <w:bookmarkEnd w:id="1139"/>
      <w:r>
        <w:rPr/>
      </w:r>
      <w:hyperlink w:history="true" w:anchor="_bookmark911">
        <w:r>
          <w:rPr>
            <w:color w:val="005DA1"/>
            <w:spacing w:val="-4"/>
            <w:position w:val="5"/>
            <w:sz w:val="14"/>
            <w:u w:val="single" w:color="005DA1"/>
          </w:rPr>
          <w:t>503</w:t>
        </w:r>
      </w:hyperlink>
      <w:r>
        <w:rPr>
          <w:spacing w:val="-4"/>
          <w:position w:val="5"/>
          <w:sz w:val="14"/>
        </w:rPr>
        <w:t>.</w:t>
      </w:r>
      <w:r>
        <w:rPr>
          <w:position w:val="5"/>
          <w:sz w:val="14"/>
        </w:rPr>
        <w:tab/>
      </w:r>
      <w:r>
        <w:rPr>
          <w:rFonts w:ascii="Arial"/>
          <w:i/>
          <w:sz w:val="20"/>
        </w:rPr>
        <w:t>Collin v Duke of Westminster [1985] Q.B. </w:t>
      </w:r>
      <w:r>
        <w:rPr>
          <w:rFonts w:ascii="Arial"/>
          <w:i/>
          <w:spacing w:val="-4"/>
          <w:sz w:val="20"/>
        </w:rPr>
        <w:t>581</w:t>
      </w:r>
      <w:r>
        <w:rPr>
          <w:spacing w:val="-4"/>
          <w:sz w:val="20"/>
        </w:rPr>
        <w:t>.</w:t>
      </w:r>
    </w:p>
    <w:p>
      <w:pPr>
        <w:pStyle w:val="BodyText"/>
        <w:spacing w:before="9"/>
      </w:pPr>
    </w:p>
    <w:p>
      <w:pPr>
        <w:pStyle w:val="BodyText"/>
        <w:spacing w:line="235" w:lineRule="auto"/>
        <w:ind w:left="705" w:right="167" w:hanging="541"/>
        <w:jc w:val="both"/>
      </w:pPr>
      <w:bookmarkStart w:name="_bookmark1138" w:id="1140"/>
      <w:bookmarkEnd w:id="1140"/>
      <w:r>
        <w:rPr/>
      </w:r>
      <w:hyperlink w:history="true" w:anchor="_bookmark912">
        <w:r>
          <w:rPr>
            <w:color w:val="005DA1"/>
            <w:position w:val="5"/>
            <w:sz w:val="14"/>
            <w:u w:val="single" w:color="005DA1"/>
          </w:rPr>
          <w:t>504</w:t>
        </w:r>
      </w:hyperlink>
      <w:r>
        <w:rPr>
          <w:position w:val="5"/>
          <w:sz w:val="14"/>
        </w:rPr>
        <w:t>.</w:t>
      </w:r>
      <w:r>
        <w:rPr>
          <w:spacing w:val="80"/>
          <w:w w:val="150"/>
          <w:position w:val="5"/>
          <w:sz w:val="14"/>
        </w:rPr>
        <w:t> </w:t>
      </w:r>
      <w:r>
        <w:rPr/>
        <w:t>Marine Insurance Act 1906, s.33(3), second sentence. This sentence will be omitted from the subsection on the coming into force of s.10(7) of the Insurance Act 2015. See also s.10(1) of that Act, which abolishes any rule of law by which a breach of warranty (express or implied) </w:t>
      </w:r>
      <w:r>
        <w:rPr/>
        <w:t>in an insurance contract by “results in discharge of the insurer’s liability”.</w:t>
      </w:r>
    </w:p>
    <w:p>
      <w:pPr>
        <w:pStyle w:val="BodyText"/>
        <w:spacing w:before="8"/>
      </w:pPr>
    </w:p>
    <w:p>
      <w:pPr>
        <w:tabs>
          <w:tab w:pos="705" w:val="left" w:leader="none"/>
        </w:tabs>
        <w:spacing w:line="235" w:lineRule="auto" w:before="0"/>
        <w:ind w:left="705" w:right="168" w:hanging="541"/>
        <w:jc w:val="left"/>
        <w:rPr>
          <w:sz w:val="20"/>
        </w:rPr>
      </w:pPr>
      <w:bookmarkStart w:name="_bookmark1139" w:id="1141"/>
      <w:bookmarkEnd w:id="1141"/>
      <w:r>
        <w:rPr/>
      </w:r>
      <w:hyperlink w:history="true" w:anchor="_bookmark912">
        <w:r>
          <w:rPr>
            <w:color w:val="005DA1"/>
            <w:spacing w:val="-4"/>
            <w:position w:val="5"/>
            <w:sz w:val="14"/>
            <w:u w:val="single" w:color="005DA1"/>
          </w:rPr>
          <w:t>505</w:t>
        </w:r>
      </w:hyperlink>
      <w:r>
        <w:rPr>
          <w:spacing w:val="-4"/>
          <w:position w:val="5"/>
          <w:sz w:val="14"/>
        </w:rPr>
        <w:t>.</w:t>
      </w:r>
      <w:r>
        <w:rPr>
          <w:position w:val="5"/>
          <w:sz w:val="14"/>
        </w:rPr>
        <w:tab/>
      </w:r>
      <w:r>
        <w:rPr>
          <w:rFonts w:ascii="Arial" w:hAnsi="Arial"/>
          <w:i/>
          <w:sz w:val="20"/>
        </w:rPr>
        <w:t>Argo Systems</w:t>
      </w:r>
      <w:r>
        <w:rPr>
          <w:rFonts w:ascii="Arial" w:hAnsi="Arial"/>
          <w:i/>
          <w:spacing w:val="-1"/>
          <w:sz w:val="20"/>
        </w:rPr>
        <w:t> </w:t>
      </w:r>
      <w:r>
        <w:rPr>
          <w:rFonts w:ascii="Arial" w:hAnsi="Arial"/>
          <w:i/>
          <w:sz w:val="20"/>
        </w:rPr>
        <w:t>FZE v</w:t>
      </w:r>
      <w:r>
        <w:rPr>
          <w:rFonts w:ascii="Arial" w:hAnsi="Arial"/>
          <w:i/>
          <w:spacing w:val="-1"/>
          <w:sz w:val="20"/>
        </w:rPr>
        <w:t> </w:t>
      </w:r>
      <w:r>
        <w:rPr>
          <w:rFonts w:ascii="Arial" w:hAnsi="Arial"/>
          <w:i/>
          <w:sz w:val="20"/>
        </w:rPr>
        <w:t>Liberty Insurance</w:t>
      </w:r>
      <w:r>
        <w:rPr>
          <w:rFonts w:ascii="Arial" w:hAnsi="Arial"/>
          <w:i/>
          <w:spacing w:val="-1"/>
          <w:sz w:val="20"/>
        </w:rPr>
        <w:t> </w:t>
      </w:r>
      <w:r>
        <w:rPr>
          <w:rFonts w:ascii="Arial" w:hAnsi="Arial"/>
          <w:i/>
          <w:sz w:val="20"/>
        </w:rPr>
        <w:t>(Pte) (The</w:t>
      </w:r>
      <w:r>
        <w:rPr>
          <w:rFonts w:ascii="Arial" w:hAnsi="Arial"/>
          <w:i/>
          <w:spacing w:val="-1"/>
          <w:sz w:val="20"/>
        </w:rPr>
        <w:t> </w:t>
      </w:r>
      <w:r>
        <w:rPr>
          <w:rFonts w:ascii="Arial" w:hAnsi="Arial"/>
          <w:i/>
          <w:sz w:val="20"/>
        </w:rPr>
        <w:t>Copa Casino)</w:t>
      </w:r>
      <w:r>
        <w:rPr>
          <w:rFonts w:ascii="Arial" w:hAnsi="Arial"/>
          <w:i/>
          <w:spacing w:val="-1"/>
          <w:sz w:val="20"/>
        </w:rPr>
        <w:t> </w:t>
      </w:r>
      <w:r>
        <w:rPr>
          <w:rFonts w:ascii="Arial" w:hAnsi="Arial"/>
          <w:i/>
          <w:sz w:val="20"/>
        </w:rPr>
        <w:t>[2011] EWCA</w:t>
      </w:r>
      <w:r>
        <w:rPr>
          <w:rFonts w:ascii="Arial" w:hAnsi="Arial"/>
          <w:i/>
          <w:spacing w:val="-1"/>
          <w:sz w:val="20"/>
        </w:rPr>
        <w:t> </w:t>
      </w:r>
      <w:r>
        <w:rPr>
          <w:rFonts w:ascii="Arial" w:hAnsi="Arial"/>
          <w:i/>
          <w:sz w:val="20"/>
        </w:rPr>
        <w:t>Civ 1572,</w:t>
      </w:r>
      <w:r>
        <w:rPr>
          <w:rFonts w:ascii="Arial" w:hAnsi="Arial"/>
          <w:i/>
          <w:spacing w:val="-1"/>
          <w:sz w:val="20"/>
        </w:rPr>
        <w:t> </w:t>
      </w:r>
      <w:r>
        <w:rPr>
          <w:rFonts w:ascii="Arial" w:hAnsi="Arial"/>
          <w:i/>
          <w:sz w:val="20"/>
        </w:rPr>
        <w:t>[2012] 1 Lloyd’s Rep. 129 </w:t>
      </w:r>
      <w:r>
        <w:rPr>
          <w:sz w:val="20"/>
        </w:rPr>
        <w:t>at [38] a case of “waiver by estoppel”: and see above, para.4-082.</w:t>
      </w:r>
    </w:p>
    <w:p>
      <w:pPr>
        <w:pStyle w:val="BodyText"/>
        <w:spacing w:before="6"/>
      </w:pPr>
    </w:p>
    <w:p>
      <w:pPr>
        <w:tabs>
          <w:tab w:pos="705" w:val="left" w:leader="none"/>
        </w:tabs>
        <w:spacing w:before="0"/>
        <w:ind w:left="165" w:right="0" w:firstLine="0"/>
        <w:jc w:val="left"/>
        <w:rPr>
          <w:sz w:val="20"/>
        </w:rPr>
      </w:pPr>
      <w:bookmarkStart w:name="_bookmark1140" w:id="1142"/>
      <w:bookmarkEnd w:id="1142"/>
      <w:r>
        <w:rPr/>
      </w:r>
      <w:hyperlink w:history="true" w:anchor="_bookmark913">
        <w:r>
          <w:rPr>
            <w:color w:val="005DA1"/>
            <w:spacing w:val="-4"/>
            <w:position w:val="5"/>
            <w:sz w:val="14"/>
            <w:u w:val="single" w:color="005DA1"/>
          </w:rPr>
          <w:t>506</w:t>
        </w:r>
      </w:hyperlink>
      <w:r>
        <w:rPr>
          <w:spacing w:val="-4"/>
          <w:position w:val="5"/>
          <w:sz w:val="14"/>
        </w:rPr>
        <w:t>.</w:t>
      </w:r>
      <w:r>
        <w:rPr>
          <w:position w:val="5"/>
          <w:sz w:val="14"/>
        </w:rPr>
        <w:tab/>
      </w:r>
      <w:r>
        <w:rPr>
          <w:rFonts w:ascii="Arial"/>
          <w:i/>
          <w:sz w:val="20"/>
        </w:rPr>
        <w:t>Argo Systems</w:t>
      </w:r>
      <w:r>
        <w:rPr>
          <w:rFonts w:ascii="Arial"/>
          <w:i/>
          <w:spacing w:val="-1"/>
          <w:sz w:val="20"/>
        </w:rPr>
        <w:t> </w:t>
      </w:r>
      <w:r>
        <w:rPr>
          <w:sz w:val="20"/>
        </w:rPr>
        <w:t>case, above n.500 at </w:t>
      </w:r>
      <w:r>
        <w:rPr>
          <w:spacing w:val="-2"/>
          <w:sz w:val="20"/>
        </w:rPr>
        <w:t>[46].</w:t>
      </w:r>
    </w:p>
    <w:p>
      <w:pPr>
        <w:pStyle w:val="BodyText"/>
        <w:spacing w:before="8"/>
      </w:pPr>
    </w:p>
    <w:p>
      <w:pPr>
        <w:spacing w:line="235" w:lineRule="auto" w:before="1"/>
        <w:ind w:left="705" w:right="167" w:hanging="541"/>
        <w:jc w:val="both"/>
        <w:rPr>
          <w:sz w:val="20"/>
        </w:rPr>
      </w:pPr>
      <w:bookmarkStart w:name="_bookmark1141" w:id="1143"/>
      <w:bookmarkEnd w:id="1143"/>
      <w:r>
        <w:rPr/>
      </w:r>
      <w:hyperlink w:history="true" w:anchor="_bookmark914">
        <w:r>
          <w:rPr>
            <w:color w:val="005DA1"/>
            <w:position w:val="5"/>
            <w:sz w:val="14"/>
            <w:u w:val="single" w:color="005DA1"/>
          </w:rPr>
          <w:t>507</w:t>
        </w:r>
      </w:hyperlink>
      <w:r>
        <w:rPr>
          <w:position w:val="5"/>
          <w:sz w:val="14"/>
        </w:rPr>
        <w:t>.</w:t>
      </w:r>
      <w:r>
        <w:rPr>
          <w:spacing w:val="80"/>
          <w:position w:val="5"/>
          <w:sz w:val="14"/>
        </w:rPr>
        <w:t> </w:t>
      </w:r>
      <w:r>
        <w:rPr>
          <w:sz w:val="20"/>
        </w:rPr>
        <w:t>Above,</w:t>
      </w:r>
      <w:r>
        <w:rPr>
          <w:spacing w:val="40"/>
          <w:sz w:val="20"/>
        </w:rPr>
        <w:t> </w:t>
      </w:r>
      <w:r>
        <w:rPr>
          <w:sz w:val="20"/>
        </w:rPr>
        <w:t>para.2-070;</w:t>
      </w:r>
      <w:r>
        <w:rPr>
          <w:spacing w:val="40"/>
          <w:sz w:val="20"/>
        </w:rPr>
        <w:t> </w:t>
      </w:r>
      <w:r>
        <w:rPr>
          <w:sz w:val="20"/>
        </w:rPr>
        <w:t>below,</w:t>
      </w:r>
      <w:r>
        <w:rPr>
          <w:spacing w:val="40"/>
          <w:sz w:val="20"/>
        </w:rPr>
        <w:t> </w:t>
      </w:r>
      <w:r>
        <w:rPr>
          <w:sz w:val="20"/>
        </w:rPr>
        <w:t>paras</w:t>
      </w:r>
      <w:r>
        <w:rPr>
          <w:spacing w:val="40"/>
          <w:sz w:val="20"/>
        </w:rPr>
        <w:t> </w:t>
      </w:r>
      <w:r>
        <w:rPr>
          <w:sz w:val="20"/>
        </w:rPr>
        <w:t>7-155—7-180;</w:t>
      </w:r>
      <w:r>
        <w:rPr>
          <w:spacing w:val="40"/>
          <w:sz w:val="20"/>
        </w:rPr>
        <w:t> </w:t>
      </w:r>
      <w:r>
        <w:rPr>
          <w:sz w:val="20"/>
        </w:rPr>
        <w:t>see,</w:t>
      </w:r>
      <w:r>
        <w:rPr>
          <w:spacing w:val="40"/>
          <w:sz w:val="20"/>
        </w:rPr>
        <w:t> </w:t>
      </w:r>
      <w:r>
        <w:rPr>
          <w:sz w:val="20"/>
        </w:rPr>
        <w:t>e.g.</w:t>
      </w:r>
      <w:r>
        <w:rPr>
          <w:spacing w:val="40"/>
          <w:sz w:val="20"/>
        </w:rPr>
        <w:t> </w:t>
      </w:r>
      <w:r>
        <w:rPr>
          <w:rFonts w:ascii="Arial" w:hAnsi="Arial"/>
          <w:i/>
          <w:sz w:val="20"/>
        </w:rPr>
        <w:t>Tradax</w:t>
      </w:r>
      <w:r>
        <w:rPr>
          <w:rFonts w:ascii="Arial" w:hAnsi="Arial"/>
          <w:i/>
          <w:spacing w:val="40"/>
          <w:sz w:val="20"/>
        </w:rPr>
        <w:t> </w:t>
      </w:r>
      <w:r>
        <w:rPr>
          <w:rFonts w:ascii="Arial" w:hAnsi="Arial"/>
          <w:i/>
          <w:sz w:val="20"/>
        </w:rPr>
        <w:t>Export</w:t>
      </w:r>
      <w:r>
        <w:rPr>
          <w:rFonts w:ascii="Arial" w:hAnsi="Arial"/>
          <w:i/>
          <w:spacing w:val="40"/>
          <w:sz w:val="20"/>
        </w:rPr>
        <w:t> </w:t>
      </w:r>
      <w:r>
        <w:rPr>
          <w:rFonts w:ascii="Arial" w:hAnsi="Arial"/>
          <w:i/>
          <w:sz w:val="20"/>
        </w:rPr>
        <w:t>SA</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Dorada Compania Naviera SA (The Lutetian) [1982] 2 Lloyd’s Rep. 140, 158</w:t>
      </w:r>
      <w:r>
        <w:rPr>
          <w:sz w:val="20"/>
        </w:rPr>
        <w:t>; </w:t>
      </w:r>
      <w:r>
        <w:rPr>
          <w:rFonts w:ascii="Arial" w:hAnsi="Arial"/>
          <w:i/>
          <w:sz w:val="20"/>
        </w:rPr>
        <w:t>The Stolt Loyalty [1993] 2 Lloyd’s Rep. 281, 289–291</w:t>
      </w:r>
      <w:r>
        <w:rPr>
          <w:sz w:val="20"/>
        </w:rPr>
        <w:t>, affirmed (without reference to the point here under discussion) </w:t>
      </w:r>
      <w:r>
        <w:rPr>
          <w:rFonts w:ascii="Arial" w:hAnsi="Arial"/>
          <w:i/>
          <w:sz w:val="20"/>
        </w:rPr>
        <w:t>[1995] 1 Lloyd’s Rep. 559</w:t>
      </w:r>
      <w:r>
        <w:rPr>
          <w:sz w:val="20"/>
        </w:rPr>
        <w:t>; and see </w:t>
      </w:r>
      <w:r>
        <w:rPr>
          <w:rFonts w:ascii="Arial" w:hAnsi="Arial"/>
          <w:i/>
          <w:sz w:val="20"/>
        </w:rPr>
        <w:t>Petrotrade Inc v Stinnes Handel GmbH [1995] 1 Lloyd’s Rep. 142, 151</w:t>
      </w:r>
      <w:r>
        <w:rPr>
          <w:sz w:val="20"/>
        </w:rPr>
        <w:t>, where the statement that there may be a representation by “conduct (including silence)” seems to refer to the exceptional situations described in the text above.</w:t>
      </w:r>
    </w:p>
    <w:p>
      <w:pPr>
        <w:pStyle w:val="BodyText"/>
        <w:spacing w:before="7"/>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1648">
            <wp:simplePos x="0" y="0"/>
            <wp:positionH relativeFrom="page">
              <wp:posOffset>1257846</wp:posOffset>
            </wp:positionH>
            <wp:positionV relativeFrom="paragraph">
              <wp:posOffset>160578</wp:posOffset>
            </wp:positionV>
            <wp:extent cx="107988" cy="107988"/>
            <wp:effectExtent l="0" t="0" r="0" b="0"/>
            <wp:wrapNone/>
            <wp:docPr id="196" name="Image 196"/>
            <wp:cNvGraphicFramePr>
              <a:graphicFrameLocks/>
            </wp:cNvGraphicFramePr>
            <a:graphic>
              <a:graphicData uri="http://schemas.openxmlformats.org/drawingml/2006/picture">
                <pic:pic>
                  <pic:nvPicPr>
                    <pic:cNvPr id="196" name="Image 19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142" w:id="1144"/>
      <w:bookmarkEnd w:id="1144"/>
      <w:r>
        <w:rPr/>
      </w:r>
      <w:hyperlink w:history="true" w:anchor="_bookmark915">
        <w:r>
          <w:rPr>
            <w:color w:val="005DA1"/>
            <w:spacing w:val="-4"/>
            <w:sz w:val="14"/>
            <w:u w:val="single" w:color="005DA1"/>
          </w:rPr>
          <w:t>508</w:t>
        </w:r>
      </w:hyperlink>
      <w:r>
        <w:rPr>
          <w:spacing w:val="-4"/>
          <w:sz w:val="14"/>
        </w:rPr>
        <w:t>.</w:t>
      </w:r>
    </w:p>
    <w:p>
      <w:pPr>
        <w:pStyle w:val="BodyText"/>
        <w:spacing w:line="235" w:lineRule="auto" w:before="212"/>
        <w:ind w:left="165" w:right="167" w:firstLine="170"/>
        <w:jc w:val="both"/>
      </w:pPr>
      <w:r>
        <w:rPr/>
        <w:br w:type="column"/>
      </w:r>
      <w:r>
        <w:rPr/>
        <w:t>In </w:t>
      </w:r>
      <w:r>
        <w:rPr>
          <w:rFonts w:ascii="Arial" w:hAnsi="Arial"/>
          <w:i/>
        </w:rPr>
        <w:t>MIOM 1 Ltd v Sea Echo ENE (No.2) [2011] EWHC 2715 (Admlty), [2012] 1 Lloyd’s Rep. 142 </w:t>
      </w:r>
      <w:r>
        <w:rPr/>
        <w:t>it was held that a defendant’s “silent conduct”, in failing to take the point that a claim</w:t>
      </w:r>
      <w:r>
        <w:rPr>
          <w:spacing w:val="40"/>
        </w:rPr>
        <w:t> </w:t>
      </w:r>
      <w:r>
        <w:rPr/>
        <w:t>against him was time-barred, estopped him from taking that point. The decision may be reconcilable with that in the </w:t>
      </w:r>
      <w:r>
        <w:rPr>
          <w:rFonts w:ascii="Arial" w:hAnsi="Arial"/>
          <w:i/>
        </w:rPr>
        <w:t>Argo Systems </w:t>
      </w:r>
      <w:r>
        <w:rPr/>
        <w:t>case (above, n.500) on the ground that in the </w:t>
      </w:r>
      <w:r>
        <w:rPr>
          <w:rFonts w:ascii="Arial" w:hAnsi="Arial"/>
          <w:i/>
        </w:rPr>
        <w:t>MIOM </w:t>
      </w:r>
      <w:r>
        <w:rPr/>
        <w:t>case the defendant had a “duty to take the point promptly” if it wished to rely on it (see the discussion in the latter case at [34] to [42]); and that this duty would make the case one of the exceptional</w:t>
      </w:r>
      <w:r>
        <w:rPr>
          <w:spacing w:val="-2"/>
        </w:rPr>
        <w:t> </w:t>
      </w:r>
      <w:r>
        <w:rPr/>
        <w:t>ones</w:t>
      </w:r>
      <w:r>
        <w:rPr>
          <w:spacing w:val="-2"/>
        </w:rPr>
        <w:t> </w:t>
      </w:r>
      <w:r>
        <w:rPr/>
        <w:t>referred</w:t>
      </w:r>
      <w:r>
        <w:rPr>
          <w:spacing w:val="-2"/>
        </w:rPr>
        <w:t> </w:t>
      </w:r>
      <w:r>
        <w:rPr/>
        <w:t>to</w:t>
      </w:r>
      <w:r>
        <w:rPr>
          <w:spacing w:val="-2"/>
        </w:rPr>
        <w:t> </w:t>
      </w:r>
      <w:r>
        <w:rPr/>
        <w:t>at</w:t>
      </w:r>
      <w:r>
        <w:rPr>
          <w:spacing w:val="-2"/>
        </w:rPr>
        <w:t> </w:t>
      </w:r>
      <w:r>
        <w:rPr/>
        <w:t>n.502</w:t>
      </w:r>
      <w:r>
        <w:rPr>
          <w:spacing w:val="-2"/>
        </w:rPr>
        <w:t> </w:t>
      </w:r>
      <w:r>
        <w:rPr/>
        <w:t>above.</w:t>
      </w:r>
      <w:r>
        <w:rPr>
          <w:spacing w:val="-2"/>
        </w:rPr>
        <w:t> </w:t>
      </w:r>
      <w:r>
        <w:rPr/>
        <w:t>Contrast</w:t>
      </w:r>
      <w:r>
        <w:rPr>
          <w:spacing w:val="-3"/>
        </w:rPr>
        <w:t> </w:t>
      </w:r>
      <w:r>
        <w:rPr>
          <w:rFonts w:ascii="Arial" w:hAnsi="Arial"/>
          <w:i/>
        </w:rPr>
        <w:t>Costain</w:t>
      </w:r>
      <w:r>
        <w:rPr>
          <w:rFonts w:ascii="Arial" w:hAnsi="Arial"/>
          <w:i/>
          <w:spacing w:val="-2"/>
        </w:rPr>
        <w:t> </w:t>
      </w:r>
      <w:r>
        <w:rPr>
          <w:rFonts w:ascii="Arial" w:hAnsi="Arial"/>
          <w:i/>
        </w:rPr>
        <w:t>Ltd</w:t>
      </w:r>
      <w:r>
        <w:rPr>
          <w:rFonts w:ascii="Arial" w:hAnsi="Arial"/>
          <w:i/>
          <w:spacing w:val="-2"/>
        </w:rPr>
        <w:t> </w:t>
      </w:r>
      <w:r>
        <w:rPr>
          <w:rFonts w:ascii="Arial" w:hAnsi="Arial"/>
          <w:i/>
        </w:rPr>
        <w:t>v</w:t>
      </w:r>
      <w:r>
        <w:rPr>
          <w:rFonts w:ascii="Arial" w:hAnsi="Arial"/>
          <w:i/>
          <w:spacing w:val="-2"/>
        </w:rPr>
        <w:t> </w:t>
      </w:r>
      <w:r>
        <w:rPr>
          <w:rFonts w:ascii="Arial" w:hAnsi="Arial"/>
          <w:i/>
        </w:rPr>
        <w:t>Tarmac</w:t>
      </w:r>
      <w:r>
        <w:rPr>
          <w:rFonts w:ascii="Arial" w:hAnsi="Arial"/>
          <w:i/>
          <w:spacing w:val="-2"/>
        </w:rPr>
        <w:t> </w:t>
      </w:r>
      <w:r>
        <w:rPr>
          <w:rFonts w:ascii="Arial" w:hAnsi="Arial"/>
          <w:i/>
        </w:rPr>
        <w:t>Holdings</w:t>
      </w:r>
      <w:r>
        <w:rPr>
          <w:rFonts w:ascii="Arial" w:hAnsi="Arial"/>
          <w:i/>
          <w:spacing w:val="-2"/>
        </w:rPr>
        <w:t> </w:t>
      </w:r>
      <w:r>
        <w:rPr>
          <w:rFonts w:ascii="Arial" w:hAnsi="Arial"/>
          <w:i/>
        </w:rPr>
        <w:t>Ltd</w:t>
      </w:r>
      <w:r>
        <w:rPr>
          <w:rFonts w:ascii="Arial" w:hAnsi="Arial"/>
          <w:i/>
          <w:spacing w:val="-2"/>
        </w:rPr>
        <w:t> </w:t>
      </w:r>
      <w:r>
        <w:rPr>
          <w:rFonts w:ascii="Arial" w:hAnsi="Arial"/>
          <w:i/>
        </w:rPr>
        <w:t>[2017] EWHC 319 (TCC), [2017] 1 Lloyd’s Rep. 331 </w:t>
      </w:r>
      <w:r>
        <w:rPr/>
        <w:t>where the defendant was under no “duty to speak out” (at [102]) as it had not been guilty of any “sharp practice” (at [113] and see at [112]) in failing to do so. In that case, the estoppels alleged to operate against the defendant were estoppel by representation and estoppel by convention and </w:t>
      </w:r>
      <w:r>
        <w:rPr>
          <w:rFonts w:ascii="Arial" w:hAnsi="Arial"/>
          <w:i/>
        </w:rPr>
        <w:t>both </w:t>
      </w:r>
      <w:r>
        <w:rPr/>
        <w:t>these allegations were</w:t>
      </w:r>
      <w:r>
        <w:rPr>
          <w:spacing w:val="40"/>
        </w:rPr>
        <w:t> </w:t>
      </w:r>
      <w:r>
        <w:rPr/>
        <w:t>rejected by the court (see at [126]). In relation to estoppel by convention, which can arise without any representation (Main Work, Vol.I, para.4-108 and below, para.4-108), Coulson J. said</w:t>
      </w:r>
      <w:r>
        <w:rPr>
          <w:spacing w:val="-1"/>
        </w:rPr>
        <w:t> </w:t>
      </w:r>
      <w:r>
        <w:rPr/>
        <w:t>in</w:t>
      </w:r>
      <w:r>
        <w:rPr>
          <w:spacing w:val="-1"/>
        </w:rPr>
        <w:t> </w:t>
      </w:r>
      <w:r>
        <w:rPr/>
        <w:t>the</w:t>
      </w:r>
      <w:r>
        <w:rPr>
          <w:spacing w:val="-2"/>
        </w:rPr>
        <w:t> </w:t>
      </w:r>
      <w:r>
        <w:rPr>
          <w:rFonts w:ascii="Arial" w:hAnsi="Arial"/>
          <w:i/>
        </w:rPr>
        <w:t>Costain</w:t>
      </w:r>
      <w:r>
        <w:rPr>
          <w:rFonts w:ascii="Arial" w:hAnsi="Arial"/>
          <w:i/>
          <w:spacing w:val="-1"/>
        </w:rPr>
        <w:t> </w:t>
      </w:r>
      <w:r>
        <w:rPr/>
        <w:t>case</w:t>
      </w:r>
      <w:r>
        <w:rPr>
          <w:spacing w:val="-1"/>
        </w:rPr>
        <w:t> </w:t>
      </w:r>
      <w:r>
        <w:rPr/>
        <w:t>(above)</w:t>
      </w:r>
      <w:r>
        <w:rPr>
          <w:spacing w:val="-1"/>
        </w:rPr>
        <w:t> </w:t>
      </w:r>
      <w:r>
        <w:rPr/>
        <w:t>that</w:t>
      </w:r>
      <w:r>
        <w:rPr>
          <w:spacing w:val="-1"/>
        </w:rPr>
        <w:t> </w:t>
      </w:r>
      <w:r>
        <w:rPr/>
        <w:t>the</w:t>
      </w:r>
      <w:r>
        <w:rPr>
          <w:spacing w:val="-1"/>
        </w:rPr>
        <w:t> </w:t>
      </w:r>
      <w:r>
        <w:rPr/>
        <w:t>duty</w:t>
      </w:r>
      <w:r>
        <w:rPr>
          <w:spacing w:val="-1"/>
        </w:rPr>
        <w:t> </w:t>
      </w:r>
      <w:r>
        <w:rPr/>
        <w:t>to</w:t>
      </w:r>
      <w:r>
        <w:rPr>
          <w:spacing w:val="-1"/>
        </w:rPr>
        <w:t> </w:t>
      </w:r>
      <w:r>
        <w:rPr/>
        <w:t>speak</w:t>
      </w:r>
      <w:r>
        <w:rPr>
          <w:spacing w:val="-1"/>
        </w:rPr>
        <w:t> </w:t>
      </w:r>
      <w:r>
        <w:rPr/>
        <w:t>“would</w:t>
      </w:r>
      <w:r>
        <w:rPr>
          <w:spacing w:val="-1"/>
        </w:rPr>
        <w:t> </w:t>
      </w:r>
      <w:r>
        <w:rPr/>
        <w:t>extend</w:t>
      </w:r>
      <w:r>
        <w:rPr>
          <w:spacing w:val="-1"/>
        </w:rPr>
        <w:t> </w:t>
      </w:r>
      <w:r>
        <w:rPr/>
        <w:t>to</w:t>
      </w:r>
      <w:r>
        <w:rPr>
          <w:spacing w:val="-1"/>
        </w:rPr>
        <w:t> </w:t>
      </w:r>
      <w:r>
        <w:rPr/>
        <w:t>a</w:t>
      </w:r>
      <w:r>
        <w:rPr>
          <w:spacing w:val="-1"/>
        </w:rPr>
        <w:t> </w:t>
      </w:r>
      <w:r>
        <w:rPr/>
        <w:t>positive</w:t>
      </w:r>
      <w:r>
        <w:rPr>
          <w:spacing w:val="-1"/>
        </w:rPr>
        <w:t> </w:t>
      </w:r>
      <w:r>
        <w:rPr/>
        <w:t>obligation</w:t>
      </w:r>
      <w:r>
        <w:rPr>
          <w:spacing w:val="-1"/>
        </w:rPr>
        <w:t> </w:t>
      </w:r>
      <w:r>
        <w:rPr/>
        <w:t>on the</w:t>
      </w:r>
      <w:r>
        <w:rPr>
          <w:spacing w:val="-1"/>
        </w:rPr>
        <w:t> </w:t>
      </w:r>
      <w:r>
        <w:rPr/>
        <w:t>part</w:t>
      </w:r>
      <w:r>
        <w:rPr>
          <w:spacing w:val="-1"/>
        </w:rPr>
        <w:t> </w:t>
      </w:r>
      <w:r>
        <w:rPr/>
        <w:t>of</w:t>
      </w:r>
      <w:r>
        <w:rPr>
          <w:spacing w:val="-1"/>
        </w:rPr>
        <w:t> </w:t>
      </w:r>
      <w:r>
        <w:rPr/>
        <w:t>the</w:t>
      </w:r>
      <w:r>
        <w:rPr>
          <w:spacing w:val="-1"/>
        </w:rPr>
        <w:t> </w:t>
      </w:r>
      <w:r>
        <w:rPr/>
        <w:t>defendant</w:t>
      </w:r>
      <w:r>
        <w:rPr>
          <w:spacing w:val="-1"/>
        </w:rPr>
        <w:t> </w:t>
      </w:r>
      <w:r>
        <w:rPr/>
        <w:t>to</w:t>
      </w:r>
      <w:r>
        <w:rPr>
          <w:spacing w:val="-1"/>
        </w:rPr>
        <w:t> </w:t>
      </w:r>
      <w:r>
        <w:rPr/>
        <w:t>correct</w:t>
      </w:r>
      <w:r>
        <w:rPr>
          <w:spacing w:val="-1"/>
        </w:rPr>
        <w:t> </w:t>
      </w:r>
      <w:r>
        <w:rPr/>
        <w:t>a</w:t>
      </w:r>
      <w:r>
        <w:rPr>
          <w:spacing w:val="-1"/>
        </w:rPr>
        <w:t> </w:t>
      </w:r>
      <w:r>
        <w:rPr/>
        <w:t>false</w:t>
      </w:r>
      <w:r>
        <w:rPr>
          <w:spacing w:val="-1"/>
        </w:rPr>
        <w:t> </w:t>
      </w:r>
      <w:r>
        <w:rPr/>
        <w:t>assumption</w:t>
      </w:r>
      <w:r>
        <w:rPr>
          <w:spacing w:val="-1"/>
        </w:rPr>
        <w:t> </w:t>
      </w:r>
      <w:r>
        <w:rPr/>
        <w:t>obviously</w:t>
      </w:r>
      <w:r>
        <w:rPr>
          <w:spacing w:val="-1"/>
        </w:rPr>
        <w:t> </w:t>
      </w:r>
      <w:r>
        <w:rPr/>
        <w:t>being</w:t>
      </w:r>
      <w:r>
        <w:rPr>
          <w:spacing w:val="-1"/>
        </w:rPr>
        <w:t> </w:t>
      </w:r>
      <w:r>
        <w:rPr/>
        <w:t>made</w:t>
      </w:r>
      <w:r>
        <w:rPr>
          <w:spacing w:val="-1"/>
        </w:rPr>
        <w:t> </w:t>
      </w:r>
      <w:r>
        <w:rPr/>
        <w:t>by</w:t>
      </w:r>
      <w:r>
        <w:rPr>
          <w:spacing w:val="-1"/>
        </w:rPr>
        <w:t> </w:t>
      </w:r>
      <w:r>
        <w:rPr/>
        <w:t>the</w:t>
      </w:r>
      <w:r>
        <w:rPr>
          <w:spacing w:val="-1"/>
        </w:rPr>
        <w:t> </w:t>
      </w:r>
      <w:r>
        <w:rPr/>
        <w:t>claimant</w:t>
      </w:r>
      <w:r>
        <w:rPr>
          <w:spacing w:val="-1"/>
        </w:rPr>
        <w:t> </w:t>
      </w:r>
      <w:r>
        <w:rPr/>
        <w:t>… ” (</w:t>
      </w:r>
      <w:r>
        <w:rPr>
          <w:rFonts w:ascii="Arial" w:hAnsi="Arial"/>
          <w:i/>
        </w:rPr>
        <w:t>[2017] EWHC 319 (TCC) </w:t>
      </w:r>
      <w:r>
        <w:rPr/>
        <w:t>at [124]). In such circumstances a “duty to speak” was held to have arisen in </w:t>
      </w:r>
      <w:r>
        <w:rPr>
          <w:rFonts w:ascii="Arial" w:hAnsi="Arial"/>
          <w:i/>
        </w:rPr>
        <w:t>Process Components Ltd v Kason Kek-Gardner Ltd [2016] EWHC 2198 (Ch) </w:t>
      </w:r>
      <w:r>
        <w:rPr/>
        <w:t>at [129], </w:t>
      </w:r>
      <w:r>
        <w:rPr>
          <w:spacing w:val="-2"/>
        </w:rPr>
        <w:t>[132].</w:t>
      </w:r>
    </w:p>
    <w:p>
      <w:pPr>
        <w:pStyle w:val="BodyText"/>
        <w:spacing w:after="0" w:line="235" w:lineRule="auto"/>
        <w:jc w:val="both"/>
        <w:sectPr>
          <w:type w:val="continuous"/>
          <w:pgSz w:w="11900" w:h="16840"/>
          <w:pgMar w:header="971" w:footer="0" w:top="3760" w:bottom="280" w:left="1275" w:right="1275"/>
          <w:cols w:num="2" w:equalWidth="0">
            <w:col w:w="478" w:space="63"/>
            <w:col w:w="8809"/>
          </w:cols>
        </w:sectPr>
      </w:pPr>
    </w:p>
    <w:p>
      <w:pPr>
        <w:pStyle w:val="BodyText"/>
      </w:pPr>
    </w:p>
    <w:p>
      <w:pPr>
        <w:pStyle w:val="BodyText"/>
        <w:tabs>
          <w:tab w:pos="705" w:val="left" w:leader="none"/>
        </w:tabs>
        <w:ind w:left="165"/>
      </w:pPr>
      <w:bookmarkStart w:name="_bookmark1143" w:id="1145"/>
      <w:bookmarkEnd w:id="1145"/>
      <w:r>
        <w:rPr/>
      </w:r>
      <w:hyperlink w:history="true" w:anchor="_bookmark916">
        <w:r>
          <w:rPr>
            <w:color w:val="005DA1"/>
            <w:spacing w:val="-4"/>
            <w:position w:val="5"/>
            <w:sz w:val="14"/>
            <w:u w:val="single" w:color="005DA1"/>
          </w:rPr>
          <w:t>509</w:t>
        </w:r>
      </w:hyperlink>
      <w:r>
        <w:rPr>
          <w:spacing w:val="-4"/>
          <w:position w:val="5"/>
          <w:sz w:val="14"/>
        </w:rPr>
        <w:t>.</w:t>
      </w:r>
      <w:r>
        <w:rPr>
          <w:position w:val="5"/>
          <w:sz w:val="14"/>
        </w:rPr>
        <w:tab/>
      </w:r>
      <w:r>
        <w:rPr/>
        <w:t>cf. below, para.7-</w:t>
      </w:r>
      <w:r>
        <w:rPr>
          <w:spacing w:val="-4"/>
        </w:rPr>
        <w:t>037.</w:t>
      </w:r>
    </w:p>
    <w:p>
      <w:pPr>
        <w:pStyle w:val="BodyText"/>
        <w:spacing w:before="8"/>
      </w:pPr>
    </w:p>
    <w:p>
      <w:pPr>
        <w:spacing w:line="235" w:lineRule="auto" w:before="1"/>
        <w:ind w:left="705" w:right="168" w:hanging="541"/>
        <w:jc w:val="both"/>
        <w:rPr>
          <w:sz w:val="20"/>
        </w:rPr>
      </w:pPr>
      <w:bookmarkStart w:name="_bookmark1144" w:id="1146"/>
      <w:bookmarkEnd w:id="1146"/>
      <w:r>
        <w:rPr/>
      </w:r>
      <w:hyperlink w:history="true" w:anchor="_bookmark917">
        <w:r>
          <w:rPr>
            <w:color w:val="005DA1"/>
            <w:position w:val="5"/>
            <w:sz w:val="14"/>
            <w:u w:val="single" w:color="005DA1"/>
          </w:rPr>
          <w:t>510</w:t>
        </w:r>
      </w:hyperlink>
      <w:r>
        <w:rPr>
          <w:position w:val="5"/>
          <w:sz w:val="14"/>
        </w:rPr>
        <w:t>.</w:t>
      </w:r>
      <w:r>
        <w:rPr>
          <w:spacing w:val="80"/>
          <w:position w:val="5"/>
          <w:sz w:val="14"/>
        </w:rPr>
        <w:t> </w:t>
      </w:r>
      <w:r>
        <w:rPr>
          <w:sz w:val="20"/>
        </w:rPr>
        <w:t>See </w:t>
      </w:r>
      <w:r>
        <w:rPr>
          <w:rFonts w:ascii="Arial" w:hAnsi="Arial"/>
          <w:i/>
          <w:sz w:val="20"/>
        </w:rPr>
        <w:t>Fontana N.V. v Mautner [1979] 254 E.G. 199</w:t>
      </w:r>
      <w:r>
        <w:rPr>
          <w:sz w:val="20"/>
        </w:rPr>
        <w:t>; </w:t>
      </w:r>
      <w:r>
        <w:rPr>
          <w:rFonts w:ascii="Arial" w:hAnsi="Arial"/>
          <w:i/>
          <w:sz w:val="20"/>
        </w:rPr>
        <w:t>Raiffeisen Hauptgenossenschaft v Louis Dreyfus &amp; Co [1981] 1 Lloyd’s Rep. 345, 352</w:t>
      </w:r>
      <w:r>
        <w:rPr>
          <w:sz w:val="20"/>
        </w:rPr>
        <w:t>; </w:t>
      </w:r>
      <w:r>
        <w:rPr>
          <w:rFonts w:ascii="Arial" w:hAnsi="Arial"/>
          <w:i/>
          <w:sz w:val="20"/>
        </w:rPr>
        <w:t>Cook Industries Ltd v Meunerie Liegeois SA [1981] 1 Lloyd’s Rep. 359, 368</w:t>
      </w:r>
      <w:r>
        <w:rPr>
          <w:sz w:val="20"/>
        </w:rPr>
        <w:t>; </w:t>
      </w:r>
      <w:r>
        <w:rPr>
          <w:rFonts w:ascii="Arial" w:hAnsi="Arial"/>
          <w:i/>
          <w:sz w:val="20"/>
        </w:rPr>
        <w:t>Scandinavian Trading Tanker Co A.B. v Flota Petrolera Ecuatoriana (The Scaptrade) [1983] 1 All E.R. 301</w:t>
      </w:r>
      <w:r>
        <w:rPr>
          <w:sz w:val="20"/>
        </w:rPr>
        <w:t>, affirmed without reference to this </w:t>
      </w:r>
      <w:r>
        <w:rPr>
          <w:sz w:val="20"/>
        </w:rPr>
        <w:t>point </w:t>
      </w:r>
      <w:r>
        <w:rPr>
          <w:rFonts w:ascii="Arial" w:hAnsi="Arial"/>
          <w:i/>
          <w:sz w:val="20"/>
        </w:rPr>
        <w:t>[1983]</w:t>
      </w:r>
      <w:r>
        <w:rPr>
          <w:rFonts w:ascii="Arial" w:hAnsi="Arial"/>
          <w:i/>
          <w:spacing w:val="7"/>
          <w:sz w:val="20"/>
        </w:rPr>
        <w:t> </w:t>
      </w:r>
      <w:r>
        <w:rPr>
          <w:rFonts w:ascii="Arial" w:hAnsi="Arial"/>
          <w:i/>
          <w:sz w:val="20"/>
        </w:rPr>
        <w:t>2</w:t>
      </w:r>
      <w:r>
        <w:rPr>
          <w:rFonts w:ascii="Arial" w:hAnsi="Arial"/>
          <w:i/>
          <w:spacing w:val="8"/>
          <w:sz w:val="20"/>
        </w:rPr>
        <w:t> </w:t>
      </w:r>
      <w:r>
        <w:rPr>
          <w:rFonts w:ascii="Arial" w:hAnsi="Arial"/>
          <w:i/>
          <w:sz w:val="20"/>
        </w:rPr>
        <w:t>A.C.</w:t>
      </w:r>
      <w:r>
        <w:rPr>
          <w:rFonts w:ascii="Arial" w:hAnsi="Arial"/>
          <w:i/>
          <w:spacing w:val="8"/>
          <w:sz w:val="20"/>
        </w:rPr>
        <w:t> </w:t>
      </w:r>
      <w:r>
        <w:rPr>
          <w:rFonts w:ascii="Arial" w:hAnsi="Arial"/>
          <w:i/>
          <w:sz w:val="20"/>
        </w:rPr>
        <w:t>694</w:t>
      </w:r>
      <w:r>
        <w:rPr>
          <w:sz w:val="20"/>
        </w:rPr>
        <w:t>;</w:t>
      </w:r>
      <w:r>
        <w:rPr>
          <w:spacing w:val="8"/>
          <w:sz w:val="20"/>
        </w:rPr>
        <w:t> </w:t>
      </w:r>
      <w:r>
        <w:rPr>
          <w:rFonts w:ascii="Arial" w:hAnsi="Arial"/>
          <w:i/>
          <w:sz w:val="20"/>
        </w:rPr>
        <w:t>Bremer</w:t>
      </w:r>
      <w:r>
        <w:rPr>
          <w:rFonts w:ascii="Arial" w:hAnsi="Arial"/>
          <w:i/>
          <w:spacing w:val="8"/>
          <w:sz w:val="20"/>
        </w:rPr>
        <w:t> </w:t>
      </w:r>
      <w:r>
        <w:rPr>
          <w:rFonts w:ascii="Arial" w:hAnsi="Arial"/>
          <w:i/>
          <w:sz w:val="20"/>
        </w:rPr>
        <w:t>Handelsgesellschaft</w:t>
      </w:r>
      <w:r>
        <w:rPr>
          <w:rFonts w:ascii="Arial" w:hAnsi="Arial"/>
          <w:i/>
          <w:spacing w:val="8"/>
          <w:sz w:val="20"/>
        </w:rPr>
        <w:t> </w:t>
      </w:r>
      <w:r>
        <w:rPr>
          <w:rFonts w:ascii="Arial" w:hAnsi="Arial"/>
          <w:i/>
          <w:sz w:val="20"/>
        </w:rPr>
        <w:t>mbH</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Bunge</w:t>
      </w:r>
      <w:r>
        <w:rPr>
          <w:rFonts w:ascii="Arial" w:hAnsi="Arial"/>
          <w:i/>
          <w:spacing w:val="8"/>
          <w:sz w:val="20"/>
        </w:rPr>
        <w:t> </w:t>
      </w:r>
      <w:r>
        <w:rPr>
          <w:rFonts w:ascii="Arial" w:hAnsi="Arial"/>
          <w:i/>
          <w:sz w:val="20"/>
        </w:rPr>
        <w:t>Corp.</w:t>
      </w:r>
      <w:r>
        <w:rPr>
          <w:rFonts w:ascii="Arial" w:hAnsi="Arial"/>
          <w:i/>
          <w:spacing w:val="8"/>
          <w:sz w:val="20"/>
        </w:rPr>
        <w:t> </w:t>
      </w:r>
      <w:r>
        <w:rPr>
          <w:rFonts w:ascii="Arial" w:hAnsi="Arial"/>
          <w:i/>
          <w:sz w:val="20"/>
        </w:rPr>
        <w:t>[1983]</w:t>
      </w:r>
      <w:r>
        <w:rPr>
          <w:rFonts w:ascii="Arial" w:hAnsi="Arial"/>
          <w:i/>
          <w:spacing w:val="8"/>
          <w:sz w:val="20"/>
        </w:rPr>
        <w:t> </w:t>
      </w:r>
      <w:r>
        <w:rPr>
          <w:rFonts w:ascii="Arial" w:hAnsi="Arial"/>
          <w:i/>
          <w:sz w:val="20"/>
        </w:rPr>
        <w:t>1</w:t>
      </w:r>
      <w:r>
        <w:rPr>
          <w:rFonts w:ascii="Arial" w:hAnsi="Arial"/>
          <w:i/>
          <w:spacing w:val="8"/>
          <w:sz w:val="20"/>
        </w:rPr>
        <w:t> </w:t>
      </w:r>
      <w:r>
        <w:rPr>
          <w:rFonts w:ascii="Arial" w:hAnsi="Arial"/>
          <w:i/>
          <w:sz w:val="20"/>
        </w:rPr>
        <w:t>Lloyd’s</w:t>
      </w:r>
      <w:r>
        <w:rPr>
          <w:rFonts w:ascii="Arial" w:hAnsi="Arial"/>
          <w:i/>
          <w:spacing w:val="8"/>
          <w:sz w:val="20"/>
        </w:rPr>
        <w:t> </w:t>
      </w:r>
      <w:r>
        <w:rPr>
          <w:rFonts w:ascii="Arial" w:hAnsi="Arial"/>
          <w:i/>
          <w:sz w:val="20"/>
        </w:rPr>
        <w:t>Rep.</w:t>
      </w:r>
      <w:r>
        <w:rPr>
          <w:rFonts w:ascii="Arial" w:hAnsi="Arial"/>
          <w:i/>
          <w:spacing w:val="8"/>
          <w:sz w:val="20"/>
        </w:rPr>
        <w:t> </w:t>
      </w:r>
      <w:r>
        <w:rPr>
          <w:rFonts w:ascii="Arial" w:hAnsi="Arial"/>
          <w:i/>
          <w:spacing w:val="-4"/>
          <w:sz w:val="20"/>
        </w:rPr>
        <w:t>476</w:t>
      </w:r>
      <w:r>
        <w:rPr>
          <w:spacing w:val="-4"/>
          <w:sz w:val="20"/>
        </w:rPr>
        <w:t>;</w:t>
      </w:r>
    </w:p>
    <w:p>
      <w:pPr>
        <w:spacing w:after="0" w:line="235" w:lineRule="auto"/>
        <w:jc w:val="both"/>
        <w:rPr>
          <w:sz w:val="20"/>
        </w:rPr>
        <w:sectPr>
          <w:type w:val="continuous"/>
          <w:pgSz w:w="11900" w:h="16840"/>
          <w:pgMar w:header="971" w:footer="0" w:top="3760" w:bottom="280" w:left="1275" w:right="1275"/>
        </w:sectPr>
      </w:pPr>
    </w:p>
    <w:p>
      <w:pPr>
        <w:pStyle w:val="BodyText"/>
        <w:spacing w:before="24"/>
      </w:pPr>
    </w:p>
    <w:p>
      <w:pPr>
        <w:spacing w:line="235" w:lineRule="auto" w:before="1"/>
        <w:ind w:left="705" w:right="167" w:firstLine="0"/>
        <w:jc w:val="both"/>
        <w:rPr>
          <w:rFonts w:ascii="Arial" w:hAnsi="Arial"/>
          <w:i/>
          <w:sz w:val="20"/>
        </w:rPr>
      </w:pPr>
      <w:r>
        <w:rPr>
          <w:rFonts w:ascii="Arial" w:hAnsi="Arial"/>
          <w:i/>
          <w:sz w:val="20"/>
        </w:rPr>
        <w:t>Bremer Handelsgesellschaft mbH v Deutsche Conti-Handelsgesellschaft mbH [1983] 1 </w:t>
      </w:r>
      <w:r>
        <w:rPr>
          <w:rFonts w:ascii="Arial" w:hAnsi="Arial"/>
          <w:i/>
          <w:sz w:val="20"/>
        </w:rPr>
        <w:t>Lloyd’s Rep.</w:t>
      </w:r>
      <w:r>
        <w:rPr>
          <w:rFonts w:ascii="Arial" w:hAnsi="Arial"/>
          <w:i/>
          <w:spacing w:val="-1"/>
          <w:sz w:val="20"/>
        </w:rPr>
        <w:t> </w:t>
      </w:r>
      <w:r>
        <w:rPr>
          <w:rFonts w:ascii="Arial" w:hAnsi="Arial"/>
          <w:i/>
          <w:sz w:val="20"/>
        </w:rPr>
        <w:t>689</w:t>
      </w:r>
      <w:r>
        <w:rPr>
          <w:sz w:val="20"/>
        </w:rPr>
        <w:t>; </w:t>
      </w:r>
      <w:r>
        <w:rPr>
          <w:rFonts w:ascii="Arial" w:hAnsi="Arial"/>
          <w:i/>
          <w:sz w:val="20"/>
        </w:rPr>
        <w:t>Lark v Outhwaite [1991] 2 Lloyd’s Rep.</w:t>
      </w:r>
      <w:r>
        <w:rPr>
          <w:rFonts w:ascii="Arial" w:hAnsi="Arial"/>
          <w:i/>
          <w:spacing w:val="-1"/>
          <w:sz w:val="20"/>
        </w:rPr>
        <w:t> </w:t>
      </w:r>
      <w:r>
        <w:rPr>
          <w:rFonts w:ascii="Arial" w:hAnsi="Arial"/>
          <w:i/>
          <w:sz w:val="20"/>
        </w:rPr>
        <w:t>132, 142</w:t>
      </w:r>
      <w:r>
        <w:rPr>
          <w:sz w:val="20"/>
        </w:rPr>
        <w:t>; </w:t>
      </w:r>
      <w:r>
        <w:rPr>
          <w:rFonts w:ascii="Arial" w:hAnsi="Arial"/>
          <w:i/>
          <w:sz w:val="20"/>
        </w:rPr>
        <w:t>The Nerano [1996] 1 Lloyd’s Rep. </w:t>
      </w:r>
      <w:r>
        <w:rPr>
          <w:rFonts w:ascii="Arial" w:hAnsi="Arial"/>
          <w:i/>
          <w:spacing w:val="-10"/>
          <w:sz w:val="20"/>
        </w:rPr>
        <w:t>1</w:t>
      </w:r>
    </w:p>
    <w:p>
      <w:pPr>
        <w:spacing w:line="235" w:lineRule="auto" w:before="0"/>
        <w:ind w:left="705" w:right="167" w:firstLine="0"/>
        <w:jc w:val="both"/>
        <w:rPr>
          <w:sz w:val="20"/>
        </w:rPr>
      </w:pPr>
      <w:r>
        <w:rPr>
          <w:sz w:val="20"/>
        </w:rPr>
        <w:t>; </w:t>
      </w:r>
      <w:r>
        <w:rPr>
          <w:rFonts w:ascii="Arial" w:hAnsi="Arial"/>
          <w:i/>
          <w:sz w:val="20"/>
        </w:rPr>
        <w:t>Rowan Companies Inc v Lambert Eggink Offshore Transport Ltd [1999] 2 Lloyd’s Rep. 443 </w:t>
      </w:r>
      <w:r>
        <w:rPr>
          <w:sz w:val="20"/>
        </w:rPr>
        <w:t>at 449; </w:t>
      </w:r>
      <w:r>
        <w:rPr>
          <w:rFonts w:ascii="Arial" w:hAnsi="Arial"/>
          <w:i/>
          <w:sz w:val="20"/>
        </w:rPr>
        <w:t>Kim v Chasewood Park Residents Ltd [2013] EWCA 239, [2013] H.L.R. 24 </w:t>
      </w:r>
      <w:r>
        <w:rPr>
          <w:sz w:val="20"/>
        </w:rPr>
        <w:t>at [40] (“no material reliance”; for the actual ground for the decision in this case, see above, para.4-</w:t>
      </w:r>
      <w:r>
        <w:rPr>
          <w:sz w:val="20"/>
        </w:rPr>
        <w:t>090 </w:t>
      </w:r>
      <w:r>
        <w:rPr>
          <w:spacing w:val="-2"/>
          <w:sz w:val="20"/>
        </w:rPr>
        <w:t>n.468).</w:t>
      </w:r>
    </w:p>
    <w:p>
      <w:pPr>
        <w:pStyle w:val="BodyText"/>
        <w:spacing w:before="7"/>
      </w:pPr>
    </w:p>
    <w:p>
      <w:pPr>
        <w:spacing w:line="235" w:lineRule="auto" w:before="0"/>
        <w:ind w:left="705" w:right="167" w:hanging="541"/>
        <w:jc w:val="both"/>
        <w:rPr>
          <w:sz w:val="20"/>
        </w:rPr>
      </w:pPr>
      <w:bookmarkStart w:name="_bookmark1145" w:id="1147"/>
      <w:bookmarkEnd w:id="1147"/>
      <w:r>
        <w:rPr/>
      </w:r>
      <w:hyperlink w:history="true" w:anchor="_bookmark917">
        <w:r>
          <w:rPr>
            <w:color w:val="005DA1"/>
            <w:position w:val="5"/>
            <w:sz w:val="14"/>
            <w:u w:val="single" w:color="005DA1"/>
          </w:rPr>
          <w:t>511</w:t>
        </w:r>
      </w:hyperlink>
      <w:r>
        <w:rPr>
          <w:position w:val="5"/>
          <w:sz w:val="14"/>
        </w:rPr>
        <w:t>.</w:t>
      </w:r>
      <w:r>
        <w:rPr>
          <w:spacing w:val="80"/>
          <w:position w:val="5"/>
          <w:sz w:val="14"/>
        </w:rPr>
        <w:t> </w:t>
      </w:r>
      <w:r>
        <w:rPr>
          <w:rFonts w:ascii="Arial" w:hAnsi="Arial"/>
          <w:i/>
          <w:sz w:val="20"/>
        </w:rPr>
        <w:t>Ets. Soules &amp; Cie v International Trade Development Co Ltd [1980] 1 Lloyd’s Rep. 129</w:t>
      </w:r>
      <w:r>
        <w:rPr>
          <w:sz w:val="20"/>
        </w:rPr>
        <w:t>; </w:t>
      </w:r>
      <w:r>
        <w:rPr>
          <w:rFonts w:ascii="Arial" w:hAnsi="Arial"/>
          <w:i/>
          <w:sz w:val="20"/>
        </w:rPr>
        <w:t>Tankrederei Ahrenkeil GmbH v Frahuil SA (The Multibank Holsatia) [1988] 2 Lloyd’s Rep. 486, </w:t>
      </w:r>
      <w:r>
        <w:rPr>
          <w:rFonts w:ascii="Arial" w:hAnsi="Arial"/>
          <w:i/>
          <w:spacing w:val="-4"/>
          <w:sz w:val="20"/>
        </w:rPr>
        <w:t>493</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1146" w:id="1148"/>
      <w:bookmarkEnd w:id="1148"/>
      <w:r>
        <w:rPr/>
      </w:r>
      <w:hyperlink w:history="true" w:anchor="_bookmark918">
        <w:r>
          <w:rPr>
            <w:color w:val="005DA1"/>
            <w:spacing w:val="-4"/>
            <w:position w:val="5"/>
            <w:sz w:val="14"/>
            <w:u w:val="single" w:color="005DA1"/>
          </w:rPr>
          <w:t>512</w:t>
        </w:r>
      </w:hyperlink>
      <w:r>
        <w:rPr>
          <w:spacing w:val="-4"/>
          <w:position w:val="5"/>
          <w:sz w:val="14"/>
        </w:rPr>
        <w:t>.</w:t>
      </w:r>
      <w:r>
        <w:rPr>
          <w:position w:val="5"/>
          <w:sz w:val="14"/>
        </w:rPr>
        <w:tab/>
      </w:r>
      <w:r>
        <w:rPr>
          <w:rFonts w:ascii="Arial"/>
          <w:i/>
          <w:sz w:val="20"/>
        </w:rPr>
        <w:t>Brikom Investments Ltd v Carr [1979] Q.B. 467, </w:t>
      </w:r>
      <w:r>
        <w:rPr>
          <w:rFonts w:ascii="Arial"/>
          <w:i/>
          <w:spacing w:val="-4"/>
          <w:sz w:val="20"/>
        </w:rPr>
        <w:t>482</w:t>
      </w:r>
      <w:r>
        <w:rPr>
          <w:spacing w:val="-4"/>
          <w:sz w:val="20"/>
        </w:rPr>
        <w:t>.</w:t>
      </w:r>
    </w:p>
    <w:p>
      <w:pPr>
        <w:pStyle w:val="BodyText"/>
        <w:spacing w:before="8"/>
      </w:pPr>
    </w:p>
    <w:p>
      <w:pPr>
        <w:pStyle w:val="BodyText"/>
        <w:tabs>
          <w:tab w:pos="705" w:val="left" w:leader="none"/>
        </w:tabs>
        <w:spacing w:line="235" w:lineRule="auto"/>
        <w:ind w:left="705" w:right="168" w:hanging="541"/>
      </w:pPr>
      <w:bookmarkStart w:name="_bookmark1147" w:id="1149"/>
      <w:bookmarkEnd w:id="1149"/>
      <w:r>
        <w:rPr/>
      </w:r>
      <w:hyperlink w:history="true" w:anchor="_bookmark918">
        <w:r>
          <w:rPr>
            <w:color w:val="005DA1"/>
            <w:spacing w:val="-4"/>
            <w:position w:val="5"/>
            <w:sz w:val="14"/>
            <w:u w:val="single" w:color="005DA1"/>
          </w:rPr>
          <w:t>513</w:t>
        </w:r>
      </w:hyperlink>
      <w:r>
        <w:rPr>
          <w:spacing w:val="-4"/>
          <w:position w:val="5"/>
          <w:sz w:val="14"/>
        </w:rPr>
        <w:t>.</w:t>
      </w:r>
      <w:r>
        <w:rPr>
          <w:position w:val="5"/>
          <w:sz w:val="14"/>
        </w:rPr>
        <w:tab/>
      </w:r>
      <w:r>
        <w:rPr/>
        <w:t>ibid.,</w:t>
      </w:r>
      <w:r>
        <w:rPr>
          <w:spacing w:val="40"/>
        </w:rPr>
        <w:t> </w:t>
      </w:r>
      <w:r>
        <w:rPr/>
        <w:t>at</w:t>
      </w:r>
      <w:r>
        <w:rPr>
          <w:spacing w:val="40"/>
        </w:rPr>
        <w:t> </w:t>
      </w:r>
      <w:r>
        <w:rPr/>
        <w:t>490</w:t>
      </w:r>
      <w:r>
        <w:rPr>
          <w:spacing w:val="40"/>
        </w:rPr>
        <w:t> </w:t>
      </w:r>
      <w:r>
        <w:rPr/>
        <w:t>(per</w:t>
      </w:r>
      <w:r>
        <w:rPr>
          <w:spacing w:val="40"/>
        </w:rPr>
        <w:t> </w:t>
      </w:r>
      <w:r>
        <w:rPr/>
        <w:t>Cumming-Bruce</w:t>
      </w:r>
      <w:r>
        <w:rPr>
          <w:spacing w:val="40"/>
        </w:rPr>
        <w:t> </w:t>
      </w:r>
      <w:r>
        <w:rPr/>
        <w:t>L.J.,</w:t>
      </w:r>
      <w:r>
        <w:rPr>
          <w:spacing w:val="40"/>
        </w:rPr>
        <w:t> </w:t>
      </w:r>
      <w:r>
        <w:rPr/>
        <w:t>whose</w:t>
      </w:r>
      <w:r>
        <w:rPr>
          <w:spacing w:val="40"/>
        </w:rPr>
        <w:t> </w:t>
      </w:r>
      <w:r>
        <w:rPr/>
        <w:t>decision</w:t>
      </w:r>
      <w:r>
        <w:rPr>
          <w:spacing w:val="40"/>
        </w:rPr>
        <w:t> </w:t>
      </w:r>
      <w:r>
        <w:rPr/>
        <w:t>was</w:t>
      </w:r>
      <w:r>
        <w:rPr>
          <w:spacing w:val="40"/>
        </w:rPr>
        <w:t> </w:t>
      </w:r>
      <w:r>
        <w:rPr/>
        <w:t>based</w:t>
      </w:r>
      <w:r>
        <w:rPr>
          <w:spacing w:val="40"/>
        </w:rPr>
        <w:t> </w:t>
      </w:r>
      <w:r>
        <w:rPr/>
        <w:t>on</w:t>
      </w:r>
      <w:r>
        <w:rPr>
          <w:spacing w:val="40"/>
        </w:rPr>
        <w:t> </w:t>
      </w:r>
      <w:r>
        <w:rPr/>
        <w:t>the</w:t>
      </w:r>
      <w:r>
        <w:rPr>
          <w:spacing w:val="40"/>
        </w:rPr>
        <w:t> </w:t>
      </w:r>
      <w:r>
        <w:rPr/>
        <w:t>different</w:t>
      </w:r>
      <w:r>
        <w:rPr>
          <w:spacing w:val="40"/>
        </w:rPr>
        <w:t> </w:t>
      </w:r>
      <w:r>
        <w:rPr/>
        <w:t>ground discussed in para.4-081, above).</w:t>
      </w:r>
    </w:p>
    <w:p>
      <w:pPr>
        <w:pStyle w:val="BodyText"/>
        <w:spacing w:before="6"/>
      </w:pPr>
    </w:p>
    <w:p>
      <w:pPr>
        <w:pStyle w:val="BodyText"/>
        <w:tabs>
          <w:tab w:pos="705" w:val="left" w:leader="none"/>
        </w:tabs>
        <w:ind w:left="165"/>
      </w:pPr>
      <w:bookmarkStart w:name="_bookmark1148" w:id="1150"/>
      <w:bookmarkEnd w:id="1150"/>
      <w:r>
        <w:rPr/>
      </w:r>
      <w:hyperlink w:history="true" w:anchor="_bookmark919">
        <w:r>
          <w:rPr>
            <w:color w:val="005DA1"/>
            <w:spacing w:val="-4"/>
            <w:position w:val="5"/>
            <w:sz w:val="14"/>
            <w:u w:val="single" w:color="005DA1"/>
          </w:rPr>
          <w:t>514</w:t>
        </w:r>
      </w:hyperlink>
      <w:r>
        <w:rPr>
          <w:spacing w:val="-4"/>
          <w:position w:val="5"/>
          <w:sz w:val="14"/>
        </w:rPr>
        <w:t>.</w:t>
      </w:r>
      <w:r>
        <w:rPr>
          <w:position w:val="5"/>
          <w:sz w:val="14"/>
        </w:rPr>
        <w:tab/>
      </w:r>
      <w:r>
        <w:rPr/>
        <w:t>cf. the similar rule in cases of “proprietary estoppel” stated in para.4-158, </w:t>
      </w:r>
      <w:r>
        <w:rPr>
          <w:spacing w:val="-2"/>
        </w:rPr>
        <w:t>below.</w:t>
      </w:r>
    </w:p>
    <w:p>
      <w:pPr>
        <w:pStyle w:val="BodyText"/>
        <w:spacing w:before="8"/>
      </w:pPr>
    </w:p>
    <w:p>
      <w:pPr>
        <w:tabs>
          <w:tab w:pos="705" w:val="left" w:leader="none"/>
        </w:tabs>
        <w:spacing w:line="235" w:lineRule="auto" w:before="1"/>
        <w:ind w:left="705" w:right="168" w:hanging="541"/>
        <w:jc w:val="left"/>
        <w:rPr>
          <w:sz w:val="20"/>
        </w:rPr>
      </w:pPr>
      <w:bookmarkStart w:name="_bookmark1149" w:id="1151"/>
      <w:bookmarkEnd w:id="1151"/>
      <w:r>
        <w:rPr/>
      </w:r>
      <w:hyperlink w:history="true" w:anchor="_bookmark920">
        <w:r>
          <w:rPr>
            <w:color w:val="005DA1"/>
            <w:spacing w:val="-4"/>
            <w:position w:val="5"/>
            <w:sz w:val="14"/>
            <w:u w:val="single" w:color="005DA1"/>
          </w:rPr>
          <w:t>515</w:t>
        </w:r>
      </w:hyperlink>
      <w:r>
        <w:rPr>
          <w:spacing w:val="-4"/>
          <w:position w:val="5"/>
          <w:sz w:val="14"/>
        </w:rPr>
        <w:t>.</w:t>
      </w:r>
      <w:r>
        <w:rPr>
          <w:position w:val="5"/>
          <w:sz w:val="14"/>
        </w:rPr>
        <w:tab/>
      </w:r>
      <w:r>
        <w:rPr>
          <w:sz w:val="20"/>
        </w:rPr>
        <w:t>e.g.</w:t>
      </w:r>
      <w:r>
        <w:rPr>
          <w:spacing w:val="22"/>
          <w:sz w:val="20"/>
        </w:rPr>
        <w:t> </w:t>
      </w:r>
      <w:r>
        <w:rPr>
          <w:sz w:val="20"/>
        </w:rPr>
        <w:t>in</w:t>
      </w:r>
      <w:r>
        <w:rPr>
          <w:spacing w:val="22"/>
          <w:sz w:val="20"/>
        </w:rPr>
        <w:t> </w:t>
      </w:r>
      <w:r>
        <w:rPr>
          <w:rFonts w:ascii="Arial"/>
          <w:i/>
          <w:sz w:val="20"/>
        </w:rPr>
        <w:t>Fontana</w:t>
      </w:r>
      <w:r>
        <w:rPr>
          <w:rFonts w:ascii="Arial"/>
          <w:i/>
          <w:spacing w:val="22"/>
          <w:sz w:val="20"/>
        </w:rPr>
        <w:t> </w:t>
      </w:r>
      <w:r>
        <w:rPr>
          <w:rFonts w:ascii="Arial"/>
          <w:i/>
          <w:sz w:val="20"/>
        </w:rPr>
        <w:t>N.V.</w:t>
      </w:r>
      <w:r>
        <w:rPr>
          <w:rFonts w:ascii="Arial"/>
          <w:i/>
          <w:spacing w:val="22"/>
          <w:sz w:val="20"/>
        </w:rPr>
        <w:t> </w:t>
      </w:r>
      <w:r>
        <w:rPr>
          <w:rFonts w:ascii="Arial"/>
          <w:i/>
          <w:sz w:val="20"/>
        </w:rPr>
        <w:t>v</w:t>
      </w:r>
      <w:r>
        <w:rPr>
          <w:rFonts w:ascii="Arial"/>
          <w:i/>
          <w:spacing w:val="22"/>
          <w:sz w:val="20"/>
        </w:rPr>
        <w:t> </w:t>
      </w:r>
      <w:r>
        <w:rPr>
          <w:rFonts w:ascii="Arial"/>
          <w:i/>
          <w:sz w:val="20"/>
        </w:rPr>
        <w:t>Mautner</w:t>
      </w:r>
      <w:r>
        <w:rPr>
          <w:rFonts w:ascii="Arial"/>
          <w:i/>
          <w:spacing w:val="22"/>
          <w:sz w:val="20"/>
        </w:rPr>
        <w:t> </w:t>
      </w:r>
      <w:r>
        <w:rPr>
          <w:rFonts w:ascii="Arial"/>
          <w:i/>
          <w:sz w:val="20"/>
        </w:rPr>
        <w:t>[1979]</w:t>
      </w:r>
      <w:r>
        <w:rPr>
          <w:rFonts w:ascii="Arial"/>
          <w:i/>
          <w:spacing w:val="22"/>
          <w:sz w:val="20"/>
        </w:rPr>
        <w:t> </w:t>
      </w:r>
      <w:r>
        <w:rPr>
          <w:rFonts w:ascii="Arial"/>
          <w:i/>
          <w:sz w:val="20"/>
        </w:rPr>
        <w:t>254</w:t>
      </w:r>
      <w:r>
        <w:rPr>
          <w:rFonts w:ascii="Arial"/>
          <w:i/>
          <w:spacing w:val="22"/>
          <w:sz w:val="20"/>
        </w:rPr>
        <w:t> </w:t>
      </w:r>
      <w:r>
        <w:rPr>
          <w:rFonts w:ascii="Arial"/>
          <w:i/>
          <w:sz w:val="20"/>
        </w:rPr>
        <w:t>E.G.</w:t>
      </w:r>
      <w:r>
        <w:rPr>
          <w:rFonts w:ascii="Arial"/>
          <w:i/>
          <w:spacing w:val="22"/>
          <w:sz w:val="20"/>
        </w:rPr>
        <w:t> </w:t>
      </w:r>
      <w:r>
        <w:rPr>
          <w:rFonts w:ascii="Arial"/>
          <w:i/>
          <w:sz w:val="20"/>
        </w:rPr>
        <w:t>199</w:t>
      </w:r>
      <w:r>
        <w:rPr>
          <w:sz w:val="20"/>
        </w:rPr>
        <w:t>;</w:t>
      </w:r>
      <w:r>
        <w:rPr>
          <w:spacing w:val="22"/>
          <w:sz w:val="20"/>
        </w:rPr>
        <w:t> </w:t>
      </w:r>
      <w:r>
        <w:rPr>
          <w:rFonts w:ascii="Arial"/>
          <w:i/>
          <w:sz w:val="20"/>
        </w:rPr>
        <w:t>Meng</w:t>
      </w:r>
      <w:r>
        <w:rPr>
          <w:rFonts w:ascii="Arial"/>
          <w:i/>
          <w:spacing w:val="22"/>
          <w:sz w:val="20"/>
        </w:rPr>
        <w:t> </w:t>
      </w:r>
      <w:r>
        <w:rPr>
          <w:rFonts w:ascii="Arial"/>
          <w:i/>
          <w:sz w:val="20"/>
        </w:rPr>
        <w:t>Long</w:t>
      </w:r>
      <w:r>
        <w:rPr>
          <w:rFonts w:ascii="Arial"/>
          <w:i/>
          <w:spacing w:val="22"/>
          <w:sz w:val="20"/>
        </w:rPr>
        <w:t> </w:t>
      </w:r>
      <w:r>
        <w:rPr>
          <w:rFonts w:ascii="Arial"/>
          <w:i/>
          <w:sz w:val="20"/>
        </w:rPr>
        <w:t>Development</w:t>
      </w:r>
      <w:r>
        <w:rPr>
          <w:rFonts w:ascii="Arial"/>
          <w:i/>
          <w:spacing w:val="22"/>
          <w:sz w:val="20"/>
        </w:rPr>
        <w:t> </w:t>
      </w:r>
      <w:r>
        <w:rPr>
          <w:rFonts w:ascii="Arial"/>
          <w:i/>
          <w:sz w:val="20"/>
        </w:rPr>
        <w:t>Pte</w:t>
      </w:r>
      <w:r>
        <w:rPr>
          <w:rFonts w:ascii="Arial"/>
          <w:i/>
          <w:spacing w:val="22"/>
          <w:sz w:val="20"/>
        </w:rPr>
        <w:t> </w:t>
      </w:r>
      <w:r>
        <w:rPr>
          <w:rFonts w:ascii="Arial"/>
          <w:i/>
          <w:sz w:val="20"/>
        </w:rPr>
        <w:t>Ltd</w:t>
      </w:r>
      <w:r>
        <w:rPr>
          <w:rFonts w:ascii="Arial"/>
          <w:i/>
          <w:spacing w:val="22"/>
          <w:sz w:val="20"/>
        </w:rPr>
        <w:t> </w:t>
      </w:r>
      <w:r>
        <w:rPr>
          <w:rFonts w:ascii="Arial"/>
          <w:i/>
          <w:sz w:val="20"/>
        </w:rPr>
        <w:t>v</w:t>
      </w:r>
      <w:r>
        <w:rPr>
          <w:rFonts w:ascii="Arial"/>
          <w:i/>
          <w:spacing w:val="22"/>
          <w:sz w:val="20"/>
        </w:rPr>
        <w:t> </w:t>
      </w:r>
      <w:r>
        <w:rPr>
          <w:rFonts w:ascii="Arial"/>
          <w:i/>
          <w:sz w:val="20"/>
        </w:rPr>
        <w:t>Jip Hong Trading Co Pte Ltd [1985] A.C. 511, 524</w:t>
      </w:r>
      <w:r>
        <w:rPr>
          <w:sz w:val="20"/>
        </w:rPr>
        <w:t>; cf. Wilson (1951) 67 L.Q.R. 344.</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1150" w:id="1152"/>
      <w:bookmarkEnd w:id="1152"/>
      <w:r>
        <w:rPr/>
      </w:r>
      <w:hyperlink w:history="true" w:anchor="_bookmark921">
        <w:r>
          <w:rPr>
            <w:color w:val="005DA1"/>
            <w:spacing w:val="-4"/>
            <w:position w:val="5"/>
            <w:sz w:val="14"/>
            <w:u w:val="single" w:color="005DA1"/>
          </w:rPr>
          <w:t>516</w:t>
        </w:r>
      </w:hyperlink>
      <w:r>
        <w:rPr>
          <w:spacing w:val="-4"/>
          <w:position w:val="5"/>
          <w:sz w:val="14"/>
        </w:rPr>
        <w:t>.</w:t>
      </w:r>
      <w:r>
        <w:rPr>
          <w:position w:val="5"/>
          <w:sz w:val="14"/>
        </w:rPr>
        <w:tab/>
      </w:r>
      <w:r>
        <w:rPr>
          <w:sz w:val="20"/>
        </w:rPr>
        <w:t>For</w:t>
      </w:r>
      <w:r>
        <w:rPr>
          <w:spacing w:val="-2"/>
          <w:sz w:val="20"/>
        </w:rPr>
        <w:t> </w:t>
      </w:r>
      <w:r>
        <w:rPr>
          <w:sz w:val="20"/>
        </w:rPr>
        <w:t>the</w:t>
      </w:r>
      <w:r>
        <w:rPr>
          <w:spacing w:val="-2"/>
          <w:sz w:val="20"/>
        </w:rPr>
        <w:t> </w:t>
      </w:r>
      <w:r>
        <w:rPr>
          <w:sz w:val="20"/>
        </w:rPr>
        <w:t>requirement</w:t>
      </w:r>
      <w:r>
        <w:rPr>
          <w:spacing w:val="-2"/>
          <w:sz w:val="20"/>
        </w:rPr>
        <w:t> </w:t>
      </w:r>
      <w:r>
        <w:rPr>
          <w:sz w:val="20"/>
        </w:rPr>
        <w:t>of</w:t>
      </w:r>
      <w:r>
        <w:rPr>
          <w:spacing w:val="-2"/>
          <w:sz w:val="20"/>
        </w:rPr>
        <w:t> </w:t>
      </w:r>
      <w:r>
        <w:rPr>
          <w:sz w:val="20"/>
        </w:rPr>
        <w:t>detriment</w:t>
      </w:r>
      <w:r>
        <w:rPr>
          <w:spacing w:val="-2"/>
          <w:sz w:val="20"/>
        </w:rPr>
        <w:t> </w:t>
      </w:r>
      <w:r>
        <w:rPr>
          <w:sz w:val="20"/>
        </w:rPr>
        <w:t>in</w:t>
      </w:r>
      <w:r>
        <w:rPr>
          <w:spacing w:val="-2"/>
          <w:sz w:val="20"/>
        </w:rPr>
        <w:t> </w:t>
      </w:r>
      <w:r>
        <w:rPr>
          <w:sz w:val="20"/>
        </w:rPr>
        <w:t>cases</w:t>
      </w:r>
      <w:r>
        <w:rPr>
          <w:spacing w:val="-2"/>
          <w:sz w:val="20"/>
        </w:rPr>
        <w:t> </w:t>
      </w:r>
      <w:r>
        <w:rPr>
          <w:sz w:val="20"/>
        </w:rPr>
        <w:t>of</w:t>
      </w:r>
      <w:r>
        <w:rPr>
          <w:spacing w:val="-2"/>
          <w:sz w:val="20"/>
        </w:rPr>
        <w:t> </w:t>
      </w:r>
      <w:r>
        <w:rPr>
          <w:sz w:val="20"/>
        </w:rPr>
        <w:t>such</w:t>
      </w:r>
      <w:r>
        <w:rPr>
          <w:spacing w:val="-2"/>
          <w:sz w:val="20"/>
        </w:rPr>
        <w:t> </w:t>
      </w:r>
      <w:r>
        <w:rPr>
          <w:sz w:val="20"/>
        </w:rPr>
        <w:t>estoppel,</w:t>
      </w:r>
      <w:r>
        <w:rPr>
          <w:spacing w:val="-2"/>
          <w:sz w:val="20"/>
        </w:rPr>
        <w:t> </w:t>
      </w:r>
      <w:r>
        <w:rPr>
          <w:sz w:val="20"/>
        </w:rPr>
        <w:t>see</w:t>
      </w:r>
      <w:r>
        <w:rPr>
          <w:spacing w:val="-3"/>
          <w:sz w:val="20"/>
        </w:rPr>
        <w:t> </w:t>
      </w:r>
      <w:r>
        <w:rPr>
          <w:rFonts w:ascii="Arial"/>
          <w:i/>
          <w:sz w:val="20"/>
        </w:rPr>
        <w:t>Carr</w:t>
      </w:r>
      <w:r>
        <w:rPr>
          <w:rFonts w:ascii="Arial"/>
          <w:i/>
          <w:spacing w:val="-2"/>
          <w:sz w:val="20"/>
        </w:rPr>
        <w:t> </w:t>
      </w:r>
      <w:r>
        <w:rPr>
          <w:rFonts w:ascii="Arial"/>
          <w:i/>
          <w:sz w:val="20"/>
        </w:rPr>
        <w:t>v</w:t>
      </w:r>
      <w:r>
        <w:rPr>
          <w:rFonts w:ascii="Arial"/>
          <w:i/>
          <w:spacing w:val="-2"/>
          <w:sz w:val="20"/>
        </w:rPr>
        <w:t> </w:t>
      </w:r>
      <w:r>
        <w:rPr>
          <w:rFonts w:ascii="Arial"/>
          <w:i/>
          <w:sz w:val="20"/>
        </w:rPr>
        <w:t>L.</w:t>
      </w:r>
      <w:r>
        <w:rPr>
          <w:rFonts w:ascii="Arial"/>
          <w:i/>
          <w:spacing w:val="-2"/>
          <w:sz w:val="20"/>
        </w:rPr>
        <w:t> </w:t>
      </w:r>
      <w:r>
        <w:rPr>
          <w:rFonts w:ascii="Arial"/>
          <w:i/>
          <w:sz w:val="20"/>
        </w:rPr>
        <w:t>&amp;</w:t>
      </w:r>
      <w:r>
        <w:rPr>
          <w:rFonts w:ascii="Arial"/>
          <w:i/>
          <w:spacing w:val="-2"/>
          <w:sz w:val="20"/>
        </w:rPr>
        <w:t> </w:t>
      </w:r>
      <w:r>
        <w:rPr>
          <w:rFonts w:ascii="Arial"/>
          <w:i/>
          <w:sz w:val="20"/>
        </w:rPr>
        <w:t>N.W.</w:t>
      </w:r>
      <w:r>
        <w:rPr>
          <w:rFonts w:ascii="Arial"/>
          <w:i/>
          <w:spacing w:val="-2"/>
          <w:sz w:val="20"/>
        </w:rPr>
        <w:t> </w:t>
      </w:r>
      <w:r>
        <w:rPr>
          <w:rFonts w:ascii="Arial"/>
          <w:i/>
          <w:sz w:val="20"/>
        </w:rPr>
        <w:t>Ry</w:t>
      </w:r>
      <w:r>
        <w:rPr>
          <w:rFonts w:ascii="Arial"/>
          <w:i/>
          <w:spacing w:val="-2"/>
          <w:sz w:val="20"/>
        </w:rPr>
        <w:t> </w:t>
      </w:r>
      <w:r>
        <w:rPr>
          <w:rFonts w:ascii="Arial"/>
          <w:i/>
          <w:sz w:val="20"/>
        </w:rPr>
        <w:t>(1875)</w:t>
      </w:r>
      <w:r>
        <w:rPr>
          <w:rFonts w:ascii="Arial"/>
          <w:i/>
          <w:spacing w:val="-2"/>
          <w:sz w:val="20"/>
        </w:rPr>
        <w:t> </w:t>
      </w:r>
      <w:r>
        <w:rPr>
          <w:rFonts w:ascii="Arial"/>
          <w:i/>
          <w:sz w:val="20"/>
        </w:rPr>
        <w:t>L.R. 10</w:t>
      </w:r>
      <w:r>
        <w:rPr>
          <w:rFonts w:ascii="Arial"/>
          <w:i/>
          <w:spacing w:val="34"/>
          <w:sz w:val="20"/>
        </w:rPr>
        <w:t> </w:t>
      </w:r>
      <w:r>
        <w:rPr>
          <w:rFonts w:ascii="Arial"/>
          <w:i/>
          <w:sz w:val="20"/>
        </w:rPr>
        <w:t>C.P.</w:t>
      </w:r>
      <w:r>
        <w:rPr>
          <w:rFonts w:ascii="Arial"/>
          <w:i/>
          <w:spacing w:val="35"/>
          <w:sz w:val="20"/>
        </w:rPr>
        <w:t> </w:t>
      </w:r>
      <w:r>
        <w:rPr>
          <w:rFonts w:ascii="Arial"/>
          <w:i/>
          <w:sz w:val="20"/>
        </w:rPr>
        <w:t>310,</w:t>
      </w:r>
      <w:r>
        <w:rPr>
          <w:rFonts w:ascii="Arial"/>
          <w:i/>
          <w:spacing w:val="35"/>
          <w:sz w:val="20"/>
        </w:rPr>
        <w:t> </w:t>
      </w:r>
      <w:r>
        <w:rPr>
          <w:rFonts w:ascii="Arial"/>
          <w:i/>
          <w:sz w:val="20"/>
        </w:rPr>
        <w:t>317</w:t>
      </w:r>
      <w:r>
        <w:rPr>
          <w:sz w:val="20"/>
        </w:rPr>
        <w:t>.</w:t>
      </w:r>
      <w:r>
        <w:rPr>
          <w:spacing w:val="35"/>
          <w:sz w:val="20"/>
        </w:rPr>
        <w:t> </w:t>
      </w:r>
      <w:r>
        <w:rPr>
          <w:sz w:val="20"/>
        </w:rPr>
        <w:t>In</w:t>
      </w:r>
      <w:r>
        <w:rPr>
          <w:spacing w:val="35"/>
          <w:sz w:val="20"/>
        </w:rPr>
        <w:t> </w:t>
      </w:r>
      <w:r>
        <w:rPr>
          <w:rFonts w:ascii="Arial"/>
          <w:i/>
          <w:sz w:val="20"/>
        </w:rPr>
        <w:t>Aker</w:t>
      </w:r>
      <w:r>
        <w:rPr>
          <w:rFonts w:ascii="Arial"/>
          <w:i/>
          <w:spacing w:val="35"/>
          <w:sz w:val="20"/>
        </w:rPr>
        <w:t> </w:t>
      </w:r>
      <w:r>
        <w:rPr>
          <w:rFonts w:ascii="Arial"/>
          <w:i/>
          <w:sz w:val="20"/>
        </w:rPr>
        <w:t>Oil</w:t>
      </w:r>
      <w:r>
        <w:rPr>
          <w:rFonts w:ascii="Arial"/>
          <w:i/>
          <w:spacing w:val="35"/>
          <w:sz w:val="20"/>
        </w:rPr>
        <w:t> </w:t>
      </w:r>
      <w:r>
        <w:rPr>
          <w:rFonts w:ascii="Arial"/>
          <w:i/>
          <w:sz w:val="20"/>
        </w:rPr>
        <w:t>&amp;</w:t>
      </w:r>
      <w:r>
        <w:rPr>
          <w:rFonts w:ascii="Arial"/>
          <w:i/>
          <w:spacing w:val="35"/>
          <w:sz w:val="20"/>
        </w:rPr>
        <w:t> </w:t>
      </w:r>
      <w:r>
        <w:rPr>
          <w:rFonts w:ascii="Arial"/>
          <w:i/>
          <w:sz w:val="20"/>
        </w:rPr>
        <w:t>Gas</w:t>
      </w:r>
      <w:r>
        <w:rPr>
          <w:rFonts w:ascii="Arial"/>
          <w:i/>
          <w:spacing w:val="35"/>
          <w:sz w:val="20"/>
        </w:rPr>
        <w:t> </w:t>
      </w:r>
      <w:r>
        <w:rPr>
          <w:rFonts w:ascii="Arial"/>
          <w:i/>
          <w:sz w:val="20"/>
        </w:rPr>
        <w:t>Technology</w:t>
      </w:r>
      <w:r>
        <w:rPr>
          <w:rFonts w:ascii="Arial"/>
          <w:i/>
          <w:spacing w:val="35"/>
          <w:sz w:val="20"/>
        </w:rPr>
        <w:t> </w:t>
      </w:r>
      <w:r>
        <w:rPr>
          <w:rFonts w:ascii="Arial"/>
          <w:i/>
          <w:sz w:val="20"/>
        </w:rPr>
        <w:t>UK</w:t>
      </w:r>
      <w:r>
        <w:rPr>
          <w:rFonts w:ascii="Arial"/>
          <w:i/>
          <w:spacing w:val="35"/>
          <w:sz w:val="20"/>
        </w:rPr>
        <w:t> </w:t>
      </w:r>
      <w:r>
        <w:rPr>
          <w:rFonts w:ascii="Arial"/>
          <w:i/>
          <w:sz w:val="20"/>
        </w:rPr>
        <w:t>plc</w:t>
      </w:r>
      <w:r>
        <w:rPr>
          <w:rFonts w:ascii="Arial"/>
          <w:i/>
          <w:spacing w:val="35"/>
          <w:sz w:val="20"/>
        </w:rPr>
        <w:t> </w:t>
      </w:r>
      <w:r>
        <w:rPr>
          <w:rFonts w:ascii="Arial"/>
          <w:i/>
          <w:sz w:val="20"/>
        </w:rPr>
        <w:t>v</w:t>
      </w:r>
      <w:r>
        <w:rPr>
          <w:rFonts w:ascii="Arial"/>
          <w:i/>
          <w:spacing w:val="35"/>
          <w:sz w:val="20"/>
        </w:rPr>
        <w:t> </w:t>
      </w:r>
      <w:r>
        <w:rPr>
          <w:rFonts w:ascii="Arial"/>
          <w:i/>
          <w:sz w:val="20"/>
        </w:rPr>
        <w:t>Sovereign</w:t>
      </w:r>
      <w:r>
        <w:rPr>
          <w:rFonts w:ascii="Arial"/>
          <w:i/>
          <w:spacing w:val="35"/>
          <w:sz w:val="20"/>
        </w:rPr>
        <w:t> </w:t>
      </w:r>
      <w:r>
        <w:rPr>
          <w:rFonts w:ascii="Arial"/>
          <w:i/>
          <w:sz w:val="20"/>
        </w:rPr>
        <w:t>Corporate</w:t>
      </w:r>
      <w:r>
        <w:rPr>
          <w:rFonts w:ascii="Arial"/>
          <w:i/>
          <w:spacing w:val="35"/>
          <w:sz w:val="20"/>
        </w:rPr>
        <w:t> </w:t>
      </w:r>
      <w:r>
        <w:rPr>
          <w:rFonts w:ascii="Arial"/>
          <w:i/>
          <w:sz w:val="20"/>
        </w:rPr>
        <w:t>Ltd</w:t>
      </w:r>
      <w:r>
        <w:rPr>
          <w:rFonts w:ascii="Arial"/>
          <w:i/>
          <w:spacing w:val="35"/>
          <w:sz w:val="20"/>
        </w:rPr>
        <w:t> </w:t>
      </w:r>
      <w:r>
        <w:rPr>
          <w:rFonts w:ascii="Arial"/>
          <w:i/>
          <w:spacing w:val="-2"/>
          <w:sz w:val="20"/>
        </w:rPr>
        <w:t>[2002]</w:t>
      </w:r>
    </w:p>
    <w:p>
      <w:pPr>
        <w:pStyle w:val="BodyText"/>
        <w:spacing w:line="235" w:lineRule="auto"/>
        <w:ind w:left="705" w:right="168"/>
      </w:pPr>
      <w:r>
        <w:rPr>
          <w:rFonts w:ascii="Arial"/>
          <w:i/>
        </w:rPr>
        <w:t>C.L.C. 557 </w:t>
      </w:r>
      <w:r>
        <w:rPr/>
        <w:t>benefit to the representor (as opposed to the more usually stated factor of detriment of the promisee) is said to suffice for the purpose of giving rise to this type of estoppel.</w:t>
      </w:r>
    </w:p>
    <w:p>
      <w:pPr>
        <w:pStyle w:val="BodyText"/>
        <w:spacing w:before="4"/>
      </w:pPr>
    </w:p>
    <w:p>
      <w:pPr>
        <w:tabs>
          <w:tab w:pos="705" w:val="left" w:leader="none"/>
        </w:tabs>
        <w:spacing w:before="1"/>
        <w:ind w:left="165" w:right="0" w:firstLine="0"/>
        <w:jc w:val="left"/>
        <w:rPr>
          <w:sz w:val="20"/>
        </w:rPr>
      </w:pPr>
      <w:bookmarkStart w:name="_bookmark1151" w:id="1153"/>
      <w:bookmarkEnd w:id="1153"/>
      <w:r>
        <w:rPr/>
      </w:r>
      <w:hyperlink w:history="true" w:anchor="_bookmark922">
        <w:r>
          <w:rPr>
            <w:color w:val="005DA1"/>
            <w:spacing w:val="-4"/>
            <w:position w:val="5"/>
            <w:sz w:val="14"/>
            <w:u w:val="single" w:color="005DA1"/>
          </w:rPr>
          <w:t>517</w:t>
        </w:r>
      </w:hyperlink>
      <w:r>
        <w:rPr>
          <w:spacing w:val="-4"/>
          <w:position w:val="5"/>
          <w:sz w:val="14"/>
        </w:rPr>
        <w:t>.</w:t>
      </w:r>
      <w:r>
        <w:rPr>
          <w:position w:val="5"/>
          <w:sz w:val="14"/>
        </w:rPr>
        <w:tab/>
      </w:r>
      <w:r>
        <w:rPr>
          <w:sz w:val="20"/>
        </w:rPr>
        <w:t>Below, para.4-</w:t>
      </w:r>
      <w:r>
        <w:rPr>
          <w:spacing w:val="-4"/>
          <w:sz w:val="20"/>
        </w:rPr>
        <w:t>104.</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2160">
            <wp:simplePos x="0" y="0"/>
            <wp:positionH relativeFrom="page">
              <wp:posOffset>1257846</wp:posOffset>
            </wp:positionH>
            <wp:positionV relativeFrom="paragraph">
              <wp:posOffset>160633</wp:posOffset>
            </wp:positionV>
            <wp:extent cx="107988" cy="107988"/>
            <wp:effectExtent l="0" t="0" r="0" b="0"/>
            <wp:wrapNone/>
            <wp:docPr id="197" name="Image 197"/>
            <wp:cNvGraphicFramePr>
              <a:graphicFrameLocks/>
            </wp:cNvGraphicFramePr>
            <a:graphic>
              <a:graphicData uri="http://schemas.openxmlformats.org/drawingml/2006/picture">
                <pic:pic>
                  <pic:nvPicPr>
                    <pic:cNvPr id="197" name="Image 19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152" w:id="1154"/>
      <w:bookmarkEnd w:id="1154"/>
      <w:r>
        <w:rPr/>
      </w:r>
      <w:hyperlink w:history="true" w:anchor="_bookmark923">
        <w:r>
          <w:rPr>
            <w:color w:val="005DA1"/>
            <w:spacing w:val="-4"/>
            <w:sz w:val="14"/>
            <w:u w:val="single" w:color="005DA1"/>
          </w:rPr>
          <w:t>518</w:t>
        </w:r>
      </w:hyperlink>
      <w:r>
        <w:rPr>
          <w:spacing w:val="-4"/>
          <w:sz w:val="14"/>
        </w:rPr>
        <w:t>.</w:t>
      </w:r>
    </w:p>
    <w:p>
      <w:pPr>
        <w:spacing w:line="235" w:lineRule="auto" w:before="212"/>
        <w:ind w:left="165" w:right="168" w:firstLine="170"/>
        <w:jc w:val="both"/>
        <w:rPr>
          <w:sz w:val="20"/>
        </w:rPr>
      </w:pPr>
      <w:r>
        <w:rPr/>
        <w:br w:type="column"/>
      </w:r>
      <w:r>
        <w:rPr>
          <w:rFonts w:ascii="Arial"/>
          <w:i/>
          <w:sz w:val="20"/>
        </w:rPr>
        <w:t>W.J. Alan &amp; Co Ltd v El Nasr Export &amp; Import Co [1972] 2 Q.B. 189 </w:t>
      </w:r>
      <w:r>
        <w:rPr>
          <w:sz w:val="20"/>
        </w:rPr>
        <w:t>at 213; </w:t>
      </w:r>
      <w:r>
        <w:rPr>
          <w:rFonts w:ascii="Arial"/>
          <w:i/>
          <w:sz w:val="20"/>
        </w:rPr>
        <w:t>MWB </w:t>
      </w:r>
      <w:r>
        <w:rPr>
          <w:rFonts w:ascii="Arial"/>
          <w:i/>
          <w:sz w:val="20"/>
        </w:rPr>
        <w:t>Business Exchange Centres Ltd v Rock Advertising Ltd [2016] EWCA Civ 553, [2017] Q.B. 604 </w:t>
      </w:r>
      <w:r>
        <w:rPr>
          <w:sz w:val="20"/>
        </w:rPr>
        <w:t>at [54];</w:t>
      </w:r>
      <w:r>
        <w:rPr>
          <w:spacing w:val="40"/>
          <w:sz w:val="20"/>
        </w:rPr>
        <w:t> </w:t>
      </w:r>
      <w:r>
        <w:rPr>
          <w:sz w:val="20"/>
        </w:rPr>
        <w:t>for this case (so far as it relates to estoppel) see also above, para.4-091 n.475.</w:t>
      </w:r>
    </w:p>
    <w:p>
      <w:pPr>
        <w:spacing w:after="0" w:line="235" w:lineRule="auto"/>
        <w:jc w:val="both"/>
        <w:rPr>
          <w:sz w:val="20"/>
        </w:rPr>
        <w:sectPr>
          <w:type w:val="continuous"/>
          <w:pgSz w:w="11900" w:h="16840"/>
          <w:pgMar w:header="971" w:footer="0" w:top="3760" w:bottom="280" w:left="1275" w:right="1275"/>
          <w:cols w:num="2" w:equalWidth="0">
            <w:col w:w="478" w:space="63"/>
            <w:col w:w="8809"/>
          </w:cols>
        </w:sectPr>
      </w:pPr>
    </w:p>
    <w:p>
      <w:pPr>
        <w:pStyle w:val="BodyText"/>
        <w:spacing w:before="9"/>
      </w:pPr>
    </w:p>
    <w:p>
      <w:pPr>
        <w:spacing w:line="235" w:lineRule="auto" w:before="0"/>
        <w:ind w:left="705" w:right="167" w:hanging="541"/>
        <w:jc w:val="both"/>
        <w:rPr>
          <w:sz w:val="20"/>
        </w:rPr>
      </w:pPr>
      <w:bookmarkStart w:name="_bookmark1153" w:id="1155"/>
      <w:bookmarkEnd w:id="1155"/>
      <w:r>
        <w:rPr/>
      </w:r>
      <w:hyperlink w:history="true" w:anchor="_bookmark924">
        <w:r>
          <w:rPr>
            <w:color w:val="005DA1"/>
            <w:position w:val="5"/>
            <w:sz w:val="14"/>
            <w:u w:val="single" w:color="005DA1"/>
          </w:rPr>
          <w:t>519</w:t>
        </w:r>
      </w:hyperlink>
      <w:r>
        <w:rPr>
          <w:position w:val="5"/>
          <w:sz w:val="14"/>
        </w:rPr>
        <w:t>.</w:t>
      </w:r>
      <w:r>
        <w:rPr>
          <w:spacing w:val="80"/>
          <w:position w:val="5"/>
          <w:sz w:val="14"/>
        </w:rPr>
        <w:t> </w:t>
      </w:r>
      <w:r>
        <w:rPr>
          <w:rFonts w:ascii="Arial" w:hAnsi="Arial"/>
          <w:i/>
          <w:sz w:val="20"/>
        </w:rPr>
        <w:t>James v Heim Galleries (1980) 256 E.G. 819, 825</w:t>
      </w:r>
      <w:r>
        <w:rPr>
          <w:sz w:val="20"/>
        </w:rPr>
        <w:t>; </w:t>
      </w:r>
      <w:r>
        <w:rPr>
          <w:rFonts w:ascii="Arial" w:hAnsi="Arial"/>
          <w:i/>
          <w:sz w:val="20"/>
        </w:rPr>
        <w:t>Société Italo-Belge pour le Commerce </w:t>
      </w:r>
      <w:r>
        <w:rPr>
          <w:rFonts w:ascii="Arial" w:hAnsi="Arial"/>
          <w:i/>
          <w:sz w:val="20"/>
        </w:rPr>
        <w:t>et l’Industrie v Palm &amp; Vegetable Oils (Malaysia) Sdn. Bhd. (The Post Chaser) [1981] 2 Lloyd’s Rep. 695, 701</w:t>
      </w:r>
      <w:r>
        <w:rPr>
          <w:sz w:val="20"/>
        </w:rPr>
        <w:t>. </w:t>
      </w:r>
      <w:r>
        <w:rPr>
          <w:rFonts w:ascii="Arial" w:hAnsi="Arial"/>
          <w:i/>
          <w:sz w:val="20"/>
        </w:rPr>
        <w:t>Youell v Bland Welch &amp; Co Ltd (The Superhulls Cover Case) (No.2) [1990] 2 Lloyd’s Rep. 431, 454</w:t>
      </w:r>
      <w:r>
        <w:rPr>
          <w:sz w:val="20"/>
        </w:rPr>
        <w:t>; </w:t>
      </w:r>
      <w:r>
        <w:rPr>
          <w:rFonts w:ascii="Arial" w:hAnsi="Arial"/>
          <w:i/>
          <w:sz w:val="20"/>
        </w:rPr>
        <w:t>Fortisbank SA v Trenwick International Ltd [2005] EWHC 339; [2005] 2 Lloyd’s Rep. I.R. 464 </w:t>
      </w:r>
      <w:r>
        <w:rPr>
          <w:sz w:val="20"/>
        </w:rPr>
        <w:t>at [13]; </w:t>
      </w:r>
      <w:r>
        <w:rPr>
          <w:rFonts w:ascii="Arial" w:hAnsi="Arial"/>
          <w:i/>
          <w:sz w:val="20"/>
        </w:rPr>
        <w:t>Virulite LLC v Virulite Distribution Ltd [2014] EWHC 366 (QB), [2015] 1 All E.R. (Comm) 204 </w:t>
      </w:r>
      <w:r>
        <w:rPr>
          <w:sz w:val="20"/>
        </w:rPr>
        <w:t>at [121], where the actual decision was that the contract had</w:t>
      </w:r>
      <w:r>
        <w:rPr>
          <w:spacing w:val="40"/>
          <w:sz w:val="20"/>
        </w:rPr>
        <w:t> </w:t>
      </w:r>
      <w:r>
        <w:rPr>
          <w:sz w:val="20"/>
        </w:rPr>
        <w:t>been varied by a contractually binding agreement (at [112]–[116]; above para.4-083 n.450) and “Waiver/Promissory estoppel” (before [117]) was discussed only on the assumption that there had been no such variation.</w:t>
      </w:r>
    </w:p>
    <w:p>
      <w:pPr>
        <w:pStyle w:val="BodyText"/>
        <w:spacing w:before="7"/>
      </w:pPr>
    </w:p>
    <w:p>
      <w:pPr>
        <w:spacing w:line="235" w:lineRule="auto" w:before="0"/>
        <w:ind w:left="705" w:right="167" w:hanging="541"/>
        <w:jc w:val="both"/>
        <w:rPr>
          <w:sz w:val="20"/>
        </w:rPr>
      </w:pPr>
      <w:bookmarkStart w:name="_bookmark1154" w:id="1156"/>
      <w:bookmarkEnd w:id="1156"/>
      <w:r>
        <w:rPr/>
      </w:r>
      <w:hyperlink w:history="true" w:anchor="_bookmark925">
        <w:r>
          <w:rPr>
            <w:color w:val="005DA1"/>
            <w:position w:val="5"/>
            <w:sz w:val="14"/>
            <w:u w:val="single" w:color="005DA1"/>
          </w:rPr>
          <w:t>520</w:t>
        </w:r>
      </w:hyperlink>
      <w:r>
        <w:rPr>
          <w:position w:val="5"/>
          <w:sz w:val="14"/>
        </w:rPr>
        <w:t>.</w:t>
      </w:r>
      <w:r>
        <w:rPr>
          <w:spacing w:val="40"/>
          <w:position w:val="5"/>
          <w:sz w:val="14"/>
        </w:rPr>
        <w:t>  </w:t>
      </w:r>
      <w:r>
        <w:rPr>
          <w:rFonts w:ascii="Arial" w:hAnsi="Arial"/>
          <w:i/>
          <w:sz w:val="20"/>
        </w:rPr>
        <w:t>(1877) 2 App. Cas. 439</w:t>
      </w:r>
      <w:r>
        <w:rPr>
          <w:sz w:val="20"/>
        </w:rPr>
        <w:t>, above, para.4-086; cf. </w:t>
      </w:r>
      <w:r>
        <w:rPr>
          <w:rFonts w:ascii="Arial" w:hAnsi="Arial"/>
          <w:i/>
          <w:sz w:val="20"/>
        </w:rPr>
        <w:t>Bottiglieri di Navigazione SpA v Quindao </w:t>
      </w:r>
      <w:r>
        <w:rPr>
          <w:rFonts w:ascii="Arial" w:hAnsi="Arial"/>
          <w:i/>
          <w:sz w:val="20"/>
        </w:rPr>
        <w:t>Ocean Shipping Co (The Bunge Saga Lima) [2005] EWHC 244, [2005] 2 Lloyd’s Rep. 1 </w:t>
      </w:r>
      <w:r>
        <w:rPr>
          <w:sz w:val="20"/>
        </w:rPr>
        <w:t>at [31] (“some conduct [including “a failure to act”] which differs from that which would have occurred in the absence of the representation”).</w:t>
      </w:r>
    </w:p>
    <w:p>
      <w:pPr>
        <w:pStyle w:val="BodyText"/>
        <w:spacing w:before="8"/>
      </w:pPr>
    </w:p>
    <w:p>
      <w:pPr>
        <w:spacing w:line="235" w:lineRule="auto" w:before="0"/>
        <w:ind w:left="705" w:right="167" w:hanging="541"/>
        <w:jc w:val="both"/>
        <w:rPr>
          <w:sz w:val="20"/>
        </w:rPr>
      </w:pPr>
      <w:bookmarkStart w:name="_bookmark1155" w:id="1157"/>
      <w:bookmarkEnd w:id="1157"/>
      <w:r>
        <w:rPr/>
      </w:r>
      <w:hyperlink w:history="true" w:anchor="_bookmark926">
        <w:r>
          <w:rPr>
            <w:color w:val="005DA1"/>
            <w:position w:val="5"/>
            <w:sz w:val="14"/>
            <w:u w:val="single" w:color="005DA1"/>
          </w:rPr>
          <w:t>521</w:t>
        </w:r>
      </w:hyperlink>
      <w:r>
        <w:rPr>
          <w:position w:val="5"/>
          <w:sz w:val="14"/>
        </w:rPr>
        <w:t>.</w:t>
      </w:r>
      <w:r>
        <w:rPr>
          <w:spacing w:val="80"/>
          <w:position w:val="5"/>
          <w:sz w:val="14"/>
        </w:rPr>
        <w:t>  </w:t>
      </w:r>
      <w:r>
        <w:rPr>
          <w:rFonts w:ascii="Arial" w:hAnsi="Arial"/>
          <w:i/>
          <w:sz w:val="20"/>
        </w:rPr>
        <w:t>Société Italo-Belge pour le Commerce et l’Industrie v Palm &amp; Vegetable Oils (Malaysia) </w:t>
      </w:r>
      <w:r>
        <w:rPr>
          <w:rFonts w:ascii="Arial" w:hAnsi="Arial"/>
          <w:i/>
          <w:sz w:val="20"/>
        </w:rPr>
        <w:t>Sdn. Bhd. (The Post Chaser) [1981] 2 Lloyd’s Rep. 695</w:t>
      </w:r>
      <w:r>
        <w:rPr>
          <w:sz w:val="20"/>
        </w:rPr>
        <w:t>. The point made in the text above may account for Rix L.J.’s statement in </w:t>
      </w:r>
      <w:r>
        <w:rPr>
          <w:rFonts w:ascii="Arial" w:hAnsi="Arial"/>
          <w:i/>
          <w:sz w:val="20"/>
        </w:rPr>
        <w:t>Kosmar Villa Holidays plc v Trustees of Syndicate 1243 [2008] EWCA Civ 147, [2008] 2 All E.R. (Comm) 14 </w:t>
      </w:r>
      <w:r>
        <w:rPr>
          <w:sz w:val="20"/>
        </w:rPr>
        <w:t>at [38] that detriment is “probably” a requirement of the operation of this type of “estoppel”. (For the use of “estoppel” to describe the equitable doctrine, see above, para.4-091 and below para.4-104.) The description in </w:t>
      </w:r>
      <w:r>
        <w:rPr>
          <w:rFonts w:ascii="Arial" w:hAnsi="Arial"/>
          <w:i/>
          <w:sz w:val="20"/>
        </w:rPr>
        <w:t>[2008] EWCA Civ 147 </w:t>
      </w:r>
      <w:r>
        <w:rPr>
          <w:sz w:val="20"/>
        </w:rPr>
        <w:t>at [38] of the “estoppel” in question as “a promise supported not by consideration but by reliance” seems to indicate that the reference in this passage is to the type of “estoppel” here under discussion.</w:t>
      </w:r>
    </w:p>
    <w:p>
      <w:pPr>
        <w:pStyle w:val="BodyText"/>
        <w:spacing w:before="7"/>
      </w:pPr>
    </w:p>
    <w:p>
      <w:pPr>
        <w:tabs>
          <w:tab w:pos="705" w:val="left" w:leader="none"/>
        </w:tabs>
        <w:spacing w:line="235" w:lineRule="auto" w:before="0"/>
        <w:ind w:left="705" w:right="168" w:hanging="541"/>
        <w:jc w:val="left"/>
        <w:rPr>
          <w:sz w:val="20"/>
        </w:rPr>
      </w:pPr>
      <w:bookmarkStart w:name="_bookmark1156" w:id="1158"/>
      <w:bookmarkEnd w:id="1158"/>
      <w:r>
        <w:rPr/>
      </w:r>
      <w:hyperlink w:history="true" w:anchor="_bookmark927">
        <w:r>
          <w:rPr>
            <w:color w:val="005DA1"/>
            <w:spacing w:val="-4"/>
            <w:position w:val="5"/>
            <w:sz w:val="14"/>
            <w:u w:val="single" w:color="005DA1"/>
          </w:rPr>
          <w:t>522</w:t>
        </w:r>
      </w:hyperlink>
      <w:r>
        <w:rPr>
          <w:spacing w:val="-4"/>
          <w:position w:val="5"/>
          <w:sz w:val="14"/>
        </w:rPr>
        <w:t>.</w:t>
      </w:r>
      <w:r>
        <w:rPr>
          <w:position w:val="5"/>
          <w:sz w:val="14"/>
        </w:rPr>
        <w:tab/>
      </w:r>
      <w:r>
        <w:rPr>
          <w:rFonts w:ascii="Arial"/>
          <w:i/>
          <w:sz w:val="20"/>
        </w:rPr>
        <w:t>Maharaj</w:t>
      </w:r>
      <w:r>
        <w:rPr>
          <w:rFonts w:ascii="Arial"/>
          <w:i/>
          <w:spacing w:val="36"/>
          <w:sz w:val="20"/>
        </w:rPr>
        <w:t> </w:t>
      </w:r>
      <w:r>
        <w:rPr>
          <w:rFonts w:ascii="Arial"/>
          <w:i/>
          <w:sz w:val="20"/>
        </w:rPr>
        <w:t>v</w:t>
      </w:r>
      <w:r>
        <w:rPr>
          <w:rFonts w:ascii="Arial"/>
          <w:i/>
          <w:spacing w:val="36"/>
          <w:sz w:val="20"/>
        </w:rPr>
        <w:t> </w:t>
      </w:r>
      <w:r>
        <w:rPr>
          <w:rFonts w:ascii="Arial"/>
          <w:i/>
          <w:sz w:val="20"/>
        </w:rPr>
        <w:t>Chand</w:t>
      </w:r>
      <w:r>
        <w:rPr>
          <w:rFonts w:ascii="Arial"/>
          <w:i/>
          <w:spacing w:val="36"/>
          <w:sz w:val="20"/>
        </w:rPr>
        <w:t> </w:t>
      </w:r>
      <w:r>
        <w:rPr>
          <w:rFonts w:ascii="Arial"/>
          <w:i/>
          <w:sz w:val="20"/>
        </w:rPr>
        <w:t>[1986]</w:t>
      </w:r>
      <w:r>
        <w:rPr>
          <w:rFonts w:ascii="Arial"/>
          <w:i/>
          <w:spacing w:val="36"/>
          <w:sz w:val="20"/>
        </w:rPr>
        <w:t> </w:t>
      </w:r>
      <w:r>
        <w:rPr>
          <w:rFonts w:ascii="Arial"/>
          <w:i/>
          <w:sz w:val="20"/>
        </w:rPr>
        <w:t>A.C.</w:t>
      </w:r>
      <w:r>
        <w:rPr>
          <w:rFonts w:ascii="Arial"/>
          <w:i/>
          <w:spacing w:val="36"/>
          <w:sz w:val="20"/>
        </w:rPr>
        <w:t> </w:t>
      </w:r>
      <w:r>
        <w:rPr>
          <w:rFonts w:ascii="Arial"/>
          <w:i/>
          <w:sz w:val="20"/>
        </w:rPr>
        <w:t>898</w:t>
      </w:r>
      <w:r>
        <w:rPr>
          <w:sz w:val="20"/>
        </w:rPr>
        <w:t>;</w:t>
      </w:r>
      <w:r>
        <w:rPr>
          <w:spacing w:val="36"/>
          <w:sz w:val="20"/>
        </w:rPr>
        <w:t> </w:t>
      </w:r>
      <w:r>
        <w:rPr>
          <w:rFonts w:ascii="Arial"/>
          <w:i/>
          <w:sz w:val="20"/>
        </w:rPr>
        <w:t>The</w:t>
      </w:r>
      <w:r>
        <w:rPr>
          <w:rFonts w:ascii="Arial"/>
          <w:i/>
          <w:spacing w:val="36"/>
          <w:sz w:val="20"/>
        </w:rPr>
        <w:t> </w:t>
      </w:r>
      <w:r>
        <w:rPr>
          <w:rFonts w:ascii="Arial"/>
          <w:i/>
          <w:sz w:val="20"/>
        </w:rPr>
        <w:t>Bunge</w:t>
      </w:r>
      <w:r>
        <w:rPr>
          <w:rFonts w:ascii="Arial"/>
          <w:i/>
          <w:spacing w:val="36"/>
          <w:sz w:val="20"/>
        </w:rPr>
        <w:t> </w:t>
      </w:r>
      <w:r>
        <w:rPr>
          <w:rFonts w:ascii="Arial"/>
          <w:i/>
          <w:sz w:val="20"/>
        </w:rPr>
        <w:t>Saga</w:t>
      </w:r>
      <w:r>
        <w:rPr>
          <w:rFonts w:ascii="Arial"/>
          <w:i/>
          <w:spacing w:val="36"/>
          <w:sz w:val="20"/>
        </w:rPr>
        <w:t> </w:t>
      </w:r>
      <w:r>
        <w:rPr>
          <w:rFonts w:ascii="Arial"/>
          <w:i/>
          <w:sz w:val="20"/>
        </w:rPr>
        <w:t>Lima</w:t>
      </w:r>
      <w:r>
        <w:rPr>
          <w:sz w:val="20"/>
        </w:rPr>
        <w:t>,</w:t>
      </w:r>
      <w:r>
        <w:rPr>
          <w:spacing w:val="36"/>
          <w:sz w:val="20"/>
        </w:rPr>
        <w:t> </w:t>
      </w:r>
      <w:r>
        <w:rPr>
          <w:sz w:val="20"/>
        </w:rPr>
        <w:t>above</w:t>
      </w:r>
      <w:r>
        <w:rPr>
          <w:spacing w:val="36"/>
          <w:sz w:val="20"/>
        </w:rPr>
        <w:t> </w:t>
      </w:r>
      <w:r>
        <w:rPr>
          <w:sz w:val="20"/>
        </w:rPr>
        <w:t>n.515,</w:t>
      </w:r>
      <w:r>
        <w:rPr>
          <w:spacing w:val="36"/>
          <w:sz w:val="20"/>
        </w:rPr>
        <w:t> </w:t>
      </w:r>
      <w:r>
        <w:rPr>
          <w:sz w:val="20"/>
        </w:rPr>
        <w:t>at</w:t>
      </w:r>
      <w:r>
        <w:rPr>
          <w:spacing w:val="36"/>
          <w:sz w:val="20"/>
        </w:rPr>
        <w:t> </w:t>
      </w:r>
      <w:r>
        <w:rPr>
          <w:sz w:val="20"/>
        </w:rPr>
        <w:t>[31]</w:t>
      </w:r>
      <w:r>
        <w:rPr>
          <w:spacing w:val="36"/>
          <w:sz w:val="20"/>
        </w:rPr>
        <w:t> </w:t>
      </w:r>
      <w:r>
        <w:rPr>
          <w:sz w:val="20"/>
        </w:rPr>
        <w:t>(quoted</w:t>
      </w:r>
      <w:r>
        <w:rPr>
          <w:spacing w:val="36"/>
          <w:sz w:val="20"/>
        </w:rPr>
        <w:t> </w:t>
      </w:r>
      <w:r>
        <w:rPr>
          <w:sz w:val="20"/>
        </w:rPr>
        <w:t>in para.4-098 n.533 below).</w:t>
      </w:r>
    </w:p>
    <w:p>
      <w:pPr>
        <w:spacing w:after="0" w:line="235" w:lineRule="auto"/>
        <w:jc w:val="left"/>
        <w:rPr>
          <w:sz w:val="20"/>
        </w:rPr>
        <w:sectPr>
          <w:type w:val="continuous"/>
          <w:pgSz w:w="11900" w:h="16840"/>
          <w:pgMar w:header="971" w:footer="0" w:top="3760" w:bottom="280" w:left="1275" w:right="1275"/>
        </w:sectPr>
      </w:pPr>
    </w:p>
    <w:p>
      <w:pPr>
        <w:pStyle w:val="BodyText"/>
        <w:spacing w:before="84"/>
      </w:pPr>
    </w:p>
    <w:p>
      <w:pPr>
        <w:pStyle w:val="BodyText"/>
        <w:spacing w:line="235" w:lineRule="auto" w:before="1"/>
        <w:ind w:left="705" w:right="167" w:hanging="541"/>
        <w:jc w:val="both"/>
      </w:pPr>
      <w:hyperlink w:history="true" w:anchor="_bookmark928">
        <w:r>
          <w:rPr>
            <w:color w:val="005DA1"/>
            <w:position w:val="5"/>
            <w:sz w:val="14"/>
            <w:u w:val="single" w:color="005DA1"/>
          </w:rPr>
          <w:t>523</w:t>
        </w:r>
      </w:hyperlink>
      <w:r>
        <w:rPr>
          <w:position w:val="5"/>
          <w:sz w:val="14"/>
        </w:rPr>
        <w:t>.</w:t>
      </w:r>
      <w:r>
        <w:rPr>
          <w:spacing w:val="80"/>
          <w:w w:val="150"/>
          <w:position w:val="5"/>
          <w:sz w:val="14"/>
        </w:rPr>
        <w:t> </w:t>
      </w:r>
      <w:r>
        <w:rPr/>
        <w:t>It may also not be inequitable for the promisor to go back on a promise where the detriment suffered by the promisee consists of a payment of money to the promisor and the latter has offered to refund that payment. For discussion of this possibility, see </w:t>
      </w:r>
      <w:r>
        <w:rPr>
          <w:rFonts w:ascii="Arial" w:hAnsi="Arial"/>
          <w:i/>
        </w:rPr>
        <w:t>Kim v Chasewood Park Residents Ltd [2013] EWCA Civ 239, [2013] H.L.R. 24 </w:t>
      </w:r>
      <w:r>
        <w:rPr/>
        <w:t>at [43]–[45], where, however, this reasoning was not needed as the alleged promisees had “made it clear that they did not want their money back” (at [45]). The actual decision was that no promissory estoppel had arisen for the reason given in para.4-090 above, n.473.</w:t>
      </w:r>
    </w:p>
    <w:p>
      <w:pPr>
        <w:pStyle w:val="BodyText"/>
        <w:spacing w:before="7"/>
      </w:pPr>
    </w:p>
    <w:p>
      <w:pPr>
        <w:spacing w:line="235" w:lineRule="auto" w:before="0"/>
        <w:ind w:left="705" w:right="167" w:hanging="541"/>
        <w:jc w:val="both"/>
        <w:rPr>
          <w:sz w:val="20"/>
        </w:rPr>
      </w:pPr>
      <w:bookmarkStart w:name="_bookmark1157" w:id="1159"/>
      <w:bookmarkEnd w:id="1159"/>
      <w:r>
        <w:rPr/>
      </w:r>
      <w:hyperlink w:history="true" w:anchor="_bookmark929">
        <w:r>
          <w:rPr>
            <w:color w:val="005DA1"/>
            <w:position w:val="5"/>
            <w:sz w:val="14"/>
            <w:u w:val="single" w:color="005DA1"/>
          </w:rPr>
          <w:t>524</w:t>
        </w:r>
      </w:hyperlink>
      <w:r>
        <w:rPr>
          <w:position w:val="5"/>
          <w:sz w:val="14"/>
        </w:rPr>
        <w:t>.</w:t>
      </w:r>
      <w:r>
        <w:rPr>
          <w:spacing w:val="40"/>
          <w:position w:val="5"/>
          <w:sz w:val="14"/>
        </w:rPr>
        <w:t>  </w:t>
      </w:r>
      <w:r>
        <w:rPr>
          <w:rFonts w:ascii="Arial" w:hAnsi="Arial"/>
          <w:i/>
          <w:sz w:val="20"/>
        </w:rPr>
        <w:t>Société Italo-Belge pour le Commerce et l’Industrie v Vegetable Oils (Malaysia) Sdn. Bhd. (The Post Chaser) [1981] 2 Lloyd’s Rep. 695</w:t>
      </w:r>
      <w:r>
        <w:rPr>
          <w:sz w:val="20"/>
        </w:rPr>
        <w:t>; cf. </w:t>
      </w:r>
      <w:r>
        <w:rPr>
          <w:rFonts w:ascii="Arial" w:hAnsi="Arial"/>
          <w:i/>
          <w:sz w:val="20"/>
        </w:rPr>
        <w:t>Bremer Handelsgesellschaft mbH v Bunge Corp. [1983] 1 Lloyd’s Rep. 476, 484</w:t>
      </w:r>
      <w:r>
        <w:rPr>
          <w:sz w:val="20"/>
        </w:rPr>
        <w:t>; </w:t>
      </w:r>
      <w:r>
        <w:rPr>
          <w:rFonts w:ascii="Arial" w:hAnsi="Arial"/>
          <w:i/>
          <w:sz w:val="20"/>
        </w:rPr>
        <w:t>Marseille Fret SA v D. Oltman Schiffahrts GmbH &amp; Co K.G. (The Trado) [1982] 1 Lloyd’s Rep. 157, 160</w:t>
      </w:r>
      <w:r>
        <w:rPr>
          <w:sz w:val="20"/>
        </w:rPr>
        <w:t>; </w:t>
      </w:r>
      <w:r>
        <w:rPr>
          <w:rFonts w:ascii="Arial" w:hAnsi="Arial"/>
          <w:i/>
          <w:sz w:val="20"/>
        </w:rPr>
        <w:t>Bremer Handelsgesellschaft mbH v </w:t>
      </w:r>
      <w:r>
        <w:rPr>
          <w:rFonts w:ascii="Arial" w:hAnsi="Arial"/>
          <w:i/>
          <w:sz w:val="20"/>
        </w:rPr>
        <w:t>Deutsche Conti-Handelsgesellschaft mbH [1983] 1 Lloyd’s Rep. 689</w:t>
      </w:r>
      <w:r>
        <w:rPr>
          <w:sz w:val="20"/>
        </w:rPr>
        <w:t>; </w:t>
      </w:r>
      <w:r>
        <w:rPr>
          <w:rFonts w:ascii="Arial" w:hAnsi="Arial"/>
          <w:i/>
          <w:sz w:val="20"/>
        </w:rPr>
        <w:t>Banner Industrial &amp; Commercial Properties Ltd v Clark Paterson Ltd [1990] 2 E.G.L.R. 139</w:t>
      </w:r>
      <w:r>
        <w:rPr>
          <w:sz w:val="20"/>
        </w:rPr>
        <w:t>; </w:t>
      </w:r>
      <w:r>
        <w:rPr>
          <w:rFonts w:ascii="Arial" w:hAnsi="Arial"/>
          <w:i/>
          <w:sz w:val="20"/>
        </w:rPr>
        <w:t>Transcatalana de Commercio SA v Incobrasa Industrial e Commercial Brazileira SA (The Vera) [1995] 1 Lloyd’s Rep. 215, 219</w:t>
      </w:r>
      <w:r>
        <w:rPr>
          <w:sz w:val="20"/>
        </w:rPr>
        <w:t>.</w:t>
      </w:r>
    </w:p>
    <w:p>
      <w:pPr>
        <w:pStyle w:val="BodyText"/>
        <w:spacing w:before="3"/>
      </w:pPr>
    </w:p>
    <w:p>
      <w:pPr>
        <w:pStyle w:val="BodyText"/>
        <w:tabs>
          <w:tab w:pos="705" w:val="left" w:leader="none"/>
        </w:tabs>
        <w:spacing w:before="1"/>
        <w:ind w:left="165"/>
      </w:pPr>
      <w:bookmarkStart w:name="_bookmark1158" w:id="1160"/>
      <w:bookmarkEnd w:id="1160"/>
      <w:r>
        <w:rPr/>
      </w:r>
      <w:hyperlink w:history="true" w:anchor="_bookmark930">
        <w:r>
          <w:rPr>
            <w:color w:val="005DA1"/>
            <w:spacing w:val="-4"/>
            <w:position w:val="5"/>
            <w:sz w:val="14"/>
            <w:u w:val="single" w:color="005DA1"/>
          </w:rPr>
          <w:t>525</w:t>
        </w:r>
      </w:hyperlink>
      <w:r>
        <w:rPr>
          <w:spacing w:val="-4"/>
          <w:position w:val="5"/>
          <w:sz w:val="14"/>
        </w:rPr>
        <w:t>.</w:t>
      </w:r>
      <w:r>
        <w:rPr>
          <w:position w:val="5"/>
          <w:sz w:val="14"/>
        </w:rPr>
        <w:tab/>
      </w:r>
      <w:r>
        <w:rPr/>
        <w:t>See below, para.4-097 and cf. above, para.4-083 for the requirement of such </w:t>
      </w:r>
      <w:r>
        <w:rPr>
          <w:spacing w:val="-2"/>
        </w:rPr>
        <w:t>notice.</w:t>
      </w:r>
    </w:p>
    <w:p>
      <w:pPr>
        <w:pStyle w:val="BodyText"/>
        <w:spacing w:before="4"/>
      </w:pPr>
    </w:p>
    <w:p>
      <w:pPr>
        <w:tabs>
          <w:tab w:pos="705" w:val="left" w:leader="none"/>
        </w:tabs>
        <w:spacing w:before="1"/>
        <w:ind w:left="165" w:right="0" w:firstLine="0"/>
        <w:jc w:val="left"/>
        <w:rPr>
          <w:sz w:val="20"/>
        </w:rPr>
      </w:pPr>
      <w:bookmarkStart w:name="_bookmark1159" w:id="1161"/>
      <w:bookmarkEnd w:id="1161"/>
      <w:r>
        <w:rPr/>
      </w:r>
      <w:hyperlink w:history="true" w:anchor="_bookmark930">
        <w:r>
          <w:rPr>
            <w:color w:val="005DA1"/>
            <w:spacing w:val="-4"/>
            <w:position w:val="5"/>
            <w:sz w:val="14"/>
            <w:u w:val="single" w:color="005DA1"/>
          </w:rPr>
          <w:t>526</w:t>
        </w:r>
      </w:hyperlink>
      <w:r>
        <w:rPr>
          <w:spacing w:val="-4"/>
          <w:position w:val="5"/>
          <w:sz w:val="14"/>
        </w:rPr>
        <w:t>.</w:t>
      </w:r>
      <w:r>
        <w:rPr>
          <w:position w:val="5"/>
          <w:sz w:val="14"/>
        </w:rPr>
        <w:tab/>
      </w:r>
      <w:r>
        <w:rPr>
          <w:rFonts w:ascii="Arial"/>
          <w:i/>
          <w:sz w:val="20"/>
        </w:rPr>
        <w:t>(1879)</w:t>
      </w:r>
      <w:r>
        <w:rPr>
          <w:rFonts w:ascii="Arial"/>
          <w:i/>
          <w:spacing w:val="-2"/>
          <w:sz w:val="20"/>
        </w:rPr>
        <w:t> </w:t>
      </w:r>
      <w:r>
        <w:rPr>
          <w:rFonts w:ascii="Arial"/>
          <w:i/>
          <w:sz w:val="20"/>
        </w:rPr>
        <w:t>5 Q.B.D. </w:t>
      </w:r>
      <w:r>
        <w:rPr>
          <w:rFonts w:ascii="Arial"/>
          <w:i/>
          <w:spacing w:val="-4"/>
          <w:sz w:val="20"/>
        </w:rPr>
        <w:t>409</w:t>
      </w:r>
      <w:r>
        <w:rPr>
          <w:spacing w:val="-4"/>
          <w:sz w:val="20"/>
        </w:rPr>
        <w:t>.</w:t>
      </w:r>
    </w:p>
    <w:p>
      <w:pPr>
        <w:pStyle w:val="BodyText"/>
        <w:spacing w:before="8"/>
      </w:pPr>
    </w:p>
    <w:p>
      <w:pPr>
        <w:spacing w:line="235" w:lineRule="auto" w:before="0"/>
        <w:ind w:left="705" w:right="168" w:hanging="541"/>
        <w:jc w:val="both"/>
        <w:rPr>
          <w:sz w:val="20"/>
        </w:rPr>
      </w:pPr>
      <w:bookmarkStart w:name="_bookmark1160" w:id="1162"/>
      <w:bookmarkEnd w:id="1162"/>
      <w:r>
        <w:rPr/>
      </w:r>
      <w:hyperlink w:history="true" w:anchor="_bookmark931">
        <w:r>
          <w:rPr>
            <w:color w:val="005DA1"/>
            <w:position w:val="5"/>
            <w:sz w:val="14"/>
            <w:u w:val="single" w:color="005DA1"/>
          </w:rPr>
          <w:t>527</w:t>
        </w:r>
      </w:hyperlink>
      <w:r>
        <w:rPr>
          <w:position w:val="5"/>
          <w:sz w:val="14"/>
        </w:rPr>
        <w:t>.</w:t>
      </w:r>
      <w:r>
        <w:rPr>
          <w:spacing w:val="80"/>
          <w:position w:val="5"/>
          <w:sz w:val="14"/>
        </w:rPr>
        <w:t> </w:t>
      </w:r>
      <w:r>
        <w:rPr>
          <w:sz w:val="20"/>
        </w:rPr>
        <w:t>ibid., at 413; cf. also </w:t>
      </w:r>
      <w:r>
        <w:rPr>
          <w:rFonts w:ascii="Arial"/>
          <w:i/>
          <w:sz w:val="20"/>
        </w:rPr>
        <w:t>Southwark LBC v Logan (1996) 8 Admin.L.R. 315</w:t>
      </w:r>
      <w:r>
        <w:rPr>
          <w:sz w:val="20"/>
        </w:rPr>
        <w:t>; </w:t>
      </w:r>
      <w:r>
        <w:rPr>
          <w:rFonts w:ascii="Arial"/>
          <w:i/>
          <w:sz w:val="20"/>
        </w:rPr>
        <w:t>Evans v </w:t>
      </w:r>
      <w:r>
        <w:rPr>
          <w:rFonts w:ascii="Arial"/>
          <w:i/>
          <w:sz w:val="20"/>
        </w:rPr>
        <w:t>Amicus Healthcare Ltd [2003] EWHC 2161 (Fam), [2003] 4 All E.R. 903</w:t>
      </w:r>
      <w:r>
        <w:rPr>
          <w:rFonts w:ascii="Arial"/>
          <w:i/>
          <w:spacing w:val="-1"/>
          <w:sz w:val="20"/>
        </w:rPr>
        <w:t> </w:t>
      </w:r>
      <w:r>
        <w:rPr>
          <w:sz w:val="20"/>
        </w:rPr>
        <w:t>at [309], affirmed </w:t>
      </w:r>
      <w:r>
        <w:rPr>
          <w:rFonts w:ascii="Arial"/>
          <w:i/>
          <w:sz w:val="20"/>
        </w:rPr>
        <w:t>[2004] EWCA Civ 727, [2005] Fam. 1 </w:t>
      </w:r>
      <w:r>
        <w:rPr>
          <w:sz w:val="20"/>
        </w:rPr>
        <w:t>on the ground stated in para.4-089 above.</w:t>
      </w:r>
    </w:p>
    <w:p>
      <w:pPr>
        <w:pStyle w:val="BodyText"/>
        <w:spacing w:before="9"/>
      </w:pPr>
    </w:p>
    <w:p>
      <w:pPr>
        <w:spacing w:line="235" w:lineRule="auto" w:before="0"/>
        <w:ind w:left="705" w:right="167" w:hanging="541"/>
        <w:jc w:val="both"/>
        <w:rPr>
          <w:sz w:val="20"/>
        </w:rPr>
      </w:pPr>
      <w:bookmarkStart w:name="_bookmark1161" w:id="1163"/>
      <w:bookmarkEnd w:id="1163"/>
      <w:r>
        <w:rPr/>
      </w:r>
      <w:hyperlink w:history="true" w:anchor="_bookmark932">
        <w:r>
          <w:rPr>
            <w:color w:val="005DA1"/>
            <w:position w:val="5"/>
            <w:sz w:val="14"/>
            <w:u w:val="single" w:color="005DA1"/>
          </w:rPr>
          <w:t>528</w:t>
        </w:r>
      </w:hyperlink>
      <w:r>
        <w:rPr>
          <w:position w:val="5"/>
          <w:sz w:val="14"/>
        </w:rPr>
        <w:t>.</w:t>
      </w:r>
      <w:r>
        <w:rPr>
          <w:spacing w:val="80"/>
          <w:w w:val="150"/>
          <w:position w:val="5"/>
          <w:sz w:val="14"/>
        </w:rPr>
        <w:t> </w:t>
      </w:r>
      <w:r>
        <w:rPr>
          <w:sz w:val="20"/>
        </w:rPr>
        <w:t>See </w:t>
      </w:r>
      <w:r>
        <w:rPr>
          <w:rFonts w:ascii="Arial" w:hAnsi="Arial"/>
          <w:i/>
          <w:sz w:val="20"/>
        </w:rPr>
        <w:t>D. &amp; C. Builders Ltd v Rees [1966] 2 Q.B. 167</w:t>
      </w:r>
      <w:r>
        <w:rPr>
          <w:sz w:val="20"/>
        </w:rPr>
        <w:t>, below, paras 4-118, 4-138 and </w:t>
      </w:r>
      <w:r>
        <w:rPr>
          <w:rFonts w:ascii="Arial" w:hAnsi="Arial"/>
          <w:i/>
          <w:sz w:val="20"/>
        </w:rPr>
        <w:t>South Caribbean Trading Ltd v Trafigura Beheer BV [2004] EWHC 2676 (Comm), [2005] 1 Lloyd’s Rep. 128 </w:t>
      </w:r>
      <w:r>
        <w:rPr>
          <w:sz w:val="20"/>
        </w:rPr>
        <w:t>at [112] (promise obtained by economic duress).</w:t>
      </w:r>
    </w:p>
    <w:p>
      <w:pPr>
        <w:pStyle w:val="BodyText"/>
        <w:spacing w:before="9"/>
      </w:pPr>
    </w:p>
    <w:p>
      <w:pPr>
        <w:spacing w:line="235" w:lineRule="auto" w:before="0"/>
        <w:ind w:left="705" w:right="167" w:hanging="541"/>
        <w:jc w:val="both"/>
        <w:rPr>
          <w:sz w:val="20"/>
        </w:rPr>
      </w:pPr>
      <w:bookmarkStart w:name="_bookmark1162" w:id="1164"/>
      <w:bookmarkEnd w:id="1164"/>
      <w:r>
        <w:rPr/>
      </w:r>
      <w:hyperlink w:history="true" w:anchor="_bookmark933">
        <w:r>
          <w:rPr>
            <w:color w:val="005DA1"/>
            <w:position w:val="5"/>
            <w:sz w:val="14"/>
            <w:u w:val="single" w:color="005DA1"/>
          </w:rPr>
          <w:t>529</w:t>
        </w:r>
      </w:hyperlink>
      <w:r>
        <w:rPr>
          <w:position w:val="5"/>
          <w:sz w:val="14"/>
        </w:rPr>
        <w:t>.</w:t>
      </w:r>
      <w:r>
        <w:rPr>
          <w:spacing w:val="80"/>
          <w:position w:val="5"/>
          <w:sz w:val="14"/>
        </w:rPr>
        <w:t>  </w:t>
      </w:r>
      <w:r>
        <w:rPr>
          <w:sz w:val="20"/>
        </w:rPr>
        <w:t>Paras 3-095 to 3-097 of the 31st edition of this book (paras 4-096 to 4-098 in the present edition) are cited with apparent approval in </w:t>
      </w:r>
      <w:r>
        <w:rPr>
          <w:rFonts w:ascii="Arial" w:hAnsi="Arial"/>
          <w:i/>
          <w:sz w:val="20"/>
        </w:rPr>
        <w:t>Virulite LLC v Virulite Distribution Ltd [2014] </w:t>
      </w:r>
      <w:r>
        <w:rPr>
          <w:rFonts w:ascii="Arial" w:hAnsi="Arial"/>
          <w:i/>
          <w:sz w:val="20"/>
        </w:rPr>
        <w:t>EWHC 366, [2015] 1 All E.R. (Comm) 204 </w:t>
      </w:r>
      <w:r>
        <w:rPr>
          <w:sz w:val="20"/>
        </w:rPr>
        <w:t>at [122] introducing a discussion of when “the doctrine [of promissory estoppel] suspend[s] and when it … extinguish[es] rights” (heading before [122]).</w:t>
      </w:r>
    </w:p>
    <w:p>
      <w:pPr>
        <w:pStyle w:val="BodyText"/>
        <w:spacing w:before="5"/>
      </w:pPr>
    </w:p>
    <w:p>
      <w:pPr>
        <w:tabs>
          <w:tab w:pos="705" w:val="left" w:leader="none"/>
        </w:tabs>
        <w:spacing w:before="0"/>
        <w:ind w:left="165" w:right="0" w:firstLine="0"/>
        <w:jc w:val="left"/>
        <w:rPr>
          <w:sz w:val="20"/>
        </w:rPr>
      </w:pPr>
      <w:bookmarkStart w:name="_bookmark1163" w:id="1165"/>
      <w:bookmarkEnd w:id="1165"/>
      <w:r>
        <w:rPr/>
      </w:r>
      <w:hyperlink w:history="true" w:anchor="_bookmark933">
        <w:r>
          <w:rPr>
            <w:color w:val="005DA1"/>
            <w:spacing w:val="-4"/>
            <w:position w:val="5"/>
            <w:sz w:val="14"/>
            <w:u w:val="single" w:color="005DA1"/>
          </w:rPr>
          <w:t>530</w:t>
        </w:r>
      </w:hyperlink>
      <w:r>
        <w:rPr>
          <w:spacing w:val="-4"/>
          <w:position w:val="5"/>
          <w:sz w:val="14"/>
        </w:rPr>
        <w:t>.</w:t>
      </w:r>
      <w:r>
        <w:rPr>
          <w:position w:val="5"/>
          <w:sz w:val="14"/>
        </w:rPr>
        <w:tab/>
      </w:r>
      <w:r>
        <w:rPr>
          <w:rFonts w:ascii="Arial"/>
          <w:i/>
          <w:sz w:val="20"/>
        </w:rPr>
        <w:t>(1877)</w:t>
      </w:r>
      <w:r>
        <w:rPr>
          <w:rFonts w:ascii="Arial"/>
          <w:i/>
          <w:spacing w:val="-1"/>
          <w:sz w:val="20"/>
        </w:rPr>
        <w:t> </w:t>
      </w:r>
      <w:r>
        <w:rPr>
          <w:rFonts w:ascii="Arial"/>
          <w:i/>
          <w:sz w:val="20"/>
        </w:rPr>
        <w:t>2 App. Cas. 439</w:t>
      </w:r>
      <w:r>
        <w:rPr>
          <w:sz w:val="20"/>
        </w:rPr>
        <w:t>, above, para.4-</w:t>
      </w:r>
      <w:r>
        <w:rPr>
          <w:spacing w:val="-4"/>
          <w:sz w:val="20"/>
        </w:rPr>
        <w:t>086.</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bookmarkStart w:name="_bookmark1164" w:id="1166"/>
      <w:bookmarkEnd w:id="1166"/>
      <w:r>
        <w:rPr/>
      </w:r>
      <w:hyperlink w:history="true" w:anchor="_bookmark934">
        <w:r>
          <w:rPr>
            <w:color w:val="005DA1"/>
            <w:spacing w:val="-4"/>
            <w:sz w:val="14"/>
            <w:u w:val="single" w:color="005DA1"/>
          </w:rPr>
          <w:t>531</w:t>
        </w:r>
      </w:hyperlink>
      <w:r>
        <w:rPr>
          <w:spacing w:val="-4"/>
          <w:sz w:val="14"/>
        </w:rPr>
        <w:t>.</w:t>
      </w:r>
    </w:p>
    <w:p>
      <w:pPr>
        <w:spacing w:line="235" w:lineRule="auto" w:before="212"/>
        <w:ind w:left="165" w:right="167" w:firstLine="170"/>
        <w:jc w:val="both"/>
        <w:rPr>
          <w:sz w:val="20"/>
        </w:rPr>
      </w:pPr>
      <w:r>
        <w:rPr/>
        <w:br w:type="column"/>
      </w:r>
      <w:r>
        <w:rPr>
          <w:sz w:val="20"/>
        </w:rPr>
        <w:t>cf. </w:t>
      </w:r>
      <w:r>
        <w:rPr>
          <w:rFonts w:ascii="Arial" w:hAnsi="Arial"/>
          <w:i/>
          <w:sz w:val="20"/>
        </w:rPr>
        <w:t>Tool Metal Manufacturing Co Ltd v Tungsten Electric Co Ltd [1955] 1 W.L.R. 761</w:t>
      </w:r>
      <w:r>
        <w:rPr>
          <w:sz w:val="20"/>
        </w:rPr>
        <w:t>; (below, para.4-133) </w:t>
      </w:r>
      <w:r>
        <w:rPr>
          <w:rFonts w:ascii="Arial" w:hAnsi="Arial"/>
          <w:i/>
          <w:sz w:val="20"/>
        </w:rPr>
        <w:t>Banning v Wright [1972] 1 W.L.R. 972, 981</w:t>
      </w:r>
      <w:r>
        <w:rPr>
          <w:sz w:val="20"/>
        </w:rPr>
        <w:t>; </w:t>
      </w:r>
      <w:r>
        <w:rPr>
          <w:rFonts w:ascii="Arial" w:hAnsi="Arial"/>
          <w:i/>
          <w:sz w:val="20"/>
        </w:rPr>
        <w:t>Brikom Investments Ltd v Seaford [1981] 1 W.L.R. 863, 869</w:t>
      </w:r>
      <w:r>
        <w:rPr>
          <w:sz w:val="20"/>
        </w:rPr>
        <w:t>; </w:t>
      </w:r>
      <w:r>
        <w:rPr>
          <w:rFonts w:ascii="Arial" w:hAnsi="Arial"/>
          <w:i/>
          <w:sz w:val="20"/>
        </w:rPr>
        <w:t>Société Italo-Belge v Palm &amp; Vegetable Oils (The Post </w:t>
      </w:r>
      <w:r>
        <w:rPr>
          <w:rFonts w:ascii="Arial" w:hAnsi="Arial"/>
          <w:i/>
          <w:sz w:val="20"/>
        </w:rPr>
        <w:t>Chaser) [1981] 2 Lloyd’s Rep. 695, 701</w:t>
      </w:r>
      <w:r>
        <w:rPr>
          <w:sz w:val="20"/>
        </w:rPr>
        <w:t>; </w:t>
      </w:r>
      <w:r>
        <w:rPr>
          <w:rFonts w:ascii="Arial" w:hAnsi="Arial"/>
          <w:i/>
          <w:sz w:val="20"/>
        </w:rPr>
        <w:t>Meng Long Development Pte Ltd v Jip Hong Trading Co Ltd [1985] A.C. 511, 524</w:t>
      </w:r>
      <w:r>
        <w:rPr>
          <w:sz w:val="20"/>
        </w:rPr>
        <w:t>; </w:t>
      </w:r>
      <w:r>
        <w:rPr>
          <w:rFonts w:ascii="Arial" w:hAnsi="Arial"/>
          <w:i/>
          <w:sz w:val="20"/>
        </w:rPr>
        <w:t>Motor Oil Hellas (Corinth) Refineries SA v Shipping Corp. of India (The Kanchenjunga) [1987] 2 Lloyd’s Rep. 509, 518 affirmed [1989] 1 Lloyd’s Rep. 354</w:t>
      </w:r>
      <w:r>
        <w:rPr>
          <w:sz w:val="20"/>
        </w:rPr>
        <w:t>; </w:t>
      </w:r>
      <w:r>
        <w:rPr>
          <w:rFonts w:ascii="Arial" w:hAnsi="Arial"/>
          <w:i/>
          <w:sz w:val="20"/>
        </w:rPr>
        <w:t>MSAS Global Logistics Ltd v Power Packaging Inc [2003] EWHC 1391, The Times, June 26, 2003</w:t>
      </w:r>
      <w:r>
        <w:rPr>
          <w:sz w:val="20"/>
        </w:rPr>
        <w:t>; </w:t>
      </w:r>
      <w:r>
        <w:rPr>
          <w:rFonts w:ascii="Arial" w:hAnsi="Arial"/>
          <w:i/>
          <w:sz w:val="20"/>
        </w:rPr>
        <w:t>Kosmar</w:t>
      </w:r>
      <w:r>
        <w:rPr>
          <w:rFonts w:ascii="Arial" w:hAnsi="Arial"/>
          <w:i/>
          <w:spacing w:val="-2"/>
          <w:sz w:val="20"/>
        </w:rPr>
        <w:t> </w:t>
      </w:r>
      <w:r>
        <w:rPr>
          <w:rFonts w:ascii="Arial" w:hAnsi="Arial"/>
          <w:i/>
          <w:sz w:val="20"/>
        </w:rPr>
        <w:t>Villa</w:t>
      </w:r>
      <w:r>
        <w:rPr>
          <w:rFonts w:ascii="Arial" w:hAnsi="Arial"/>
          <w:i/>
          <w:spacing w:val="-2"/>
          <w:sz w:val="20"/>
        </w:rPr>
        <w:t> </w:t>
      </w:r>
      <w:r>
        <w:rPr>
          <w:rFonts w:ascii="Arial" w:hAnsi="Arial"/>
          <w:i/>
          <w:sz w:val="20"/>
        </w:rPr>
        <w:t>Holidays</w:t>
      </w:r>
      <w:r>
        <w:rPr>
          <w:rFonts w:ascii="Arial" w:hAnsi="Arial"/>
          <w:i/>
          <w:spacing w:val="-2"/>
          <w:sz w:val="20"/>
        </w:rPr>
        <w:t> </w:t>
      </w:r>
      <w:r>
        <w:rPr>
          <w:rFonts w:ascii="Arial" w:hAnsi="Arial"/>
          <w:i/>
          <w:sz w:val="20"/>
        </w:rPr>
        <w:t>plc</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Trustees</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Syndicate</w:t>
      </w:r>
      <w:r>
        <w:rPr>
          <w:rFonts w:ascii="Arial" w:hAnsi="Arial"/>
          <w:i/>
          <w:spacing w:val="-2"/>
          <w:sz w:val="20"/>
        </w:rPr>
        <w:t> </w:t>
      </w:r>
      <w:r>
        <w:rPr>
          <w:rFonts w:ascii="Arial" w:hAnsi="Arial"/>
          <w:i/>
          <w:sz w:val="20"/>
        </w:rPr>
        <w:t>1243</w:t>
      </w:r>
      <w:r>
        <w:rPr>
          <w:rFonts w:ascii="Arial" w:hAnsi="Arial"/>
          <w:i/>
          <w:spacing w:val="-2"/>
          <w:sz w:val="20"/>
        </w:rPr>
        <w:t> </w:t>
      </w:r>
      <w:r>
        <w:rPr>
          <w:rFonts w:ascii="Arial" w:hAnsi="Arial"/>
          <w:i/>
          <w:sz w:val="20"/>
        </w:rPr>
        <w:t>[2008]</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147,</w:t>
      </w:r>
      <w:r>
        <w:rPr>
          <w:rFonts w:ascii="Arial" w:hAnsi="Arial"/>
          <w:i/>
          <w:spacing w:val="-2"/>
          <w:sz w:val="20"/>
        </w:rPr>
        <w:t> </w:t>
      </w:r>
      <w:r>
        <w:rPr>
          <w:rFonts w:ascii="Arial" w:hAnsi="Arial"/>
          <w:i/>
          <w:sz w:val="20"/>
        </w:rPr>
        <w:t>[2008]</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All</w:t>
      </w:r>
      <w:r>
        <w:rPr>
          <w:rFonts w:ascii="Arial" w:hAnsi="Arial"/>
          <w:i/>
          <w:spacing w:val="-2"/>
          <w:sz w:val="20"/>
        </w:rPr>
        <w:t> </w:t>
      </w:r>
      <w:r>
        <w:rPr>
          <w:rFonts w:ascii="Arial" w:hAnsi="Arial"/>
          <w:i/>
          <w:sz w:val="20"/>
        </w:rPr>
        <w:t>E.R. (Comm) 14 </w:t>
      </w:r>
      <w:r>
        <w:rPr>
          <w:sz w:val="20"/>
        </w:rPr>
        <w:t>at [38] (“may be suspensory”; the reference appears to be to “promissory estoppel”: see</w:t>
      </w:r>
      <w:r>
        <w:rPr>
          <w:spacing w:val="15"/>
          <w:sz w:val="20"/>
        </w:rPr>
        <w:t> </w:t>
      </w:r>
      <w:r>
        <w:rPr>
          <w:sz w:val="20"/>
        </w:rPr>
        <w:t>above,</w:t>
      </w:r>
      <w:r>
        <w:rPr>
          <w:spacing w:val="16"/>
          <w:sz w:val="20"/>
        </w:rPr>
        <w:t> </w:t>
      </w:r>
      <w:r>
        <w:rPr>
          <w:sz w:val="20"/>
        </w:rPr>
        <w:t>para.4-095</w:t>
      </w:r>
      <w:r>
        <w:rPr>
          <w:spacing w:val="16"/>
          <w:sz w:val="20"/>
        </w:rPr>
        <w:t> </w:t>
      </w:r>
      <w:r>
        <w:rPr>
          <w:sz w:val="20"/>
        </w:rPr>
        <w:t>n.516);</w:t>
      </w:r>
      <w:r>
        <w:rPr>
          <w:spacing w:val="16"/>
          <w:sz w:val="20"/>
        </w:rPr>
        <w:t> </w:t>
      </w:r>
      <w:r>
        <w:rPr>
          <w:sz w:val="20"/>
        </w:rPr>
        <w:t>see</w:t>
      </w:r>
      <w:r>
        <w:rPr>
          <w:spacing w:val="16"/>
          <w:sz w:val="20"/>
        </w:rPr>
        <w:t> </w:t>
      </w:r>
      <w:r>
        <w:rPr>
          <w:sz w:val="20"/>
        </w:rPr>
        <w:t>also</w:t>
      </w:r>
      <w:r>
        <w:rPr>
          <w:spacing w:val="15"/>
          <w:sz w:val="20"/>
        </w:rPr>
        <w:t> </w:t>
      </w:r>
      <w:r>
        <w:rPr>
          <w:rFonts w:ascii="Arial" w:hAnsi="Arial"/>
          <w:i/>
          <w:sz w:val="20"/>
        </w:rPr>
        <w:t>Hazel</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Akhtar</w:t>
      </w:r>
      <w:r>
        <w:rPr>
          <w:rFonts w:ascii="Arial" w:hAnsi="Arial"/>
          <w:i/>
          <w:spacing w:val="16"/>
          <w:sz w:val="20"/>
        </w:rPr>
        <w:t> </w:t>
      </w:r>
      <w:r>
        <w:rPr>
          <w:rFonts w:ascii="Arial" w:hAnsi="Arial"/>
          <w:i/>
          <w:sz w:val="20"/>
        </w:rPr>
        <w:t>[2001]</w:t>
      </w:r>
      <w:r>
        <w:rPr>
          <w:rFonts w:ascii="Arial" w:hAnsi="Arial"/>
          <w:i/>
          <w:spacing w:val="16"/>
          <w:sz w:val="20"/>
        </w:rPr>
        <w:t> </w:t>
      </w:r>
      <w:r>
        <w:rPr>
          <w:rFonts w:ascii="Arial" w:hAnsi="Arial"/>
          <w:i/>
          <w:sz w:val="20"/>
        </w:rPr>
        <w:t>EWCA</w:t>
      </w:r>
      <w:r>
        <w:rPr>
          <w:rFonts w:ascii="Arial" w:hAnsi="Arial"/>
          <w:i/>
          <w:spacing w:val="16"/>
          <w:sz w:val="20"/>
        </w:rPr>
        <w:t> </w:t>
      </w:r>
      <w:r>
        <w:rPr>
          <w:rFonts w:ascii="Arial" w:hAnsi="Arial"/>
          <w:i/>
          <w:sz w:val="20"/>
        </w:rPr>
        <w:t>Civ</w:t>
      </w:r>
      <w:r>
        <w:rPr>
          <w:rFonts w:ascii="Arial" w:hAnsi="Arial"/>
          <w:i/>
          <w:spacing w:val="16"/>
          <w:sz w:val="20"/>
        </w:rPr>
        <w:t> </w:t>
      </w:r>
      <w:r>
        <w:rPr>
          <w:rFonts w:ascii="Arial" w:hAnsi="Arial"/>
          <w:i/>
          <w:sz w:val="20"/>
        </w:rPr>
        <w:t>1883</w:t>
      </w:r>
      <w:r>
        <w:rPr>
          <w:sz w:val="20"/>
        </w:rPr>
        <w:t>;</w:t>
      </w:r>
      <w:r>
        <w:rPr>
          <w:spacing w:val="16"/>
          <w:sz w:val="20"/>
        </w:rPr>
        <w:t> </w:t>
      </w:r>
      <w:r>
        <w:rPr>
          <w:sz w:val="20"/>
        </w:rPr>
        <w:t>[2002]</w:t>
      </w:r>
      <w:r>
        <w:rPr>
          <w:spacing w:val="16"/>
          <w:sz w:val="20"/>
        </w:rPr>
        <w:t> </w:t>
      </w:r>
      <w:r>
        <w:rPr>
          <w:sz w:val="20"/>
        </w:rPr>
        <w:t>2</w:t>
      </w:r>
      <w:r>
        <w:rPr>
          <w:spacing w:val="16"/>
          <w:sz w:val="20"/>
        </w:rPr>
        <w:t> </w:t>
      </w:r>
      <w:r>
        <w:rPr>
          <w:sz w:val="20"/>
        </w:rPr>
        <w:t>P.</w:t>
      </w:r>
      <w:r>
        <w:rPr>
          <w:spacing w:val="16"/>
          <w:sz w:val="20"/>
        </w:rPr>
        <w:t> </w:t>
      </w:r>
      <w:r>
        <w:rPr>
          <w:spacing w:val="-10"/>
          <w:sz w:val="20"/>
        </w:rPr>
        <w:t>&amp;</w:t>
      </w:r>
    </w:p>
    <w:p>
      <w:pPr>
        <w:pStyle w:val="BodyText"/>
        <w:spacing w:line="235" w:lineRule="auto"/>
        <w:ind w:left="165" w:right="167"/>
        <w:jc w:val="both"/>
      </w:pPr>
      <w:r>
        <w:rPr/>
        <w:drawing>
          <wp:anchor distT="0" distB="0" distL="0" distR="0" allowOverlap="1" layoutInCell="1" locked="0" behindDoc="0" simplePos="0" relativeHeight="15772672">
            <wp:simplePos x="0" y="0"/>
            <wp:positionH relativeFrom="page">
              <wp:posOffset>1257846</wp:posOffset>
            </wp:positionH>
            <wp:positionV relativeFrom="paragraph">
              <wp:posOffset>-1405578</wp:posOffset>
            </wp:positionV>
            <wp:extent cx="107988" cy="107988"/>
            <wp:effectExtent l="0" t="0" r="0" b="0"/>
            <wp:wrapNone/>
            <wp:docPr id="198" name="Image 198"/>
            <wp:cNvGraphicFramePr>
              <a:graphicFrameLocks/>
            </wp:cNvGraphicFramePr>
            <a:graphic>
              <a:graphicData uri="http://schemas.openxmlformats.org/drawingml/2006/picture">
                <pic:pic>
                  <pic:nvPicPr>
                    <pic:cNvPr id="198" name="Image 198"/>
                    <pic:cNvPicPr/>
                  </pic:nvPicPr>
                  <pic:blipFill>
                    <a:blip r:embed="rId7" cstate="print"/>
                    <a:stretch>
                      <a:fillRect/>
                    </a:stretch>
                  </pic:blipFill>
                  <pic:spPr>
                    <a:xfrm>
                      <a:off x="0" y="0"/>
                      <a:ext cx="107988" cy="107988"/>
                    </a:xfrm>
                    <a:prstGeom prst="rect">
                      <a:avLst/>
                    </a:prstGeom>
                  </pic:spPr>
                </pic:pic>
              </a:graphicData>
            </a:graphic>
          </wp:anchor>
        </w:drawing>
      </w:r>
      <w:r>
        <w:rPr/>
        <w:t>C.R.</w:t>
      </w:r>
      <w:r>
        <w:rPr>
          <w:spacing w:val="-1"/>
        </w:rPr>
        <w:t> </w:t>
      </w:r>
      <w:r>
        <w:rPr/>
        <w:t>17</w:t>
      </w:r>
      <w:r>
        <w:rPr>
          <w:spacing w:val="-1"/>
        </w:rPr>
        <w:t> </w:t>
      </w:r>
      <w:r>
        <w:rPr/>
        <w:t>at</w:t>
      </w:r>
      <w:r>
        <w:rPr>
          <w:spacing w:val="-1"/>
        </w:rPr>
        <w:t> </w:t>
      </w:r>
      <w:r>
        <w:rPr/>
        <w:t>[43];</w:t>
      </w:r>
      <w:r>
        <w:rPr>
          <w:spacing w:val="-1"/>
        </w:rPr>
        <w:t> </w:t>
      </w:r>
      <w:r>
        <w:rPr/>
        <w:t>and</w:t>
      </w:r>
      <w:r>
        <w:rPr>
          <w:spacing w:val="-1"/>
        </w:rPr>
        <w:t> </w:t>
      </w:r>
      <w:r>
        <w:rPr>
          <w:rFonts w:ascii="Arial" w:hAnsi="Arial"/>
          <w:i/>
        </w:rPr>
        <w:t>Kim</w:t>
      </w:r>
      <w:r>
        <w:rPr>
          <w:rFonts w:ascii="Arial" w:hAnsi="Arial"/>
          <w:i/>
          <w:spacing w:val="-1"/>
        </w:rPr>
        <w:t> </w:t>
      </w:r>
      <w:r>
        <w:rPr>
          <w:rFonts w:ascii="Arial" w:hAnsi="Arial"/>
          <w:i/>
        </w:rPr>
        <w:t>v</w:t>
      </w:r>
      <w:r>
        <w:rPr>
          <w:rFonts w:ascii="Arial" w:hAnsi="Arial"/>
          <w:i/>
          <w:spacing w:val="-1"/>
        </w:rPr>
        <w:t> </w:t>
      </w:r>
      <w:r>
        <w:rPr>
          <w:rFonts w:ascii="Arial" w:hAnsi="Arial"/>
          <w:i/>
        </w:rPr>
        <w:t>Chasewood</w:t>
      </w:r>
      <w:r>
        <w:rPr>
          <w:rFonts w:ascii="Arial" w:hAnsi="Arial"/>
          <w:i/>
          <w:spacing w:val="-1"/>
        </w:rPr>
        <w:t> </w:t>
      </w:r>
      <w:r>
        <w:rPr>
          <w:rFonts w:ascii="Arial" w:hAnsi="Arial"/>
          <w:i/>
        </w:rPr>
        <w:t>Park</w:t>
      </w:r>
      <w:r>
        <w:rPr>
          <w:rFonts w:ascii="Arial" w:hAnsi="Arial"/>
          <w:i/>
          <w:spacing w:val="-1"/>
        </w:rPr>
        <w:t> </w:t>
      </w:r>
      <w:r>
        <w:rPr>
          <w:rFonts w:ascii="Arial" w:hAnsi="Arial"/>
          <w:i/>
        </w:rPr>
        <w:t>Residents</w:t>
      </w:r>
      <w:r>
        <w:rPr>
          <w:rFonts w:ascii="Arial" w:hAnsi="Arial"/>
          <w:i/>
          <w:spacing w:val="-1"/>
        </w:rPr>
        <w:t> </w:t>
      </w:r>
      <w:r>
        <w:rPr>
          <w:rFonts w:ascii="Arial" w:hAnsi="Arial"/>
          <w:i/>
        </w:rPr>
        <w:t>Ltd</w:t>
      </w:r>
      <w:r>
        <w:rPr>
          <w:rFonts w:ascii="Arial" w:hAnsi="Arial"/>
          <w:i/>
          <w:spacing w:val="-1"/>
        </w:rPr>
        <w:t> </w:t>
      </w:r>
      <w:r>
        <w:rPr>
          <w:rFonts w:ascii="Arial" w:hAnsi="Arial"/>
          <w:i/>
        </w:rPr>
        <w:t>[2013]</w:t>
      </w:r>
      <w:r>
        <w:rPr>
          <w:rFonts w:ascii="Arial" w:hAnsi="Arial"/>
          <w:i/>
          <w:spacing w:val="-1"/>
        </w:rPr>
        <w:t> </w:t>
      </w:r>
      <w:r>
        <w:rPr>
          <w:rFonts w:ascii="Arial" w:hAnsi="Arial"/>
          <w:i/>
        </w:rPr>
        <w:t>EWCA</w:t>
      </w:r>
      <w:r>
        <w:rPr>
          <w:rFonts w:ascii="Arial" w:hAnsi="Arial"/>
          <w:i/>
          <w:spacing w:val="-1"/>
        </w:rPr>
        <w:t> </w:t>
      </w:r>
      <w:r>
        <w:rPr>
          <w:rFonts w:ascii="Arial" w:hAnsi="Arial"/>
          <w:i/>
        </w:rPr>
        <w:t>Civ</w:t>
      </w:r>
      <w:r>
        <w:rPr>
          <w:rFonts w:ascii="Arial" w:hAnsi="Arial"/>
          <w:i/>
          <w:spacing w:val="-1"/>
        </w:rPr>
        <w:t> </w:t>
      </w:r>
      <w:r>
        <w:rPr>
          <w:rFonts w:ascii="Arial" w:hAnsi="Arial"/>
          <w:i/>
        </w:rPr>
        <w:t>239,</w:t>
      </w:r>
      <w:r>
        <w:rPr>
          <w:rFonts w:ascii="Arial" w:hAnsi="Arial"/>
          <w:i/>
          <w:spacing w:val="-1"/>
        </w:rPr>
        <w:t> </w:t>
      </w:r>
      <w:r>
        <w:rPr>
          <w:rFonts w:ascii="Arial" w:hAnsi="Arial"/>
          <w:i/>
        </w:rPr>
        <w:t>[2013]</w:t>
      </w:r>
      <w:r>
        <w:rPr>
          <w:rFonts w:ascii="Arial" w:hAnsi="Arial"/>
          <w:i/>
          <w:spacing w:val="-1"/>
        </w:rPr>
        <w:t> </w:t>
      </w:r>
      <w:r>
        <w:rPr>
          <w:rFonts w:ascii="Arial" w:hAnsi="Arial"/>
          <w:i/>
        </w:rPr>
        <w:t>H.L.R. 24</w:t>
      </w:r>
      <w:r>
        <w:rPr>
          <w:rFonts w:ascii="Arial" w:hAnsi="Arial"/>
          <w:i/>
          <w:spacing w:val="-3"/>
        </w:rPr>
        <w:t> </w:t>
      </w:r>
      <w:r>
        <w:rPr/>
        <w:t>at</w:t>
      </w:r>
      <w:r>
        <w:rPr>
          <w:spacing w:val="-3"/>
        </w:rPr>
        <w:t> </w:t>
      </w:r>
      <w:r>
        <w:rPr/>
        <w:t>[41]</w:t>
      </w:r>
      <w:r>
        <w:rPr>
          <w:spacing w:val="-3"/>
        </w:rPr>
        <w:t> </w:t>
      </w:r>
      <w:r>
        <w:rPr/>
        <w:t>(“The</w:t>
      </w:r>
      <w:r>
        <w:rPr>
          <w:spacing w:val="-3"/>
        </w:rPr>
        <w:t> </w:t>
      </w:r>
      <w:r>
        <w:rPr/>
        <w:t>general</w:t>
      </w:r>
      <w:r>
        <w:rPr>
          <w:spacing w:val="-3"/>
        </w:rPr>
        <w:t> </w:t>
      </w:r>
      <w:r>
        <w:rPr/>
        <w:t>view</w:t>
      </w:r>
      <w:r>
        <w:rPr>
          <w:spacing w:val="-3"/>
        </w:rPr>
        <w:t> </w:t>
      </w:r>
      <w:r>
        <w:rPr/>
        <w:t>is</w:t>
      </w:r>
      <w:r>
        <w:rPr>
          <w:spacing w:val="-3"/>
        </w:rPr>
        <w:t> </w:t>
      </w:r>
      <w:r>
        <w:rPr/>
        <w:t>that</w:t>
      </w:r>
      <w:r>
        <w:rPr>
          <w:spacing w:val="-3"/>
        </w:rPr>
        <w:t> </w:t>
      </w:r>
      <w:r>
        <w:rPr/>
        <w:t>promissory</w:t>
      </w:r>
      <w:r>
        <w:rPr>
          <w:spacing w:val="-3"/>
        </w:rPr>
        <w:t> </w:t>
      </w:r>
      <w:r>
        <w:rPr/>
        <w:t>estoppel</w:t>
      </w:r>
      <w:r>
        <w:rPr>
          <w:spacing w:val="-3"/>
        </w:rPr>
        <w:t> </w:t>
      </w:r>
      <w:r>
        <w:rPr/>
        <w:t>is</w:t>
      </w:r>
      <w:r>
        <w:rPr>
          <w:spacing w:val="-3"/>
        </w:rPr>
        <w:t> </w:t>
      </w:r>
      <w:r>
        <w:rPr/>
        <w:t>usually</w:t>
      </w:r>
      <w:r>
        <w:rPr>
          <w:spacing w:val="-3"/>
        </w:rPr>
        <w:t> </w:t>
      </w:r>
      <w:r>
        <w:rPr/>
        <w:t>only</w:t>
      </w:r>
      <w:r>
        <w:rPr>
          <w:spacing w:val="-3"/>
        </w:rPr>
        <w:t> </w:t>
      </w:r>
      <w:r>
        <w:rPr/>
        <w:t>suspensory”);</w:t>
      </w:r>
      <w:r>
        <w:rPr>
          <w:spacing w:val="-3"/>
        </w:rPr>
        <w:t> </w:t>
      </w:r>
      <w:r>
        <w:rPr/>
        <w:t>the</w:t>
      </w:r>
      <w:r>
        <w:rPr>
          <w:spacing w:val="-3"/>
        </w:rPr>
        <w:t> </w:t>
      </w:r>
      <w:r>
        <w:rPr/>
        <w:t>actual decision</w:t>
      </w:r>
      <w:r>
        <w:rPr>
          <w:spacing w:val="-1"/>
        </w:rPr>
        <w:t> </w:t>
      </w:r>
      <w:r>
        <w:rPr/>
        <w:t>in</w:t>
      </w:r>
      <w:r>
        <w:rPr>
          <w:spacing w:val="-1"/>
        </w:rPr>
        <w:t> </w:t>
      </w:r>
      <w:r>
        <w:rPr/>
        <w:t>this</w:t>
      </w:r>
      <w:r>
        <w:rPr>
          <w:spacing w:val="-1"/>
        </w:rPr>
        <w:t> </w:t>
      </w:r>
      <w:r>
        <w:rPr/>
        <w:t>case</w:t>
      </w:r>
      <w:r>
        <w:rPr>
          <w:spacing w:val="-1"/>
        </w:rPr>
        <w:t> </w:t>
      </w:r>
      <w:r>
        <w:rPr/>
        <w:t>was</w:t>
      </w:r>
      <w:r>
        <w:rPr>
          <w:spacing w:val="-1"/>
        </w:rPr>
        <w:t> </w:t>
      </w:r>
      <w:r>
        <w:rPr/>
        <w:t>that,</w:t>
      </w:r>
      <w:r>
        <w:rPr>
          <w:spacing w:val="-1"/>
        </w:rPr>
        <w:t> </w:t>
      </w:r>
      <w:r>
        <w:rPr/>
        <w:t>for</w:t>
      </w:r>
      <w:r>
        <w:rPr>
          <w:spacing w:val="-1"/>
        </w:rPr>
        <w:t> </w:t>
      </w:r>
      <w:r>
        <w:rPr/>
        <w:t>the</w:t>
      </w:r>
      <w:r>
        <w:rPr>
          <w:spacing w:val="-1"/>
        </w:rPr>
        <w:t> </w:t>
      </w:r>
      <w:r>
        <w:rPr/>
        <w:t>reason</w:t>
      </w:r>
      <w:r>
        <w:rPr>
          <w:spacing w:val="-1"/>
        </w:rPr>
        <w:t> </w:t>
      </w:r>
      <w:r>
        <w:rPr/>
        <w:t>given</w:t>
      </w:r>
      <w:r>
        <w:rPr>
          <w:spacing w:val="-1"/>
        </w:rPr>
        <w:t> </w:t>
      </w:r>
      <w:r>
        <w:rPr/>
        <w:t>in</w:t>
      </w:r>
      <w:r>
        <w:rPr>
          <w:spacing w:val="-1"/>
        </w:rPr>
        <w:t> </w:t>
      </w:r>
      <w:r>
        <w:rPr/>
        <w:t>para.4-090</w:t>
      </w:r>
      <w:r>
        <w:rPr>
          <w:spacing w:val="-1"/>
        </w:rPr>
        <w:t> </w:t>
      </w:r>
      <w:r>
        <w:rPr/>
        <w:t>n.473,</w:t>
      </w:r>
      <w:r>
        <w:rPr>
          <w:spacing w:val="-1"/>
        </w:rPr>
        <w:t> </w:t>
      </w:r>
      <w:r>
        <w:rPr/>
        <w:t>no</w:t>
      </w:r>
      <w:r>
        <w:rPr>
          <w:spacing w:val="-1"/>
        </w:rPr>
        <w:t> </w:t>
      </w:r>
      <w:r>
        <w:rPr/>
        <w:t>promissory</w:t>
      </w:r>
      <w:r>
        <w:rPr>
          <w:spacing w:val="-1"/>
        </w:rPr>
        <w:t> </w:t>
      </w:r>
      <w:r>
        <w:rPr/>
        <w:t>estoppel had arisen; </w:t>
      </w:r>
      <w:r>
        <w:rPr>
          <w:rFonts w:ascii="Arial" w:hAnsi="Arial"/>
          <w:i/>
        </w:rPr>
        <w:t>MWB Business Exchange Centres Ltd v Rock Advertising Ltd [2016] EWCA Civ 553, [2017] Q.B. 604 </w:t>
      </w:r>
      <w:r>
        <w:rPr/>
        <w:t>at [56] (“may only be suspensive”). No promissory estoppel would have arisen in this case as reasonable notice had been given to terminate the “variation agreement” (described below, see para.4-119A); for this point see at [63], [67] and [92]. No reference to the suspensive nature of the doctrine was made in </w:t>
      </w:r>
      <w:r>
        <w:rPr>
          <w:rFonts w:ascii="Arial" w:hAnsi="Arial"/>
          <w:i/>
        </w:rPr>
        <w:t>Smith v Lawson (1998) 75 P. &amp; C.R. 466</w:t>
      </w:r>
      <w:r>
        <w:rPr>
          <w:rFonts w:ascii="Arial" w:hAnsi="Arial"/>
          <w:i/>
          <w:spacing w:val="40"/>
        </w:rPr>
        <w:t> </w:t>
      </w:r>
      <w:r>
        <w:rPr/>
        <w:t>(below, para.4-103), probably because no attempt was made by the promisor to give</w:t>
      </w:r>
      <w:r>
        <w:rPr>
          <w:spacing w:val="40"/>
        </w:rPr>
        <w:t> </w:t>
      </w:r>
      <w:r>
        <w:rPr/>
        <w:t>reasonable notice of any intention to resume enforcement of his legal rights. Notice is not required to bring an end to the suspension where, on the true construction of the</w:t>
      </w:r>
      <w:r>
        <w:rPr>
          <w:spacing w:val="40"/>
        </w:rPr>
        <w:t> </w:t>
      </w:r>
      <w:r>
        <w:rPr/>
        <w:t>representation, the circumstances in which it was intended to apply had come to an end: see </w:t>
      </w:r>
      <w:r>
        <w:rPr>
          <w:rFonts w:ascii="Arial" w:hAnsi="Arial"/>
          <w:i/>
        </w:rPr>
        <w:t>Dunbar Assets plc v Butler [2015] EWHC 2546 (Ch) </w:t>
      </w:r>
      <w:r>
        <w:rPr/>
        <w:t>at [50]; or where notice of termination was not necessary “to allow a reasonable period for the party to whom notice is given to make alternative arrangements” (ibid., at [51]).</w:t>
      </w:r>
    </w:p>
    <w:p>
      <w:pPr>
        <w:pStyle w:val="BodyText"/>
        <w:spacing w:after="0" w:line="235" w:lineRule="auto"/>
        <w:jc w:val="both"/>
        <w:sectPr>
          <w:type w:val="continuous"/>
          <w:pgSz w:w="11900" w:h="16840"/>
          <w:pgMar w:header="971" w:footer="0" w:top="3760" w:bottom="280" w:left="1275" w:right="1275"/>
          <w:cols w:num="2" w:equalWidth="0">
            <w:col w:w="478" w:space="63"/>
            <w:col w:w="8809"/>
          </w:cols>
        </w:sectPr>
      </w:pPr>
    </w:p>
    <w:p>
      <w:pPr>
        <w:pStyle w:val="BodyText"/>
        <w:spacing w:before="81"/>
      </w:pPr>
    </w:p>
    <w:p>
      <w:pPr>
        <w:tabs>
          <w:tab w:pos="705" w:val="left" w:leader="none"/>
        </w:tabs>
        <w:spacing w:before="0"/>
        <w:ind w:left="165" w:right="0" w:firstLine="0"/>
        <w:jc w:val="left"/>
        <w:rPr>
          <w:sz w:val="20"/>
        </w:rPr>
      </w:pPr>
      <w:hyperlink w:history="true" w:anchor="_bookmark935">
        <w:r>
          <w:rPr>
            <w:color w:val="005DA1"/>
            <w:spacing w:val="-4"/>
            <w:position w:val="5"/>
            <w:sz w:val="14"/>
            <w:u w:val="single" w:color="005DA1"/>
          </w:rPr>
          <w:t>532</w:t>
        </w:r>
      </w:hyperlink>
      <w:r>
        <w:rPr>
          <w:spacing w:val="-4"/>
          <w:position w:val="5"/>
          <w:sz w:val="14"/>
        </w:rPr>
        <w:t>.</w:t>
      </w:r>
      <w:r>
        <w:rPr>
          <w:position w:val="5"/>
          <w:sz w:val="14"/>
        </w:rPr>
        <w:tab/>
      </w:r>
      <w:r>
        <w:rPr>
          <w:rFonts w:ascii="Arial"/>
          <w:i/>
          <w:sz w:val="20"/>
        </w:rPr>
        <w:t>Roebuck v Mungovin [1994] A.C. 224, </w:t>
      </w:r>
      <w:r>
        <w:rPr>
          <w:rFonts w:ascii="Arial"/>
          <w:i/>
          <w:spacing w:val="-4"/>
          <w:sz w:val="20"/>
        </w:rPr>
        <w:t>234</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165" w:id="1167"/>
      <w:bookmarkEnd w:id="1167"/>
      <w:r>
        <w:rPr/>
      </w:r>
      <w:hyperlink w:history="true" w:anchor="_bookmark936">
        <w:r>
          <w:rPr>
            <w:color w:val="005DA1"/>
            <w:spacing w:val="-4"/>
            <w:position w:val="5"/>
            <w:sz w:val="14"/>
            <w:u w:val="single" w:color="005DA1"/>
          </w:rPr>
          <w:t>533</w:t>
        </w:r>
      </w:hyperlink>
      <w:r>
        <w:rPr>
          <w:spacing w:val="-4"/>
          <w:position w:val="5"/>
          <w:sz w:val="14"/>
        </w:rPr>
        <w:t>.</w:t>
      </w:r>
      <w:r>
        <w:rPr>
          <w:position w:val="5"/>
          <w:sz w:val="14"/>
        </w:rPr>
        <w:tab/>
      </w:r>
      <w:r>
        <w:rPr>
          <w:sz w:val="20"/>
        </w:rPr>
        <w:t>This is also true of cases such as </w:t>
      </w:r>
      <w:r>
        <w:rPr>
          <w:rFonts w:ascii="Arial"/>
          <w:i/>
          <w:sz w:val="20"/>
        </w:rPr>
        <w:t>Tool Metal Manufacturing Co Ltd v Tungsten Electric Co </w:t>
      </w:r>
      <w:r>
        <w:rPr>
          <w:rFonts w:ascii="Arial"/>
          <w:i/>
          <w:sz w:val="20"/>
        </w:rPr>
        <w:t>Ltd [1955]</w:t>
      </w:r>
      <w:r>
        <w:rPr>
          <w:rFonts w:ascii="Arial"/>
          <w:i/>
          <w:spacing w:val="23"/>
          <w:sz w:val="20"/>
        </w:rPr>
        <w:t> </w:t>
      </w:r>
      <w:r>
        <w:rPr>
          <w:rFonts w:ascii="Arial"/>
          <w:i/>
          <w:sz w:val="20"/>
        </w:rPr>
        <w:t>1</w:t>
      </w:r>
      <w:r>
        <w:rPr>
          <w:rFonts w:ascii="Arial"/>
          <w:i/>
          <w:spacing w:val="24"/>
          <w:sz w:val="20"/>
        </w:rPr>
        <w:t> </w:t>
      </w:r>
      <w:r>
        <w:rPr>
          <w:rFonts w:ascii="Arial"/>
          <w:i/>
          <w:sz w:val="20"/>
        </w:rPr>
        <w:t>W.L.R.</w:t>
      </w:r>
      <w:r>
        <w:rPr>
          <w:rFonts w:ascii="Arial"/>
          <w:i/>
          <w:spacing w:val="24"/>
          <w:sz w:val="20"/>
        </w:rPr>
        <w:t> </w:t>
      </w:r>
      <w:r>
        <w:rPr>
          <w:rFonts w:ascii="Arial"/>
          <w:i/>
          <w:sz w:val="20"/>
        </w:rPr>
        <w:t>761</w:t>
      </w:r>
      <w:r>
        <w:rPr>
          <w:rFonts w:ascii="Arial"/>
          <w:i/>
          <w:spacing w:val="24"/>
          <w:sz w:val="20"/>
        </w:rPr>
        <w:t> </w:t>
      </w:r>
      <w:r>
        <w:rPr>
          <w:sz w:val="20"/>
        </w:rPr>
        <w:t>and</w:t>
      </w:r>
      <w:r>
        <w:rPr>
          <w:spacing w:val="24"/>
          <w:sz w:val="20"/>
        </w:rPr>
        <w:t> </w:t>
      </w:r>
      <w:r>
        <w:rPr>
          <w:rFonts w:ascii="Arial"/>
          <w:i/>
          <w:sz w:val="20"/>
        </w:rPr>
        <w:t>Ajayi</w:t>
      </w:r>
      <w:r>
        <w:rPr>
          <w:rFonts w:ascii="Arial"/>
          <w:i/>
          <w:spacing w:val="24"/>
          <w:sz w:val="20"/>
        </w:rPr>
        <w:t> </w:t>
      </w:r>
      <w:r>
        <w:rPr>
          <w:rFonts w:ascii="Arial"/>
          <w:i/>
          <w:sz w:val="20"/>
        </w:rPr>
        <w:t>v</w:t>
      </w:r>
      <w:r>
        <w:rPr>
          <w:rFonts w:ascii="Arial"/>
          <w:i/>
          <w:spacing w:val="24"/>
          <w:sz w:val="20"/>
        </w:rPr>
        <w:t> </w:t>
      </w:r>
      <w:r>
        <w:rPr>
          <w:rFonts w:ascii="Arial"/>
          <w:i/>
          <w:sz w:val="20"/>
        </w:rPr>
        <w:t>R.</w:t>
      </w:r>
      <w:r>
        <w:rPr>
          <w:rFonts w:ascii="Arial"/>
          <w:i/>
          <w:spacing w:val="24"/>
          <w:sz w:val="20"/>
        </w:rPr>
        <w:t> </w:t>
      </w:r>
      <w:r>
        <w:rPr>
          <w:rFonts w:ascii="Arial"/>
          <w:i/>
          <w:sz w:val="20"/>
        </w:rPr>
        <w:t>T.</w:t>
      </w:r>
      <w:r>
        <w:rPr>
          <w:rFonts w:ascii="Arial"/>
          <w:i/>
          <w:spacing w:val="24"/>
          <w:sz w:val="20"/>
        </w:rPr>
        <w:t> </w:t>
      </w:r>
      <w:r>
        <w:rPr>
          <w:rFonts w:ascii="Arial"/>
          <w:i/>
          <w:sz w:val="20"/>
        </w:rPr>
        <w:t>Briscoe</w:t>
      </w:r>
      <w:r>
        <w:rPr>
          <w:rFonts w:ascii="Arial"/>
          <w:i/>
          <w:spacing w:val="24"/>
          <w:sz w:val="20"/>
        </w:rPr>
        <w:t> </w:t>
      </w:r>
      <w:r>
        <w:rPr>
          <w:rFonts w:ascii="Arial"/>
          <w:i/>
          <w:sz w:val="20"/>
        </w:rPr>
        <w:t>(Nig.)</w:t>
      </w:r>
      <w:r>
        <w:rPr>
          <w:rFonts w:ascii="Arial"/>
          <w:i/>
          <w:spacing w:val="24"/>
          <w:sz w:val="20"/>
        </w:rPr>
        <w:t> </w:t>
      </w:r>
      <w:r>
        <w:rPr>
          <w:rFonts w:ascii="Arial"/>
          <w:i/>
          <w:sz w:val="20"/>
        </w:rPr>
        <w:t>Ltd</w:t>
      </w:r>
      <w:r>
        <w:rPr>
          <w:rFonts w:ascii="Arial"/>
          <w:i/>
          <w:spacing w:val="24"/>
          <w:sz w:val="20"/>
        </w:rPr>
        <w:t> </w:t>
      </w:r>
      <w:r>
        <w:rPr>
          <w:rFonts w:ascii="Arial"/>
          <w:i/>
          <w:sz w:val="20"/>
        </w:rPr>
        <w:t>[1964]</w:t>
      </w:r>
      <w:r>
        <w:rPr>
          <w:rFonts w:ascii="Arial"/>
          <w:i/>
          <w:spacing w:val="24"/>
          <w:sz w:val="20"/>
        </w:rPr>
        <w:t> </w:t>
      </w:r>
      <w:r>
        <w:rPr>
          <w:rFonts w:ascii="Arial"/>
          <w:i/>
          <w:sz w:val="20"/>
        </w:rPr>
        <w:t>1</w:t>
      </w:r>
      <w:r>
        <w:rPr>
          <w:rFonts w:ascii="Arial"/>
          <w:i/>
          <w:spacing w:val="24"/>
          <w:sz w:val="20"/>
        </w:rPr>
        <w:t> </w:t>
      </w:r>
      <w:r>
        <w:rPr>
          <w:rFonts w:ascii="Arial"/>
          <w:i/>
          <w:sz w:val="20"/>
        </w:rPr>
        <w:t>W.L.R.</w:t>
      </w:r>
      <w:r>
        <w:rPr>
          <w:rFonts w:ascii="Arial"/>
          <w:i/>
          <w:spacing w:val="24"/>
          <w:sz w:val="20"/>
        </w:rPr>
        <w:t> </w:t>
      </w:r>
      <w:r>
        <w:rPr>
          <w:rFonts w:ascii="Arial"/>
          <w:i/>
          <w:sz w:val="20"/>
        </w:rPr>
        <w:t>1236</w:t>
      </w:r>
      <w:r>
        <w:rPr>
          <w:sz w:val="20"/>
        </w:rPr>
        <w:t>,</w:t>
      </w:r>
      <w:r>
        <w:rPr>
          <w:spacing w:val="24"/>
          <w:sz w:val="20"/>
        </w:rPr>
        <w:t> </w:t>
      </w:r>
      <w:r>
        <w:rPr>
          <w:sz w:val="20"/>
        </w:rPr>
        <w:t>discussed</w:t>
      </w:r>
      <w:r>
        <w:rPr>
          <w:spacing w:val="24"/>
          <w:sz w:val="20"/>
        </w:rPr>
        <w:t> </w:t>
      </w:r>
      <w:r>
        <w:rPr>
          <w:spacing w:val="-5"/>
          <w:sz w:val="20"/>
        </w:rPr>
        <w:t>in</w:t>
      </w:r>
    </w:p>
    <w:p>
      <w:pPr>
        <w:pStyle w:val="BodyText"/>
        <w:spacing w:line="225" w:lineRule="exact"/>
        <w:ind w:left="705"/>
      </w:pPr>
      <w:r>
        <w:rPr/>
        <w:t>paras 4-132 and 4-133 </w:t>
      </w:r>
      <w:r>
        <w:rPr>
          <w:spacing w:val="-2"/>
        </w:rPr>
        <w:t>below.</w:t>
      </w:r>
    </w:p>
    <w:p>
      <w:pPr>
        <w:pStyle w:val="BodyText"/>
        <w:spacing w:before="5"/>
      </w:pPr>
    </w:p>
    <w:p>
      <w:pPr>
        <w:pStyle w:val="BodyText"/>
        <w:tabs>
          <w:tab w:pos="705" w:val="left" w:leader="none"/>
        </w:tabs>
        <w:ind w:left="165"/>
      </w:pPr>
      <w:bookmarkStart w:name="_bookmark1166" w:id="1168"/>
      <w:bookmarkEnd w:id="1168"/>
      <w:r>
        <w:rPr/>
      </w:r>
      <w:hyperlink w:history="true" w:anchor="_bookmark937">
        <w:r>
          <w:rPr>
            <w:color w:val="005DA1"/>
            <w:spacing w:val="-4"/>
            <w:position w:val="5"/>
            <w:sz w:val="14"/>
            <w:u w:val="single" w:color="005DA1"/>
          </w:rPr>
          <w:t>534</w:t>
        </w:r>
      </w:hyperlink>
      <w:r>
        <w:rPr>
          <w:spacing w:val="-4"/>
          <w:position w:val="5"/>
          <w:sz w:val="14"/>
        </w:rPr>
        <w:t>.</w:t>
      </w:r>
      <w:r>
        <w:rPr>
          <w:position w:val="5"/>
          <w:sz w:val="14"/>
        </w:rPr>
        <w:tab/>
      </w:r>
      <w:r>
        <w:rPr/>
        <w:t>cf. below, para.4-</w:t>
      </w:r>
      <w:r>
        <w:rPr>
          <w:spacing w:val="-4"/>
        </w:rPr>
        <w:t>134.</w:t>
      </w:r>
    </w:p>
    <w:p>
      <w:pPr>
        <w:pStyle w:val="BodyText"/>
        <w:spacing w:before="8"/>
      </w:pPr>
    </w:p>
    <w:p>
      <w:pPr>
        <w:spacing w:line="235" w:lineRule="auto" w:before="1"/>
        <w:ind w:left="705" w:right="167" w:hanging="541"/>
        <w:jc w:val="both"/>
        <w:rPr>
          <w:sz w:val="20"/>
        </w:rPr>
      </w:pPr>
      <w:bookmarkStart w:name="_bookmark1167" w:id="1169"/>
      <w:bookmarkEnd w:id="1169"/>
      <w:r>
        <w:rPr/>
      </w:r>
      <w:hyperlink w:history="true" w:anchor="_bookmark938">
        <w:r>
          <w:rPr>
            <w:color w:val="005DA1"/>
            <w:position w:val="5"/>
            <w:sz w:val="14"/>
            <w:u w:val="single" w:color="005DA1"/>
          </w:rPr>
          <w:t>535</w:t>
        </w:r>
      </w:hyperlink>
      <w:r>
        <w:rPr>
          <w:position w:val="5"/>
          <w:sz w:val="14"/>
        </w:rPr>
        <w:t>.</w:t>
      </w:r>
      <w:r>
        <w:rPr>
          <w:spacing w:val="80"/>
          <w:position w:val="5"/>
          <w:sz w:val="14"/>
        </w:rPr>
        <w:t>  </w:t>
      </w:r>
      <w:r>
        <w:rPr>
          <w:rFonts w:ascii="Arial"/>
          <w:i/>
          <w:sz w:val="20"/>
        </w:rPr>
        <w:t>(1888) 40 Ch.D. 268</w:t>
      </w:r>
      <w:r>
        <w:rPr>
          <w:sz w:val="20"/>
        </w:rPr>
        <w:t>; cf. </w:t>
      </w:r>
      <w:r>
        <w:rPr>
          <w:rFonts w:ascii="Arial"/>
          <w:i/>
          <w:sz w:val="20"/>
        </w:rPr>
        <w:t>W. J. Alan &amp; Co Ltd v El Nasr Export &amp; Import Co [1972] 2 Q.B. 189</w:t>
      </w:r>
      <w:r>
        <w:rPr>
          <w:sz w:val="20"/>
        </w:rPr>
        <w:t>, where the actual decision was that there was a contractually binding variation: see above, </w:t>
      </w:r>
      <w:r>
        <w:rPr>
          <w:spacing w:val="-2"/>
          <w:sz w:val="20"/>
        </w:rPr>
        <w:t>para.4-080.</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1168" w:id="1170"/>
      <w:bookmarkEnd w:id="1170"/>
      <w:r>
        <w:rPr/>
      </w:r>
      <w:hyperlink w:history="true" w:anchor="_bookmark939">
        <w:r>
          <w:rPr>
            <w:color w:val="005DA1"/>
            <w:spacing w:val="-4"/>
            <w:position w:val="5"/>
            <w:sz w:val="14"/>
            <w:u w:val="single" w:color="005DA1"/>
          </w:rPr>
          <w:t>536</w:t>
        </w:r>
      </w:hyperlink>
      <w:r>
        <w:rPr>
          <w:spacing w:val="-4"/>
          <w:position w:val="5"/>
          <w:sz w:val="14"/>
        </w:rPr>
        <w:t>.</w:t>
      </w:r>
      <w:r>
        <w:rPr>
          <w:position w:val="5"/>
          <w:sz w:val="14"/>
        </w:rPr>
        <w:tab/>
      </w:r>
      <w:r>
        <w:rPr>
          <w:rFonts w:ascii="Arial"/>
          <w:i/>
          <w:sz w:val="20"/>
        </w:rPr>
        <w:t>Ogilvie</w:t>
      </w:r>
      <w:r>
        <w:rPr>
          <w:rFonts w:ascii="Arial"/>
          <w:i/>
          <w:spacing w:val="49"/>
          <w:sz w:val="20"/>
        </w:rPr>
        <w:t> </w:t>
      </w:r>
      <w:r>
        <w:rPr>
          <w:rFonts w:ascii="Arial"/>
          <w:i/>
          <w:sz w:val="20"/>
        </w:rPr>
        <w:t>v</w:t>
      </w:r>
      <w:r>
        <w:rPr>
          <w:rFonts w:ascii="Arial"/>
          <w:i/>
          <w:spacing w:val="50"/>
          <w:sz w:val="20"/>
        </w:rPr>
        <w:t> </w:t>
      </w:r>
      <w:r>
        <w:rPr>
          <w:rFonts w:ascii="Arial"/>
          <w:i/>
          <w:sz w:val="20"/>
        </w:rPr>
        <w:t>Hope-Davies</w:t>
      </w:r>
      <w:r>
        <w:rPr>
          <w:rFonts w:ascii="Arial"/>
          <w:i/>
          <w:spacing w:val="50"/>
          <w:sz w:val="20"/>
        </w:rPr>
        <w:t> </w:t>
      </w:r>
      <w:r>
        <w:rPr>
          <w:rFonts w:ascii="Arial"/>
          <w:i/>
          <w:sz w:val="20"/>
        </w:rPr>
        <w:t>[1976]</w:t>
      </w:r>
      <w:r>
        <w:rPr>
          <w:rFonts w:ascii="Arial"/>
          <w:i/>
          <w:spacing w:val="50"/>
          <w:sz w:val="20"/>
        </w:rPr>
        <w:t> </w:t>
      </w:r>
      <w:r>
        <w:rPr>
          <w:rFonts w:ascii="Arial"/>
          <w:i/>
          <w:sz w:val="20"/>
        </w:rPr>
        <w:t>1</w:t>
      </w:r>
      <w:r>
        <w:rPr>
          <w:rFonts w:ascii="Arial"/>
          <w:i/>
          <w:spacing w:val="50"/>
          <w:sz w:val="20"/>
        </w:rPr>
        <w:t> </w:t>
      </w:r>
      <w:r>
        <w:rPr>
          <w:rFonts w:ascii="Arial"/>
          <w:i/>
          <w:sz w:val="20"/>
        </w:rPr>
        <w:t>All</w:t>
      </w:r>
      <w:r>
        <w:rPr>
          <w:rFonts w:ascii="Arial"/>
          <w:i/>
          <w:spacing w:val="50"/>
          <w:sz w:val="20"/>
        </w:rPr>
        <w:t> </w:t>
      </w:r>
      <w:r>
        <w:rPr>
          <w:rFonts w:ascii="Arial"/>
          <w:i/>
          <w:sz w:val="20"/>
        </w:rPr>
        <w:t>E.R.</w:t>
      </w:r>
      <w:r>
        <w:rPr>
          <w:rFonts w:ascii="Arial"/>
          <w:i/>
          <w:spacing w:val="50"/>
          <w:sz w:val="20"/>
        </w:rPr>
        <w:t> </w:t>
      </w:r>
      <w:r>
        <w:rPr>
          <w:rFonts w:ascii="Arial"/>
          <w:i/>
          <w:sz w:val="20"/>
        </w:rPr>
        <w:t>683,</w:t>
      </w:r>
      <w:r>
        <w:rPr>
          <w:rFonts w:ascii="Arial"/>
          <w:i/>
          <w:spacing w:val="50"/>
          <w:sz w:val="20"/>
        </w:rPr>
        <w:t> </w:t>
      </w:r>
      <w:r>
        <w:rPr>
          <w:rFonts w:ascii="Arial"/>
          <w:i/>
          <w:sz w:val="20"/>
        </w:rPr>
        <w:t>696</w:t>
      </w:r>
      <w:r>
        <w:rPr>
          <w:sz w:val="20"/>
        </w:rPr>
        <w:t>;</w:t>
      </w:r>
      <w:r>
        <w:rPr>
          <w:spacing w:val="50"/>
          <w:sz w:val="20"/>
        </w:rPr>
        <w:t> </w:t>
      </w:r>
      <w:r>
        <w:rPr>
          <w:sz w:val="20"/>
        </w:rPr>
        <w:t>cf.</w:t>
      </w:r>
      <w:r>
        <w:rPr>
          <w:spacing w:val="50"/>
          <w:sz w:val="20"/>
        </w:rPr>
        <w:t> </w:t>
      </w:r>
      <w:r>
        <w:rPr>
          <w:rFonts w:ascii="Arial"/>
          <w:i/>
          <w:sz w:val="20"/>
        </w:rPr>
        <w:t>Voest</w:t>
      </w:r>
      <w:r>
        <w:rPr>
          <w:rFonts w:ascii="Arial"/>
          <w:i/>
          <w:spacing w:val="50"/>
          <w:sz w:val="20"/>
        </w:rPr>
        <w:t> </w:t>
      </w:r>
      <w:r>
        <w:rPr>
          <w:rFonts w:ascii="Arial"/>
          <w:i/>
          <w:sz w:val="20"/>
        </w:rPr>
        <w:t>Alpine</w:t>
      </w:r>
      <w:r>
        <w:rPr>
          <w:rFonts w:ascii="Arial"/>
          <w:i/>
          <w:spacing w:val="50"/>
          <w:sz w:val="20"/>
        </w:rPr>
        <w:t> </w:t>
      </w:r>
      <w:r>
        <w:rPr>
          <w:rFonts w:ascii="Arial"/>
          <w:i/>
          <w:sz w:val="20"/>
        </w:rPr>
        <w:t>International</w:t>
      </w:r>
      <w:r>
        <w:rPr>
          <w:rFonts w:ascii="Arial"/>
          <w:i/>
          <w:spacing w:val="50"/>
          <w:sz w:val="20"/>
        </w:rPr>
        <w:t> </w:t>
      </w:r>
      <w:r>
        <w:rPr>
          <w:rFonts w:ascii="Arial"/>
          <w:i/>
          <w:sz w:val="20"/>
        </w:rPr>
        <w:t>GmbH</w:t>
      </w:r>
      <w:r>
        <w:rPr>
          <w:rFonts w:ascii="Arial"/>
          <w:i/>
          <w:spacing w:val="50"/>
          <w:sz w:val="20"/>
        </w:rPr>
        <w:t> </w:t>
      </w:r>
      <w:r>
        <w:rPr>
          <w:rFonts w:ascii="Arial"/>
          <w:i/>
          <w:spacing w:val="-10"/>
          <w:sz w:val="20"/>
        </w:rPr>
        <w:t>v</w:t>
      </w:r>
    </w:p>
    <w:p>
      <w:pPr>
        <w:spacing w:line="227" w:lineRule="exact" w:before="0"/>
        <w:ind w:left="705" w:right="0" w:firstLine="0"/>
        <w:jc w:val="left"/>
        <w:rPr>
          <w:sz w:val="20"/>
        </w:rPr>
      </w:pPr>
      <w:r>
        <w:rPr>
          <w:rFonts w:ascii="Arial" w:hAnsi="Arial"/>
          <w:i/>
          <w:sz w:val="20"/>
        </w:rPr>
        <w:t>Chevron International Oil Co Ltd [1987] 2 Lloyd’s Rep. 547, </w:t>
      </w:r>
      <w:r>
        <w:rPr>
          <w:rFonts w:ascii="Arial" w:hAnsi="Arial"/>
          <w:i/>
          <w:spacing w:val="-4"/>
          <w:sz w:val="20"/>
        </w:rPr>
        <w:t>560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69" w:id="1171"/>
      <w:bookmarkEnd w:id="1171"/>
      <w:r>
        <w:rPr/>
      </w:r>
      <w:hyperlink w:history="true" w:anchor="_bookmark940">
        <w:r>
          <w:rPr>
            <w:color w:val="005DA1"/>
            <w:spacing w:val="-4"/>
            <w:position w:val="5"/>
            <w:sz w:val="14"/>
            <w:u w:val="single" w:color="005DA1"/>
          </w:rPr>
          <w:t>537</w:t>
        </w:r>
      </w:hyperlink>
      <w:r>
        <w:rPr>
          <w:spacing w:val="-4"/>
          <w:position w:val="5"/>
          <w:sz w:val="14"/>
        </w:rPr>
        <w:t>.</w:t>
      </w:r>
      <w:r>
        <w:rPr>
          <w:position w:val="5"/>
          <w:sz w:val="14"/>
        </w:rPr>
        <w:tab/>
      </w:r>
      <w:r>
        <w:rPr>
          <w:rFonts w:ascii="Arial" w:hAnsi="Arial"/>
          <w:i/>
          <w:sz w:val="20"/>
        </w:rPr>
        <w:t>Nippon Yusen Kaisha v Pacifica Navegacion SA (The Ion) [1980] 2 Lloyd’s Rep. </w:t>
      </w:r>
      <w:r>
        <w:rPr>
          <w:rFonts w:ascii="Arial" w:hAnsi="Arial"/>
          <w:i/>
          <w:spacing w:val="-4"/>
          <w:sz w:val="20"/>
        </w:rPr>
        <w:t>245</w:t>
      </w:r>
      <w:r>
        <w:rPr>
          <w:spacing w:val="-4"/>
          <w:sz w:val="20"/>
        </w:rPr>
        <w:t>.</w:t>
      </w:r>
    </w:p>
    <w:p>
      <w:pPr>
        <w:pStyle w:val="BodyText"/>
        <w:spacing w:before="8"/>
      </w:pPr>
    </w:p>
    <w:p>
      <w:pPr>
        <w:spacing w:line="235" w:lineRule="auto" w:before="1"/>
        <w:ind w:left="705" w:right="167" w:hanging="541"/>
        <w:jc w:val="both"/>
        <w:rPr>
          <w:sz w:val="20"/>
        </w:rPr>
      </w:pPr>
      <w:bookmarkStart w:name="_bookmark1170" w:id="1172"/>
      <w:bookmarkEnd w:id="1172"/>
      <w:r>
        <w:rPr/>
      </w:r>
      <w:hyperlink w:history="true" w:anchor="_bookmark941">
        <w:r>
          <w:rPr>
            <w:color w:val="005DA1"/>
            <w:position w:val="5"/>
            <w:sz w:val="14"/>
            <w:u w:val="single" w:color="005DA1"/>
          </w:rPr>
          <w:t>538</w:t>
        </w:r>
      </w:hyperlink>
      <w:r>
        <w:rPr>
          <w:position w:val="5"/>
          <w:sz w:val="14"/>
        </w:rPr>
        <w:t>.</w:t>
      </w:r>
      <w:r>
        <w:rPr>
          <w:spacing w:val="80"/>
          <w:position w:val="5"/>
          <w:sz w:val="14"/>
        </w:rPr>
        <w:t>  </w:t>
      </w:r>
      <w:r>
        <w:rPr>
          <w:sz w:val="20"/>
        </w:rPr>
        <w:t>See </w:t>
      </w:r>
      <w:r>
        <w:rPr>
          <w:rFonts w:ascii="Arial" w:hAnsi="Arial"/>
          <w:i/>
          <w:sz w:val="20"/>
        </w:rPr>
        <w:t>Maharaj v Chand [1986] A.C. 898</w:t>
      </w:r>
      <w:r>
        <w:rPr>
          <w:sz w:val="20"/>
        </w:rPr>
        <w:t>; cf. </w:t>
      </w:r>
      <w:r>
        <w:rPr>
          <w:rFonts w:ascii="Arial" w:hAnsi="Arial"/>
          <w:i/>
          <w:sz w:val="20"/>
        </w:rPr>
        <w:t>W. J. Alan &amp; Co Ltd v El Nasr Export &amp; Import Co [1972] 2 Q.B. 189 </w:t>
      </w:r>
      <w:r>
        <w:rPr>
          <w:sz w:val="20"/>
        </w:rPr>
        <w:t>(where the actual decision was that there was a variation supported </w:t>
      </w:r>
      <w:r>
        <w:rPr>
          <w:sz w:val="20"/>
        </w:rPr>
        <w:t>by consideration);</w:t>
      </w:r>
      <w:r>
        <w:rPr>
          <w:spacing w:val="-3"/>
          <w:sz w:val="20"/>
        </w:rPr>
        <w:t> </w:t>
      </w:r>
      <w:r>
        <w:rPr>
          <w:rFonts w:ascii="Arial" w:hAnsi="Arial"/>
          <w:i/>
          <w:sz w:val="20"/>
        </w:rPr>
        <w:t>Bottiglieri</w:t>
      </w:r>
      <w:r>
        <w:rPr>
          <w:rFonts w:ascii="Arial" w:hAnsi="Arial"/>
          <w:i/>
          <w:spacing w:val="-3"/>
          <w:sz w:val="20"/>
        </w:rPr>
        <w:t> </w:t>
      </w:r>
      <w:r>
        <w:rPr>
          <w:rFonts w:ascii="Arial" w:hAnsi="Arial"/>
          <w:i/>
          <w:sz w:val="20"/>
        </w:rPr>
        <w:t>di</w:t>
      </w:r>
      <w:r>
        <w:rPr>
          <w:rFonts w:ascii="Arial" w:hAnsi="Arial"/>
          <w:i/>
          <w:spacing w:val="-3"/>
          <w:sz w:val="20"/>
        </w:rPr>
        <w:t> </w:t>
      </w:r>
      <w:r>
        <w:rPr>
          <w:rFonts w:ascii="Arial" w:hAnsi="Arial"/>
          <w:i/>
          <w:sz w:val="20"/>
        </w:rPr>
        <w:t>Navigazione</w:t>
      </w:r>
      <w:r>
        <w:rPr>
          <w:rFonts w:ascii="Arial" w:hAnsi="Arial"/>
          <w:i/>
          <w:spacing w:val="-3"/>
          <w:sz w:val="20"/>
        </w:rPr>
        <w:t> </w:t>
      </w:r>
      <w:r>
        <w:rPr>
          <w:rFonts w:ascii="Arial" w:hAnsi="Arial"/>
          <w:i/>
          <w:sz w:val="20"/>
        </w:rPr>
        <w:t>SpA</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Cosco</w:t>
      </w:r>
      <w:r>
        <w:rPr>
          <w:rFonts w:ascii="Arial" w:hAnsi="Arial"/>
          <w:i/>
          <w:spacing w:val="-3"/>
          <w:sz w:val="20"/>
        </w:rPr>
        <w:t> </w:t>
      </w:r>
      <w:r>
        <w:rPr>
          <w:rFonts w:ascii="Arial" w:hAnsi="Arial"/>
          <w:i/>
          <w:sz w:val="20"/>
        </w:rPr>
        <w:t>Quindao</w:t>
      </w:r>
      <w:r>
        <w:rPr>
          <w:rFonts w:ascii="Arial" w:hAnsi="Arial"/>
          <w:i/>
          <w:spacing w:val="-3"/>
          <w:sz w:val="20"/>
        </w:rPr>
        <w:t> </w:t>
      </w:r>
      <w:r>
        <w:rPr>
          <w:rFonts w:ascii="Arial" w:hAnsi="Arial"/>
          <w:i/>
          <w:sz w:val="20"/>
        </w:rPr>
        <w:t>Ocean</w:t>
      </w:r>
      <w:r>
        <w:rPr>
          <w:rFonts w:ascii="Arial" w:hAnsi="Arial"/>
          <w:i/>
          <w:spacing w:val="-3"/>
          <w:sz w:val="20"/>
        </w:rPr>
        <w:t> </w:t>
      </w:r>
      <w:r>
        <w:rPr>
          <w:rFonts w:ascii="Arial" w:hAnsi="Arial"/>
          <w:i/>
          <w:sz w:val="20"/>
        </w:rPr>
        <w:t>Shipping</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(The</w:t>
      </w:r>
      <w:r>
        <w:rPr>
          <w:rFonts w:ascii="Arial" w:hAnsi="Arial"/>
          <w:i/>
          <w:spacing w:val="-3"/>
          <w:sz w:val="20"/>
        </w:rPr>
        <w:t> </w:t>
      </w:r>
      <w:r>
        <w:rPr>
          <w:rFonts w:ascii="Arial" w:hAnsi="Arial"/>
          <w:i/>
          <w:sz w:val="20"/>
        </w:rPr>
        <w:t>Bunge Saga</w:t>
      </w:r>
      <w:r>
        <w:rPr>
          <w:rFonts w:ascii="Arial" w:hAnsi="Arial"/>
          <w:i/>
          <w:spacing w:val="-2"/>
          <w:sz w:val="20"/>
        </w:rPr>
        <w:t> </w:t>
      </w:r>
      <w:r>
        <w:rPr>
          <w:rFonts w:ascii="Arial" w:hAnsi="Arial"/>
          <w:i/>
          <w:sz w:val="20"/>
        </w:rPr>
        <w:t>Lima)</w:t>
      </w:r>
      <w:r>
        <w:rPr>
          <w:rFonts w:ascii="Arial" w:hAnsi="Arial"/>
          <w:i/>
          <w:spacing w:val="-2"/>
          <w:sz w:val="20"/>
        </w:rPr>
        <w:t> </w:t>
      </w:r>
      <w:r>
        <w:rPr>
          <w:rFonts w:ascii="Arial" w:hAnsi="Arial"/>
          <w:i/>
          <w:sz w:val="20"/>
        </w:rPr>
        <w:t>[2005]</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244</w:t>
      </w:r>
      <w:r>
        <w:rPr>
          <w:rFonts w:ascii="Arial" w:hAnsi="Arial"/>
          <w:i/>
          <w:spacing w:val="-2"/>
          <w:sz w:val="20"/>
        </w:rPr>
        <w:t> </w:t>
      </w:r>
      <w:r>
        <w:rPr>
          <w:rFonts w:ascii="Arial" w:hAnsi="Arial"/>
          <w:i/>
          <w:sz w:val="20"/>
        </w:rPr>
        <w:t>(Comm),</w:t>
      </w:r>
      <w:r>
        <w:rPr>
          <w:rFonts w:ascii="Arial" w:hAnsi="Arial"/>
          <w:i/>
          <w:spacing w:val="-2"/>
          <w:sz w:val="20"/>
        </w:rPr>
        <w:t> </w:t>
      </w:r>
      <w:r>
        <w:rPr>
          <w:rFonts w:ascii="Arial" w:hAnsi="Arial"/>
          <w:i/>
          <w:sz w:val="20"/>
        </w:rPr>
        <w:t>[2005]</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1</w:t>
      </w:r>
      <w:r>
        <w:rPr>
          <w:rFonts w:ascii="Arial" w:hAnsi="Arial"/>
          <w:i/>
          <w:spacing w:val="-3"/>
          <w:sz w:val="20"/>
        </w:rPr>
        <w:t> </w:t>
      </w:r>
      <w:r>
        <w:rPr>
          <w:sz w:val="20"/>
        </w:rPr>
        <w:t>at</w:t>
      </w:r>
      <w:r>
        <w:rPr>
          <w:spacing w:val="-2"/>
          <w:sz w:val="20"/>
        </w:rPr>
        <w:t> </w:t>
      </w:r>
      <w:r>
        <w:rPr>
          <w:sz w:val="20"/>
        </w:rPr>
        <w:t>[31].</w:t>
      </w:r>
      <w:r>
        <w:rPr>
          <w:spacing w:val="-2"/>
          <w:sz w:val="20"/>
        </w:rPr>
        <w:t> </w:t>
      </w:r>
      <w:r>
        <w:rPr>
          <w:sz w:val="20"/>
        </w:rPr>
        <w:t>The</w:t>
      </w:r>
      <w:r>
        <w:rPr>
          <w:spacing w:val="-2"/>
          <w:sz w:val="20"/>
        </w:rPr>
        <w:t> </w:t>
      </w:r>
      <w:r>
        <w:rPr>
          <w:sz w:val="20"/>
        </w:rPr>
        <w:t>further</w:t>
      </w:r>
      <w:r>
        <w:rPr>
          <w:spacing w:val="-2"/>
          <w:sz w:val="20"/>
        </w:rPr>
        <w:t> </w:t>
      </w:r>
      <w:r>
        <w:rPr>
          <w:sz w:val="20"/>
        </w:rPr>
        <w:t>statement</w:t>
      </w:r>
      <w:r>
        <w:rPr>
          <w:spacing w:val="-2"/>
          <w:sz w:val="20"/>
        </w:rPr>
        <w:t> </w:t>
      </w:r>
      <w:r>
        <w:rPr>
          <w:sz w:val="20"/>
        </w:rPr>
        <w:t>in this passage that “no revocation can be retrospective” is, with respect, open to question; in a sense, any reassertion of the original obligation has “retrospective” effect. The crucial limitation on</w:t>
      </w:r>
      <w:r>
        <w:rPr>
          <w:spacing w:val="-1"/>
          <w:sz w:val="20"/>
        </w:rPr>
        <w:t> </w:t>
      </w:r>
      <w:r>
        <w:rPr>
          <w:sz w:val="20"/>
        </w:rPr>
        <w:t>the</w:t>
      </w:r>
      <w:r>
        <w:rPr>
          <w:spacing w:val="-1"/>
          <w:sz w:val="20"/>
        </w:rPr>
        <w:t> </w:t>
      </w:r>
      <w:r>
        <w:rPr>
          <w:sz w:val="20"/>
        </w:rPr>
        <w:t>effectiveness</w:t>
      </w:r>
      <w:r>
        <w:rPr>
          <w:spacing w:val="-1"/>
          <w:sz w:val="20"/>
        </w:rPr>
        <w:t> </w:t>
      </w:r>
      <w:r>
        <w:rPr>
          <w:sz w:val="20"/>
        </w:rPr>
        <w:t>of</w:t>
      </w:r>
      <w:r>
        <w:rPr>
          <w:spacing w:val="-1"/>
          <w:sz w:val="20"/>
        </w:rPr>
        <w:t> </w:t>
      </w:r>
      <w:r>
        <w:rPr>
          <w:sz w:val="20"/>
        </w:rPr>
        <w:t>a</w:t>
      </w:r>
      <w:r>
        <w:rPr>
          <w:spacing w:val="-1"/>
          <w:sz w:val="20"/>
        </w:rPr>
        <w:t> </w:t>
      </w:r>
      <w:r>
        <w:rPr>
          <w:sz w:val="20"/>
        </w:rPr>
        <w:t>revocation</w:t>
      </w:r>
      <w:r>
        <w:rPr>
          <w:spacing w:val="-1"/>
          <w:sz w:val="20"/>
        </w:rPr>
        <w:t> </w:t>
      </w:r>
      <w:r>
        <w:rPr>
          <w:sz w:val="20"/>
        </w:rPr>
        <w:t>lies</w:t>
      </w:r>
      <w:r>
        <w:rPr>
          <w:spacing w:val="-1"/>
          <w:sz w:val="20"/>
        </w:rPr>
        <w:t> </w:t>
      </w:r>
      <w:r>
        <w:rPr>
          <w:sz w:val="20"/>
        </w:rPr>
        <w:t>in</w:t>
      </w:r>
      <w:r>
        <w:rPr>
          <w:spacing w:val="-1"/>
          <w:sz w:val="20"/>
        </w:rPr>
        <w:t> </w:t>
      </w:r>
      <w:r>
        <w:rPr>
          <w:sz w:val="20"/>
        </w:rPr>
        <w:t>its</w:t>
      </w:r>
      <w:r>
        <w:rPr>
          <w:spacing w:val="-1"/>
          <w:sz w:val="20"/>
        </w:rPr>
        <w:t> </w:t>
      </w:r>
      <w:r>
        <w:rPr>
          <w:sz w:val="20"/>
        </w:rPr>
        <w:t>inequitable,</w:t>
      </w:r>
      <w:r>
        <w:rPr>
          <w:spacing w:val="-1"/>
          <w:sz w:val="20"/>
        </w:rPr>
        <w:t> </w:t>
      </w:r>
      <w:r>
        <w:rPr>
          <w:sz w:val="20"/>
        </w:rPr>
        <w:t>rather</w:t>
      </w:r>
      <w:r>
        <w:rPr>
          <w:spacing w:val="-1"/>
          <w:sz w:val="20"/>
        </w:rPr>
        <w:t> </w:t>
      </w:r>
      <w:r>
        <w:rPr>
          <w:sz w:val="20"/>
        </w:rPr>
        <w:t>than</w:t>
      </w:r>
      <w:r>
        <w:rPr>
          <w:spacing w:val="-1"/>
          <w:sz w:val="20"/>
        </w:rPr>
        <w:t> </w:t>
      </w:r>
      <w:r>
        <w:rPr>
          <w:sz w:val="20"/>
        </w:rPr>
        <w:t>in</w:t>
      </w:r>
      <w:r>
        <w:rPr>
          <w:spacing w:val="-1"/>
          <w:sz w:val="20"/>
        </w:rPr>
        <w:t> </w:t>
      </w:r>
      <w:r>
        <w:rPr>
          <w:sz w:val="20"/>
        </w:rPr>
        <w:t>its</w:t>
      </w:r>
      <w:r>
        <w:rPr>
          <w:spacing w:val="-1"/>
          <w:sz w:val="20"/>
        </w:rPr>
        <w:t> </w:t>
      </w:r>
      <w:r>
        <w:rPr>
          <w:sz w:val="20"/>
        </w:rPr>
        <w:t>merely</w:t>
      </w:r>
      <w:r>
        <w:rPr>
          <w:spacing w:val="-1"/>
          <w:sz w:val="20"/>
        </w:rPr>
        <w:t> </w:t>
      </w:r>
      <w:r>
        <w:rPr>
          <w:sz w:val="20"/>
        </w:rPr>
        <w:t>retrospective, operation. This seems to be the test approved in </w:t>
      </w:r>
      <w:r>
        <w:rPr>
          <w:rFonts w:ascii="Arial" w:hAnsi="Arial"/>
          <w:i/>
          <w:sz w:val="20"/>
        </w:rPr>
        <w:t>Virulite LLC v Virulite Distribution Ltd [2014] EWHC 366 (QB), [2015] 1 All E.R. (Comm) 204 </w:t>
      </w:r>
      <w:r>
        <w:rPr>
          <w:sz w:val="20"/>
        </w:rPr>
        <w:t>at [122] (“the determinative consideration is whether it is inequitable in all the circumstances for the representor to enforce his rights inconsistently with his representation”). The judgment goes on to suggest that, for this purpose, “there may be a material difference between an open-ended forbearance [as in </w:t>
      </w:r>
      <w:r>
        <w:rPr>
          <w:rFonts w:ascii="Arial" w:hAnsi="Arial"/>
          <w:i/>
          <w:sz w:val="20"/>
        </w:rPr>
        <w:t>Hughes v Metropolitan</w:t>
      </w:r>
      <w:r>
        <w:rPr>
          <w:rFonts w:ascii="Arial" w:hAnsi="Arial"/>
          <w:i/>
          <w:spacing w:val="-1"/>
          <w:sz w:val="20"/>
        </w:rPr>
        <w:t> </w:t>
      </w:r>
      <w:r>
        <w:rPr>
          <w:rFonts w:ascii="Arial" w:hAnsi="Arial"/>
          <w:i/>
          <w:sz w:val="20"/>
        </w:rPr>
        <w:t>Ry</w:t>
      </w:r>
      <w:r>
        <w:rPr>
          <w:rFonts w:ascii="Arial" w:hAnsi="Arial"/>
          <w:i/>
          <w:spacing w:val="-1"/>
          <w:sz w:val="20"/>
        </w:rPr>
        <w:t> </w:t>
      </w:r>
      <w:r>
        <w:rPr>
          <w:rFonts w:ascii="Arial" w:hAnsi="Arial"/>
          <w:i/>
          <w:sz w:val="20"/>
        </w:rPr>
        <w:t>(1877)</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App.</w:t>
      </w:r>
      <w:r>
        <w:rPr>
          <w:rFonts w:ascii="Arial" w:hAnsi="Arial"/>
          <w:i/>
          <w:spacing w:val="-1"/>
          <w:sz w:val="20"/>
        </w:rPr>
        <w:t> </w:t>
      </w:r>
      <w:r>
        <w:rPr>
          <w:rFonts w:ascii="Arial" w:hAnsi="Arial"/>
          <w:i/>
          <w:sz w:val="20"/>
        </w:rPr>
        <w:t>Cas.</w:t>
      </w:r>
      <w:r>
        <w:rPr>
          <w:rFonts w:ascii="Arial" w:hAnsi="Arial"/>
          <w:i/>
          <w:spacing w:val="-1"/>
          <w:sz w:val="20"/>
        </w:rPr>
        <w:t> </w:t>
      </w:r>
      <w:r>
        <w:rPr>
          <w:rFonts w:ascii="Arial" w:hAnsi="Arial"/>
          <w:i/>
          <w:sz w:val="20"/>
        </w:rPr>
        <w:t>439</w:t>
      </w:r>
      <w:r>
        <w:rPr>
          <w:sz w:val="20"/>
        </w:rPr>
        <w:t>,</w:t>
      </w:r>
      <w:r>
        <w:rPr>
          <w:spacing w:val="-1"/>
          <w:sz w:val="20"/>
        </w:rPr>
        <w:t> </w:t>
      </w:r>
      <w:r>
        <w:rPr>
          <w:sz w:val="20"/>
        </w:rPr>
        <w:t>above</w:t>
      </w:r>
      <w:r>
        <w:rPr>
          <w:spacing w:val="-1"/>
          <w:sz w:val="20"/>
        </w:rPr>
        <w:t> </w:t>
      </w:r>
      <w:r>
        <w:rPr>
          <w:sz w:val="20"/>
        </w:rPr>
        <w:t>para.4-086]</w:t>
      </w:r>
      <w:r>
        <w:rPr>
          <w:spacing w:val="-1"/>
          <w:sz w:val="20"/>
        </w:rPr>
        <w:t> </w:t>
      </w:r>
      <w:r>
        <w:rPr>
          <w:sz w:val="20"/>
        </w:rPr>
        <w:t>and</w:t>
      </w:r>
      <w:r>
        <w:rPr>
          <w:spacing w:val="-1"/>
          <w:sz w:val="20"/>
        </w:rPr>
        <w:t> </w:t>
      </w:r>
      <w:r>
        <w:rPr>
          <w:sz w:val="20"/>
        </w:rPr>
        <w:t>a</w:t>
      </w:r>
      <w:r>
        <w:rPr>
          <w:spacing w:val="-1"/>
          <w:sz w:val="20"/>
        </w:rPr>
        <w:t> </w:t>
      </w:r>
      <w:r>
        <w:rPr>
          <w:sz w:val="20"/>
        </w:rPr>
        <w:t>promise</w:t>
      </w:r>
      <w:r>
        <w:rPr>
          <w:spacing w:val="-1"/>
          <w:sz w:val="20"/>
        </w:rPr>
        <w:t> </w:t>
      </w:r>
      <w:r>
        <w:rPr>
          <w:sz w:val="20"/>
        </w:rPr>
        <w:t>not</w:t>
      </w:r>
      <w:r>
        <w:rPr>
          <w:spacing w:val="-1"/>
          <w:sz w:val="20"/>
        </w:rPr>
        <w:t> </w:t>
      </w:r>
      <w:r>
        <w:rPr>
          <w:sz w:val="20"/>
        </w:rPr>
        <w:t>to</w:t>
      </w:r>
      <w:r>
        <w:rPr>
          <w:spacing w:val="-1"/>
          <w:sz w:val="20"/>
        </w:rPr>
        <w:t> </w:t>
      </w:r>
      <w:r>
        <w:rPr>
          <w:sz w:val="20"/>
        </w:rPr>
        <w:t>enforce</w:t>
      </w:r>
      <w:r>
        <w:rPr>
          <w:spacing w:val="-1"/>
          <w:sz w:val="20"/>
        </w:rPr>
        <w:t> </w:t>
      </w:r>
      <w:r>
        <w:rPr>
          <w:sz w:val="20"/>
        </w:rPr>
        <w:t>until</w:t>
      </w:r>
      <w:r>
        <w:rPr>
          <w:spacing w:val="-1"/>
          <w:sz w:val="20"/>
        </w:rPr>
        <w:t> </w:t>
      </w:r>
      <w:r>
        <w:rPr>
          <w:sz w:val="20"/>
        </w:rPr>
        <w:t>a particular date is reached or a particular set of circumstances prevails.”</w:t>
      </w:r>
    </w:p>
    <w:p>
      <w:pPr>
        <w:pStyle w:val="BodyText"/>
        <w:spacing w:before="4"/>
      </w:pPr>
    </w:p>
    <w:p>
      <w:pPr>
        <w:tabs>
          <w:tab w:pos="705" w:val="left" w:leader="none"/>
        </w:tabs>
        <w:spacing w:line="235" w:lineRule="auto" w:before="0"/>
        <w:ind w:left="705" w:right="168" w:hanging="541"/>
        <w:jc w:val="left"/>
        <w:rPr>
          <w:sz w:val="20"/>
        </w:rPr>
      </w:pPr>
      <w:bookmarkStart w:name="_bookmark1171" w:id="1173"/>
      <w:bookmarkEnd w:id="1173"/>
      <w:r>
        <w:rPr/>
      </w:r>
      <w:hyperlink w:history="true" w:anchor="_bookmark942">
        <w:r>
          <w:rPr>
            <w:color w:val="005DA1"/>
            <w:spacing w:val="-4"/>
            <w:position w:val="5"/>
            <w:sz w:val="14"/>
            <w:u w:val="single" w:color="005DA1"/>
          </w:rPr>
          <w:t>539</w:t>
        </w:r>
      </w:hyperlink>
      <w:r>
        <w:rPr>
          <w:spacing w:val="-4"/>
          <w:position w:val="5"/>
          <w:sz w:val="14"/>
        </w:rPr>
        <w:t>.</w:t>
      </w:r>
      <w:r>
        <w:rPr>
          <w:position w:val="5"/>
          <w:sz w:val="14"/>
        </w:rPr>
        <w:tab/>
      </w:r>
      <w:r>
        <w:rPr>
          <w:rFonts w:ascii="Arial"/>
          <w:i/>
          <w:sz w:val="20"/>
        </w:rPr>
        <w:t>Combe v Combe [1951] 2 K.B. 215 </w:t>
      </w:r>
      <w:r>
        <w:rPr>
          <w:sz w:val="20"/>
        </w:rPr>
        <w:t>at 219; the point had been foreshadowed in </w:t>
      </w:r>
      <w:r>
        <w:rPr>
          <w:rFonts w:ascii="Arial"/>
          <w:i/>
          <w:sz w:val="20"/>
        </w:rPr>
        <w:t>Central London Property Trust Ltd v High Trees House Ltd [1947] K.B. 130 </w:t>
      </w:r>
      <w:r>
        <w:rPr>
          <w:sz w:val="20"/>
        </w:rPr>
        <w:t>at 134.</w:t>
      </w:r>
    </w:p>
    <w:p>
      <w:pPr>
        <w:pStyle w:val="BodyText"/>
        <w:spacing w:before="6"/>
      </w:pPr>
    </w:p>
    <w:p>
      <w:pPr>
        <w:tabs>
          <w:tab w:pos="705" w:val="left" w:leader="none"/>
        </w:tabs>
        <w:spacing w:before="0"/>
        <w:ind w:left="165" w:right="0" w:firstLine="0"/>
        <w:jc w:val="left"/>
        <w:rPr>
          <w:sz w:val="20"/>
        </w:rPr>
      </w:pPr>
      <w:bookmarkStart w:name="_bookmark1172" w:id="1174"/>
      <w:bookmarkEnd w:id="1174"/>
      <w:r>
        <w:rPr/>
      </w:r>
      <w:hyperlink w:history="true" w:anchor="_bookmark942">
        <w:r>
          <w:rPr>
            <w:color w:val="005DA1"/>
            <w:spacing w:val="-4"/>
            <w:position w:val="5"/>
            <w:sz w:val="14"/>
            <w:u w:val="single" w:color="005DA1"/>
          </w:rPr>
          <w:t>540</w:t>
        </w:r>
      </w:hyperlink>
      <w:r>
        <w:rPr>
          <w:spacing w:val="-4"/>
          <w:position w:val="5"/>
          <w:sz w:val="14"/>
        </w:rPr>
        <w:t>.</w:t>
      </w:r>
      <w:r>
        <w:rPr>
          <w:position w:val="5"/>
          <w:sz w:val="14"/>
        </w:rPr>
        <w:tab/>
      </w:r>
      <w:r>
        <w:rPr>
          <w:rFonts w:ascii="Arial"/>
          <w:i/>
          <w:sz w:val="20"/>
        </w:rPr>
        <w:t>[1951]</w:t>
      </w:r>
      <w:r>
        <w:rPr>
          <w:rFonts w:ascii="Arial"/>
          <w:i/>
          <w:spacing w:val="-2"/>
          <w:sz w:val="20"/>
        </w:rPr>
        <w:t> </w:t>
      </w:r>
      <w:r>
        <w:rPr>
          <w:rFonts w:ascii="Arial"/>
          <w:i/>
          <w:sz w:val="20"/>
        </w:rPr>
        <w:t>2 K.B. </w:t>
      </w:r>
      <w:r>
        <w:rPr>
          <w:rFonts w:ascii="Arial"/>
          <w:i/>
          <w:spacing w:val="-4"/>
          <w:sz w:val="20"/>
        </w:rPr>
        <w:t>215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73" w:id="1175"/>
      <w:bookmarkEnd w:id="1175"/>
      <w:r>
        <w:rPr/>
      </w:r>
      <w:hyperlink w:history="true" w:anchor="_bookmark943">
        <w:r>
          <w:rPr>
            <w:color w:val="005DA1"/>
            <w:spacing w:val="-4"/>
            <w:position w:val="5"/>
            <w:sz w:val="14"/>
            <w:u w:val="single" w:color="005DA1"/>
          </w:rPr>
          <w:t>541</w:t>
        </w:r>
      </w:hyperlink>
      <w:r>
        <w:rPr>
          <w:spacing w:val="-4"/>
          <w:position w:val="5"/>
          <w:sz w:val="14"/>
        </w:rPr>
        <w:t>.</w:t>
      </w:r>
      <w:r>
        <w:rPr>
          <w:position w:val="5"/>
          <w:sz w:val="14"/>
        </w:rPr>
        <w:tab/>
      </w:r>
      <w:r>
        <w:rPr>
          <w:sz w:val="20"/>
        </w:rPr>
        <w:t>Above, para.4-</w:t>
      </w:r>
      <w:r>
        <w:rPr>
          <w:spacing w:val="-4"/>
          <w:sz w:val="20"/>
        </w:rPr>
        <w:t>061.</w:t>
      </w:r>
    </w:p>
    <w:p>
      <w:pPr>
        <w:pStyle w:val="BodyText"/>
        <w:spacing w:before="8"/>
      </w:pPr>
    </w:p>
    <w:p>
      <w:pPr>
        <w:spacing w:line="235" w:lineRule="auto" w:before="1"/>
        <w:ind w:left="705" w:right="167" w:hanging="541"/>
        <w:jc w:val="both"/>
        <w:rPr>
          <w:sz w:val="20"/>
        </w:rPr>
      </w:pPr>
      <w:bookmarkStart w:name="_bookmark1174" w:id="1176"/>
      <w:bookmarkEnd w:id="1176"/>
      <w:r>
        <w:rPr/>
      </w:r>
      <w:hyperlink w:history="true" w:anchor="_bookmark944">
        <w:r>
          <w:rPr>
            <w:color w:val="005DA1"/>
            <w:position w:val="5"/>
            <w:sz w:val="14"/>
            <w:u w:val="single" w:color="005DA1"/>
          </w:rPr>
          <w:t>542</w:t>
        </w:r>
      </w:hyperlink>
      <w:r>
        <w:rPr>
          <w:position w:val="5"/>
          <w:sz w:val="14"/>
        </w:rPr>
        <w:t>.</w:t>
      </w:r>
      <w:r>
        <w:rPr>
          <w:spacing w:val="40"/>
          <w:position w:val="5"/>
          <w:sz w:val="14"/>
        </w:rPr>
        <w:t>  </w:t>
      </w:r>
      <w:r>
        <w:rPr>
          <w:rFonts w:ascii="Arial"/>
          <w:i/>
          <w:sz w:val="20"/>
        </w:rPr>
        <w:t>Baird Textile Holdings Ltd v Marks &amp; Spencer plc [2001] EWCA Civ 274; [2002] 1 All E.R. (Comm) 737 </w:t>
      </w:r>
      <w:r>
        <w:rPr>
          <w:sz w:val="20"/>
        </w:rPr>
        <w:t>at [91]; for the difficulty of distinguishing in that case between reliance </w:t>
      </w:r>
      <w:r>
        <w:rPr>
          <w:sz w:val="20"/>
        </w:rPr>
        <w:t>and expectation loss, see ibid., at [81], [82].</w:t>
      </w:r>
    </w:p>
    <w:p>
      <w:pPr>
        <w:pStyle w:val="BodyText"/>
        <w:spacing w:before="4"/>
      </w:pPr>
    </w:p>
    <w:p>
      <w:pPr>
        <w:pStyle w:val="BodyText"/>
        <w:tabs>
          <w:tab w:pos="705" w:val="left" w:leader="none"/>
        </w:tabs>
        <w:spacing w:before="1"/>
        <w:ind w:left="165"/>
      </w:pPr>
      <w:bookmarkStart w:name="_bookmark1175" w:id="1177"/>
      <w:bookmarkEnd w:id="1177"/>
      <w:r>
        <w:rPr/>
      </w:r>
      <w:hyperlink w:history="true" w:anchor="_bookmark945">
        <w:r>
          <w:rPr>
            <w:color w:val="005DA1"/>
            <w:spacing w:val="-4"/>
            <w:position w:val="5"/>
            <w:sz w:val="14"/>
            <w:u w:val="single" w:color="005DA1"/>
          </w:rPr>
          <w:t>543</w:t>
        </w:r>
      </w:hyperlink>
      <w:r>
        <w:rPr>
          <w:spacing w:val="-4"/>
          <w:position w:val="5"/>
          <w:sz w:val="14"/>
        </w:rPr>
        <w:t>.</w:t>
      </w:r>
      <w:r>
        <w:rPr>
          <w:position w:val="5"/>
          <w:sz w:val="14"/>
        </w:rPr>
        <w:tab/>
      </w:r>
      <w:r>
        <w:rPr/>
        <w:t>Above, para.4-086, below, para.4-</w:t>
      </w:r>
      <w:r>
        <w:rPr>
          <w:spacing w:val="-4"/>
        </w:rPr>
        <w:t>104.</w:t>
      </w:r>
    </w:p>
    <w:p>
      <w:pPr>
        <w:pStyle w:val="BodyText"/>
        <w:spacing w:before="5"/>
      </w:pPr>
    </w:p>
    <w:p>
      <w:pPr>
        <w:tabs>
          <w:tab w:pos="705" w:val="left" w:leader="none"/>
        </w:tabs>
        <w:spacing w:before="0"/>
        <w:ind w:left="165" w:right="0" w:firstLine="0"/>
        <w:jc w:val="left"/>
        <w:rPr>
          <w:sz w:val="20"/>
        </w:rPr>
      </w:pPr>
      <w:bookmarkStart w:name="_bookmark1176" w:id="1178"/>
      <w:bookmarkEnd w:id="1178"/>
      <w:r>
        <w:rPr/>
      </w:r>
      <w:hyperlink w:history="true" w:anchor="_bookmark946">
        <w:r>
          <w:rPr>
            <w:color w:val="005DA1"/>
            <w:spacing w:val="-4"/>
            <w:position w:val="5"/>
            <w:sz w:val="14"/>
            <w:u w:val="single" w:color="005DA1"/>
          </w:rPr>
          <w:t>544</w:t>
        </w:r>
      </w:hyperlink>
      <w:r>
        <w:rPr>
          <w:spacing w:val="-4"/>
          <w:position w:val="5"/>
          <w:sz w:val="14"/>
        </w:rPr>
        <w:t>.</w:t>
      </w:r>
      <w:r>
        <w:rPr>
          <w:position w:val="5"/>
          <w:sz w:val="14"/>
        </w:rPr>
        <w:tab/>
      </w:r>
      <w:r>
        <w:rPr>
          <w:sz w:val="20"/>
        </w:rPr>
        <w:t>Below, para.4-</w:t>
      </w:r>
      <w:r>
        <w:rPr>
          <w:spacing w:val="-4"/>
          <w:sz w:val="20"/>
        </w:rPr>
        <w:t>104.</w:t>
      </w:r>
    </w:p>
    <w:p>
      <w:pPr>
        <w:pStyle w:val="BodyText"/>
        <w:spacing w:before="5"/>
      </w:pPr>
    </w:p>
    <w:p>
      <w:pPr>
        <w:tabs>
          <w:tab w:pos="705" w:val="left" w:leader="none"/>
        </w:tabs>
        <w:spacing w:before="0"/>
        <w:ind w:left="165" w:right="0" w:firstLine="0"/>
        <w:jc w:val="left"/>
        <w:rPr>
          <w:sz w:val="20"/>
        </w:rPr>
      </w:pPr>
      <w:bookmarkStart w:name="_bookmark1177" w:id="1179"/>
      <w:bookmarkEnd w:id="1179"/>
      <w:r>
        <w:rPr/>
      </w:r>
      <w:hyperlink w:history="true" w:anchor="_bookmark946">
        <w:r>
          <w:rPr>
            <w:color w:val="005DA1"/>
            <w:spacing w:val="-4"/>
            <w:position w:val="5"/>
            <w:sz w:val="14"/>
            <w:u w:val="single" w:color="005DA1"/>
          </w:rPr>
          <w:t>545</w:t>
        </w:r>
      </w:hyperlink>
      <w:r>
        <w:rPr>
          <w:spacing w:val="-4"/>
          <w:position w:val="5"/>
          <w:sz w:val="14"/>
        </w:rPr>
        <w:t>.</w:t>
      </w:r>
      <w:r>
        <w:rPr>
          <w:position w:val="5"/>
          <w:sz w:val="14"/>
        </w:rPr>
        <w:tab/>
      </w:r>
      <w:r>
        <w:rPr>
          <w:rFonts w:ascii="Arial"/>
          <w:i/>
          <w:sz w:val="20"/>
        </w:rPr>
        <w:t>Low v Bouverie [1891] 3 Ch. 82</w:t>
      </w:r>
      <w:r>
        <w:rPr>
          <w:rFonts w:ascii="Arial"/>
          <w:i/>
          <w:spacing w:val="-1"/>
          <w:sz w:val="20"/>
        </w:rPr>
        <w:t> </w:t>
      </w:r>
      <w:r>
        <w:rPr>
          <w:sz w:val="20"/>
        </w:rPr>
        <w:t>at 101; cf. ibid. at </w:t>
      </w:r>
      <w:r>
        <w:rPr>
          <w:spacing w:val="-4"/>
          <w:sz w:val="20"/>
        </w:rPr>
        <w:t>105.</w:t>
      </w:r>
    </w:p>
    <w:p>
      <w:pPr>
        <w:pStyle w:val="BodyText"/>
        <w:spacing w:before="5"/>
      </w:pPr>
    </w:p>
    <w:p>
      <w:pPr>
        <w:pStyle w:val="BodyText"/>
        <w:tabs>
          <w:tab w:pos="705" w:val="left" w:leader="none"/>
        </w:tabs>
        <w:ind w:left="165"/>
      </w:pPr>
      <w:bookmarkStart w:name="_bookmark1178" w:id="1180"/>
      <w:bookmarkEnd w:id="1180"/>
      <w:r>
        <w:rPr/>
      </w:r>
      <w:hyperlink w:history="true" w:anchor="_bookmark947">
        <w:r>
          <w:rPr>
            <w:color w:val="005DA1"/>
            <w:spacing w:val="-4"/>
            <w:position w:val="5"/>
            <w:sz w:val="14"/>
            <w:u w:val="single" w:color="005DA1"/>
          </w:rPr>
          <w:t>546</w:t>
        </w:r>
      </w:hyperlink>
      <w:r>
        <w:rPr>
          <w:spacing w:val="-4"/>
          <w:position w:val="5"/>
          <w:sz w:val="14"/>
        </w:rPr>
        <w:t>.</w:t>
      </w:r>
      <w:r>
        <w:rPr>
          <w:position w:val="5"/>
          <w:sz w:val="14"/>
        </w:rPr>
        <w:tab/>
      </w:r>
      <w:r>
        <w:rPr/>
        <w:t>Below, para.4-104, especially </w:t>
      </w:r>
      <w:r>
        <w:rPr>
          <w:spacing w:val="-2"/>
        </w:rPr>
        <w:t>n.588.</w:t>
      </w:r>
    </w:p>
    <w:p>
      <w:pPr>
        <w:pStyle w:val="BodyText"/>
        <w:spacing w:before="8"/>
      </w:pPr>
    </w:p>
    <w:p>
      <w:pPr>
        <w:spacing w:line="235" w:lineRule="auto" w:before="1"/>
        <w:ind w:left="705" w:right="167" w:hanging="541"/>
        <w:jc w:val="both"/>
        <w:rPr>
          <w:sz w:val="20"/>
        </w:rPr>
      </w:pPr>
      <w:bookmarkStart w:name="_bookmark1179" w:id="1181"/>
      <w:bookmarkEnd w:id="1181"/>
      <w:r>
        <w:rPr/>
      </w:r>
      <w:hyperlink w:history="true" w:anchor="_bookmark948">
        <w:r>
          <w:rPr>
            <w:color w:val="005DA1"/>
            <w:position w:val="5"/>
            <w:sz w:val="14"/>
            <w:u w:val="single" w:color="005DA1"/>
          </w:rPr>
          <w:t>547</w:t>
        </w:r>
      </w:hyperlink>
      <w:r>
        <w:rPr>
          <w:position w:val="5"/>
          <w:sz w:val="14"/>
        </w:rPr>
        <w:t>.</w:t>
      </w:r>
      <w:r>
        <w:rPr>
          <w:spacing w:val="80"/>
          <w:position w:val="5"/>
          <w:sz w:val="14"/>
        </w:rPr>
        <w:t>  </w:t>
      </w:r>
      <w:r>
        <w:rPr>
          <w:sz w:val="20"/>
        </w:rPr>
        <w:t>This appears to be the point that Denning L.J. had in mind in </w:t>
      </w:r>
      <w:r>
        <w:rPr>
          <w:rFonts w:ascii="Arial" w:hAnsi="Arial"/>
          <w:i/>
          <w:sz w:val="20"/>
        </w:rPr>
        <w:t>Combe v Combe [1951] 2 K.B.</w:t>
      </w:r>
      <w:r>
        <w:rPr>
          <w:rFonts w:ascii="Arial" w:hAnsi="Arial"/>
          <w:i/>
          <w:spacing w:val="80"/>
          <w:sz w:val="20"/>
        </w:rPr>
        <w:t> </w:t>
      </w:r>
      <w:r>
        <w:rPr>
          <w:rFonts w:ascii="Arial" w:hAnsi="Arial"/>
          <w:i/>
          <w:sz w:val="20"/>
        </w:rPr>
        <w:t>215 </w:t>
      </w:r>
      <w:r>
        <w:rPr>
          <w:sz w:val="20"/>
        </w:rPr>
        <w:t>at 219 when he said that he did not want the equitable principle to be “stretched too far </w:t>
      </w:r>
      <w:r>
        <w:rPr>
          <w:sz w:val="20"/>
        </w:rPr>
        <w:t>lest it be endangered.” cf. </w:t>
      </w:r>
      <w:r>
        <w:rPr>
          <w:rFonts w:ascii="Arial" w:hAnsi="Arial"/>
          <w:i/>
          <w:sz w:val="20"/>
        </w:rPr>
        <w:t>Brikom Investments Ltd v Carr [1979] Q.B. 467, 486</w:t>
      </w:r>
      <w:r>
        <w:rPr>
          <w:sz w:val="20"/>
        </w:rPr>
        <w:t>; </w:t>
      </w:r>
      <w:r>
        <w:rPr>
          <w:rFonts w:ascii="Arial" w:hAnsi="Arial"/>
          <w:i/>
          <w:sz w:val="20"/>
        </w:rPr>
        <w:t>Tool Metal Manufacturing Co Ltd v Tungsten Electric Co Ltd [1955] 1 W.L.R. 761, 764</w:t>
      </w:r>
      <w:r>
        <w:rPr>
          <w:sz w:val="20"/>
        </w:rPr>
        <w:t>; </w:t>
      </w:r>
      <w:r>
        <w:rPr>
          <w:rFonts w:ascii="Arial" w:hAnsi="Arial"/>
          <w:i/>
          <w:sz w:val="20"/>
        </w:rPr>
        <w:t>Beesly v Hallwood Estates Ltd [1960] 1 W.L.R. 549, 561</w:t>
      </w:r>
      <w:r>
        <w:rPr>
          <w:sz w:val="20"/>
        </w:rPr>
        <w:t>; </w:t>
      </w:r>
      <w:r>
        <w:rPr>
          <w:rFonts w:ascii="Arial" w:hAnsi="Arial"/>
          <w:i/>
          <w:sz w:val="20"/>
        </w:rPr>
        <w:t>Drexel Burnham Lambert International NV v El Nasr [1986]</w:t>
      </w:r>
      <w:r>
        <w:rPr>
          <w:rFonts w:ascii="Arial" w:hAnsi="Arial"/>
          <w:i/>
          <w:spacing w:val="5"/>
          <w:sz w:val="20"/>
        </w:rPr>
        <w:t> </w:t>
      </w:r>
      <w:r>
        <w:rPr>
          <w:rFonts w:ascii="Arial" w:hAnsi="Arial"/>
          <w:i/>
          <w:sz w:val="20"/>
        </w:rPr>
        <w:t>1</w:t>
      </w:r>
      <w:r>
        <w:rPr>
          <w:rFonts w:ascii="Arial" w:hAnsi="Arial"/>
          <w:i/>
          <w:spacing w:val="6"/>
          <w:sz w:val="20"/>
        </w:rPr>
        <w:t> </w:t>
      </w:r>
      <w:r>
        <w:rPr>
          <w:rFonts w:ascii="Arial" w:hAnsi="Arial"/>
          <w:i/>
          <w:sz w:val="20"/>
        </w:rPr>
        <w:t>Lloyd’s</w:t>
      </w:r>
      <w:r>
        <w:rPr>
          <w:rFonts w:ascii="Arial" w:hAnsi="Arial"/>
          <w:i/>
          <w:spacing w:val="6"/>
          <w:sz w:val="20"/>
        </w:rPr>
        <w:t> </w:t>
      </w:r>
      <w:r>
        <w:rPr>
          <w:rFonts w:ascii="Arial" w:hAnsi="Arial"/>
          <w:i/>
          <w:sz w:val="20"/>
        </w:rPr>
        <w:t>Rep.</w:t>
      </w:r>
      <w:r>
        <w:rPr>
          <w:rFonts w:ascii="Arial" w:hAnsi="Arial"/>
          <w:i/>
          <w:spacing w:val="6"/>
          <w:sz w:val="20"/>
        </w:rPr>
        <w:t> </w:t>
      </w:r>
      <w:r>
        <w:rPr>
          <w:rFonts w:ascii="Arial" w:hAnsi="Arial"/>
          <w:i/>
          <w:sz w:val="20"/>
        </w:rPr>
        <w:t>357,</w:t>
      </w:r>
      <w:r>
        <w:rPr>
          <w:rFonts w:ascii="Arial" w:hAnsi="Arial"/>
          <w:i/>
          <w:spacing w:val="6"/>
          <w:sz w:val="20"/>
        </w:rPr>
        <w:t> </w:t>
      </w:r>
      <w:r>
        <w:rPr>
          <w:rFonts w:ascii="Arial" w:hAnsi="Arial"/>
          <w:i/>
          <w:sz w:val="20"/>
        </w:rPr>
        <w:t>365</w:t>
      </w:r>
      <w:r>
        <w:rPr>
          <w:sz w:val="20"/>
        </w:rPr>
        <w:t>.</w:t>
      </w:r>
      <w:r>
        <w:rPr>
          <w:spacing w:val="6"/>
          <w:sz w:val="20"/>
        </w:rPr>
        <w:t> </w:t>
      </w:r>
      <w:r>
        <w:rPr>
          <w:sz w:val="20"/>
        </w:rPr>
        <w:t>Contrast</w:t>
      </w:r>
      <w:r>
        <w:rPr>
          <w:spacing w:val="6"/>
          <w:sz w:val="20"/>
        </w:rPr>
        <w:t> </w:t>
      </w:r>
      <w:r>
        <w:rPr>
          <w:rFonts w:ascii="Arial" w:hAnsi="Arial"/>
          <w:i/>
          <w:sz w:val="20"/>
        </w:rPr>
        <w:t>Vaughan</w:t>
      </w:r>
      <w:r>
        <w:rPr>
          <w:rFonts w:ascii="Arial" w:hAnsi="Arial"/>
          <w:i/>
          <w:spacing w:val="5"/>
          <w:sz w:val="20"/>
        </w:rPr>
        <w:t> </w:t>
      </w:r>
      <w:r>
        <w:rPr>
          <w:rFonts w:ascii="Arial" w:hAnsi="Arial"/>
          <w:i/>
          <w:sz w:val="20"/>
        </w:rPr>
        <w:t>v</w:t>
      </w:r>
      <w:r>
        <w:rPr>
          <w:rFonts w:ascii="Arial" w:hAnsi="Arial"/>
          <w:i/>
          <w:spacing w:val="6"/>
          <w:sz w:val="20"/>
        </w:rPr>
        <w:t> </w:t>
      </w:r>
      <w:r>
        <w:rPr>
          <w:rFonts w:ascii="Arial" w:hAnsi="Arial"/>
          <w:i/>
          <w:sz w:val="20"/>
        </w:rPr>
        <w:t>Vaughan</w:t>
      </w:r>
      <w:r>
        <w:rPr>
          <w:rFonts w:ascii="Arial" w:hAnsi="Arial"/>
          <w:i/>
          <w:spacing w:val="6"/>
          <w:sz w:val="20"/>
        </w:rPr>
        <w:t> </w:t>
      </w:r>
      <w:r>
        <w:rPr>
          <w:rFonts w:ascii="Arial" w:hAnsi="Arial"/>
          <w:i/>
          <w:sz w:val="20"/>
        </w:rPr>
        <w:t>[1953]</w:t>
      </w:r>
      <w:r>
        <w:rPr>
          <w:rFonts w:ascii="Arial" w:hAnsi="Arial"/>
          <w:i/>
          <w:spacing w:val="6"/>
          <w:sz w:val="20"/>
        </w:rPr>
        <w:t> </w:t>
      </w:r>
      <w:r>
        <w:rPr>
          <w:rFonts w:ascii="Arial" w:hAnsi="Arial"/>
          <w:i/>
          <w:sz w:val="20"/>
        </w:rPr>
        <w:t>1</w:t>
      </w:r>
      <w:r>
        <w:rPr>
          <w:rFonts w:ascii="Arial" w:hAnsi="Arial"/>
          <w:i/>
          <w:spacing w:val="6"/>
          <w:sz w:val="20"/>
        </w:rPr>
        <w:t> </w:t>
      </w:r>
      <w:r>
        <w:rPr>
          <w:rFonts w:ascii="Arial" w:hAnsi="Arial"/>
          <w:i/>
          <w:sz w:val="20"/>
        </w:rPr>
        <w:t>Q.B.</w:t>
      </w:r>
      <w:r>
        <w:rPr>
          <w:rFonts w:ascii="Arial" w:hAnsi="Arial"/>
          <w:i/>
          <w:spacing w:val="6"/>
          <w:sz w:val="20"/>
        </w:rPr>
        <w:t> </w:t>
      </w:r>
      <w:r>
        <w:rPr>
          <w:rFonts w:ascii="Arial" w:hAnsi="Arial"/>
          <w:i/>
          <w:sz w:val="20"/>
        </w:rPr>
        <w:t>762,</w:t>
      </w:r>
      <w:r>
        <w:rPr>
          <w:rFonts w:ascii="Arial" w:hAnsi="Arial"/>
          <w:i/>
          <w:spacing w:val="6"/>
          <w:sz w:val="20"/>
        </w:rPr>
        <w:t> </w:t>
      </w:r>
      <w:r>
        <w:rPr>
          <w:rFonts w:ascii="Arial" w:hAnsi="Arial"/>
          <w:i/>
          <w:sz w:val="20"/>
        </w:rPr>
        <w:t>768</w:t>
      </w:r>
      <w:r>
        <w:rPr>
          <w:sz w:val="20"/>
        </w:rPr>
        <w:t>;</w:t>
      </w:r>
      <w:r>
        <w:rPr>
          <w:spacing w:val="6"/>
          <w:sz w:val="20"/>
        </w:rPr>
        <w:t> </w:t>
      </w:r>
      <w:r>
        <w:rPr>
          <w:spacing w:val="-2"/>
          <w:sz w:val="20"/>
        </w:rPr>
        <w:t>Denning</w:t>
      </w:r>
    </w:p>
    <w:p>
      <w:pPr>
        <w:pStyle w:val="BodyText"/>
        <w:spacing w:line="224" w:lineRule="exact"/>
        <w:ind w:left="705"/>
      </w:pPr>
      <w:r>
        <w:rPr/>
        <w:t>(1952) 15 M.L.R. </w:t>
      </w:r>
      <w:r>
        <w:rPr>
          <w:spacing w:val="-5"/>
        </w:rPr>
        <w:t>1.</w:t>
      </w:r>
    </w:p>
    <w:p>
      <w:pPr>
        <w:pStyle w:val="BodyText"/>
        <w:spacing w:before="4"/>
      </w:pPr>
    </w:p>
    <w:p>
      <w:pPr>
        <w:tabs>
          <w:tab w:pos="705" w:val="left" w:leader="none"/>
        </w:tabs>
        <w:spacing w:before="1"/>
        <w:ind w:left="165" w:right="0" w:firstLine="0"/>
        <w:jc w:val="left"/>
        <w:rPr>
          <w:sz w:val="20"/>
        </w:rPr>
      </w:pPr>
      <w:bookmarkStart w:name="_bookmark1180" w:id="1182"/>
      <w:bookmarkEnd w:id="1182"/>
      <w:r>
        <w:rPr/>
      </w:r>
      <w:hyperlink w:history="true" w:anchor="_bookmark949">
        <w:r>
          <w:rPr>
            <w:color w:val="005DA1"/>
            <w:spacing w:val="-4"/>
            <w:position w:val="5"/>
            <w:sz w:val="14"/>
            <w:u w:val="single" w:color="005DA1"/>
          </w:rPr>
          <w:t>548</w:t>
        </w:r>
      </w:hyperlink>
      <w:r>
        <w:rPr>
          <w:spacing w:val="-4"/>
          <w:position w:val="5"/>
          <w:sz w:val="14"/>
        </w:rPr>
        <w:t>.</w:t>
      </w:r>
      <w:r>
        <w:rPr>
          <w:position w:val="5"/>
          <w:sz w:val="14"/>
        </w:rPr>
        <w:tab/>
      </w:r>
      <w:r>
        <w:rPr>
          <w:rFonts w:ascii="Arial"/>
          <w:i/>
          <w:sz w:val="20"/>
        </w:rPr>
        <w:t>Baird</w:t>
      </w:r>
      <w:r>
        <w:rPr>
          <w:rFonts w:ascii="Arial"/>
          <w:i/>
          <w:spacing w:val="29"/>
          <w:sz w:val="20"/>
        </w:rPr>
        <w:t> </w:t>
      </w:r>
      <w:r>
        <w:rPr>
          <w:rFonts w:ascii="Arial"/>
          <w:i/>
          <w:sz w:val="20"/>
        </w:rPr>
        <w:t>Textile</w:t>
      </w:r>
      <w:r>
        <w:rPr>
          <w:rFonts w:ascii="Arial"/>
          <w:i/>
          <w:spacing w:val="30"/>
          <w:sz w:val="20"/>
        </w:rPr>
        <w:t> </w:t>
      </w:r>
      <w:r>
        <w:rPr>
          <w:rFonts w:ascii="Arial"/>
          <w:i/>
          <w:sz w:val="20"/>
        </w:rPr>
        <w:t>Holdings</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Marks</w:t>
      </w:r>
      <w:r>
        <w:rPr>
          <w:rFonts w:ascii="Arial"/>
          <w:i/>
          <w:spacing w:val="30"/>
          <w:sz w:val="20"/>
        </w:rPr>
        <w:t> </w:t>
      </w:r>
      <w:r>
        <w:rPr>
          <w:rFonts w:ascii="Arial"/>
          <w:i/>
          <w:sz w:val="20"/>
        </w:rPr>
        <w:t>&amp;</w:t>
      </w:r>
      <w:r>
        <w:rPr>
          <w:rFonts w:ascii="Arial"/>
          <w:i/>
          <w:spacing w:val="30"/>
          <w:sz w:val="20"/>
        </w:rPr>
        <w:t> </w:t>
      </w:r>
      <w:r>
        <w:rPr>
          <w:rFonts w:ascii="Arial"/>
          <w:i/>
          <w:sz w:val="20"/>
        </w:rPr>
        <w:t>Spencer</w:t>
      </w:r>
      <w:r>
        <w:rPr>
          <w:rFonts w:ascii="Arial"/>
          <w:i/>
          <w:spacing w:val="30"/>
          <w:sz w:val="20"/>
        </w:rPr>
        <w:t> </w:t>
      </w:r>
      <w:r>
        <w:rPr>
          <w:rFonts w:ascii="Arial"/>
          <w:i/>
          <w:sz w:val="20"/>
        </w:rPr>
        <w:t>plc</w:t>
      </w:r>
      <w:r>
        <w:rPr>
          <w:sz w:val="20"/>
        </w:rPr>
        <w:t>,</w:t>
      </w:r>
      <w:r>
        <w:rPr>
          <w:spacing w:val="30"/>
          <w:sz w:val="20"/>
        </w:rPr>
        <w:t> </w:t>
      </w:r>
      <w:r>
        <w:rPr>
          <w:sz w:val="20"/>
        </w:rPr>
        <w:t>above,</w:t>
      </w:r>
      <w:r>
        <w:rPr>
          <w:spacing w:val="30"/>
          <w:sz w:val="20"/>
        </w:rPr>
        <w:t> </w:t>
      </w:r>
      <w:r>
        <w:rPr>
          <w:sz w:val="20"/>
        </w:rPr>
        <w:t>n.537,</w:t>
      </w:r>
      <w:r>
        <w:rPr>
          <w:spacing w:val="30"/>
          <w:sz w:val="20"/>
        </w:rPr>
        <w:t> </w:t>
      </w:r>
      <w:r>
        <w:rPr>
          <w:sz w:val="20"/>
        </w:rPr>
        <w:t>where</w:t>
      </w:r>
      <w:r>
        <w:rPr>
          <w:spacing w:val="29"/>
          <w:sz w:val="20"/>
        </w:rPr>
        <w:t> </w:t>
      </w:r>
      <w:r>
        <w:rPr>
          <w:rFonts w:ascii="Arial"/>
          <w:i/>
          <w:sz w:val="20"/>
        </w:rPr>
        <w:t>Combe</w:t>
      </w:r>
      <w:r>
        <w:rPr>
          <w:rFonts w:ascii="Arial"/>
          <w:i/>
          <w:spacing w:val="30"/>
          <w:sz w:val="20"/>
        </w:rPr>
        <w:t> </w:t>
      </w:r>
      <w:r>
        <w:rPr>
          <w:rFonts w:ascii="Arial"/>
          <w:i/>
          <w:sz w:val="20"/>
        </w:rPr>
        <w:t>v</w:t>
      </w:r>
      <w:r>
        <w:rPr>
          <w:rFonts w:ascii="Arial"/>
          <w:i/>
          <w:spacing w:val="30"/>
          <w:sz w:val="20"/>
        </w:rPr>
        <w:t> </w:t>
      </w:r>
      <w:r>
        <w:rPr>
          <w:rFonts w:ascii="Arial"/>
          <w:i/>
          <w:sz w:val="20"/>
        </w:rPr>
        <w:t>Combe</w:t>
      </w:r>
      <w:r>
        <w:rPr>
          <w:rFonts w:ascii="Arial"/>
          <w:i/>
          <w:spacing w:val="29"/>
          <w:sz w:val="20"/>
        </w:rPr>
        <w:t> </w:t>
      </w:r>
      <w:r>
        <w:rPr>
          <w:spacing w:val="-5"/>
          <w:sz w:val="20"/>
        </w:rPr>
        <w:t>is</w:t>
      </w:r>
    </w:p>
    <w:p>
      <w:pPr>
        <w:spacing w:after="0"/>
        <w:jc w:val="left"/>
        <w:rPr>
          <w:sz w:val="20"/>
        </w:rPr>
        <w:sectPr>
          <w:pgSz w:w="11900" w:h="16840"/>
          <w:pgMar w:header="971" w:footer="0" w:top="1160" w:bottom="280" w:left="1275" w:right="1275"/>
        </w:sectPr>
      </w:pPr>
    </w:p>
    <w:p>
      <w:pPr>
        <w:pStyle w:val="BodyText"/>
        <w:spacing w:before="24"/>
      </w:pPr>
    </w:p>
    <w:p>
      <w:pPr>
        <w:pStyle w:val="BodyText"/>
        <w:spacing w:line="235" w:lineRule="auto" w:before="1"/>
        <w:ind w:left="705" w:right="169"/>
        <w:jc w:val="both"/>
      </w:pPr>
      <w:r>
        <w:rPr/>
        <w:t>cited at [34], and [87] in support of the view stated in the text above; though an </w:t>
      </w:r>
      <w:r>
        <w:rPr/>
        <w:t>alternative explanation for the result in the </w:t>
      </w:r>
      <w:r>
        <w:rPr>
          <w:rFonts w:ascii="Arial"/>
          <w:i/>
        </w:rPr>
        <w:t>Baird </w:t>
      </w:r>
      <w:r>
        <w:rPr/>
        <w:t>case may be that, in the absence of certainty or contractual intention, the </w:t>
      </w:r>
      <w:r>
        <w:rPr>
          <w:rFonts w:ascii="Arial"/>
          <w:i/>
        </w:rPr>
        <w:t>requirements for the operation </w:t>
      </w:r>
      <w:r>
        <w:rPr/>
        <w:t>of the equitable doctrine are simply not satisfied (above, paras 2-150, 4-091), so that no question can arise as to its </w:t>
      </w:r>
      <w:r>
        <w:rPr>
          <w:rFonts w:ascii="Arial"/>
          <w:i/>
        </w:rPr>
        <w:t>effects</w:t>
      </w:r>
      <w:r>
        <w:rPr/>
        <w:t>.</w:t>
      </w:r>
    </w:p>
    <w:p>
      <w:pPr>
        <w:pStyle w:val="BodyText"/>
        <w:spacing w:before="8"/>
      </w:pPr>
    </w:p>
    <w:p>
      <w:pPr>
        <w:pStyle w:val="BodyText"/>
        <w:spacing w:line="235" w:lineRule="auto"/>
        <w:ind w:left="705" w:right="167" w:hanging="541"/>
        <w:jc w:val="both"/>
      </w:pPr>
      <w:bookmarkStart w:name="_bookmark1181" w:id="1183"/>
      <w:bookmarkEnd w:id="1183"/>
      <w:r>
        <w:rPr/>
      </w:r>
      <w:hyperlink w:history="true" w:anchor="_bookmark950">
        <w:r>
          <w:rPr>
            <w:color w:val="005DA1"/>
            <w:position w:val="5"/>
            <w:sz w:val="14"/>
            <w:u w:val="single" w:color="005DA1"/>
          </w:rPr>
          <w:t>549</w:t>
        </w:r>
      </w:hyperlink>
      <w:r>
        <w:rPr>
          <w:position w:val="5"/>
          <w:sz w:val="14"/>
        </w:rPr>
        <w:t>.</w:t>
      </w:r>
      <w:r>
        <w:rPr>
          <w:spacing w:val="80"/>
          <w:position w:val="5"/>
          <w:sz w:val="14"/>
        </w:rPr>
        <w:t>  </w:t>
      </w:r>
      <w:r>
        <w:rPr/>
        <w:t>In</w:t>
      </w:r>
      <w:r>
        <w:rPr>
          <w:spacing w:val="17"/>
        </w:rPr>
        <w:t> </w:t>
      </w:r>
      <w:r>
        <w:rPr>
          <w:rFonts w:ascii="Arial" w:hAnsi="Arial"/>
          <w:i/>
        </w:rPr>
        <w:t>Azov</w:t>
      </w:r>
      <w:r>
        <w:rPr>
          <w:rFonts w:ascii="Arial" w:hAnsi="Arial"/>
          <w:i/>
          <w:spacing w:val="17"/>
        </w:rPr>
        <w:t> </w:t>
      </w:r>
      <w:r>
        <w:rPr>
          <w:rFonts w:ascii="Arial" w:hAnsi="Arial"/>
          <w:i/>
        </w:rPr>
        <w:t>Shipping</w:t>
      </w:r>
      <w:r>
        <w:rPr>
          <w:rFonts w:ascii="Arial" w:hAnsi="Arial"/>
          <w:i/>
          <w:spacing w:val="17"/>
        </w:rPr>
        <w:t> </w:t>
      </w:r>
      <w:r>
        <w:rPr>
          <w:rFonts w:ascii="Arial" w:hAnsi="Arial"/>
          <w:i/>
        </w:rPr>
        <w:t>Co</w:t>
      </w:r>
      <w:r>
        <w:rPr>
          <w:rFonts w:ascii="Arial" w:hAnsi="Arial"/>
          <w:i/>
          <w:spacing w:val="17"/>
        </w:rPr>
        <w:t> </w:t>
      </w:r>
      <w:r>
        <w:rPr>
          <w:rFonts w:ascii="Arial" w:hAnsi="Arial"/>
          <w:i/>
        </w:rPr>
        <w:t>v</w:t>
      </w:r>
      <w:r>
        <w:rPr>
          <w:rFonts w:ascii="Arial" w:hAnsi="Arial"/>
          <w:i/>
          <w:spacing w:val="17"/>
        </w:rPr>
        <w:t> </w:t>
      </w:r>
      <w:r>
        <w:rPr>
          <w:rFonts w:ascii="Arial" w:hAnsi="Arial"/>
          <w:i/>
        </w:rPr>
        <w:t>Baltic</w:t>
      </w:r>
      <w:r>
        <w:rPr>
          <w:rFonts w:ascii="Arial" w:hAnsi="Arial"/>
          <w:i/>
          <w:spacing w:val="17"/>
        </w:rPr>
        <w:t> </w:t>
      </w:r>
      <w:r>
        <w:rPr>
          <w:rFonts w:ascii="Arial" w:hAnsi="Arial"/>
          <w:i/>
        </w:rPr>
        <w:t>Shipping</w:t>
      </w:r>
      <w:r>
        <w:rPr>
          <w:rFonts w:ascii="Arial" w:hAnsi="Arial"/>
          <w:i/>
          <w:spacing w:val="17"/>
        </w:rPr>
        <w:t> </w:t>
      </w:r>
      <w:r>
        <w:rPr>
          <w:rFonts w:ascii="Arial" w:hAnsi="Arial"/>
          <w:i/>
        </w:rPr>
        <w:t>Co</w:t>
      </w:r>
      <w:r>
        <w:rPr>
          <w:rFonts w:ascii="Arial" w:hAnsi="Arial"/>
          <w:i/>
          <w:spacing w:val="17"/>
        </w:rPr>
        <w:t> </w:t>
      </w:r>
      <w:r>
        <w:rPr>
          <w:rFonts w:ascii="Arial" w:hAnsi="Arial"/>
          <w:i/>
        </w:rPr>
        <w:t>[1999]</w:t>
      </w:r>
      <w:r>
        <w:rPr>
          <w:rFonts w:ascii="Arial" w:hAnsi="Arial"/>
          <w:i/>
          <w:spacing w:val="17"/>
        </w:rPr>
        <w:t> </w:t>
      </w:r>
      <w:r>
        <w:rPr>
          <w:rFonts w:ascii="Arial" w:hAnsi="Arial"/>
          <w:i/>
        </w:rPr>
        <w:t>2</w:t>
      </w:r>
      <w:r>
        <w:rPr>
          <w:rFonts w:ascii="Arial" w:hAnsi="Arial"/>
          <w:i/>
          <w:spacing w:val="17"/>
        </w:rPr>
        <w:t> </w:t>
      </w:r>
      <w:r>
        <w:rPr>
          <w:rFonts w:ascii="Arial" w:hAnsi="Arial"/>
          <w:i/>
        </w:rPr>
        <w:t>Lloyd’s</w:t>
      </w:r>
      <w:r>
        <w:rPr>
          <w:rFonts w:ascii="Arial" w:hAnsi="Arial"/>
          <w:i/>
          <w:spacing w:val="17"/>
        </w:rPr>
        <w:t> </w:t>
      </w:r>
      <w:r>
        <w:rPr>
          <w:rFonts w:ascii="Arial" w:hAnsi="Arial"/>
          <w:i/>
        </w:rPr>
        <w:t>Rep.</w:t>
      </w:r>
      <w:r>
        <w:rPr>
          <w:rFonts w:ascii="Arial" w:hAnsi="Arial"/>
          <w:i/>
          <w:spacing w:val="17"/>
        </w:rPr>
        <w:t> </w:t>
      </w:r>
      <w:r>
        <w:rPr>
          <w:rFonts w:ascii="Arial" w:hAnsi="Arial"/>
          <w:i/>
        </w:rPr>
        <w:t>159,</w:t>
      </w:r>
      <w:r>
        <w:rPr>
          <w:rFonts w:ascii="Arial" w:hAnsi="Arial"/>
          <w:i/>
          <w:spacing w:val="17"/>
        </w:rPr>
        <w:t> </w:t>
      </w:r>
      <w:r>
        <w:rPr>
          <w:rFonts w:ascii="Arial" w:hAnsi="Arial"/>
          <w:i/>
        </w:rPr>
        <w:t>175</w:t>
      </w:r>
      <w:r>
        <w:rPr>
          <w:rFonts w:ascii="Arial" w:hAnsi="Arial"/>
          <w:i/>
          <w:spacing w:val="16"/>
        </w:rPr>
        <w:t> </w:t>
      </w:r>
      <w:r>
        <w:rPr/>
        <w:t>it</w:t>
      </w:r>
      <w:r>
        <w:rPr>
          <w:spacing w:val="17"/>
        </w:rPr>
        <w:t> </w:t>
      </w:r>
      <w:r>
        <w:rPr/>
        <w:t>is</w:t>
      </w:r>
      <w:r>
        <w:rPr>
          <w:spacing w:val="17"/>
        </w:rPr>
        <w:t> </w:t>
      </w:r>
      <w:r>
        <w:rPr/>
        <w:t>suggested</w:t>
      </w:r>
      <w:r>
        <w:rPr>
          <w:spacing w:val="17"/>
        </w:rPr>
        <w:t> </w:t>
      </w:r>
      <w:r>
        <w:rPr/>
        <w:t>that the rule that promissory estoppel gives rise to no cause of action “is limited to the protection of consideration” and has “no general application in the field of estoppel.” The estoppel there</w:t>
      </w:r>
      <w:r>
        <w:rPr>
          <w:spacing w:val="40"/>
        </w:rPr>
        <w:t> </w:t>
      </w:r>
      <w:r>
        <w:rPr/>
        <w:t>under discussion was estoppel by representation, and the suggestion is, with respect, hard to reconcile with the statements in </w:t>
      </w:r>
      <w:r>
        <w:rPr>
          <w:rFonts w:ascii="Arial" w:hAnsi="Arial"/>
          <w:i/>
        </w:rPr>
        <w:t>Low v Bouverie [1891] 3 Ch. 82 </w:t>
      </w:r>
      <w:r>
        <w:rPr/>
        <w:t>at 101, 105 cited at n.540 above. Similar difficulty arises from the more tentative suggestion in </w:t>
      </w:r>
      <w:r>
        <w:rPr>
          <w:rFonts w:ascii="Arial" w:hAnsi="Arial"/>
          <w:i/>
        </w:rPr>
        <w:t>Thornton Springer v NEM Insurance Ltd [2000] 2 All E.R. 489 </w:t>
      </w:r>
      <w:r>
        <w:rPr/>
        <w:t>at 519 that estoppel could lead to the “enforcement of the promise” where no contract was concluded for want of acceptance of an offer, though not</w:t>
      </w:r>
      <w:r>
        <w:rPr>
          <w:spacing w:val="40"/>
        </w:rPr>
        <w:t> </w:t>
      </w:r>
      <w:r>
        <w:rPr/>
        <w:t>where there was no contract for want of consideration. The former situation is one of estoppel by convention (as to which see below, para.4-108); and it is also, with respect, hard to see why one answer should be given to the question whether rule in </w:t>
      </w:r>
      <w:r>
        <w:rPr>
          <w:rFonts w:ascii="Arial" w:hAnsi="Arial"/>
          <w:i/>
        </w:rPr>
        <w:t>Combe v Combe </w:t>
      </w:r>
      <w:r>
        <w:rPr/>
        <w:t>applies where the promise</w:t>
      </w:r>
      <w:r>
        <w:rPr>
          <w:spacing w:val="-2"/>
        </w:rPr>
        <w:t> </w:t>
      </w:r>
      <w:r>
        <w:rPr/>
        <w:t>lacks</w:t>
      </w:r>
      <w:r>
        <w:rPr>
          <w:spacing w:val="-2"/>
        </w:rPr>
        <w:t> </w:t>
      </w:r>
      <w:r>
        <w:rPr/>
        <w:t>contractual</w:t>
      </w:r>
      <w:r>
        <w:rPr>
          <w:spacing w:val="-2"/>
        </w:rPr>
        <w:t> </w:t>
      </w:r>
      <w:r>
        <w:rPr/>
        <w:t>force</w:t>
      </w:r>
      <w:r>
        <w:rPr>
          <w:spacing w:val="-2"/>
        </w:rPr>
        <w:t> </w:t>
      </w:r>
      <w:r>
        <w:rPr/>
        <w:t>for</w:t>
      </w:r>
      <w:r>
        <w:rPr>
          <w:spacing w:val="-2"/>
        </w:rPr>
        <w:t> </w:t>
      </w:r>
      <w:r>
        <w:rPr/>
        <w:t>want</w:t>
      </w:r>
      <w:r>
        <w:rPr>
          <w:spacing w:val="-2"/>
        </w:rPr>
        <w:t> </w:t>
      </w:r>
      <w:r>
        <w:rPr/>
        <w:t>of</w:t>
      </w:r>
      <w:r>
        <w:rPr>
          <w:spacing w:val="-2"/>
        </w:rPr>
        <w:t> </w:t>
      </w:r>
      <w:r>
        <w:rPr/>
        <w:t>consideration</w:t>
      </w:r>
      <w:r>
        <w:rPr>
          <w:spacing w:val="-2"/>
        </w:rPr>
        <w:t> </w:t>
      </w:r>
      <w:r>
        <w:rPr/>
        <w:t>and</w:t>
      </w:r>
      <w:r>
        <w:rPr>
          <w:spacing w:val="-2"/>
        </w:rPr>
        <w:t> </w:t>
      </w:r>
      <w:r>
        <w:rPr/>
        <w:t>a</w:t>
      </w:r>
      <w:r>
        <w:rPr>
          <w:spacing w:val="-2"/>
        </w:rPr>
        <w:t> </w:t>
      </w:r>
      <w:r>
        <w:rPr/>
        <w:t>different</w:t>
      </w:r>
      <w:r>
        <w:rPr>
          <w:spacing w:val="-2"/>
        </w:rPr>
        <w:t> </w:t>
      </w:r>
      <w:r>
        <w:rPr/>
        <w:t>one</w:t>
      </w:r>
      <w:r>
        <w:rPr>
          <w:spacing w:val="-2"/>
        </w:rPr>
        <w:t> </w:t>
      </w:r>
      <w:r>
        <w:rPr/>
        <w:t>where</w:t>
      </w:r>
      <w:r>
        <w:rPr>
          <w:spacing w:val="-2"/>
        </w:rPr>
        <w:t> </w:t>
      </w:r>
      <w:r>
        <w:rPr/>
        <w:t>it</w:t>
      </w:r>
      <w:r>
        <w:rPr>
          <w:spacing w:val="-2"/>
        </w:rPr>
        <w:t> </w:t>
      </w:r>
      <w:r>
        <w:rPr/>
        <w:t>lacks</w:t>
      </w:r>
      <w:r>
        <w:rPr>
          <w:spacing w:val="-2"/>
        </w:rPr>
        <w:t> </w:t>
      </w:r>
      <w:r>
        <w:rPr/>
        <w:t>such force for want of an effective acceptance. Such a distinction seems also to be inconsistent with the readiness of the Court of Appeal in the </w:t>
      </w:r>
      <w:r>
        <w:rPr>
          <w:rFonts w:ascii="Arial" w:hAnsi="Arial"/>
          <w:i/>
        </w:rPr>
        <w:t>Baird </w:t>
      </w:r>
      <w:r>
        <w:rPr/>
        <w:t>case (above at n.537) to apply the rule in </w:t>
      </w:r>
      <w:r>
        <w:rPr>
          <w:rFonts w:ascii="Arial" w:hAnsi="Arial"/>
          <w:i/>
        </w:rPr>
        <w:t>Combe v Combe </w:t>
      </w:r>
      <w:r>
        <w:rPr/>
        <w:t>to an alleged promise which lacked contractual force for some reason other than want of consideration. See also </w:t>
      </w:r>
      <w:r>
        <w:rPr>
          <w:rFonts w:ascii="Arial" w:hAnsi="Arial"/>
          <w:i/>
        </w:rPr>
        <w:t>Oceanografia SA de CV v DSND Subsea AS (The</w:t>
      </w:r>
      <w:r>
        <w:rPr>
          <w:rFonts w:ascii="Arial" w:hAnsi="Arial"/>
          <w:i/>
          <w:spacing w:val="40"/>
        </w:rPr>
        <w:t> </w:t>
      </w:r>
      <w:r>
        <w:rPr>
          <w:rFonts w:ascii="Arial" w:hAnsi="Arial"/>
          <w:i/>
        </w:rPr>
        <w:t>Botnica) [2006] EWHC 1300 (Comm), [2007] 1 All E.R. (Comm) 1 </w:t>
      </w:r>
      <w:r>
        <w:rPr/>
        <w:t>where “waiver” was invoked (at [89]) in the context of failure to comply with one of the requirements of contract formation, in that case the execution of a formal document (above, para.2-123). The normal effect of such a waiver is that the party granting it is bound by the contract (e.g., above paras 2-046, 2-066); but in </w:t>
      </w:r>
      <w:r>
        <w:rPr>
          <w:rFonts w:ascii="Arial" w:hAnsi="Arial"/>
          <w:i/>
        </w:rPr>
        <w:t>The Botnica </w:t>
      </w:r>
      <w:r>
        <w:rPr/>
        <w:t>it resulted in that party’s entitlement to </w:t>
      </w:r>
      <w:r>
        <w:rPr>
          <w:rFonts w:ascii="Arial" w:hAnsi="Arial"/>
          <w:i/>
        </w:rPr>
        <w:t>enforce </w:t>
      </w:r>
      <w:r>
        <w:rPr/>
        <w:t>a term of the contract. No reference was made to the equitable doctrine here under discussion or to the normally defensive nature of that doctrine or of waiver.</w:t>
      </w:r>
    </w:p>
    <w:p>
      <w:pPr>
        <w:pStyle w:val="BodyText"/>
        <w:spacing w:before="1"/>
      </w:pPr>
    </w:p>
    <w:p>
      <w:pPr>
        <w:spacing w:line="235" w:lineRule="auto" w:before="0"/>
        <w:ind w:left="705" w:right="168" w:hanging="541"/>
        <w:jc w:val="both"/>
        <w:rPr>
          <w:sz w:val="20"/>
        </w:rPr>
      </w:pPr>
      <w:bookmarkStart w:name="_bookmark1182" w:id="1184"/>
      <w:bookmarkEnd w:id="1184"/>
      <w:r>
        <w:rPr/>
      </w:r>
      <w:hyperlink w:history="true" w:anchor="_bookmark951">
        <w:r>
          <w:rPr>
            <w:color w:val="005DA1"/>
            <w:position w:val="5"/>
            <w:sz w:val="14"/>
            <w:u w:val="single" w:color="005DA1"/>
          </w:rPr>
          <w:t>550</w:t>
        </w:r>
      </w:hyperlink>
      <w:r>
        <w:rPr>
          <w:position w:val="5"/>
          <w:sz w:val="14"/>
        </w:rPr>
        <w:t>.</w:t>
      </w:r>
      <w:r>
        <w:rPr>
          <w:spacing w:val="80"/>
          <w:position w:val="5"/>
          <w:sz w:val="14"/>
        </w:rPr>
        <w:t>  </w:t>
      </w:r>
      <w:r>
        <w:rPr>
          <w:rFonts w:ascii="Arial" w:hAnsi="Arial"/>
          <w:i/>
          <w:sz w:val="20"/>
        </w:rPr>
        <w:t>Re Wyvern Developments Ltd [1974] 1 W.L.R. 1097, 1104-1105</w:t>
      </w:r>
      <w:r>
        <w:rPr>
          <w:sz w:val="20"/>
        </w:rPr>
        <w:t>; Atiyah (1974) 38 M.L.R. </w:t>
      </w:r>
      <w:r>
        <w:rPr>
          <w:sz w:val="20"/>
        </w:rPr>
        <w:t>65; and see Allan (1963) 79 L.Q.R. 238; the point was left open in</w:t>
      </w:r>
      <w:r>
        <w:rPr>
          <w:spacing w:val="-1"/>
          <w:sz w:val="20"/>
        </w:rPr>
        <w:t> </w:t>
      </w:r>
      <w:r>
        <w:rPr>
          <w:rFonts w:ascii="Arial" w:hAnsi="Arial"/>
          <w:i/>
          <w:sz w:val="20"/>
        </w:rPr>
        <w:t>Pacol Ltd v Trade Lines Ltd (The Henrik Sif) [1982] 1 Lloyd’s Rep. 456, 466–468 </w:t>
      </w:r>
      <w:r>
        <w:rPr>
          <w:sz w:val="20"/>
        </w:rPr>
        <w:t>(as to which see above para.4-089, n.467).</w:t>
      </w:r>
    </w:p>
    <w:p>
      <w:pPr>
        <w:pStyle w:val="BodyText"/>
        <w:spacing w:before="9"/>
      </w:pPr>
    </w:p>
    <w:p>
      <w:pPr>
        <w:tabs>
          <w:tab w:pos="705" w:val="left" w:leader="none"/>
        </w:tabs>
        <w:spacing w:line="235" w:lineRule="auto" w:before="0"/>
        <w:ind w:left="705" w:right="168" w:hanging="541"/>
        <w:jc w:val="left"/>
        <w:rPr>
          <w:sz w:val="20"/>
        </w:rPr>
      </w:pPr>
      <w:bookmarkStart w:name="_bookmark1183" w:id="1185"/>
      <w:bookmarkEnd w:id="1185"/>
      <w:r>
        <w:rPr/>
      </w:r>
      <w:hyperlink w:history="true" w:anchor="_bookmark951">
        <w:r>
          <w:rPr>
            <w:color w:val="005DA1"/>
            <w:spacing w:val="-4"/>
            <w:position w:val="5"/>
            <w:sz w:val="14"/>
            <w:u w:val="single" w:color="005DA1"/>
          </w:rPr>
          <w:t>551</w:t>
        </w:r>
      </w:hyperlink>
      <w:r>
        <w:rPr>
          <w:spacing w:val="-4"/>
          <w:position w:val="5"/>
          <w:sz w:val="14"/>
        </w:rPr>
        <w:t>.</w:t>
      </w:r>
      <w:r>
        <w:rPr>
          <w:position w:val="5"/>
          <w:sz w:val="14"/>
        </w:rPr>
        <w:tab/>
      </w:r>
      <w:r>
        <w:rPr>
          <w:rFonts w:ascii="Arial"/>
          <w:i/>
          <w:sz w:val="20"/>
        </w:rPr>
        <w:t>Evenden v Guildford City F.C. [1975] Q.B. 917, 924, 926</w:t>
      </w:r>
      <w:r>
        <w:rPr>
          <w:sz w:val="20"/>
        </w:rPr>
        <w:t>; Napier [1976] C.L.J. 38; and see next </w:t>
      </w:r>
      <w:r>
        <w:rPr>
          <w:spacing w:val="-2"/>
          <w:sz w:val="20"/>
        </w:rPr>
        <w:t>note.</w:t>
      </w:r>
    </w:p>
    <w:p>
      <w:pPr>
        <w:pStyle w:val="BodyText"/>
        <w:spacing w:before="9"/>
      </w:pPr>
    </w:p>
    <w:p>
      <w:pPr>
        <w:spacing w:line="235" w:lineRule="auto" w:before="1"/>
        <w:ind w:left="705" w:right="168" w:hanging="541"/>
        <w:jc w:val="both"/>
        <w:rPr>
          <w:sz w:val="20"/>
        </w:rPr>
      </w:pPr>
      <w:bookmarkStart w:name="_bookmark1184" w:id="1186"/>
      <w:bookmarkEnd w:id="1186"/>
      <w:r>
        <w:rPr/>
      </w:r>
      <w:hyperlink w:history="true" w:anchor="_bookmark952">
        <w:r>
          <w:rPr>
            <w:color w:val="005DA1"/>
            <w:position w:val="5"/>
            <w:sz w:val="14"/>
            <w:u w:val="single" w:color="005DA1"/>
          </w:rPr>
          <w:t>552</w:t>
        </w:r>
      </w:hyperlink>
      <w:r>
        <w:rPr>
          <w:position w:val="5"/>
          <w:sz w:val="14"/>
        </w:rPr>
        <w:t>.</w:t>
      </w:r>
      <w:r>
        <w:rPr>
          <w:spacing w:val="80"/>
          <w:w w:val="150"/>
          <w:position w:val="5"/>
          <w:sz w:val="14"/>
        </w:rPr>
        <w:t> </w:t>
      </w:r>
      <w:r>
        <w:rPr>
          <w:sz w:val="20"/>
        </w:rPr>
        <w:t>See </w:t>
      </w:r>
      <w:r>
        <w:rPr>
          <w:rFonts w:ascii="Arial" w:hAnsi="Arial"/>
          <w:i/>
          <w:sz w:val="20"/>
        </w:rPr>
        <w:t>Secretary of State for Employment v Globe Elastic Thread Co Ltd [1980] A.C. </w:t>
      </w:r>
      <w:r>
        <w:rPr>
          <w:rFonts w:ascii="Arial" w:hAnsi="Arial"/>
          <w:i/>
          <w:sz w:val="20"/>
        </w:rPr>
        <w:t>506</w:t>
      </w:r>
      <w:r>
        <w:rPr>
          <w:sz w:val="20"/>
        </w:rPr>
        <w:t>,</w:t>
      </w:r>
      <w:r>
        <w:rPr>
          <w:spacing w:val="40"/>
          <w:sz w:val="20"/>
        </w:rPr>
        <w:t> </w:t>
      </w:r>
      <w:r>
        <w:rPr>
          <w:sz w:val="20"/>
        </w:rPr>
        <w:t>overruling </w:t>
      </w:r>
      <w:r>
        <w:rPr>
          <w:rFonts w:ascii="Arial" w:hAnsi="Arial"/>
          <w:i/>
          <w:sz w:val="20"/>
        </w:rPr>
        <w:t>Evenden’s </w:t>
      </w:r>
      <w:r>
        <w:rPr>
          <w:sz w:val="20"/>
        </w:rPr>
        <w:t>case, above. Lord Wilberforce remarked at 518 that “To convert this [contract] into an estoppel is to turn the doctrine of promissory estoppel … upside down.”</w:t>
      </w:r>
    </w:p>
    <w:p>
      <w:pPr>
        <w:pStyle w:val="BodyText"/>
        <w:spacing w:before="5"/>
      </w:pPr>
    </w:p>
    <w:p>
      <w:pPr>
        <w:pStyle w:val="BodyText"/>
        <w:tabs>
          <w:tab w:pos="705" w:val="left" w:leader="none"/>
        </w:tabs>
        <w:ind w:left="165"/>
      </w:pPr>
      <w:bookmarkStart w:name="_bookmark1185" w:id="1187"/>
      <w:bookmarkEnd w:id="1187"/>
      <w:r>
        <w:rPr/>
      </w:r>
      <w:hyperlink w:history="true" w:anchor="_bookmark952">
        <w:r>
          <w:rPr>
            <w:color w:val="005DA1"/>
            <w:spacing w:val="-4"/>
            <w:position w:val="5"/>
            <w:sz w:val="14"/>
            <w:u w:val="single" w:color="005DA1"/>
          </w:rPr>
          <w:t>553</w:t>
        </w:r>
      </w:hyperlink>
      <w:r>
        <w:rPr>
          <w:spacing w:val="-4"/>
          <w:position w:val="5"/>
          <w:sz w:val="14"/>
        </w:rPr>
        <w:t>.</w:t>
      </w:r>
      <w:r>
        <w:rPr>
          <w:position w:val="5"/>
          <w:sz w:val="14"/>
        </w:rPr>
        <w:tab/>
      </w:r>
      <w:r>
        <w:rPr/>
        <w:t>For the position in other common law jurisdictions, see para.4-107, </w:t>
      </w:r>
      <w:r>
        <w:rPr>
          <w:spacing w:val="-2"/>
        </w:rPr>
        <w:t>below.</w:t>
      </w:r>
    </w:p>
    <w:p>
      <w:pPr>
        <w:pStyle w:val="BodyText"/>
        <w:spacing w:before="5"/>
      </w:pPr>
    </w:p>
    <w:p>
      <w:pPr>
        <w:pStyle w:val="BodyText"/>
        <w:tabs>
          <w:tab w:pos="705" w:val="left" w:leader="none"/>
        </w:tabs>
        <w:ind w:left="165"/>
      </w:pPr>
      <w:bookmarkStart w:name="_bookmark1186" w:id="1188"/>
      <w:bookmarkEnd w:id="1188"/>
      <w:r>
        <w:rPr/>
      </w:r>
      <w:hyperlink w:history="true" w:anchor="_bookmark953">
        <w:r>
          <w:rPr>
            <w:color w:val="005DA1"/>
            <w:spacing w:val="-4"/>
            <w:position w:val="5"/>
            <w:sz w:val="14"/>
            <w:u w:val="single" w:color="005DA1"/>
          </w:rPr>
          <w:t>554</w:t>
        </w:r>
      </w:hyperlink>
      <w:r>
        <w:rPr>
          <w:spacing w:val="-4"/>
          <w:position w:val="5"/>
          <w:sz w:val="14"/>
        </w:rPr>
        <w:t>.</w:t>
      </w:r>
      <w:r>
        <w:rPr>
          <w:position w:val="5"/>
          <w:sz w:val="14"/>
        </w:rPr>
        <w:tab/>
      </w:r>
      <w:r>
        <w:rPr/>
        <w:t>cf. the position in cases of estoppel by representation, below, para.4-104 </w:t>
      </w:r>
      <w:r>
        <w:rPr>
          <w:spacing w:val="-2"/>
        </w:rPr>
        <w:t>n.588.</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3184">
            <wp:simplePos x="0" y="0"/>
            <wp:positionH relativeFrom="page">
              <wp:posOffset>1257846</wp:posOffset>
            </wp:positionH>
            <wp:positionV relativeFrom="paragraph">
              <wp:posOffset>160700</wp:posOffset>
            </wp:positionV>
            <wp:extent cx="107988" cy="107988"/>
            <wp:effectExtent l="0" t="0" r="0" b="0"/>
            <wp:wrapNone/>
            <wp:docPr id="199" name="Image 199"/>
            <wp:cNvGraphicFramePr>
              <a:graphicFrameLocks/>
            </wp:cNvGraphicFramePr>
            <a:graphic>
              <a:graphicData uri="http://schemas.openxmlformats.org/drawingml/2006/picture">
                <pic:pic>
                  <pic:nvPicPr>
                    <pic:cNvPr id="199" name="Image 19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187" w:id="1189"/>
      <w:bookmarkEnd w:id="1189"/>
      <w:r>
        <w:rPr/>
      </w:r>
      <w:hyperlink w:history="true" w:anchor="_bookmark954">
        <w:r>
          <w:rPr>
            <w:color w:val="005DA1"/>
            <w:spacing w:val="-4"/>
            <w:sz w:val="14"/>
            <w:u w:val="single" w:color="005DA1"/>
          </w:rPr>
          <w:t>555</w:t>
        </w:r>
      </w:hyperlink>
      <w:r>
        <w:rPr>
          <w:spacing w:val="-4"/>
          <w:sz w:val="14"/>
        </w:rPr>
        <w:t>.</w:t>
      </w:r>
    </w:p>
    <w:p>
      <w:pPr>
        <w:spacing w:line="235" w:lineRule="auto" w:before="213"/>
        <w:ind w:left="165" w:right="167" w:firstLine="170"/>
        <w:jc w:val="both"/>
        <w:rPr>
          <w:sz w:val="20"/>
        </w:rPr>
      </w:pPr>
      <w:r>
        <w:rPr/>
        <w:br w:type="column"/>
      </w:r>
      <w:r>
        <w:rPr>
          <w:rFonts w:ascii="Arial" w:hAnsi="Arial"/>
          <w:i/>
          <w:sz w:val="20"/>
        </w:rPr>
        <w:t>Argy Trading Development Co Ltd v Lapid Developments Ltd [1977] 1 W.L.R. 444, 457</w:t>
      </w:r>
      <w:r>
        <w:rPr>
          <w:sz w:val="20"/>
        </w:rPr>
        <w:t>; </w:t>
      </w:r>
      <w:r>
        <w:rPr>
          <w:rFonts w:ascii="Arial" w:hAnsi="Arial"/>
          <w:i/>
          <w:sz w:val="20"/>
        </w:rPr>
        <w:t>Aquaflite Ltd v Jaymar International Freight Consultants Ltd [1980] 1 Lloyd’s Rep. 36</w:t>
      </w:r>
      <w:r>
        <w:rPr>
          <w:sz w:val="20"/>
        </w:rPr>
        <w:t>; </w:t>
      </w:r>
      <w:r>
        <w:rPr>
          <w:rFonts w:ascii="Arial" w:hAnsi="Arial"/>
          <w:i/>
          <w:sz w:val="20"/>
        </w:rPr>
        <w:t>Syros Shipping</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SA</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Elaghill</w:t>
      </w:r>
      <w:r>
        <w:rPr>
          <w:rFonts w:ascii="Arial" w:hAnsi="Arial"/>
          <w:i/>
          <w:spacing w:val="-3"/>
          <w:sz w:val="20"/>
        </w:rPr>
        <w:t> </w:t>
      </w:r>
      <w:r>
        <w:rPr>
          <w:rFonts w:ascii="Arial" w:hAnsi="Arial"/>
          <w:i/>
          <w:sz w:val="20"/>
        </w:rPr>
        <w:t>Trading</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(The</w:t>
      </w:r>
      <w:r>
        <w:rPr>
          <w:rFonts w:ascii="Arial" w:hAnsi="Arial"/>
          <w:i/>
          <w:spacing w:val="-3"/>
          <w:sz w:val="20"/>
        </w:rPr>
        <w:t> </w:t>
      </w:r>
      <w:r>
        <w:rPr>
          <w:rFonts w:ascii="Arial" w:hAnsi="Arial"/>
          <w:i/>
          <w:sz w:val="20"/>
        </w:rPr>
        <w:t>Proodos</w:t>
      </w:r>
      <w:r>
        <w:rPr>
          <w:rFonts w:ascii="Arial" w:hAnsi="Arial"/>
          <w:i/>
          <w:spacing w:val="-3"/>
          <w:sz w:val="20"/>
        </w:rPr>
        <w:t> </w:t>
      </w:r>
      <w:r>
        <w:rPr>
          <w:rFonts w:ascii="Arial" w:hAnsi="Arial"/>
          <w:i/>
          <w:sz w:val="20"/>
        </w:rPr>
        <w:t>C)</w:t>
      </w:r>
      <w:r>
        <w:rPr>
          <w:rFonts w:ascii="Arial" w:hAnsi="Arial"/>
          <w:i/>
          <w:spacing w:val="-3"/>
          <w:sz w:val="20"/>
        </w:rPr>
        <w:t> </w:t>
      </w:r>
      <w:r>
        <w:rPr>
          <w:rFonts w:ascii="Arial" w:hAnsi="Arial"/>
          <w:i/>
          <w:sz w:val="20"/>
        </w:rPr>
        <w:t>[1980]</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390,</w:t>
      </w:r>
      <w:r>
        <w:rPr>
          <w:rFonts w:ascii="Arial" w:hAnsi="Arial"/>
          <w:i/>
          <w:spacing w:val="-3"/>
          <w:sz w:val="20"/>
        </w:rPr>
        <w:t> </w:t>
      </w:r>
      <w:r>
        <w:rPr>
          <w:rFonts w:ascii="Arial" w:hAnsi="Arial"/>
          <w:i/>
          <w:sz w:val="20"/>
        </w:rPr>
        <w:t>391</w:t>
      </w:r>
      <w:r>
        <w:rPr>
          <w:sz w:val="20"/>
        </w:rPr>
        <w:t>;</w:t>
      </w:r>
      <w:r>
        <w:rPr>
          <w:spacing w:val="-3"/>
          <w:sz w:val="20"/>
        </w:rPr>
        <w:t> </w:t>
      </w:r>
      <w:r>
        <w:rPr>
          <w:rFonts w:ascii="Arial" w:hAnsi="Arial"/>
          <w:i/>
          <w:sz w:val="20"/>
        </w:rPr>
        <w:t>James</w:t>
      </w:r>
      <w:r>
        <w:rPr>
          <w:rFonts w:ascii="Arial" w:hAnsi="Arial"/>
          <w:i/>
          <w:spacing w:val="-3"/>
          <w:sz w:val="20"/>
        </w:rPr>
        <w:t> </w:t>
      </w:r>
      <w:r>
        <w:rPr>
          <w:rFonts w:ascii="Arial" w:hAnsi="Arial"/>
          <w:i/>
          <w:sz w:val="20"/>
        </w:rPr>
        <w:t>v Heim Galleries (1980) 256 E.G. 819, 821</w:t>
      </w:r>
      <w:r>
        <w:rPr>
          <w:sz w:val="20"/>
        </w:rPr>
        <w:t>; </w:t>
      </w:r>
      <w:r>
        <w:rPr>
          <w:rFonts w:ascii="Arial" w:hAnsi="Arial"/>
          <w:i/>
          <w:sz w:val="20"/>
        </w:rPr>
        <w:t>Brikom Investments Ltd v Seaford [1981] 1 W.L.R. 863</w:t>
      </w:r>
      <w:r>
        <w:rPr>
          <w:sz w:val="20"/>
        </w:rPr>
        <w:t>; cf. </w:t>
      </w:r>
      <w:r>
        <w:rPr>
          <w:rFonts w:ascii="Arial" w:hAnsi="Arial"/>
          <w:i/>
          <w:sz w:val="20"/>
        </w:rPr>
        <w:t>Taylors Fashions Ltd v Liverpool Victoria Trustee Co Ltd [1982] Q.B. 133, 152</w:t>
      </w:r>
      <w:r>
        <w:rPr>
          <w:sz w:val="20"/>
        </w:rPr>
        <w:t>; </w:t>
      </w:r>
      <w:r>
        <w:rPr>
          <w:rFonts w:ascii="Arial" w:hAnsi="Arial"/>
          <w:i/>
          <w:sz w:val="20"/>
        </w:rPr>
        <w:t>Baird Textile Holdings Ltd v Marks &amp; Spencer plc [2001] EWCA Civ 274; [2002] 1 All E.R. (Comm) 737</w:t>
      </w:r>
      <w:r>
        <w:rPr>
          <w:sz w:val="20"/>
        </w:rPr>
        <w:t>, above, n.537; </w:t>
      </w:r>
      <w:r>
        <w:rPr>
          <w:rFonts w:ascii="Arial" w:hAnsi="Arial"/>
          <w:i/>
          <w:sz w:val="20"/>
        </w:rPr>
        <w:t>Newport City Council v Charles [2008] EWCA Civ 1541 </w:t>
      </w:r>
      <w:r>
        <w:rPr>
          <w:sz w:val="20"/>
        </w:rPr>
        <w:t>at [27] where this position was at [28] viewed with “unease” (for this case, see below, paras 4-102, 4-153);</w:t>
      </w:r>
      <w:r>
        <w:rPr>
          <w:spacing w:val="-1"/>
          <w:sz w:val="20"/>
        </w:rPr>
        <w:t> </w:t>
      </w:r>
      <w:r>
        <w:rPr>
          <w:rFonts w:ascii="Arial" w:hAnsi="Arial"/>
          <w:i/>
          <w:sz w:val="20"/>
        </w:rPr>
        <w:t>Haden Young Ltd v Laing O’Rourke Midlands Ltd [2008] EWHC 1016 (TCC) </w:t>
      </w:r>
      <w:r>
        <w:rPr>
          <w:sz w:val="20"/>
        </w:rPr>
        <w:t>at [167], [169], where the rule that estoppel could not be used to create a contract where none existed in fact was applied in relation to estoppel by representation and to estoppel by convention (as to the latter point, see below, para.4-114). The defensive nature of promissory estoppel is also by implication recognised in </w:t>
      </w:r>
      <w:r>
        <w:rPr>
          <w:rFonts w:ascii="Arial" w:hAnsi="Arial"/>
          <w:i/>
          <w:sz w:val="20"/>
        </w:rPr>
        <w:t>Thorner v Major [2009] UKHL 18, [2009] 1 W.L.R. 776 </w:t>
      </w:r>
      <w:r>
        <w:rPr>
          <w:sz w:val="20"/>
        </w:rPr>
        <w:t>at [61], where promissory estoppel</w:t>
      </w:r>
      <w:r>
        <w:rPr>
          <w:spacing w:val="-1"/>
          <w:sz w:val="20"/>
        </w:rPr>
        <w:t> </w:t>
      </w:r>
      <w:r>
        <w:rPr>
          <w:sz w:val="20"/>
        </w:rPr>
        <w:t>is</w:t>
      </w:r>
      <w:r>
        <w:rPr>
          <w:spacing w:val="-1"/>
          <w:sz w:val="20"/>
        </w:rPr>
        <w:t> </w:t>
      </w:r>
      <w:r>
        <w:rPr>
          <w:sz w:val="20"/>
        </w:rPr>
        <w:t>in</w:t>
      </w:r>
      <w:r>
        <w:rPr>
          <w:spacing w:val="-1"/>
          <w:sz w:val="20"/>
        </w:rPr>
        <w:t> </w:t>
      </w:r>
      <w:r>
        <w:rPr>
          <w:sz w:val="20"/>
        </w:rPr>
        <w:t>this</w:t>
      </w:r>
      <w:r>
        <w:rPr>
          <w:spacing w:val="-1"/>
          <w:sz w:val="20"/>
        </w:rPr>
        <w:t> </w:t>
      </w:r>
      <w:r>
        <w:rPr>
          <w:sz w:val="20"/>
        </w:rPr>
        <w:t>respect</w:t>
      </w:r>
      <w:r>
        <w:rPr>
          <w:spacing w:val="-1"/>
          <w:sz w:val="20"/>
        </w:rPr>
        <w:t> </w:t>
      </w:r>
      <w:r>
        <w:rPr>
          <w:sz w:val="20"/>
        </w:rPr>
        <w:t>contrasted</w:t>
      </w:r>
      <w:r>
        <w:rPr>
          <w:spacing w:val="-1"/>
          <w:sz w:val="20"/>
        </w:rPr>
        <w:t> </w:t>
      </w:r>
      <w:r>
        <w:rPr>
          <w:sz w:val="20"/>
        </w:rPr>
        <w:t>with</w:t>
      </w:r>
      <w:r>
        <w:rPr>
          <w:spacing w:val="-1"/>
          <w:sz w:val="20"/>
        </w:rPr>
        <w:t> </w:t>
      </w:r>
      <w:r>
        <w:rPr>
          <w:sz w:val="20"/>
        </w:rPr>
        <w:t>proprietary</w:t>
      </w:r>
      <w:r>
        <w:rPr>
          <w:spacing w:val="-1"/>
          <w:sz w:val="20"/>
        </w:rPr>
        <w:t> </w:t>
      </w:r>
      <w:r>
        <w:rPr>
          <w:sz w:val="20"/>
        </w:rPr>
        <w:t>estoppel:</w:t>
      </w:r>
      <w:r>
        <w:rPr>
          <w:spacing w:val="-1"/>
          <w:sz w:val="20"/>
        </w:rPr>
        <w:t> </w:t>
      </w:r>
      <w:r>
        <w:rPr>
          <w:sz w:val="20"/>
        </w:rPr>
        <w:t>see</w:t>
      </w:r>
      <w:r>
        <w:rPr>
          <w:spacing w:val="-1"/>
          <w:sz w:val="20"/>
        </w:rPr>
        <w:t> </w:t>
      </w:r>
      <w:r>
        <w:rPr>
          <w:sz w:val="20"/>
        </w:rPr>
        <w:t>below,</w:t>
      </w:r>
      <w:r>
        <w:rPr>
          <w:spacing w:val="-1"/>
          <w:sz w:val="20"/>
        </w:rPr>
        <w:t> </w:t>
      </w:r>
      <w:r>
        <w:rPr>
          <w:sz w:val="20"/>
        </w:rPr>
        <w:t>para.4-183.</w:t>
      </w:r>
      <w:r>
        <w:rPr>
          <w:spacing w:val="-1"/>
          <w:sz w:val="20"/>
        </w:rPr>
        <w:t> </w:t>
      </w:r>
      <w:r>
        <w:rPr>
          <w:sz w:val="20"/>
        </w:rPr>
        <w:t>A</w:t>
      </w:r>
      <w:r>
        <w:rPr>
          <w:spacing w:val="-1"/>
          <w:sz w:val="20"/>
        </w:rPr>
        <w:t> </w:t>
      </w:r>
      <w:r>
        <w:rPr>
          <w:sz w:val="20"/>
        </w:rPr>
        <w:t>dictum in </w:t>
      </w:r>
      <w:r>
        <w:rPr>
          <w:rFonts w:ascii="Arial" w:hAnsi="Arial"/>
          <w:i/>
          <w:sz w:val="20"/>
        </w:rPr>
        <w:t>Dixon v Blindley Heath Investments Ltd [2015] EWCA Civ 1023, [2017] 3 W.L.R. 166 </w:t>
      </w:r>
      <w:r>
        <w:rPr>
          <w:sz w:val="20"/>
        </w:rPr>
        <w:t>at [73] (quoted</w:t>
      </w:r>
      <w:r>
        <w:rPr>
          <w:spacing w:val="13"/>
          <w:sz w:val="20"/>
        </w:rPr>
        <w:t> </w:t>
      </w:r>
      <w:r>
        <w:rPr>
          <w:sz w:val="20"/>
        </w:rPr>
        <w:t>in</w:t>
      </w:r>
      <w:r>
        <w:rPr>
          <w:spacing w:val="13"/>
          <w:sz w:val="20"/>
        </w:rPr>
        <w:t> </w:t>
      </w:r>
      <w:r>
        <w:rPr>
          <w:sz w:val="20"/>
        </w:rPr>
        <w:t>para.4-114</w:t>
      </w:r>
      <w:r>
        <w:rPr>
          <w:spacing w:val="13"/>
          <w:sz w:val="20"/>
        </w:rPr>
        <w:t> </w:t>
      </w:r>
      <w:r>
        <w:rPr>
          <w:sz w:val="20"/>
        </w:rPr>
        <w:t>n.684</w:t>
      </w:r>
      <w:r>
        <w:rPr>
          <w:spacing w:val="13"/>
          <w:sz w:val="20"/>
        </w:rPr>
        <w:t> </w:t>
      </w:r>
      <w:r>
        <w:rPr>
          <w:sz w:val="20"/>
        </w:rPr>
        <w:t>below)</w:t>
      </w:r>
      <w:r>
        <w:rPr>
          <w:spacing w:val="13"/>
          <w:sz w:val="20"/>
        </w:rPr>
        <w:t> </w:t>
      </w:r>
      <w:r>
        <w:rPr>
          <w:sz w:val="20"/>
        </w:rPr>
        <w:t>seems</w:t>
      </w:r>
      <w:r>
        <w:rPr>
          <w:spacing w:val="13"/>
          <w:sz w:val="20"/>
        </w:rPr>
        <w:t> </w:t>
      </w:r>
      <w:r>
        <w:rPr>
          <w:sz w:val="20"/>
        </w:rPr>
        <w:t>to</w:t>
      </w:r>
      <w:r>
        <w:rPr>
          <w:spacing w:val="13"/>
          <w:sz w:val="20"/>
        </w:rPr>
        <w:t> </w:t>
      </w:r>
      <w:r>
        <w:rPr>
          <w:sz w:val="20"/>
        </w:rPr>
        <w:t>suggest</w:t>
      </w:r>
      <w:r>
        <w:rPr>
          <w:spacing w:val="13"/>
          <w:sz w:val="20"/>
        </w:rPr>
        <w:t> </w:t>
      </w:r>
      <w:r>
        <w:rPr>
          <w:sz w:val="20"/>
        </w:rPr>
        <w:t>that</w:t>
      </w:r>
      <w:r>
        <w:rPr>
          <w:spacing w:val="13"/>
          <w:sz w:val="20"/>
        </w:rPr>
        <w:t> </w:t>
      </w:r>
      <w:r>
        <w:rPr>
          <w:sz w:val="20"/>
        </w:rPr>
        <w:t>promissory</w:t>
      </w:r>
      <w:r>
        <w:rPr>
          <w:spacing w:val="13"/>
          <w:sz w:val="20"/>
        </w:rPr>
        <w:t> </w:t>
      </w:r>
      <w:r>
        <w:rPr>
          <w:sz w:val="20"/>
        </w:rPr>
        <w:t>estoppel</w:t>
      </w:r>
      <w:r>
        <w:rPr>
          <w:spacing w:val="13"/>
          <w:sz w:val="20"/>
        </w:rPr>
        <w:t> </w:t>
      </w:r>
      <w:r>
        <w:rPr>
          <w:sz w:val="20"/>
        </w:rPr>
        <w:t>can</w:t>
      </w:r>
      <w:r>
        <w:rPr>
          <w:spacing w:val="13"/>
          <w:sz w:val="20"/>
        </w:rPr>
        <w:t> </w:t>
      </w:r>
      <w:r>
        <w:rPr>
          <w:sz w:val="20"/>
        </w:rPr>
        <w:t>“provide</w:t>
      </w:r>
      <w:r>
        <w:rPr>
          <w:spacing w:val="13"/>
          <w:sz w:val="20"/>
        </w:rPr>
        <w:t> </w:t>
      </w:r>
      <w:r>
        <w:rPr>
          <w:spacing w:val="-10"/>
          <w:sz w:val="20"/>
        </w:rPr>
        <w:t>a</w:t>
      </w:r>
    </w:p>
    <w:p>
      <w:pPr>
        <w:spacing w:after="0" w:line="235" w:lineRule="auto"/>
        <w:jc w:val="both"/>
        <w:rPr>
          <w:sz w:val="20"/>
        </w:rPr>
        <w:sectPr>
          <w:type w:val="continuous"/>
          <w:pgSz w:w="11900" w:h="16840"/>
          <w:pgMar w:header="971" w:footer="0" w:top="3760" w:bottom="280" w:left="1275" w:right="1275"/>
          <w:cols w:num="2" w:equalWidth="0">
            <w:col w:w="478" w:space="63"/>
            <w:col w:w="8809"/>
          </w:cols>
        </w:sectPr>
      </w:pPr>
    </w:p>
    <w:p>
      <w:pPr>
        <w:pStyle w:val="BodyText"/>
        <w:spacing w:before="24"/>
      </w:pPr>
    </w:p>
    <w:p>
      <w:pPr>
        <w:pStyle w:val="BodyText"/>
        <w:spacing w:line="235" w:lineRule="auto" w:before="1"/>
        <w:ind w:left="705" w:right="167"/>
        <w:jc w:val="both"/>
      </w:pPr>
      <w:r>
        <w:rPr/>
        <w:t>cause of action”. But the point does not seem to have been argued in that case and no reference is made in the </w:t>
      </w:r>
      <w:r>
        <w:rPr>
          <w:rFonts w:ascii="Arial" w:hAnsi="Arial"/>
          <w:i/>
        </w:rPr>
        <w:t>Dixon </w:t>
      </w:r>
      <w:r>
        <w:rPr/>
        <w:t>case to any of the authorities which are cited in Main Work,</w:t>
      </w:r>
      <w:r>
        <w:rPr>
          <w:spacing w:val="40"/>
        </w:rPr>
        <w:t> </w:t>
      </w:r>
      <w:r>
        <w:rPr/>
        <w:t>Vol.I, para.4-089 in support of the view that, in English law, promissory estoppel does </w:t>
      </w:r>
      <w:r>
        <w:rPr>
          <w:rFonts w:ascii="Arial" w:hAnsi="Arial"/>
          <w:i/>
        </w:rPr>
        <w:t>not</w:t>
      </w:r>
      <w:r>
        <w:rPr>
          <w:rFonts w:ascii="Arial" w:hAnsi="Arial"/>
          <w:i/>
          <w:spacing w:val="40"/>
        </w:rPr>
        <w:t> </w:t>
      </w:r>
      <w:r>
        <w:rPr/>
        <w:t>create a cause of action; and it is respectfully submitted that the above dictum in the </w:t>
      </w:r>
      <w:r>
        <w:rPr>
          <w:rFonts w:ascii="Arial" w:hAnsi="Arial"/>
          <w:i/>
        </w:rPr>
        <w:t>Dixon </w:t>
      </w:r>
      <w:r>
        <w:rPr/>
        <w:t>case, so far as it departs from that view, should be treated as having been made per incuriam.</w:t>
      </w:r>
    </w:p>
    <w:p>
      <w:pPr>
        <w:pStyle w:val="BodyText"/>
        <w:spacing w:before="4"/>
      </w:pPr>
    </w:p>
    <w:p>
      <w:pPr>
        <w:tabs>
          <w:tab w:pos="705" w:val="left" w:leader="none"/>
        </w:tabs>
        <w:spacing w:before="0"/>
        <w:ind w:left="165" w:right="0" w:firstLine="0"/>
        <w:jc w:val="left"/>
        <w:rPr>
          <w:sz w:val="20"/>
        </w:rPr>
      </w:pPr>
      <w:bookmarkStart w:name="_bookmark1188" w:id="1190"/>
      <w:bookmarkEnd w:id="1190"/>
      <w:r>
        <w:rPr/>
      </w:r>
      <w:hyperlink w:history="true" w:anchor="_bookmark955">
        <w:r>
          <w:rPr>
            <w:color w:val="005DA1"/>
            <w:spacing w:val="-4"/>
            <w:position w:val="5"/>
            <w:sz w:val="14"/>
            <w:u w:val="single" w:color="005DA1"/>
          </w:rPr>
          <w:t>556</w:t>
        </w:r>
      </w:hyperlink>
      <w:r>
        <w:rPr>
          <w:spacing w:val="-4"/>
          <w:position w:val="5"/>
          <w:sz w:val="14"/>
        </w:rPr>
        <w:t>.</w:t>
      </w:r>
      <w:r>
        <w:rPr>
          <w:position w:val="5"/>
          <w:sz w:val="14"/>
        </w:rPr>
        <w:tab/>
      </w:r>
      <w:r>
        <w:rPr>
          <w:rFonts w:ascii="Arial"/>
          <w:i/>
          <w:sz w:val="20"/>
        </w:rPr>
        <w:t>(1809)</w:t>
      </w:r>
      <w:r>
        <w:rPr>
          <w:rFonts w:ascii="Arial"/>
          <w:i/>
          <w:spacing w:val="-1"/>
          <w:sz w:val="20"/>
        </w:rPr>
        <w:t> </w:t>
      </w:r>
      <w:r>
        <w:rPr>
          <w:rFonts w:ascii="Arial"/>
          <w:i/>
          <w:sz w:val="20"/>
        </w:rPr>
        <w:t>2 Camp. 317; 6 Esp. 129</w:t>
      </w:r>
      <w:r>
        <w:rPr>
          <w:sz w:val="20"/>
        </w:rPr>
        <w:t>; above, para.4-</w:t>
      </w:r>
      <w:r>
        <w:rPr>
          <w:spacing w:val="-4"/>
          <w:sz w:val="20"/>
        </w:rPr>
        <w:t>067.</w:t>
      </w:r>
    </w:p>
    <w:p>
      <w:pPr>
        <w:pStyle w:val="BodyText"/>
        <w:spacing w:before="5"/>
      </w:pPr>
    </w:p>
    <w:p>
      <w:pPr>
        <w:tabs>
          <w:tab w:pos="705" w:val="left" w:leader="none"/>
        </w:tabs>
        <w:spacing w:before="0"/>
        <w:ind w:left="165" w:right="0" w:firstLine="0"/>
        <w:jc w:val="left"/>
        <w:rPr>
          <w:sz w:val="20"/>
        </w:rPr>
      </w:pPr>
      <w:bookmarkStart w:name="_bookmark1189" w:id="1191"/>
      <w:bookmarkEnd w:id="1191"/>
      <w:r>
        <w:rPr/>
      </w:r>
      <w:hyperlink w:history="true" w:anchor="_bookmark956">
        <w:r>
          <w:rPr>
            <w:color w:val="005DA1"/>
            <w:spacing w:val="-4"/>
            <w:position w:val="5"/>
            <w:sz w:val="14"/>
            <w:u w:val="single" w:color="005DA1"/>
          </w:rPr>
          <w:t>557</w:t>
        </w:r>
      </w:hyperlink>
      <w:r>
        <w:rPr>
          <w:spacing w:val="-4"/>
          <w:position w:val="5"/>
          <w:sz w:val="14"/>
        </w:rPr>
        <w:t>.</w:t>
      </w:r>
      <w:r>
        <w:rPr>
          <w:position w:val="5"/>
          <w:sz w:val="14"/>
        </w:rPr>
        <w:tab/>
      </w:r>
      <w:r>
        <w:rPr>
          <w:sz w:val="20"/>
        </w:rPr>
        <w:t>See</w:t>
      </w:r>
      <w:r>
        <w:rPr>
          <w:spacing w:val="-1"/>
          <w:sz w:val="20"/>
        </w:rPr>
        <w:t> </w:t>
      </w:r>
      <w:r>
        <w:rPr>
          <w:rFonts w:ascii="Arial" w:hAnsi="Arial"/>
          <w:i/>
          <w:sz w:val="20"/>
        </w:rPr>
        <w:t>Hiscox v Outhwaite (No.3) [1991] 2 Lloyd’s Rep. 524, </w:t>
      </w:r>
      <w:r>
        <w:rPr>
          <w:rFonts w:ascii="Arial" w:hAnsi="Arial"/>
          <w:i/>
          <w:spacing w:val="-4"/>
          <w:sz w:val="20"/>
        </w:rPr>
        <w:t>535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90" w:id="1192"/>
      <w:bookmarkEnd w:id="1192"/>
      <w:r>
        <w:rPr/>
      </w:r>
      <w:hyperlink w:history="true" w:anchor="_bookmark957">
        <w:r>
          <w:rPr>
            <w:color w:val="005DA1"/>
            <w:spacing w:val="-4"/>
            <w:position w:val="5"/>
            <w:sz w:val="14"/>
            <w:u w:val="single" w:color="005DA1"/>
          </w:rPr>
          <w:t>558</w:t>
        </w:r>
      </w:hyperlink>
      <w:r>
        <w:rPr>
          <w:spacing w:val="-4"/>
          <w:position w:val="5"/>
          <w:sz w:val="14"/>
        </w:rPr>
        <w:t>.</w:t>
      </w:r>
      <w:r>
        <w:rPr>
          <w:position w:val="5"/>
          <w:sz w:val="14"/>
        </w:rPr>
        <w:tab/>
      </w:r>
      <w:r>
        <w:rPr>
          <w:rFonts w:ascii="Arial"/>
          <w:i/>
          <w:sz w:val="20"/>
        </w:rPr>
        <w:t>[1951]</w:t>
      </w:r>
      <w:r>
        <w:rPr>
          <w:rFonts w:ascii="Arial"/>
          <w:i/>
          <w:spacing w:val="-2"/>
          <w:sz w:val="20"/>
        </w:rPr>
        <w:t> </w:t>
      </w:r>
      <w:r>
        <w:rPr>
          <w:rFonts w:ascii="Arial"/>
          <w:i/>
          <w:sz w:val="20"/>
        </w:rPr>
        <w:t>2 K.B. 215, </w:t>
      </w:r>
      <w:r>
        <w:rPr>
          <w:rFonts w:ascii="Arial"/>
          <w:i/>
          <w:spacing w:val="-4"/>
          <w:sz w:val="20"/>
        </w:rPr>
        <w:t>219</w:t>
      </w:r>
      <w:r>
        <w:rPr>
          <w:spacing w:val="-4"/>
          <w:sz w:val="20"/>
        </w:rPr>
        <w:t>.</w:t>
      </w:r>
    </w:p>
    <w:p>
      <w:pPr>
        <w:pStyle w:val="BodyText"/>
        <w:spacing w:before="9"/>
      </w:pPr>
    </w:p>
    <w:p>
      <w:pPr>
        <w:tabs>
          <w:tab w:pos="705" w:val="left" w:leader="none"/>
        </w:tabs>
        <w:spacing w:line="235" w:lineRule="auto" w:before="0"/>
        <w:ind w:left="705" w:right="167" w:hanging="541"/>
        <w:jc w:val="left"/>
        <w:rPr>
          <w:rFonts w:ascii="Arial"/>
          <w:i/>
          <w:sz w:val="20"/>
        </w:rPr>
      </w:pPr>
      <w:bookmarkStart w:name="_bookmark1191" w:id="1193"/>
      <w:bookmarkEnd w:id="1193"/>
      <w:r>
        <w:rPr/>
      </w:r>
      <w:hyperlink w:history="true" w:anchor="_bookmark958">
        <w:r>
          <w:rPr>
            <w:color w:val="005DA1"/>
            <w:spacing w:val="-4"/>
            <w:position w:val="5"/>
            <w:sz w:val="14"/>
            <w:u w:val="single" w:color="005DA1"/>
          </w:rPr>
          <w:t>559</w:t>
        </w:r>
      </w:hyperlink>
      <w:r>
        <w:rPr>
          <w:spacing w:val="-4"/>
          <w:position w:val="5"/>
          <w:sz w:val="14"/>
        </w:rPr>
        <w:t>.</w:t>
      </w:r>
      <w:r>
        <w:rPr>
          <w:position w:val="5"/>
          <w:sz w:val="14"/>
        </w:rPr>
        <w:tab/>
      </w:r>
      <w:r>
        <w:rPr>
          <w:rFonts w:ascii="Arial"/>
          <w:i/>
          <w:sz w:val="20"/>
        </w:rPr>
        <w:t>Baird</w:t>
      </w:r>
      <w:r>
        <w:rPr>
          <w:rFonts w:ascii="Arial"/>
          <w:i/>
          <w:spacing w:val="34"/>
          <w:sz w:val="20"/>
        </w:rPr>
        <w:t> </w:t>
      </w:r>
      <w:r>
        <w:rPr>
          <w:rFonts w:ascii="Arial"/>
          <w:i/>
          <w:sz w:val="20"/>
        </w:rPr>
        <w:t>Textile</w:t>
      </w:r>
      <w:r>
        <w:rPr>
          <w:rFonts w:ascii="Arial"/>
          <w:i/>
          <w:spacing w:val="34"/>
          <w:sz w:val="20"/>
        </w:rPr>
        <w:t> </w:t>
      </w:r>
      <w:r>
        <w:rPr>
          <w:rFonts w:ascii="Arial"/>
          <w:i/>
          <w:sz w:val="20"/>
        </w:rPr>
        <w:t>Holdings</w:t>
      </w:r>
      <w:r>
        <w:rPr>
          <w:rFonts w:ascii="Arial"/>
          <w:i/>
          <w:spacing w:val="34"/>
          <w:sz w:val="20"/>
        </w:rPr>
        <w:t> </w:t>
      </w:r>
      <w:r>
        <w:rPr>
          <w:rFonts w:ascii="Arial"/>
          <w:i/>
          <w:sz w:val="20"/>
        </w:rPr>
        <w:t>Ltd</w:t>
      </w:r>
      <w:r>
        <w:rPr>
          <w:rFonts w:ascii="Arial"/>
          <w:i/>
          <w:spacing w:val="34"/>
          <w:sz w:val="20"/>
        </w:rPr>
        <w:t> </w:t>
      </w:r>
      <w:r>
        <w:rPr>
          <w:rFonts w:ascii="Arial"/>
          <w:i/>
          <w:sz w:val="20"/>
        </w:rPr>
        <w:t>v</w:t>
      </w:r>
      <w:r>
        <w:rPr>
          <w:rFonts w:ascii="Arial"/>
          <w:i/>
          <w:spacing w:val="34"/>
          <w:sz w:val="20"/>
        </w:rPr>
        <w:t> </w:t>
      </w:r>
      <w:r>
        <w:rPr>
          <w:rFonts w:ascii="Arial"/>
          <w:i/>
          <w:sz w:val="20"/>
        </w:rPr>
        <w:t>Marks</w:t>
      </w:r>
      <w:r>
        <w:rPr>
          <w:rFonts w:ascii="Arial"/>
          <w:i/>
          <w:spacing w:val="34"/>
          <w:sz w:val="20"/>
        </w:rPr>
        <w:t> </w:t>
      </w:r>
      <w:r>
        <w:rPr>
          <w:rFonts w:ascii="Arial"/>
          <w:i/>
          <w:sz w:val="20"/>
        </w:rPr>
        <w:t>&amp;</w:t>
      </w:r>
      <w:r>
        <w:rPr>
          <w:rFonts w:ascii="Arial"/>
          <w:i/>
          <w:spacing w:val="34"/>
          <w:sz w:val="20"/>
        </w:rPr>
        <w:t> </w:t>
      </w:r>
      <w:r>
        <w:rPr>
          <w:rFonts w:ascii="Arial"/>
          <w:i/>
          <w:sz w:val="20"/>
        </w:rPr>
        <w:t>Spencer</w:t>
      </w:r>
      <w:r>
        <w:rPr>
          <w:rFonts w:ascii="Arial"/>
          <w:i/>
          <w:spacing w:val="34"/>
          <w:sz w:val="20"/>
        </w:rPr>
        <w:t> </w:t>
      </w:r>
      <w:r>
        <w:rPr>
          <w:rFonts w:ascii="Arial"/>
          <w:i/>
          <w:sz w:val="20"/>
        </w:rPr>
        <w:t>plc</w:t>
      </w:r>
      <w:r>
        <w:rPr>
          <w:rFonts w:ascii="Arial"/>
          <w:i/>
          <w:spacing w:val="34"/>
          <w:sz w:val="20"/>
        </w:rPr>
        <w:t> </w:t>
      </w:r>
      <w:r>
        <w:rPr>
          <w:rFonts w:ascii="Arial"/>
          <w:i/>
          <w:sz w:val="20"/>
        </w:rPr>
        <w:t>[2001]</w:t>
      </w:r>
      <w:r>
        <w:rPr>
          <w:rFonts w:ascii="Arial"/>
          <w:i/>
          <w:spacing w:val="34"/>
          <w:sz w:val="20"/>
        </w:rPr>
        <w:t> </w:t>
      </w:r>
      <w:r>
        <w:rPr>
          <w:rFonts w:ascii="Arial"/>
          <w:i/>
          <w:sz w:val="20"/>
        </w:rPr>
        <w:t>EWCA</w:t>
      </w:r>
      <w:r>
        <w:rPr>
          <w:rFonts w:ascii="Arial"/>
          <w:i/>
          <w:spacing w:val="34"/>
          <w:sz w:val="20"/>
        </w:rPr>
        <w:t> </w:t>
      </w:r>
      <w:r>
        <w:rPr>
          <w:rFonts w:ascii="Arial"/>
          <w:i/>
          <w:sz w:val="20"/>
        </w:rPr>
        <w:t>Civ</w:t>
      </w:r>
      <w:r>
        <w:rPr>
          <w:rFonts w:ascii="Arial"/>
          <w:i/>
          <w:spacing w:val="34"/>
          <w:sz w:val="20"/>
        </w:rPr>
        <w:t> </w:t>
      </w:r>
      <w:r>
        <w:rPr>
          <w:rFonts w:ascii="Arial"/>
          <w:i/>
          <w:sz w:val="20"/>
        </w:rPr>
        <w:t>274;</w:t>
      </w:r>
      <w:r>
        <w:rPr>
          <w:rFonts w:ascii="Arial"/>
          <w:i/>
          <w:spacing w:val="34"/>
          <w:sz w:val="20"/>
        </w:rPr>
        <w:t> </w:t>
      </w:r>
      <w:r>
        <w:rPr>
          <w:rFonts w:ascii="Arial"/>
          <w:i/>
          <w:sz w:val="20"/>
        </w:rPr>
        <w:t>[2002]</w:t>
      </w:r>
      <w:r>
        <w:rPr>
          <w:rFonts w:ascii="Arial"/>
          <w:i/>
          <w:spacing w:val="34"/>
          <w:sz w:val="20"/>
        </w:rPr>
        <w:t> </w:t>
      </w:r>
      <w:r>
        <w:rPr>
          <w:rFonts w:ascii="Arial"/>
          <w:i/>
          <w:sz w:val="20"/>
        </w:rPr>
        <w:t>1</w:t>
      </w:r>
      <w:r>
        <w:rPr>
          <w:rFonts w:ascii="Arial"/>
          <w:i/>
          <w:spacing w:val="34"/>
          <w:sz w:val="20"/>
        </w:rPr>
        <w:t> </w:t>
      </w:r>
      <w:r>
        <w:rPr>
          <w:rFonts w:ascii="Arial"/>
          <w:i/>
          <w:sz w:val="20"/>
        </w:rPr>
        <w:t>All</w:t>
      </w:r>
      <w:r>
        <w:rPr>
          <w:rFonts w:ascii="Arial"/>
          <w:i/>
          <w:spacing w:val="34"/>
          <w:sz w:val="20"/>
        </w:rPr>
        <w:t> </w:t>
      </w:r>
      <w:r>
        <w:rPr>
          <w:rFonts w:ascii="Arial"/>
          <w:i/>
          <w:sz w:val="20"/>
        </w:rPr>
        <w:t>E.R. (Comm)</w:t>
      </w:r>
      <w:r>
        <w:rPr>
          <w:rFonts w:ascii="Arial"/>
          <w:i/>
          <w:spacing w:val="1"/>
          <w:sz w:val="20"/>
        </w:rPr>
        <w:t> </w:t>
      </w:r>
      <w:r>
        <w:rPr>
          <w:rFonts w:ascii="Arial"/>
          <w:i/>
          <w:sz w:val="20"/>
        </w:rPr>
        <w:t>737</w:t>
      </w:r>
      <w:r>
        <w:rPr>
          <w:sz w:val="20"/>
        </w:rPr>
        <w:t>,</w:t>
      </w:r>
      <w:r>
        <w:rPr>
          <w:spacing w:val="2"/>
          <w:sz w:val="20"/>
        </w:rPr>
        <w:t> </w:t>
      </w:r>
      <w:r>
        <w:rPr>
          <w:sz w:val="20"/>
        </w:rPr>
        <w:t>at</w:t>
      </w:r>
      <w:r>
        <w:rPr>
          <w:spacing w:val="2"/>
          <w:sz w:val="20"/>
        </w:rPr>
        <w:t> </w:t>
      </w:r>
      <w:r>
        <w:rPr>
          <w:sz w:val="20"/>
        </w:rPr>
        <w:t>[88];</w:t>
      </w:r>
      <w:r>
        <w:rPr>
          <w:spacing w:val="2"/>
          <w:sz w:val="20"/>
        </w:rPr>
        <w:t> </w:t>
      </w:r>
      <w:r>
        <w:rPr>
          <w:rFonts w:ascii="Arial"/>
          <w:i/>
          <w:sz w:val="20"/>
        </w:rPr>
        <w:t>Durham</w:t>
      </w:r>
      <w:r>
        <w:rPr>
          <w:rFonts w:ascii="Arial"/>
          <w:i/>
          <w:spacing w:val="2"/>
          <w:sz w:val="20"/>
        </w:rPr>
        <w:t> </w:t>
      </w:r>
      <w:r>
        <w:rPr>
          <w:rFonts w:ascii="Arial"/>
          <w:i/>
          <w:sz w:val="20"/>
        </w:rPr>
        <w:t>v</w:t>
      </w:r>
      <w:r>
        <w:rPr>
          <w:rFonts w:ascii="Arial"/>
          <w:i/>
          <w:spacing w:val="2"/>
          <w:sz w:val="20"/>
        </w:rPr>
        <w:t> </w:t>
      </w:r>
      <w:r>
        <w:rPr>
          <w:rFonts w:ascii="Arial"/>
          <w:i/>
          <w:sz w:val="20"/>
        </w:rPr>
        <w:t>BAI</w:t>
      </w:r>
      <w:r>
        <w:rPr>
          <w:rFonts w:ascii="Arial"/>
          <w:i/>
          <w:spacing w:val="2"/>
          <w:sz w:val="20"/>
        </w:rPr>
        <w:t> </w:t>
      </w:r>
      <w:r>
        <w:rPr>
          <w:rFonts w:ascii="Arial"/>
          <w:i/>
          <w:sz w:val="20"/>
        </w:rPr>
        <w:t>(Run</w:t>
      </w:r>
      <w:r>
        <w:rPr>
          <w:rFonts w:ascii="Arial"/>
          <w:i/>
          <w:spacing w:val="2"/>
          <w:sz w:val="20"/>
        </w:rPr>
        <w:t> </w:t>
      </w:r>
      <w:r>
        <w:rPr>
          <w:rFonts w:ascii="Arial"/>
          <w:i/>
          <w:sz w:val="20"/>
        </w:rPr>
        <w:t>Off)</w:t>
      </w:r>
      <w:r>
        <w:rPr>
          <w:rFonts w:ascii="Arial"/>
          <w:i/>
          <w:spacing w:val="2"/>
          <w:sz w:val="20"/>
        </w:rPr>
        <w:t> </w:t>
      </w:r>
      <w:r>
        <w:rPr>
          <w:rFonts w:ascii="Arial"/>
          <w:i/>
          <w:sz w:val="20"/>
        </w:rPr>
        <w:t>Ltd</w:t>
      </w:r>
      <w:r>
        <w:rPr>
          <w:rFonts w:ascii="Arial"/>
          <w:i/>
          <w:spacing w:val="2"/>
          <w:sz w:val="20"/>
        </w:rPr>
        <w:t> </w:t>
      </w:r>
      <w:r>
        <w:rPr>
          <w:rFonts w:ascii="Arial"/>
          <w:i/>
          <w:sz w:val="20"/>
        </w:rPr>
        <w:t>[2008]</w:t>
      </w:r>
      <w:r>
        <w:rPr>
          <w:rFonts w:ascii="Arial"/>
          <w:i/>
          <w:spacing w:val="2"/>
          <w:sz w:val="20"/>
        </w:rPr>
        <w:t> </w:t>
      </w:r>
      <w:r>
        <w:rPr>
          <w:rFonts w:ascii="Arial"/>
          <w:i/>
          <w:sz w:val="20"/>
        </w:rPr>
        <w:t>EWHC</w:t>
      </w:r>
      <w:r>
        <w:rPr>
          <w:rFonts w:ascii="Arial"/>
          <w:i/>
          <w:spacing w:val="2"/>
          <w:sz w:val="20"/>
        </w:rPr>
        <w:t> </w:t>
      </w:r>
      <w:r>
        <w:rPr>
          <w:rFonts w:ascii="Arial"/>
          <w:i/>
          <w:sz w:val="20"/>
        </w:rPr>
        <w:t>2692</w:t>
      </w:r>
      <w:r>
        <w:rPr>
          <w:rFonts w:ascii="Arial"/>
          <w:i/>
          <w:spacing w:val="2"/>
          <w:sz w:val="20"/>
        </w:rPr>
        <w:t> </w:t>
      </w:r>
      <w:r>
        <w:rPr>
          <w:rFonts w:ascii="Arial"/>
          <w:i/>
          <w:sz w:val="20"/>
        </w:rPr>
        <w:t>(QB),</w:t>
      </w:r>
      <w:r>
        <w:rPr>
          <w:rFonts w:ascii="Arial"/>
          <w:i/>
          <w:spacing w:val="2"/>
          <w:sz w:val="20"/>
        </w:rPr>
        <w:t> </w:t>
      </w:r>
      <w:r>
        <w:rPr>
          <w:rFonts w:ascii="Arial"/>
          <w:i/>
          <w:sz w:val="20"/>
        </w:rPr>
        <w:t>[2009]</w:t>
      </w:r>
      <w:r>
        <w:rPr>
          <w:rFonts w:ascii="Arial"/>
          <w:i/>
          <w:spacing w:val="2"/>
          <w:sz w:val="20"/>
        </w:rPr>
        <w:t> </w:t>
      </w:r>
      <w:r>
        <w:rPr>
          <w:rFonts w:ascii="Arial"/>
          <w:i/>
          <w:sz w:val="20"/>
        </w:rPr>
        <w:t>2</w:t>
      </w:r>
      <w:r>
        <w:rPr>
          <w:rFonts w:ascii="Arial"/>
          <w:i/>
          <w:spacing w:val="2"/>
          <w:sz w:val="20"/>
        </w:rPr>
        <w:t> </w:t>
      </w:r>
      <w:r>
        <w:rPr>
          <w:rFonts w:ascii="Arial"/>
          <w:i/>
          <w:sz w:val="20"/>
        </w:rPr>
        <w:t>All</w:t>
      </w:r>
      <w:r>
        <w:rPr>
          <w:rFonts w:ascii="Arial"/>
          <w:i/>
          <w:spacing w:val="2"/>
          <w:sz w:val="20"/>
        </w:rPr>
        <w:t> </w:t>
      </w:r>
      <w:r>
        <w:rPr>
          <w:rFonts w:ascii="Arial"/>
          <w:i/>
          <w:sz w:val="20"/>
        </w:rPr>
        <w:t>E.R.</w:t>
      </w:r>
      <w:r>
        <w:rPr>
          <w:rFonts w:ascii="Arial"/>
          <w:i/>
          <w:spacing w:val="2"/>
          <w:sz w:val="20"/>
        </w:rPr>
        <w:t> </w:t>
      </w:r>
      <w:r>
        <w:rPr>
          <w:rFonts w:ascii="Arial"/>
          <w:i/>
          <w:spacing w:val="-5"/>
          <w:sz w:val="20"/>
        </w:rPr>
        <w:t>26</w:t>
      </w:r>
    </w:p>
    <w:p>
      <w:pPr>
        <w:pStyle w:val="BodyText"/>
        <w:spacing w:line="235" w:lineRule="auto"/>
        <w:ind w:left="705" w:right="167"/>
        <w:jc w:val="both"/>
      </w:pPr>
      <w:r>
        <w:rPr/>
        <w:t>at [269] (discussing estoppel by convention, below paras 4-108 to 4-115) and [278] (“the </w:t>
      </w:r>
      <w:r>
        <w:rPr>
          <w:rFonts w:ascii="Arial" w:hAnsi="Arial"/>
          <w:i/>
        </w:rPr>
        <w:t>Baird Textile </w:t>
      </w:r>
      <w:r>
        <w:rPr/>
        <w:t>exception”), reversed in part </w:t>
      </w:r>
      <w:r>
        <w:rPr>
          <w:rFonts w:ascii="Arial" w:hAnsi="Arial"/>
          <w:i/>
        </w:rPr>
        <w:t>[2010] EWCA Civ 1096, [2011] 1 All E.R. 605</w:t>
      </w:r>
      <w:r>
        <w:rPr/>
        <w:t>, where “the issue of estoppel by convention has not been pursued” (at [24] and see at [187]). There was likewise “no suggestion of estoppel by convention on further appeal to the Supreme Court ( </w:t>
      </w:r>
      <w:r>
        <w:rPr>
          <w:rFonts w:ascii="Arial" w:hAnsi="Arial"/>
          <w:i/>
        </w:rPr>
        <w:t>[2012] UKSC 14 </w:t>
      </w:r>
      <w:r>
        <w:rPr/>
        <w:t>at [39]), where the decision, in part reversing that of the Court of Appeal,</w:t>
      </w:r>
      <w:r>
        <w:rPr>
          <w:spacing w:val="40"/>
        </w:rPr>
        <w:t> </w:t>
      </w:r>
      <w:r>
        <w:rPr/>
        <w:t>turned solely on the construction of the relevant insurance policies.</w:t>
      </w:r>
    </w:p>
    <w:p>
      <w:pPr>
        <w:pStyle w:val="BodyText"/>
        <w:spacing w:before="3"/>
      </w:pPr>
    </w:p>
    <w:p>
      <w:pPr>
        <w:tabs>
          <w:tab w:pos="705" w:val="left" w:leader="none"/>
        </w:tabs>
        <w:spacing w:before="0"/>
        <w:ind w:left="165" w:right="0" w:firstLine="0"/>
        <w:jc w:val="left"/>
        <w:rPr>
          <w:sz w:val="20"/>
        </w:rPr>
      </w:pPr>
      <w:bookmarkStart w:name="_bookmark1192" w:id="1194"/>
      <w:bookmarkEnd w:id="1194"/>
      <w:r>
        <w:rPr/>
      </w:r>
      <w:hyperlink w:history="true" w:anchor="_bookmark959">
        <w:r>
          <w:rPr>
            <w:color w:val="005DA1"/>
            <w:spacing w:val="-4"/>
            <w:position w:val="5"/>
            <w:sz w:val="14"/>
            <w:u w:val="single" w:color="005DA1"/>
          </w:rPr>
          <w:t>560</w:t>
        </w:r>
      </w:hyperlink>
      <w:r>
        <w:rPr>
          <w:spacing w:val="-4"/>
          <w:position w:val="5"/>
          <w:sz w:val="14"/>
        </w:rPr>
        <w:t>.</w:t>
      </w:r>
      <w:r>
        <w:rPr>
          <w:position w:val="5"/>
          <w:sz w:val="14"/>
        </w:rPr>
        <w:tab/>
      </w:r>
      <w:r>
        <w:rPr>
          <w:rFonts w:ascii="Arial"/>
          <w:i/>
          <w:sz w:val="20"/>
        </w:rPr>
        <w:t>[1991]</w:t>
      </w:r>
      <w:r>
        <w:rPr>
          <w:rFonts w:ascii="Arial"/>
          <w:i/>
          <w:spacing w:val="-1"/>
          <w:sz w:val="20"/>
        </w:rPr>
        <w:t> </w:t>
      </w:r>
      <w:r>
        <w:rPr>
          <w:rFonts w:ascii="Arial"/>
          <w:i/>
          <w:sz w:val="20"/>
        </w:rPr>
        <w:t>1 Q.B. 1</w:t>
      </w:r>
      <w:r>
        <w:rPr>
          <w:sz w:val="20"/>
        </w:rPr>
        <w:t>, above, para.4-</w:t>
      </w:r>
      <w:r>
        <w:rPr>
          <w:spacing w:val="-4"/>
          <w:sz w:val="20"/>
        </w:rPr>
        <w:t>069.</w:t>
      </w:r>
    </w:p>
    <w:p>
      <w:pPr>
        <w:pStyle w:val="BodyText"/>
        <w:spacing w:before="9"/>
      </w:pPr>
    </w:p>
    <w:p>
      <w:pPr>
        <w:pStyle w:val="BodyText"/>
        <w:spacing w:line="235" w:lineRule="auto"/>
        <w:ind w:left="705" w:right="167" w:hanging="541"/>
        <w:jc w:val="both"/>
      </w:pPr>
      <w:bookmarkStart w:name="_bookmark1193" w:id="1195"/>
      <w:bookmarkEnd w:id="1195"/>
      <w:r>
        <w:rPr/>
      </w:r>
      <w:hyperlink w:history="true" w:anchor="_bookmark960">
        <w:r>
          <w:rPr>
            <w:color w:val="005DA1"/>
            <w:position w:val="5"/>
            <w:sz w:val="14"/>
            <w:u w:val="single" w:color="005DA1"/>
          </w:rPr>
          <w:t>561</w:t>
        </w:r>
      </w:hyperlink>
      <w:r>
        <w:rPr>
          <w:position w:val="5"/>
          <w:sz w:val="14"/>
        </w:rPr>
        <w:t>.</w:t>
      </w:r>
      <w:r>
        <w:rPr>
          <w:spacing w:val="40"/>
          <w:position w:val="5"/>
          <w:sz w:val="14"/>
        </w:rPr>
        <w:t>  </w:t>
      </w:r>
      <w:r>
        <w:rPr/>
        <w:t>Though there are references to estoppel in that case at pp.13 (“not yet fully developed”) </w:t>
      </w:r>
      <w:r>
        <w:rPr/>
        <w:t>and 17–18</w:t>
      </w:r>
      <w:r>
        <w:rPr>
          <w:spacing w:val="-3"/>
        </w:rPr>
        <w:t> </w:t>
      </w:r>
      <w:r>
        <w:rPr/>
        <w:t>(this</w:t>
      </w:r>
      <w:r>
        <w:rPr>
          <w:spacing w:val="-3"/>
        </w:rPr>
        <w:t> </w:t>
      </w:r>
      <w:r>
        <w:rPr/>
        <w:t>reference</w:t>
      </w:r>
      <w:r>
        <w:rPr>
          <w:spacing w:val="-3"/>
        </w:rPr>
        <w:t> </w:t>
      </w:r>
      <w:r>
        <w:rPr/>
        <w:t>seems</w:t>
      </w:r>
      <w:r>
        <w:rPr>
          <w:spacing w:val="-3"/>
        </w:rPr>
        <w:t> </w:t>
      </w:r>
      <w:r>
        <w:rPr/>
        <w:t>to</w:t>
      </w:r>
      <w:r>
        <w:rPr>
          <w:spacing w:val="-3"/>
        </w:rPr>
        <w:t> </w:t>
      </w:r>
      <w:r>
        <w:rPr/>
        <w:t>be</w:t>
      </w:r>
      <w:r>
        <w:rPr>
          <w:spacing w:val="-3"/>
        </w:rPr>
        <w:t> </w:t>
      </w:r>
      <w:r>
        <w:rPr/>
        <w:t>estoppel</w:t>
      </w:r>
      <w:r>
        <w:rPr>
          <w:spacing w:val="-3"/>
        </w:rPr>
        <w:t> </w:t>
      </w:r>
      <w:r>
        <w:rPr/>
        <w:t>by</w:t>
      </w:r>
      <w:r>
        <w:rPr>
          <w:spacing w:val="-3"/>
        </w:rPr>
        <w:t> </w:t>
      </w:r>
      <w:r>
        <w:rPr/>
        <w:t>convention,</w:t>
      </w:r>
      <w:r>
        <w:rPr>
          <w:spacing w:val="-3"/>
        </w:rPr>
        <w:t> </w:t>
      </w:r>
      <w:r>
        <w:rPr/>
        <w:t>the</w:t>
      </w:r>
      <w:r>
        <w:rPr>
          <w:spacing w:val="-3"/>
        </w:rPr>
        <w:t> </w:t>
      </w:r>
      <w:r>
        <w:rPr/>
        <w:t>relevance</w:t>
      </w:r>
      <w:r>
        <w:rPr>
          <w:spacing w:val="-3"/>
        </w:rPr>
        <w:t> </w:t>
      </w:r>
      <w:r>
        <w:rPr/>
        <w:t>of</w:t>
      </w:r>
      <w:r>
        <w:rPr>
          <w:spacing w:val="-3"/>
        </w:rPr>
        <w:t> </w:t>
      </w:r>
      <w:r>
        <w:rPr/>
        <w:t>which</w:t>
      </w:r>
      <w:r>
        <w:rPr>
          <w:spacing w:val="-3"/>
        </w:rPr>
        <w:t> </w:t>
      </w:r>
      <w:r>
        <w:rPr/>
        <w:t>to</w:t>
      </w:r>
      <w:r>
        <w:rPr>
          <w:spacing w:val="-3"/>
        </w:rPr>
        <w:t> </w:t>
      </w:r>
      <w:r>
        <w:rPr/>
        <w:t>the</w:t>
      </w:r>
      <w:r>
        <w:rPr>
          <w:spacing w:val="-3"/>
        </w:rPr>
        <w:t> </w:t>
      </w:r>
      <w:r>
        <w:rPr/>
        <w:t>case</w:t>
      </w:r>
      <w:r>
        <w:rPr>
          <w:spacing w:val="-3"/>
        </w:rPr>
        <w:t> </w:t>
      </w:r>
      <w:r>
        <w:rPr/>
        <w:t>is doubted in para.4-112 n.660 below).</w:t>
      </w:r>
    </w:p>
    <w:p>
      <w:pPr>
        <w:pStyle w:val="BodyText"/>
        <w:spacing w:before="9"/>
      </w:pPr>
    </w:p>
    <w:p>
      <w:pPr>
        <w:tabs>
          <w:tab w:pos="705" w:val="left" w:leader="none"/>
        </w:tabs>
        <w:spacing w:line="235" w:lineRule="auto" w:before="0"/>
        <w:ind w:left="705" w:right="168" w:hanging="541"/>
        <w:jc w:val="left"/>
        <w:rPr>
          <w:sz w:val="20"/>
        </w:rPr>
      </w:pPr>
      <w:bookmarkStart w:name="_bookmark1194" w:id="1196"/>
      <w:bookmarkEnd w:id="1196"/>
      <w:r>
        <w:rPr/>
      </w:r>
      <w:hyperlink w:history="true" w:anchor="_bookmark961">
        <w:r>
          <w:rPr>
            <w:color w:val="005DA1"/>
            <w:spacing w:val="-4"/>
            <w:position w:val="5"/>
            <w:sz w:val="14"/>
            <w:u w:val="single" w:color="005DA1"/>
          </w:rPr>
          <w:t>562</w:t>
        </w:r>
      </w:hyperlink>
      <w:r>
        <w:rPr>
          <w:spacing w:val="-4"/>
          <w:position w:val="5"/>
          <w:sz w:val="14"/>
        </w:rPr>
        <w:t>.</w:t>
      </w:r>
      <w:r>
        <w:rPr>
          <w:position w:val="5"/>
          <w:sz w:val="14"/>
        </w:rPr>
        <w:tab/>
      </w:r>
      <w:r>
        <w:rPr>
          <w:sz w:val="20"/>
        </w:rPr>
        <w:t>As</w:t>
      </w:r>
      <w:r>
        <w:rPr>
          <w:spacing w:val="40"/>
          <w:sz w:val="20"/>
        </w:rPr>
        <w:t> </w:t>
      </w:r>
      <w:r>
        <w:rPr>
          <w:sz w:val="20"/>
        </w:rPr>
        <w:t>in</w:t>
      </w:r>
      <w:r>
        <w:rPr>
          <w:spacing w:val="40"/>
          <w:sz w:val="20"/>
        </w:rPr>
        <w:t> </w:t>
      </w:r>
      <w:r>
        <w:rPr>
          <w:rFonts w:ascii="Arial"/>
          <w:i/>
          <w:sz w:val="20"/>
        </w:rPr>
        <w:t>Central</w:t>
      </w:r>
      <w:r>
        <w:rPr>
          <w:rFonts w:ascii="Arial"/>
          <w:i/>
          <w:spacing w:val="40"/>
          <w:sz w:val="20"/>
        </w:rPr>
        <w:t> </w:t>
      </w:r>
      <w:r>
        <w:rPr>
          <w:rFonts w:ascii="Arial"/>
          <w:i/>
          <w:sz w:val="20"/>
        </w:rPr>
        <w:t>London</w:t>
      </w:r>
      <w:r>
        <w:rPr>
          <w:rFonts w:ascii="Arial"/>
          <w:i/>
          <w:spacing w:val="40"/>
          <w:sz w:val="20"/>
        </w:rPr>
        <w:t> </w:t>
      </w:r>
      <w:r>
        <w:rPr>
          <w:rFonts w:ascii="Arial"/>
          <w:i/>
          <w:sz w:val="20"/>
        </w:rPr>
        <w:t>Property</w:t>
      </w:r>
      <w:r>
        <w:rPr>
          <w:rFonts w:ascii="Arial"/>
          <w:i/>
          <w:spacing w:val="40"/>
          <w:sz w:val="20"/>
        </w:rPr>
        <w:t> </w:t>
      </w:r>
      <w:r>
        <w:rPr>
          <w:rFonts w:ascii="Arial"/>
          <w:i/>
          <w:sz w:val="20"/>
        </w:rPr>
        <w:t>Trust</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High</w:t>
      </w:r>
      <w:r>
        <w:rPr>
          <w:rFonts w:ascii="Arial"/>
          <w:i/>
          <w:spacing w:val="40"/>
          <w:sz w:val="20"/>
        </w:rPr>
        <w:t> </w:t>
      </w:r>
      <w:r>
        <w:rPr>
          <w:rFonts w:ascii="Arial"/>
          <w:i/>
          <w:sz w:val="20"/>
        </w:rPr>
        <w:t>Trees</w:t>
      </w:r>
      <w:r>
        <w:rPr>
          <w:rFonts w:ascii="Arial"/>
          <w:i/>
          <w:spacing w:val="40"/>
          <w:sz w:val="20"/>
        </w:rPr>
        <w:t> </w:t>
      </w:r>
      <w:r>
        <w:rPr>
          <w:rFonts w:ascii="Arial"/>
          <w:i/>
          <w:sz w:val="20"/>
        </w:rPr>
        <w:t>House</w:t>
      </w:r>
      <w:r>
        <w:rPr>
          <w:rFonts w:ascii="Arial"/>
          <w:i/>
          <w:spacing w:val="40"/>
          <w:sz w:val="20"/>
        </w:rPr>
        <w:t> </w:t>
      </w:r>
      <w:r>
        <w:rPr>
          <w:rFonts w:ascii="Arial"/>
          <w:i/>
          <w:sz w:val="20"/>
        </w:rPr>
        <w:t>Ltd</w:t>
      </w:r>
      <w:r>
        <w:rPr>
          <w:rFonts w:ascii="Arial"/>
          <w:i/>
          <w:spacing w:val="40"/>
          <w:sz w:val="20"/>
        </w:rPr>
        <w:t> </w:t>
      </w:r>
      <w:r>
        <w:rPr>
          <w:rFonts w:ascii="Arial"/>
          <w:i/>
          <w:sz w:val="20"/>
        </w:rPr>
        <w:t>[1947]</w:t>
      </w:r>
      <w:r>
        <w:rPr>
          <w:rFonts w:ascii="Arial"/>
          <w:i/>
          <w:spacing w:val="40"/>
          <w:sz w:val="20"/>
        </w:rPr>
        <w:t> </w:t>
      </w:r>
      <w:r>
        <w:rPr>
          <w:rFonts w:ascii="Arial"/>
          <w:i/>
          <w:sz w:val="20"/>
        </w:rPr>
        <w:t>K.B.</w:t>
      </w:r>
      <w:r>
        <w:rPr>
          <w:rFonts w:ascii="Arial"/>
          <w:i/>
          <w:spacing w:val="40"/>
          <w:sz w:val="20"/>
        </w:rPr>
        <w:t> </w:t>
      </w:r>
      <w:r>
        <w:rPr>
          <w:rFonts w:ascii="Arial"/>
          <w:i/>
          <w:sz w:val="20"/>
        </w:rPr>
        <w:t>130</w:t>
      </w:r>
      <w:r>
        <w:rPr>
          <w:sz w:val="20"/>
        </w:rPr>
        <w:t>,</w:t>
      </w:r>
      <w:r>
        <w:rPr>
          <w:spacing w:val="40"/>
          <w:sz w:val="20"/>
        </w:rPr>
        <w:t> </w:t>
      </w:r>
      <w:r>
        <w:rPr>
          <w:sz w:val="20"/>
        </w:rPr>
        <w:t>below para.4-130, this being the case under discussion in </w:t>
      </w:r>
      <w:r>
        <w:rPr>
          <w:rFonts w:ascii="Arial"/>
          <w:i/>
          <w:sz w:val="20"/>
        </w:rPr>
        <w:t>Combe v Combe</w:t>
      </w:r>
      <w:r>
        <w:rPr>
          <w:sz w:val="20"/>
        </w:rPr>
        <w:t>, above n.553.</w:t>
      </w:r>
    </w:p>
    <w:p>
      <w:pPr>
        <w:pStyle w:val="BodyText"/>
        <w:spacing w:before="5"/>
      </w:pPr>
    </w:p>
    <w:p>
      <w:pPr>
        <w:tabs>
          <w:tab w:pos="705" w:val="left" w:leader="none"/>
        </w:tabs>
        <w:spacing w:before="0"/>
        <w:ind w:left="165" w:right="0" w:firstLine="0"/>
        <w:jc w:val="left"/>
        <w:rPr>
          <w:sz w:val="20"/>
        </w:rPr>
      </w:pPr>
      <w:bookmarkStart w:name="_bookmark1195" w:id="1197"/>
      <w:bookmarkEnd w:id="1197"/>
      <w:r>
        <w:rPr/>
      </w:r>
      <w:hyperlink w:history="true" w:anchor="_bookmark962">
        <w:r>
          <w:rPr>
            <w:color w:val="005DA1"/>
            <w:spacing w:val="-4"/>
            <w:position w:val="5"/>
            <w:sz w:val="14"/>
            <w:u w:val="single" w:color="005DA1"/>
          </w:rPr>
          <w:t>563</w:t>
        </w:r>
      </w:hyperlink>
      <w:r>
        <w:rPr>
          <w:spacing w:val="-4"/>
          <w:position w:val="5"/>
          <w:sz w:val="14"/>
        </w:rPr>
        <w:t>.</w:t>
      </w:r>
      <w:r>
        <w:rPr>
          <w:position w:val="5"/>
          <w:sz w:val="14"/>
        </w:rPr>
        <w:tab/>
      </w:r>
      <w:r>
        <w:rPr>
          <w:rFonts w:ascii="Arial" w:hAnsi="Arial"/>
          <w:i/>
          <w:sz w:val="20"/>
        </w:rPr>
        <w:t>Syros Shipping Co SA v Elaghill Trading Co (The Proodos C) [1980] 2 Lloyd’s Rep. </w:t>
      </w:r>
      <w:r>
        <w:rPr>
          <w:rFonts w:ascii="Arial" w:hAnsi="Arial"/>
          <w:i/>
          <w:spacing w:val="-4"/>
          <w:sz w:val="20"/>
        </w:rPr>
        <w:t>390</w:t>
      </w:r>
      <w:r>
        <w:rPr>
          <w:spacing w:val="-4"/>
          <w:sz w:val="20"/>
        </w:rPr>
        <w:t>.</w:t>
      </w:r>
    </w:p>
    <w:p>
      <w:pPr>
        <w:pStyle w:val="BodyText"/>
        <w:spacing w:before="5"/>
      </w:pPr>
    </w:p>
    <w:p>
      <w:pPr>
        <w:pStyle w:val="BodyText"/>
        <w:tabs>
          <w:tab w:pos="705" w:val="left" w:leader="none"/>
        </w:tabs>
        <w:ind w:left="165"/>
      </w:pPr>
      <w:bookmarkStart w:name="_bookmark1196" w:id="1198"/>
      <w:bookmarkEnd w:id="1198"/>
      <w:r>
        <w:rPr/>
      </w:r>
      <w:hyperlink w:history="true" w:anchor="_bookmark963">
        <w:r>
          <w:rPr>
            <w:color w:val="005DA1"/>
            <w:spacing w:val="-4"/>
            <w:position w:val="5"/>
            <w:sz w:val="14"/>
            <w:u w:val="single" w:color="005DA1"/>
          </w:rPr>
          <w:t>564</w:t>
        </w:r>
      </w:hyperlink>
      <w:r>
        <w:rPr>
          <w:spacing w:val="-4"/>
          <w:position w:val="5"/>
          <w:sz w:val="14"/>
        </w:rPr>
        <w:t>.</w:t>
      </w:r>
      <w:r>
        <w:rPr>
          <w:position w:val="5"/>
          <w:sz w:val="14"/>
        </w:rPr>
        <w:tab/>
      </w:r>
      <w:r>
        <w:rPr/>
        <w:t>Below, paras 4-139—4-185, especially para.4-</w:t>
      </w:r>
      <w:r>
        <w:rPr>
          <w:spacing w:val="-4"/>
        </w:rPr>
        <w:t>170.</w:t>
      </w:r>
    </w:p>
    <w:p>
      <w:pPr>
        <w:pStyle w:val="BodyText"/>
        <w:spacing w:before="5"/>
      </w:pPr>
    </w:p>
    <w:p>
      <w:pPr>
        <w:tabs>
          <w:tab w:pos="705" w:val="left" w:leader="none"/>
        </w:tabs>
        <w:spacing w:line="227" w:lineRule="exact" w:before="0"/>
        <w:ind w:left="165" w:right="0" w:firstLine="0"/>
        <w:jc w:val="left"/>
        <w:rPr>
          <w:sz w:val="20"/>
        </w:rPr>
      </w:pPr>
      <w:bookmarkStart w:name="_bookmark1197" w:id="1199"/>
      <w:bookmarkEnd w:id="1199"/>
      <w:r>
        <w:rPr/>
      </w:r>
      <w:hyperlink w:history="true" w:anchor="_bookmark964">
        <w:r>
          <w:rPr>
            <w:color w:val="005DA1"/>
            <w:spacing w:val="-4"/>
            <w:position w:val="5"/>
            <w:sz w:val="14"/>
            <w:u w:val="single" w:color="005DA1"/>
          </w:rPr>
          <w:t>565</w:t>
        </w:r>
      </w:hyperlink>
      <w:r>
        <w:rPr>
          <w:spacing w:val="-4"/>
          <w:position w:val="5"/>
          <w:sz w:val="14"/>
        </w:rPr>
        <w:t>.</w:t>
      </w:r>
      <w:r>
        <w:rPr>
          <w:position w:val="5"/>
          <w:sz w:val="14"/>
        </w:rPr>
        <w:tab/>
      </w:r>
      <w:r>
        <w:rPr>
          <w:rFonts w:ascii="Arial" w:hAnsi="Arial"/>
          <w:i/>
          <w:sz w:val="20"/>
        </w:rPr>
        <w:t>Combe</w:t>
      </w:r>
      <w:r>
        <w:rPr>
          <w:rFonts w:ascii="Arial" w:hAnsi="Arial"/>
          <w:i/>
          <w:spacing w:val="10"/>
          <w:sz w:val="20"/>
        </w:rPr>
        <w:t> </w:t>
      </w:r>
      <w:r>
        <w:rPr>
          <w:rFonts w:ascii="Arial" w:hAnsi="Arial"/>
          <w:i/>
          <w:sz w:val="20"/>
        </w:rPr>
        <w:t>v</w:t>
      </w:r>
      <w:r>
        <w:rPr>
          <w:rFonts w:ascii="Arial" w:hAnsi="Arial"/>
          <w:i/>
          <w:spacing w:val="11"/>
          <w:sz w:val="20"/>
        </w:rPr>
        <w:t> </w:t>
      </w:r>
      <w:r>
        <w:rPr>
          <w:rFonts w:ascii="Arial" w:hAnsi="Arial"/>
          <w:i/>
          <w:sz w:val="20"/>
        </w:rPr>
        <w:t>Combe</w:t>
      </w:r>
      <w:r>
        <w:rPr>
          <w:rFonts w:ascii="Arial" w:hAnsi="Arial"/>
          <w:i/>
          <w:spacing w:val="11"/>
          <w:sz w:val="20"/>
        </w:rPr>
        <w:t> </w:t>
      </w:r>
      <w:r>
        <w:rPr>
          <w:rFonts w:ascii="Arial" w:hAnsi="Arial"/>
          <w:i/>
          <w:sz w:val="20"/>
        </w:rPr>
        <w:t>[1951]</w:t>
      </w:r>
      <w:r>
        <w:rPr>
          <w:rFonts w:ascii="Arial" w:hAnsi="Arial"/>
          <w:i/>
          <w:spacing w:val="11"/>
          <w:sz w:val="20"/>
        </w:rPr>
        <w:t> </w:t>
      </w:r>
      <w:r>
        <w:rPr>
          <w:rFonts w:ascii="Arial" w:hAnsi="Arial"/>
          <w:i/>
          <w:sz w:val="20"/>
        </w:rPr>
        <w:t>2</w:t>
      </w:r>
      <w:r>
        <w:rPr>
          <w:rFonts w:ascii="Arial" w:hAnsi="Arial"/>
          <w:i/>
          <w:spacing w:val="11"/>
          <w:sz w:val="20"/>
        </w:rPr>
        <w:t> </w:t>
      </w:r>
      <w:r>
        <w:rPr>
          <w:rFonts w:ascii="Arial" w:hAnsi="Arial"/>
          <w:i/>
          <w:sz w:val="20"/>
        </w:rPr>
        <w:t>K.B.</w:t>
      </w:r>
      <w:r>
        <w:rPr>
          <w:rFonts w:ascii="Arial" w:hAnsi="Arial"/>
          <w:i/>
          <w:spacing w:val="11"/>
          <w:sz w:val="20"/>
        </w:rPr>
        <w:t> </w:t>
      </w:r>
      <w:r>
        <w:rPr>
          <w:rFonts w:ascii="Arial" w:hAnsi="Arial"/>
          <w:i/>
          <w:sz w:val="20"/>
        </w:rPr>
        <w:t>215,</w:t>
      </w:r>
      <w:r>
        <w:rPr>
          <w:rFonts w:ascii="Arial" w:hAnsi="Arial"/>
          <w:i/>
          <w:spacing w:val="11"/>
          <w:sz w:val="20"/>
        </w:rPr>
        <w:t> </w:t>
      </w:r>
      <w:r>
        <w:rPr>
          <w:rFonts w:ascii="Arial" w:hAnsi="Arial"/>
          <w:i/>
          <w:sz w:val="20"/>
        </w:rPr>
        <w:t>224</w:t>
      </w:r>
      <w:r>
        <w:rPr>
          <w:sz w:val="20"/>
        </w:rPr>
        <w:t>;</w:t>
      </w:r>
      <w:r>
        <w:rPr>
          <w:spacing w:val="11"/>
          <w:sz w:val="20"/>
        </w:rPr>
        <w:t> </w:t>
      </w:r>
      <w:r>
        <w:rPr>
          <w:sz w:val="20"/>
        </w:rPr>
        <w:t>The</w:t>
      </w:r>
      <w:r>
        <w:rPr>
          <w:spacing w:val="10"/>
          <w:sz w:val="20"/>
        </w:rPr>
        <w:t> </w:t>
      </w:r>
      <w:r>
        <w:rPr>
          <w:rFonts w:ascii="Arial" w:hAnsi="Arial"/>
          <w:i/>
          <w:sz w:val="20"/>
        </w:rPr>
        <w:t>Proodos</w:t>
      </w:r>
      <w:r>
        <w:rPr>
          <w:rFonts w:ascii="Arial" w:hAnsi="Arial"/>
          <w:i/>
          <w:spacing w:val="11"/>
          <w:sz w:val="20"/>
        </w:rPr>
        <w:t> </w:t>
      </w:r>
      <w:r>
        <w:rPr>
          <w:rFonts w:ascii="Arial" w:hAnsi="Arial"/>
          <w:i/>
          <w:sz w:val="20"/>
        </w:rPr>
        <w:t>C</w:t>
      </w:r>
      <w:r>
        <w:rPr>
          <w:sz w:val="20"/>
        </w:rPr>
        <w:t>,</w:t>
      </w:r>
      <w:r>
        <w:rPr>
          <w:spacing w:val="11"/>
          <w:sz w:val="20"/>
        </w:rPr>
        <w:t> </w:t>
      </w:r>
      <w:r>
        <w:rPr>
          <w:sz w:val="20"/>
        </w:rPr>
        <w:t>above</w:t>
      </w:r>
      <w:r>
        <w:rPr>
          <w:spacing w:val="11"/>
          <w:sz w:val="20"/>
        </w:rPr>
        <w:t> </w:t>
      </w:r>
      <w:r>
        <w:rPr>
          <w:sz w:val="20"/>
        </w:rPr>
        <w:t>n.558</w:t>
      </w:r>
      <w:r>
        <w:rPr>
          <w:spacing w:val="11"/>
          <w:sz w:val="20"/>
        </w:rPr>
        <w:t> </w:t>
      </w:r>
      <w:r>
        <w:rPr>
          <w:sz w:val="20"/>
        </w:rPr>
        <w:t>at</w:t>
      </w:r>
      <w:r>
        <w:rPr>
          <w:spacing w:val="11"/>
          <w:sz w:val="20"/>
        </w:rPr>
        <w:t> </w:t>
      </w:r>
      <w:r>
        <w:rPr>
          <w:sz w:val="20"/>
        </w:rPr>
        <w:t>391</w:t>
      </w:r>
      <w:r>
        <w:rPr>
          <w:spacing w:val="11"/>
          <w:sz w:val="20"/>
        </w:rPr>
        <w:t> </w:t>
      </w:r>
      <w:r>
        <w:rPr>
          <w:sz w:val="20"/>
        </w:rPr>
        <w:t>(“time</w:t>
      </w:r>
      <w:r>
        <w:rPr>
          <w:spacing w:val="11"/>
          <w:sz w:val="20"/>
        </w:rPr>
        <w:t> </w:t>
      </w:r>
      <w:r>
        <w:rPr>
          <w:spacing w:val="-2"/>
          <w:sz w:val="20"/>
        </w:rPr>
        <w:t>honoured</w:t>
      </w:r>
    </w:p>
    <w:p>
      <w:pPr>
        <w:spacing w:line="225" w:lineRule="exact" w:before="0"/>
        <w:ind w:left="705" w:right="0" w:firstLine="0"/>
        <w:jc w:val="left"/>
        <w:rPr>
          <w:rFonts w:ascii="Arial" w:hAnsi="Arial"/>
          <w:i/>
          <w:sz w:val="20"/>
        </w:rPr>
      </w:pPr>
      <w:r>
        <w:rPr>
          <w:sz w:val="20"/>
        </w:rPr>
        <w:t>phrase”);</w:t>
      </w:r>
      <w:r>
        <w:rPr>
          <w:spacing w:val="8"/>
          <w:sz w:val="20"/>
        </w:rPr>
        <w:t> </w:t>
      </w:r>
      <w:r>
        <w:rPr>
          <w:rFonts w:ascii="Arial" w:hAnsi="Arial"/>
          <w:i/>
          <w:sz w:val="20"/>
        </w:rPr>
        <w:t>Lark</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Outhwaite</w:t>
      </w:r>
      <w:r>
        <w:rPr>
          <w:rFonts w:ascii="Arial" w:hAnsi="Arial"/>
          <w:i/>
          <w:spacing w:val="9"/>
          <w:sz w:val="20"/>
        </w:rPr>
        <w:t> </w:t>
      </w:r>
      <w:r>
        <w:rPr>
          <w:rFonts w:ascii="Arial" w:hAnsi="Arial"/>
          <w:i/>
          <w:sz w:val="20"/>
        </w:rPr>
        <w:t>[1991]</w:t>
      </w:r>
      <w:r>
        <w:rPr>
          <w:rFonts w:ascii="Arial" w:hAnsi="Arial"/>
          <w:i/>
          <w:spacing w:val="9"/>
          <w:sz w:val="20"/>
        </w:rPr>
        <w:t> </w:t>
      </w:r>
      <w:r>
        <w:rPr>
          <w:rFonts w:ascii="Arial" w:hAnsi="Arial"/>
          <w:i/>
          <w:sz w:val="20"/>
        </w:rPr>
        <w:t>2</w:t>
      </w:r>
      <w:r>
        <w:rPr>
          <w:rFonts w:ascii="Arial" w:hAnsi="Arial"/>
          <w:i/>
          <w:spacing w:val="9"/>
          <w:sz w:val="20"/>
        </w:rPr>
        <w:t> </w:t>
      </w:r>
      <w:r>
        <w:rPr>
          <w:rFonts w:ascii="Arial" w:hAnsi="Arial"/>
          <w:i/>
          <w:sz w:val="20"/>
        </w:rPr>
        <w:t>Lloyd’s</w:t>
      </w:r>
      <w:r>
        <w:rPr>
          <w:rFonts w:ascii="Arial" w:hAnsi="Arial"/>
          <w:i/>
          <w:spacing w:val="9"/>
          <w:sz w:val="20"/>
        </w:rPr>
        <w:t> </w:t>
      </w:r>
      <w:r>
        <w:rPr>
          <w:rFonts w:ascii="Arial" w:hAnsi="Arial"/>
          <w:i/>
          <w:sz w:val="20"/>
        </w:rPr>
        <w:t>Rep.</w:t>
      </w:r>
      <w:r>
        <w:rPr>
          <w:rFonts w:ascii="Arial" w:hAnsi="Arial"/>
          <w:i/>
          <w:spacing w:val="9"/>
          <w:sz w:val="20"/>
        </w:rPr>
        <w:t> </w:t>
      </w:r>
      <w:r>
        <w:rPr>
          <w:rFonts w:ascii="Arial" w:hAnsi="Arial"/>
          <w:i/>
          <w:sz w:val="20"/>
        </w:rPr>
        <w:t>132,</w:t>
      </w:r>
      <w:r>
        <w:rPr>
          <w:rFonts w:ascii="Arial" w:hAnsi="Arial"/>
          <w:i/>
          <w:spacing w:val="9"/>
          <w:sz w:val="20"/>
        </w:rPr>
        <w:t> </w:t>
      </w:r>
      <w:r>
        <w:rPr>
          <w:rFonts w:ascii="Arial" w:hAnsi="Arial"/>
          <w:i/>
          <w:sz w:val="20"/>
        </w:rPr>
        <w:t>142</w:t>
      </w:r>
      <w:r>
        <w:rPr>
          <w:sz w:val="20"/>
        </w:rPr>
        <w:t>;</w:t>
      </w:r>
      <w:r>
        <w:rPr>
          <w:spacing w:val="9"/>
          <w:sz w:val="20"/>
        </w:rPr>
        <w:t> </w:t>
      </w:r>
      <w:r>
        <w:rPr>
          <w:rFonts w:ascii="Arial" w:hAnsi="Arial"/>
          <w:i/>
          <w:sz w:val="20"/>
        </w:rPr>
        <w:t>Hiscox</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Outhwaite</w:t>
      </w:r>
      <w:r>
        <w:rPr>
          <w:rFonts w:ascii="Arial" w:hAnsi="Arial"/>
          <w:i/>
          <w:spacing w:val="9"/>
          <w:sz w:val="20"/>
        </w:rPr>
        <w:t> </w:t>
      </w:r>
      <w:r>
        <w:rPr>
          <w:rFonts w:ascii="Arial" w:hAnsi="Arial"/>
          <w:i/>
          <w:sz w:val="20"/>
        </w:rPr>
        <w:t>(No.3)</w:t>
      </w:r>
      <w:r>
        <w:rPr>
          <w:rFonts w:ascii="Arial" w:hAnsi="Arial"/>
          <w:i/>
          <w:spacing w:val="9"/>
          <w:sz w:val="20"/>
        </w:rPr>
        <w:t> </w:t>
      </w:r>
      <w:r>
        <w:rPr>
          <w:rFonts w:ascii="Arial" w:hAnsi="Arial"/>
          <w:i/>
          <w:sz w:val="20"/>
        </w:rPr>
        <w:t>[1991]</w:t>
      </w:r>
      <w:r>
        <w:rPr>
          <w:rFonts w:ascii="Arial" w:hAnsi="Arial"/>
          <w:i/>
          <w:spacing w:val="9"/>
          <w:sz w:val="20"/>
        </w:rPr>
        <w:t> </w:t>
      </w:r>
      <w:r>
        <w:rPr>
          <w:rFonts w:ascii="Arial" w:hAnsi="Arial"/>
          <w:i/>
          <w:spacing w:val="-10"/>
          <w:sz w:val="20"/>
        </w:rPr>
        <w:t>2</w:t>
      </w:r>
    </w:p>
    <w:p>
      <w:pPr>
        <w:spacing w:line="227" w:lineRule="exact" w:before="0"/>
        <w:ind w:left="705" w:right="0" w:firstLine="0"/>
        <w:jc w:val="left"/>
        <w:rPr>
          <w:sz w:val="20"/>
        </w:rPr>
      </w:pPr>
      <w:r>
        <w:rPr>
          <w:rFonts w:ascii="Arial" w:hAnsi="Arial"/>
          <w:i/>
          <w:sz w:val="20"/>
        </w:rPr>
        <w:t>Lloyd’s</w:t>
      </w:r>
      <w:r>
        <w:rPr>
          <w:rFonts w:ascii="Arial" w:hAnsi="Arial"/>
          <w:i/>
          <w:spacing w:val="-2"/>
          <w:sz w:val="20"/>
        </w:rPr>
        <w:t> </w:t>
      </w:r>
      <w:r>
        <w:rPr>
          <w:rFonts w:ascii="Arial" w:hAnsi="Arial"/>
          <w:i/>
          <w:sz w:val="20"/>
        </w:rPr>
        <w:t>Rep. 524, </w:t>
      </w:r>
      <w:r>
        <w:rPr>
          <w:rFonts w:ascii="Arial" w:hAnsi="Arial"/>
          <w:i/>
          <w:spacing w:val="-4"/>
          <w:sz w:val="20"/>
        </w:rPr>
        <w:t>535</w:t>
      </w:r>
      <w:r>
        <w:rPr>
          <w:spacing w:val="-4"/>
          <w:sz w:val="20"/>
        </w:rPr>
        <w:t>.</w:t>
      </w:r>
    </w:p>
    <w:p>
      <w:pPr>
        <w:pStyle w:val="BodyText"/>
        <w:spacing w:before="9"/>
      </w:pPr>
    </w:p>
    <w:p>
      <w:pPr>
        <w:spacing w:line="235" w:lineRule="auto" w:before="0"/>
        <w:ind w:left="705" w:right="167" w:hanging="541"/>
        <w:jc w:val="both"/>
        <w:rPr>
          <w:sz w:val="20"/>
        </w:rPr>
      </w:pPr>
      <w:bookmarkStart w:name="_bookmark1198" w:id="1200"/>
      <w:bookmarkEnd w:id="1200"/>
      <w:r>
        <w:rPr/>
      </w:r>
      <w:hyperlink w:history="true" w:anchor="_bookmark965">
        <w:r>
          <w:rPr>
            <w:color w:val="005DA1"/>
            <w:position w:val="5"/>
            <w:sz w:val="14"/>
            <w:u w:val="single" w:color="005DA1"/>
          </w:rPr>
          <w:t>566</w:t>
        </w:r>
      </w:hyperlink>
      <w:r>
        <w:rPr>
          <w:position w:val="5"/>
          <w:sz w:val="14"/>
        </w:rPr>
        <w:t>.</w:t>
      </w:r>
      <w:r>
        <w:rPr>
          <w:spacing w:val="40"/>
          <w:position w:val="5"/>
          <w:sz w:val="14"/>
        </w:rPr>
        <w:t>  </w:t>
      </w:r>
      <w:r>
        <w:rPr>
          <w:rFonts w:ascii="Arial" w:hAnsi="Arial"/>
          <w:i/>
          <w:sz w:val="20"/>
        </w:rPr>
        <w:t>Azov Shipping Co v Baltic Shipping Co [1999] 2 Lloyd’s Rep. 159 </w:t>
      </w:r>
      <w:r>
        <w:rPr>
          <w:sz w:val="20"/>
        </w:rPr>
        <w:t>at 175 (“largely inaccurate”); </w:t>
      </w:r>
      <w:r>
        <w:rPr>
          <w:rFonts w:ascii="Arial" w:hAnsi="Arial"/>
          <w:i/>
          <w:sz w:val="20"/>
        </w:rPr>
        <w:t>Baird Textile Holdings Ltd v Marks &amp; Spencer plc [2001] EWCA Civ 274; [2002] 1 All E.R. (Comm) 737</w:t>
      </w:r>
      <w:r>
        <w:rPr>
          <w:sz w:val="20"/>
        </w:rPr>
        <w:t>, at [54] (“misleading aphorism”).</w:t>
      </w:r>
    </w:p>
    <w:p>
      <w:pPr>
        <w:pStyle w:val="BodyText"/>
        <w:spacing w:before="5"/>
      </w:pPr>
    </w:p>
    <w:p>
      <w:pPr>
        <w:tabs>
          <w:tab w:pos="705" w:val="left" w:leader="none"/>
        </w:tabs>
        <w:spacing w:before="0"/>
        <w:ind w:left="165" w:right="0" w:firstLine="0"/>
        <w:jc w:val="left"/>
        <w:rPr>
          <w:sz w:val="20"/>
        </w:rPr>
      </w:pPr>
      <w:bookmarkStart w:name="_bookmark1199" w:id="1201"/>
      <w:bookmarkEnd w:id="1201"/>
      <w:r>
        <w:rPr/>
      </w:r>
      <w:hyperlink w:history="true" w:anchor="_bookmark966">
        <w:r>
          <w:rPr>
            <w:color w:val="005DA1"/>
            <w:spacing w:val="-4"/>
            <w:position w:val="5"/>
            <w:sz w:val="14"/>
            <w:u w:val="single" w:color="005DA1"/>
          </w:rPr>
          <w:t>567</w:t>
        </w:r>
      </w:hyperlink>
      <w:r>
        <w:rPr>
          <w:spacing w:val="-4"/>
          <w:position w:val="5"/>
          <w:sz w:val="14"/>
        </w:rPr>
        <w:t>.</w:t>
      </w:r>
      <w:r>
        <w:rPr>
          <w:position w:val="5"/>
          <w:sz w:val="14"/>
        </w:rPr>
        <w:tab/>
      </w:r>
      <w:r>
        <w:rPr>
          <w:rFonts w:ascii="Arial"/>
          <w:i/>
          <w:sz w:val="20"/>
        </w:rPr>
        <w:t>(1879)</w:t>
      </w:r>
      <w:r>
        <w:rPr>
          <w:rFonts w:ascii="Arial"/>
          <w:i/>
          <w:spacing w:val="-2"/>
          <w:sz w:val="20"/>
        </w:rPr>
        <w:t> </w:t>
      </w:r>
      <w:r>
        <w:rPr>
          <w:rFonts w:ascii="Arial"/>
          <w:i/>
          <w:sz w:val="20"/>
        </w:rPr>
        <w:t>5 Q.B.D. </w:t>
      </w:r>
      <w:r>
        <w:rPr>
          <w:rFonts w:ascii="Arial"/>
          <w:i/>
          <w:spacing w:val="-4"/>
          <w:sz w:val="20"/>
        </w:rPr>
        <w:t>409</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200" w:id="1202"/>
      <w:bookmarkEnd w:id="1202"/>
      <w:r>
        <w:rPr/>
      </w:r>
      <w:hyperlink w:history="true" w:anchor="_bookmark967">
        <w:r>
          <w:rPr>
            <w:color w:val="005DA1"/>
            <w:spacing w:val="-4"/>
            <w:position w:val="5"/>
            <w:sz w:val="14"/>
            <w:u w:val="single" w:color="005DA1"/>
          </w:rPr>
          <w:t>568</w:t>
        </w:r>
      </w:hyperlink>
      <w:r>
        <w:rPr>
          <w:spacing w:val="-4"/>
          <w:position w:val="5"/>
          <w:sz w:val="14"/>
        </w:rPr>
        <w:t>.</w:t>
      </w:r>
      <w:r>
        <w:rPr>
          <w:position w:val="5"/>
          <w:sz w:val="14"/>
        </w:rPr>
        <w:tab/>
      </w:r>
      <w:r>
        <w:rPr>
          <w:sz w:val="20"/>
        </w:rPr>
        <w:t>cf.</w:t>
      </w:r>
      <w:r>
        <w:rPr>
          <w:spacing w:val="36"/>
          <w:sz w:val="20"/>
        </w:rPr>
        <w:t> </w:t>
      </w:r>
      <w:r>
        <w:rPr>
          <w:rFonts w:ascii="Arial"/>
          <w:i/>
          <w:sz w:val="20"/>
        </w:rPr>
        <w:t>Hartley</w:t>
      </w:r>
      <w:r>
        <w:rPr>
          <w:rFonts w:ascii="Arial"/>
          <w:i/>
          <w:spacing w:val="36"/>
          <w:sz w:val="20"/>
        </w:rPr>
        <w:t> </w:t>
      </w:r>
      <w:r>
        <w:rPr>
          <w:rFonts w:ascii="Arial"/>
          <w:i/>
          <w:sz w:val="20"/>
        </w:rPr>
        <w:t>v</w:t>
      </w:r>
      <w:r>
        <w:rPr>
          <w:rFonts w:ascii="Arial"/>
          <w:i/>
          <w:spacing w:val="36"/>
          <w:sz w:val="20"/>
        </w:rPr>
        <w:t> </w:t>
      </w:r>
      <w:r>
        <w:rPr>
          <w:rFonts w:ascii="Arial"/>
          <w:i/>
          <w:sz w:val="20"/>
        </w:rPr>
        <w:t>Hymans</w:t>
      </w:r>
      <w:r>
        <w:rPr>
          <w:rFonts w:ascii="Arial"/>
          <w:i/>
          <w:spacing w:val="36"/>
          <w:sz w:val="20"/>
        </w:rPr>
        <w:t> </w:t>
      </w:r>
      <w:r>
        <w:rPr>
          <w:rFonts w:ascii="Arial"/>
          <w:i/>
          <w:sz w:val="20"/>
        </w:rPr>
        <w:t>[1920]</w:t>
      </w:r>
      <w:r>
        <w:rPr>
          <w:rFonts w:ascii="Arial"/>
          <w:i/>
          <w:spacing w:val="36"/>
          <w:sz w:val="20"/>
        </w:rPr>
        <w:t> </w:t>
      </w:r>
      <w:r>
        <w:rPr>
          <w:rFonts w:ascii="Arial"/>
          <w:i/>
          <w:sz w:val="20"/>
        </w:rPr>
        <w:t>3</w:t>
      </w:r>
      <w:r>
        <w:rPr>
          <w:rFonts w:ascii="Arial"/>
          <w:i/>
          <w:spacing w:val="36"/>
          <w:sz w:val="20"/>
        </w:rPr>
        <w:t> </w:t>
      </w:r>
      <w:r>
        <w:rPr>
          <w:rFonts w:ascii="Arial"/>
          <w:i/>
          <w:sz w:val="20"/>
        </w:rPr>
        <w:t>K.B.</w:t>
      </w:r>
      <w:r>
        <w:rPr>
          <w:rFonts w:ascii="Arial"/>
          <w:i/>
          <w:spacing w:val="36"/>
          <w:sz w:val="20"/>
        </w:rPr>
        <w:t> </w:t>
      </w:r>
      <w:r>
        <w:rPr>
          <w:rFonts w:ascii="Arial"/>
          <w:i/>
          <w:sz w:val="20"/>
        </w:rPr>
        <w:t>475</w:t>
      </w:r>
      <w:r>
        <w:rPr>
          <w:sz w:val="20"/>
        </w:rPr>
        <w:t>,</w:t>
      </w:r>
      <w:r>
        <w:rPr>
          <w:spacing w:val="36"/>
          <w:sz w:val="20"/>
        </w:rPr>
        <w:t> </w:t>
      </w:r>
      <w:r>
        <w:rPr>
          <w:sz w:val="20"/>
        </w:rPr>
        <w:t>applying</w:t>
      </w:r>
      <w:r>
        <w:rPr>
          <w:spacing w:val="36"/>
          <w:sz w:val="20"/>
        </w:rPr>
        <w:t> </w:t>
      </w:r>
      <w:r>
        <w:rPr>
          <w:sz w:val="20"/>
        </w:rPr>
        <w:t>the</w:t>
      </w:r>
      <w:r>
        <w:rPr>
          <w:spacing w:val="36"/>
          <w:sz w:val="20"/>
        </w:rPr>
        <w:t> </w:t>
      </w:r>
      <w:r>
        <w:rPr>
          <w:sz w:val="20"/>
        </w:rPr>
        <w:t>corresponding</w:t>
      </w:r>
      <w:r>
        <w:rPr>
          <w:spacing w:val="36"/>
          <w:sz w:val="20"/>
        </w:rPr>
        <w:t> </w:t>
      </w:r>
      <w:r>
        <w:rPr>
          <w:sz w:val="20"/>
        </w:rPr>
        <w:t>common</w:t>
      </w:r>
      <w:r>
        <w:rPr>
          <w:spacing w:val="36"/>
          <w:sz w:val="20"/>
        </w:rPr>
        <w:t> </w:t>
      </w:r>
      <w:r>
        <w:rPr>
          <w:sz w:val="20"/>
        </w:rPr>
        <w:t>law</w:t>
      </w:r>
      <w:r>
        <w:rPr>
          <w:spacing w:val="36"/>
          <w:sz w:val="20"/>
        </w:rPr>
        <w:t> </w:t>
      </w:r>
      <w:r>
        <w:rPr>
          <w:sz w:val="20"/>
        </w:rPr>
        <w:t>doctrine: above,</w:t>
      </w:r>
      <w:r>
        <w:rPr>
          <w:spacing w:val="12"/>
          <w:sz w:val="20"/>
        </w:rPr>
        <w:t> </w:t>
      </w:r>
      <w:r>
        <w:rPr>
          <w:sz w:val="20"/>
        </w:rPr>
        <w:t>para.4-082;</w:t>
      </w:r>
      <w:r>
        <w:rPr>
          <w:spacing w:val="12"/>
          <w:sz w:val="20"/>
        </w:rPr>
        <w:t> </w:t>
      </w:r>
      <w:r>
        <w:rPr>
          <w:rFonts w:ascii="Arial"/>
          <w:i/>
          <w:sz w:val="20"/>
        </w:rPr>
        <w:t>Johnson</w:t>
      </w:r>
      <w:r>
        <w:rPr>
          <w:rFonts w:ascii="Arial"/>
          <w:i/>
          <w:spacing w:val="12"/>
          <w:sz w:val="20"/>
        </w:rPr>
        <w:t> </w:t>
      </w:r>
      <w:r>
        <w:rPr>
          <w:rFonts w:ascii="Arial"/>
          <w:i/>
          <w:sz w:val="20"/>
        </w:rPr>
        <w:t>v</w:t>
      </w:r>
      <w:r>
        <w:rPr>
          <w:rFonts w:ascii="Arial"/>
          <w:i/>
          <w:spacing w:val="12"/>
          <w:sz w:val="20"/>
        </w:rPr>
        <w:t> </w:t>
      </w:r>
      <w:r>
        <w:rPr>
          <w:rFonts w:ascii="Arial"/>
          <w:i/>
          <w:sz w:val="20"/>
        </w:rPr>
        <w:t>Gore</w:t>
      </w:r>
      <w:r>
        <w:rPr>
          <w:rFonts w:ascii="Arial"/>
          <w:i/>
          <w:spacing w:val="12"/>
          <w:sz w:val="20"/>
        </w:rPr>
        <w:t> </w:t>
      </w:r>
      <w:r>
        <w:rPr>
          <w:rFonts w:ascii="Arial"/>
          <w:i/>
          <w:sz w:val="20"/>
        </w:rPr>
        <w:t>Wood</w:t>
      </w:r>
      <w:r>
        <w:rPr>
          <w:rFonts w:ascii="Arial"/>
          <w:i/>
          <w:spacing w:val="12"/>
          <w:sz w:val="20"/>
        </w:rPr>
        <w:t> </w:t>
      </w:r>
      <w:r>
        <w:rPr>
          <w:rFonts w:ascii="Arial"/>
          <w:i/>
          <w:sz w:val="20"/>
        </w:rPr>
        <w:t>[2002]</w:t>
      </w:r>
      <w:r>
        <w:rPr>
          <w:rFonts w:ascii="Arial"/>
          <w:i/>
          <w:spacing w:val="12"/>
          <w:sz w:val="20"/>
        </w:rPr>
        <w:t> </w:t>
      </w:r>
      <w:r>
        <w:rPr>
          <w:rFonts w:ascii="Arial"/>
          <w:i/>
          <w:sz w:val="20"/>
        </w:rPr>
        <w:t>2</w:t>
      </w:r>
      <w:r>
        <w:rPr>
          <w:rFonts w:ascii="Arial"/>
          <w:i/>
          <w:spacing w:val="12"/>
          <w:sz w:val="20"/>
        </w:rPr>
        <w:t> </w:t>
      </w:r>
      <w:r>
        <w:rPr>
          <w:rFonts w:ascii="Arial"/>
          <w:i/>
          <w:sz w:val="20"/>
        </w:rPr>
        <w:t>A.C.</w:t>
      </w:r>
      <w:r>
        <w:rPr>
          <w:rFonts w:ascii="Arial"/>
          <w:i/>
          <w:spacing w:val="12"/>
          <w:sz w:val="20"/>
        </w:rPr>
        <w:t> </w:t>
      </w:r>
      <w:r>
        <w:rPr>
          <w:rFonts w:ascii="Arial"/>
          <w:i/>
          <w:sz w:val="20"/>
        </w:rPr>
        <w:t>1</w:t>
      </w:r>
      <w:r>
        <w:rPr>
          <w:rFonts w:ascii="Arial"/>
          <w:i/>
          <w:spacing w:val="12"/>
          <w:sz w:val="20"/>
        </w:rPr>
        <w:t> </w:t>
      </w:r>
      <w:r>
        <w:rPr>
          <w:sz w:val="20"/>
        </w:rPr>
        <w:t>at</w:t>
      </w:r>
      <w:r>
        <w:rPr>
          <w:spacing w:val="12"/>
          <w:sz w:val="20"/>
        </w:rPr>
        <w:t> </w:t>
      </w:r>
      <w:r>
        <w:rPr>
          <w:sz w:val="20"/>
        </w:rPr>
        <w:t>[40].</w:t>
      </w:r>
      <w:r>
        <w:rPr>
          <w:spacing w:val="12"/>
          <w:sz w:val="20"/>
        </w:rPr>
        <w:t> </w:t>
      </w:r>
      <w:r>
        <w:rPr>
          <w:sz w:val="20"/>
        </w:rPr>
        <w:t>And</w:t>
      </w:r>
      <w:r>
        <w:rPr>
          <w:spacing w:val="12"/>
          <w:sz w:val="20"/>
        </w:rPr>
        <w:t> </w:t>
      </w:r>
      <w:r>
        <w:rPr>
          <w:sz w:val="20"/>
        </w:rPr>
        <w:t>see</w:t>
      </w:r>
      <w:r>
        <w:rPr>
          <w:spacing w:val="12"/>
          <w:sz w:val="20"/>
        </w:rPr>
        <w:t> </w:t>
      </w:r>
      <w:r>
        <w:rPr>
          <w:sz w:val="20"/>
        </w:rPr>
        <w:t>Jackson</w:t>
      </w:r>
      <w:r>
        <w:rPr>
          <w:spacing w:val="12"/>
          <w:sz w:val="20"/>
        </w:rPr>
        <w:t> </w:t>
      </w:r>
      <w:r>
        <w:rPr>
          <w:sz w:val="20"/>
        </w:rPr>
        <w:t>(1965)</w:t>
      </w:r>
      <w:r>
        <w:rPr>
          <w:spacing w:val="12"/>
          <w:sz w:val="20"/>
        </w:rPr>
        <w:t> </w:t>
      </w:r>
      <w:r>
        <w:rPr>
          <w:spacing w:val="-5"/>
          <w:sz w:val="20"/>
        </w:rPr>
        <w:t>81</w:t>
      </w:r>
    </w:p>
    <w:p>
      <w:pPr>
        <w:pStyle w:val="BodyText"/>
        <w:spacing w:line="225" w:lineRule="exact"/>
        <w:ind w:left="705"/>
      </w:pPr>
      <w:r>
        <w:rPr/>
        <w:t>L.Q.R. </w:t>
      </w:r>
      <w:r>
        <w:rPr>
          <w:spacing w:val="-4"/>
        </w:rPr>
        <w:t>223.</w:t>
      </w:r>
    </w:p>
    <w:p>
      <w:pPr>
        <w:pStyle w:val="BodyText"/>
        <w:spacing w:before="9"/>
      </w:pPr>
    </w:p>
    <w:p>
      <w:pPr>
        <w:tabs>
          <w:tab w:pos="705" w:val="left" w:leader="none"/>
        </w:tabs>
        <w:spacing w:line="235" w:lineRule="auto" w:before="0"/>
        <w:ind w:left="705" w:right="168" w:hanging="541"/>
        <w:jc w:val="left"/>
        <w:rPr>
          <w:rFonts w:ascii="Arial" w:hAnsi="Arial"/>
          <w:i/>
          <w:sz w:val="20"/>
        </w:rPr>
      </w:pPr>
      <w:bookmarkStart w:name="_bookmark1201" w:id="1203"/>
      <w:bookmarkEnd w:id="1203"/>
      <w:r>
        <w:rPr/>
      </w:r>
      <w:hyperlink w:history="true" w:anchor="_bookmark968">
        <w:r>
          <w:rPr>
            <w:color w:val="005DA1"/>
            <w:spacing w:val="-4"/>
            <w:position w:val="5"/>
            <w:sz w:val="14"/>
            <w:u w:val="single" w:color="005DA1"/>
          </w:rPr>
          <w:t>569</w:t>
        </w:r>
      </w:hyperlink>
      <w:r>
        <w:rPr>
          <w:spacing w:val="-4"/>
          <w:position w:val="5"/>
          <w:sz w:val="14"/>
        </w:rPr>
        <w:t>.</w:t>
      </w:r>
      <w:r>
        <w:rPr>
          <w:position w:val="5"/>
          <w:sz w:val="14"/>
        </w:rPr>
        <w:tab/>
      </w:r>
      <w:r>
        <w:rPr>
          <w:sz w:val="20"/>
        </w:rPr>
        <w:t>See</w:t>
      </w:r>
      <w:r>
        <w:rPr>
          <w:spacing w:val="36"/>
          <w:sz w:val="20"/>
        </w:rPr>
        <w:t> </w:t>
      </w:r>
      <w:r>
        <w:rPr>
          <w:rFonts w:ascii="Arial" w:hAnsi="Arial"/>
          <w:i/>
          <w:sz w:val="20"/>
        </w:rPr>
        <w:t>Nippon</w:t>
      </w:r>
      <w:r>
        <w:rPr>
          <w:rFonts w:ascii="Arial" w:hAnsi="Arial"/>
          <w:i/>
          <w:spacing w:val="36"/>
          <w:sz w:val="20"/>
        </w:rPr>
        <w:t> </w:t>
      </w:r>
      <w:r>
        <w:rPr>
          <w:rFonts w:ascii="Arial" w:hAnsi="Arial"/>
          <w:i/>
          <w:sz w:val="20"/>
        </w:rPr>
        <w:t>Yusen</w:t>
      </w:r>
      <w:r>
        <w:rPr>
          <w:rFonts w:ascii="Arial" w:hAnsi="Arial"/>
          <w:i/>
          <w:spacing w:val="36"/>
          <w:sz w:val="20"/>
        </w:rPr>
        <w:t> </w:t>
      </w:r>
      <w:r>
        <w:rPr>
          <w:rFonts w:ascii="Arial" w:hAnsi="Arial"/>
          <w:i/>
          <w:sz w:val="20"/>
        </w:rPr>
        <w:t>Kaisha</w:t>
      </w:r>
      <w:r>
        <w:rPr>
          <w:rFonts w:ascii="Arial" w:hAnsi="Arial"/>
          <w:i/>
          <w:spacing w:val="36"/>
          <w:sz w:val="20"/>
        </w:rPr>
        <w:t> </w:t>
      </w:r>
      <w:r>
        <w:rPr>
          <w:rFonts w:ascii="Arial" w:hAnsi="Arial"/>
          <w:i/>
          <w:sz w:val="20"/>
        </w:rPr>
        <w:t>v</w:t>
      </w:r>
      <w:r>
        <w:rPr>
          <w:rFonts w:ascii="Arial" w:hAnsi="Arial"/>
          <w:i/>
          <w:spacing w:val="36"/>
          <w:sz w:val="20"/>
        </w:rPr>
        <w:t> </w:t>
      </w:r>
      <w:r>
        <w:rPr>
          <w:rFonts w:ascii="Arial" w:hAnsi="Arial"/>
          <w:i/>
          <w:sz w:val="20"/>
        </w:rPr>
        <w:t>Pacifica</w:t>
      </w:r>
      <w:r>
        <w:rPr>
          <w:rFonts w:ascii="Arial" w:hAnsi="Arial"/>
          <w:i/>
          <w:spacing w:val="36"/>
          <w:sz w:val="20"/>
        </w:rPr>
        <w:t> </w:t>
      </w:r>
      <w:r>
        <w:rPr>
          <w:rFonts w:ascii="Arial" w:hAnsi="Arial"/>
          <w:i/>
          <w:sz w:val="20"/>
        </w:rPr>
        <w:t>Navegacion</w:t>
      </w:r>
      <w:r>
        <w:rPr>
          <w:rFonts w:ascii="Arial" w:hAnsi="Arial"/>
          <w:i/>
          <w:spacing w:val="36"/>
          <w:sz w:val="20"/>
        </w:rPr>
        <w:t> </w:t>
      </w:r>
      <w:r>
        <w:rPr>
          <w:rFonts w:ascii="Arial" w:hAnsi="Arial"/>
          <w:i/>
          <w:sz w:val="20"/>
        </w:rPr>
        <w:t>SA</w:t>
      </w:r>
      <w:r>
        <w:rPr>
          <w:rFonts w:ascii="Arial" w:hAnsi="Arial"/>
          <w:i/>
          <w:spacing w:val="36"/>
          <w:sz w:val="20"/>
        </w:rPr>
        <w:t> </w:t>
      </w:r>
      <w:r>
        <w:rPr>
          <w:rFonts w:ascii="Arial" w:hAnsi="Arial"/>
          <w:i/>
          <w:sz w:val="20"/>
        </w:rPr>
        <w:t>(The</w:t>
      </w:r>
      <w:r>
        <w:rPr>
          <w:rFonts w:ascii="Arial" w:hAnsi="Arial"/>
          <w:i/>
          <w:spacing w:val="36"/>
          <w:sz w:val="20"/>
        </w:rPr>
        <w:t> </w:t>
      </w:r>
      <w:r>
        <w:rPr>
          <w:rFonts w:ascii="Arial" w:hAnsi="Arial"/>
          <w:i/>
          <w:sz w:val="20"/>
        </w:rPr>
        <w:t>Ion)</w:t>
      </w:r>
      <w:r>
        <w:rPr>
          <w:rFonts w:ascii="Arial" w:hAnsi="Arial"/>
          <w:i/>
          <w:spacing w:val="36"/>
          <w:sz w:val="20"/>
        </w:rPr>
        <w:t> </w:t>
      </w:r>
      <w:r>
        <w:rPr>
          <w:rFonts w:ascii="Arial" w:hAnsi="Arial"/>
          <w:i/>
          <w:sz w:val="20"/>
        </w:rPr>
        <w:t>[1980]</w:t>
      </w:r>
      <w:r>
        <w:rPr>
          <w:rFonts w:ascii="Arial" w:hAnsi="Arial"/>
          <w:i/>
          <w:spacing w:val="36"/>
          <w:sz w:val="20"/>
        </w:rPr>
        <w:t> </w:t>
      </w:r>
      <w:r>
        <w:rPr>
          <w:rFonts w:ascii="Arial" w:hAnsi="Arial"/>
          <w:i/>
          <w:sz w:val="20"/>
        </w:rPr>
        <w:t>2</w:t>
      </w:r>
      <w:r>
        <w:rPr>
          <w:rFonts w:ascii="Arial" w:hAnsi="Arial"/>
          <w:i/>
          <w:spacing w:val="36"/>
          <w:sz w:val="20"/>
        </w:rPr>
        <w:t> </w:t>
      </w:r>
      <w:r>
        <w:rPr>
          <w:rFonts w:ascii="Arial" w:hAnsi="Arial"/>
          <w:i/>
          <w:sz w:val="20"/>
        </w:rPr>
        <w:t>Lloyd’s</w:t>
      </w:r>
      <w:r>
        <w:rPr>
          <w:rFonts w:ascii="Arial" w:hAnsi="Arial"/>
          <w:i/>
          <w:spacing w:val="36"/>
          <w:sz w:val="20"/>
        </w:rPr>
        <w:t> </w:t>
      </w:r>
      <w:r>
        <w:rPr>
          <w:rFonts w:ascii="Arial" w:hAnsi="Arial"/>
          <w:i/>
          <w:sz w:val="20"/>
        </w:rPr>
        <w:t>Rep.</w:t>
      </w:r>
      <w:r>
        <w:rPr>
          <w:rFonts w:ascii="Arial" w:hAnsi="Arial"/>
          <w:i/>
          <w:spacing w:val="36"/>
          <w:sz w:val="20"/>
        </w:rPr>
        <w:t> </w:t>
      </w:r>
      <w:r>
        <w:rPr>
          <w:rFonts w:ascii="Arial" w:hAnsi="Arial"/>
          <w:i/>
          <w:sz w:val="20"/>
        </w:rPr>
        <w:t>245</w:t>
      </w:r>
      <w:r>
        <w:rPr>
          <w:sz w:val="20"/>
        </w:rPr>
        <w:t>, above,</w:t>
      </w:r>
      <w:r>
        <w:rPr>
          <w:spacing w:val="16"/>
          <w:sz w:val="20"/>
        </w:rPr>
        <w:t> </w:t>
      </w:r>
      <w:r>
        <w:rPr>
          <w:sz w:val="20"/>
        </w:rPr>
        <w:t>para.4-098;</w:t>
      </w:r>
      <w:r>
        <w:rPr>
          <w:spacing w:val="16"/>
          <w:sz w:val="20"/>
        </w:rPr>
        <w:t> </w:t>
      </w:r>
      <w:r>
        <w:rPr>
          <w:sz w:val="20"/>
        </w:rPr>
        <w:t>the</w:t>
      </w:r>
      <w:r>
        <w:rPr>
          <w:spacing w:val="16"/>
          <w:sz w:val="20"/>
        </w:rPr>
        <w:t> </w:t>
      </w:r>
      <w:r>
        <w:rPr>
          <w:sz w:val="20"/>
        </w:rPr>
        <w:t>Australian</w:t>
      </w:r>
      <w:r>
        <w:rPr>
          <w:spacing w:val="16"/>
          <w:sz w:val="20"/>
        </w:rPr>
        <w:t> </w:t>
      </w:r>
      <w:r>
        <w:rPr>
          <w:sz w:val="20"/>
        </w:rPr>
        <w:t>case</w:t>
      </w:r>
      <w:r>
        <w:rPr>
          <w:spacing w:val="16"/>
          <w:sz w:val="20"/>
        </w:rPr>
        <w:t> </w:t>
      </w:r>
      <w:r>
        <w:rPr>
          <w:sz w:val="20"/>
        </w:rPr>
        <w:t>of</w:t>
      </w:r>
      <w:r>
        <w:rPr>
          <w:spacing w:val="15"/>
          <w:sz w:val="20"/>
        </w:rPr>
        <w:t> </w:t>
      </w:r>
      <w:r>
        <w:rPr>
          <w:rFonts w:ascii="Arial" w:hAnsi="Arial"/>
          <w:i/>
          <w:sz w:val="20"/>
        </w:rPr>
        <w:t>Commonwealth</w:t>
      </w:r>
      <w:r>
        <w:rPr>
          <w:rFonts w:ascii="Arial" w:hAnsi="Arial"/>
          <w:i/>
          <w:spacing w:val="16"/>
          <w:sz w:val="20"/>
        </w:rPr>
        <w:t> </w:t>
      </w:r>
      <w:r>
        <w:rPr>
          <w:rFonts w:ascii="Arial" w:hAnsi="Arial"/>
          <w:i/>
          <w:sz w:val="20"/>
        </w:rPr>
        <w:t>of</w:t>
      </w:r>
      <w:r>
        <w:rPr>
          <w:rFonts w:ascii="Arial" w:hAnsi="Arial"/>
          <w:i/>
          <w:spacing w:val="16"/>
          <w:sz w:val="20"/>
        </w:rPr>
        <w:t> </w:t>
      </w:r>
      <w:r>
        <w:rPr>
          <w:rFonts w:ascii="Arial" w:hAnsi="Arial"/>
          <w:i/>
          <w:sz w:val="20"/>
        </w:rPr>
        <w:t>Australia</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Verwayen</w:t>
      </w:r>
      <w:r>
        <w:rPr>
          <w:rFonts w:ascii="Arial" w:hAnsi="Arial"/>
          <w:i/>
          <w:spacing w:val="16"/>
          <w:sz w:val="20"/>
        </w:rPr>
        <w:t> </w:t>
      </w:r>
      <w:r>
        <w:rPr>
          <w:rFonts w:ascii="Arial" w:hAnsi="Arial"/>
          <w:i/>
          <w:sz w:val="20"/>
        </w:rPr>
        <w:t>(1990)</w:t>
      </w:r>
      <w:r>
        <w:rPr>
          <w:rFonts w:ascii="Arial" w:hAnsi="Arial"/>
          <w:i/>
          <w:spacing w:val="16"/>
          <w:sz w:val="20"/>
        </w:rPr>
        <w:t> </w:t>
      </w:r>
      <w:r>
        <w:rPr>
          <w:rFonts w:ascii="Arial" w:hAnsi="Arial"/>
          <w:i/>
          <w:spacing w:val="-5"/>
          <w:sz w:val="20"/>
        </w:rPr>
        <w:t>170</w:t>
      </w:r>
    </w:p>
    <w:p>
      <w:pPr>
        <w:pStyle w:val="BodyText"/>
        <w:spacing w:line="235" w:lineRule="auto"/>
        <w:ind w:left="705" w:right="167"/>
        <w:jc w:val="both"/>
      </w:pPr>
      <w:r>
        <w:rPr>
          <w:rFonts w:ascii="Arial" w:hAnsi="Arial"/>
          <w:i/>
        </w:rPr>
        <w:t>C.L.R. 394 </w:t>
      </w:r>
      <w:r>
        <w:rPr/>
        <w:t>(discussed by Spence (1991) 107 L.Q.R. 221) could, in England, be decided on the same ground (</w:t>
      </w:r>
      <w:r>
        <w:rPr>
          <w:rFonts w:ascii="Arial" w:hAnsi="Arial"/>
          <w:i/>
        </w:rPr>
        <w:t>Baird Textile Holdings Ltd v Marks &amp; Spencers plc [2001] EWCA Civ 274; [2002] 1 All E.R. (Comm) 737 </w:t>
      </w:r>
      <w:r>
        <w:rPr/>
        <w:t>at [98]) though it was actually based on the wider Australian </w:t>
      </w:r>
      <w:r>
        <w:rPr/>
        <w:t>principle referred to in para.4-107, below. No reference was made to </w:t>
      </w:r>
      <w:r>
        <w:rPr>
          <w:rFonts w:ascii="Arial" w:hAnsi="Arial"/>
          <w:i/>
        </w:rPr>
        <w:t>The Ion </w:t>
      </w:r>
      <w:r>
        <w:rPr/>
        <w:t>(cited above in this note) in </w:t>
      </w:r>
      <w:r>
        <w:rPr>
          <w:rFonts w:ascii="Arial" w:hAnsi="Arial"/>
          <w:i/>
        </w:rPr>
        <w:t>Newport City Council v Charles [2008] EWCA Civ 1541, [2009] 1 W.L.R. 1884 </w:t>
      </w:r>
      <w:r>
        <w:rPr/>
        <w:t>where the </w:t>
      </w:r>
      <w:r>
        <w:rPr/>
        <w:t>rule that estoppel by representation is “a shield only and cannot found a cause of action” (at [27]) was held to prevent a local authority from relying on this form of estoppel to avoid a time </w:t>
      </w:r>
      <w:r>
        <w:rPr/>
        <w:t>bar imposed by statute on claims for the recovery of premises which it owned but had let to </w:t>
      </w:r>
      <w:r>
        <w:rPr/>
        <w:t>the representor on a secure tenancy. The two cases can perhaps be distinguished on the ground that, in the </w:t>
      </w:r>
      <w:r>
        <w:rPr>
          <w:rFonts w:ascii="Arial" w:hAnsi="Arial"/>
          <w:i/>
        </w:rPr>
        <w:t>Newport </w:t>
      </w:r>
      <w:r>
        <w:rPr/>
        <w:t>case, the time bar had been imposed by the very statute which had given the</w:t>
      </w:r>
      <w:r>
        <w:rPr>
          <w:spacing w:val="13"/>
        </w:rPr>
        <w:t> </w:t>
      </w:r>
      <w:r>
        <w:rPr/>
        <w:t>claimant</w:t>
      </w:r>
      <w:r>
        <w:rPr>
          <w:spacing w:val="13"/>
        </w:rPr>
        <w:t> </w:t>
      </w:r>
      <w:r>
        <w:rPr/>
        <w:t>the</w:t>
      </w:r>
      <w:r>
        <w:rPr>
          <w:spacing w:val="13"/>
        </w:rPr>
        <w:t> </w:t>
      </w:r>
      <w:r>
        <w:rPr/>
        <w:t>right,</w:t>
      </w:r>
      <w:r>
        <w:rPr>
          <w:spacing w:val="13"/>
        </w:rPr>
        <w:t> </w:t>
      </w:r>
      <w:r>
        <w:rPr/>
        <w:t>within</w:t>
      </w:r>
      <w:r>
        <w:rPr>
          <w:spacing w:val="13"/>
        </w:rPr>
        <w:t> </w:t>
      </w:r>
      <w:r>
        <w:rPr/>
        <w:t>the</w:t>
      </w:r>
      <w:r>
        <w:rPr>
          <w:spacing w:val="13"/>
        </w:rPr>
        <w:t> </w:t>
      </w:r>
      <w:r>
        <w:rPr/>
        <w:t>specified</w:t>
      </w:r>
      <w:r>
        <w:rPr>
          <w:spacing w:val="13"/>
        </w:rPr>
        <w:t> </w:t>
      </w:r>
      <w:r>
        <w:rPr/>
        <w:t>time,</w:t>
      </w:r>
      <w:r>
        <w:rPr>
          <w:spacing w:val="13"/>
        </w:rPr>
        <w:t> </w:t>
      </w:r>
      <w:r>
        <w:rPr/>
        <w:t>to</w:t>
      </w:r>
      <w:r>
        <w:rPr>
          <w:spacing w:val="13"/>
        </w:rPr>
        <w:t> </w:t>
      </w:r>
      <w:r>
        <w:rPr/>
        <w:t>recover</w:t>
      </w:r>
      <w:r>
        <w:rPr>
          <w:spacing w:val="13"/>
        </w:rPr>
        <w:t> </w:t>
      </w:r>
      <w:r>
        <w:rPr/>
        <w:t>possession</w:t>
      </w:r>
      <w:r>
        <w:rPr>
          <w:spacing w:val="13"/>
        </w:rPr>
        <w:t> </w:t>
      </w:r>
      <w:r>
        <w:rPr/>
        <w:t>of</w:t>
      </w:r>
      <w:r>
        <w:rPr>
          <w:spacing w:val="13"/>
        </w:rPr>
        <w:t> </w:t>
      </w:r>
      <w:r>
        <w:rPr/>
        <w:t>the</w:t>
      </w:r>
      <w:r>
        <w:rPr>
          <w:spacing w:val="13"/>
        </w:rPr>
        <w:t> </w:t>
      </w:r>
      <w:r>
        <w:rPr/>
        <w:t>premises.</w:t>
      </w:r>
      <w:r>
        <w:rPr>
          <w:spacing w:val="13"/>
        </w:rPr>
        <w:t> </w:t>
      </w:r>
      <w:r>
        <w:rPr/>
        <w:t>But</w:t>
      </w:r>
      <w:r>
        <w:rPr>
          <w:spacing w:val="13"/>
        </w:rPr>
        <w:t> </w:t>
      </w:r>
      <w:r>
        <w:rPr>
          <w:spacing w:val="-5"/>
        </w:rPr>
        <w:t>for</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705" w:right="167"/>
        <w:jc w:val="both"/>
      </w:pPr>
      <w:r>
        <w:rPr/>
        <w:t>this point, there would have been considerable force in the argument that the claimant’s cause of action was based, not on the representations giving rise to the estoppel, but on its title to the </w:t>
      </w:r>
      <w:r>
        <w:rPr>
          <w:spacing w:val="-2"/>
        </w:rPr>
        <w:t>premises.</w:t>
      </w:r>
    </w:p>
    <w:p>
      <w:pPr>
        <w:pStyle w:val="BodyText"/>
        <w:spacing w:before="5"/>
      </w:pPr>
    </w:p>
    <w:p>
      <w:pPr>
        <w:tabs>
          <w:tab w:pos="705" w:val="left" w:leader="none"/>
        </w:tabs>
        <w:spacing w:line="227" w:lineRule="exact" w:before="0"/>
        <w:ind w:left="165" w:right="0" w:firstLine="0"/>
        <w:jc w:val="left"/>
        <w:rPr>
          <w:sz w:val="20"/>
        </w:rPr>
      </w:pPr>
      <w:bookmarkStart w:name="_bookmark1202" w:id="1204"/>
      <w:bookmarkEnd w:id="1204"/>
      <w:r>
        <w:rPr/>
      </w:r>
      <w:hyperlink w:history="true" w:anchor="_bookmark969">
        <w:r>
          <w:rPr>
            <w:color w:val="005DA1"/>
            <w:spacing w:val="-4"/>
            <w:position w:val="5"/>
            <w:sz w:val="14"/>
            <w:u w:val="single" w:color="005DA1"/>
          </w:rPr>
          <w:t>570</w:t>
        </w:r>
      </w:hyperlink>
      <w:r>
        <w:rPr>
          <w:spacing w:val="-4"/>
          <w:position w:val="5"/>
          <w:sz w:val="14"/>
        </w:rPr>
        <w:t>.</w:t>
      </w:r>
      <w:r>
        <w:rPr>
          <w:position w:val="5"/>
          <w:sz w:val="14"/>
        </w:rPr>
        <w:tab/>
      </w:r>
      <w:r>
        <w:rPr>
          <w:sz w:val="20"/>
        </w:rPr>
        <w:t>cf.</w:t>
      </w:r>
      <w:r>
        <w:rPr>
          <w:spacing w:val="20"/>
          <w:sz w:val="20"/>
        </w:rPr>
        <w:t> </w:t>
      </w:r>
      <w:r>
        <w:rPr>
          <w:sz w:val="20"/>
        </w:rPr>
        <w:t>in</w:t>
      </w:r>
      <w:r>
        <w:rPr>
          <w:spacing w:val="21"/>
          <w:sz w:val="20"/>
        </w:rPr>
        <w:t> </w:t>
      </w:r>
      <w:r>
        <w:rPr>
          <w:sz w:val="20"/>
        </w:rPr>
        <w:t>cases</w:t>
      </w:r>
      <w:r>
        <w:rPr>
          <w:spacing w:val="21"/>
          <w:sz w:val="20"/>
        </w:rPr>
        <w:t> </w:t>
      </w:r>
      <w:r>
        <w:rPr>
          <w:sz w:val="20"/>
        </w:rPr>
        <w:t>of</w:t>
      </w:r>
      <w:r>
        <w:rPr>
          <w:spacing w:val="21"/>
          <w:sz w:val="20"/>
        </w:rPr>
        <w:t> </w:t>
      </w:r>
      <w:r>
        <w:rPr>
          <w:sz w:val="20"/>
        </w:rPr>
        <w:t>estoppel</w:t>
      </w:r>
      <w:r>
        <w:rPr>
          <w:spacing w:val="21"/>
          <w:sz w:val="20"/>
        </w:rPr>
        <w:t> </w:t>
      </w:r>
      <w:r>
        <w:rPr>
          <w:sz w:val="20"/>
        </w:rPr>
        <w:t>by</w:t>
      </w:r>
      <w:r>
        <w:rPr>
          <w:spacing w:val="21"/>
          <w:sz w:val="20"/>
        </w:rPr>
        <w:t> </w:t>
      </w:r>
      <w:r>
        <w:rPr>
          <w:sz w:val="20"/>
        </w:rPr>
        <w:t>representation,</w:t>
      </w:r>
      <w:r>
        <w:rPr>
          <w:spacing w:val="21"/>
          <w:sz w:val="20"/>
        </w:rPr>
        <w:t> </w:t>
      </w:r>
      <w:r>
        <w:rPr>
          <w:rFonts w:ascii="Arial"/>
          <w:i/>
          <w:sz w:val="20"/>
        </w:rPr>
        <w:t>Burrowes</w:t>
      </w:r>
      <w:r>
        <w:rPr>
          <w:rFonts w:ascii="Arial"/>
          <w:i/>
          <w:spacing w:val="21"/>
          <w:sz w:val="20"/>
        </w:rPr>
        <w:t> </w:t>
      </w:r>
      <w:r>
        <w:rPr>
          <w:rFonts w:ascii="Arial"/>
          <w:i/>
          <w:sz w:val="20"/>
        </w:rPr>
        <w:t>v</w:t>
      </w:r>
      <w:r>
        <w:rPr>
          <w:rFonts w:ascii="Arial"/>
          <w:i/>
          <w:spacing w:val="21"/>
          <w:sz w:val="20"/>
        </w:rPr>
        <w:t> </w:t>
      </w:r>
      <w:r>
        <w:rPr>
          <w:rFonts w:ascii="Arial"/>
          <w:i/>
          <w:sz w:val="20"/>
        </w:rPr>
        <w:t>Lock</w:t>
      </w:r>
      <w:r>
        <w:rPr>
          <w:rFonts w:ascii="Arial"/>
          <w:i/>
          <w:spacing w:val="21"/>
          <w:sz w:val="20"/>
        </w:rPr>
        <w:t> </w:t>
      </w:r>
      <w:r>
        <w:rPr>
          <w:rFonts w:ascii="Arial"/>
          <w:i/>
          <w:sz w:val="20"/>
        </w:rPr>
        <w:t>(1805)</w:t>
      </w:r>
      <w:r>
        <w:rPr>
          <w:rFonts w:ascii="Arial"/>
          <w:i/>
          <w:spacing w:val="21"/>
          <w:sz w:val="20"/>
        </w:rPr>
        <w:t> </w:t>
      </w:r>
      <w:r>
        <w:rPr>
          <w:rFonts w:ascii="Arial"/>
          <w:i/>
          <w:sz w:val="20"/>
        </w:rPr>
        <w:t>Ves.</w:t>
      </w:r>
      <w:r>
        <w:rPr>
          <w:rFonts w:ascii="Arial"/>
          <w:i/>
          <w:spacing w:val="21"/>
          <w:sz w:val="20"/>
        </w:rPr>
        <w:t> </w:t>
      </w:r>
      <w:r>
        <w:rPr>
          <w:rFonts w:ascii="Arial"/>
          <w:i/>
          <w:sz w:val="20"/>
        </w:rPr>
        <w:t>470</w:t>
      </w:r>
      <w:r>
        <w:rPr>
          <w:sz w:val="20"/>
        </w:rPr>
        <w:t>,</w:t>
      </w:r>
      <w:r>
        <w:rPr>
          <w:spacing w:val="21"/>
          <w:sz w:val="20"/>
        </w:rPr>
        <w:t> </w:t>
      </w:r>
      <w:r>
        <w:rPr>
          <w:sz w:val="20"/>
        </w:rPr>
        <w:t>as</w:t>
      </w:r>
      <w:r>
        <w:rPr>
          <w:spacing w:val="21"/>
          <w:sz w:val="20"/>
        </w:rPr>
        <w:t> </w:t>
      </w:r>
      <w:r>
        <w:rPr>
          <w:sz w:val="20"/>
        </w:rPr>
        <w:t>explained</w:t>
      </w:r>
      <w:r>
        <w:rPr>
          <w:spacing w:val="21"/>
          <w:sz w:val="20"/>
        </w:rPr>
        <w:t> </w:t>
      </w:r>
      <w:r>
        <w:rPr>
          <w:spacing w:val="-5"/>
          <w:sz w:val="20"/>
        </w:rPr>
        <w:t>in</w:t>
      </w:r>
    </w:p>
    <w:p>
      <w:pPr>
        <w:spacing w:line="227" w:lineRule="exact" w:before="0"/>
        <w:ind w:left="705" w:right="0" w:firstLine="0"/>
        <w:jc w:val="left"/>
        <w:rPr>
          <w:sz w:val="20"/>
        </w:rPr>
      </w:pPr>
      <w:r>
        <w:rPr>
          <w:rFonts w:ascii="Arial"/>
          <w:i/>
          <w:sz w:val="20"/>
        </w:rPr>
        <w:t>Low v Bouverie [1891] 3 Ch. </w:t>
      </w:r>
      <w:r>
        <w:rPr>
          <w:rFonts w:ascii="Arial"/>
          <w:i/>
          <w:spacing w:val="-5"/>
          <w:sz w:val="20"/>
        </w:rPr>
        <w:t>82</w:t>
      </w:r>
      <w:r>
        <w:rPr>
          <w:spacing w:val="-5"/>
          <w:sz w:val="20"/>
        </w:rPr>
        <w:t>.</w:t>
      </w:r>
    </w:p>
    <w:p>
      <w:pPr>
        <w:pStyle w:val="BodyText"/>
        <w:spacing w:before="8"/>
      </w:pPr>
    </w:p>
    <w:p>
      <w:pPr>
        <w:spacing w:line="235" w:lineRule="auto" w:before="1"/>
        <w:ind w:left="705" w:right="167" w:hanging="541"/>
        <w:jc w:val="both"/>
        <w:rPr>
          <w:sz w:val="20"/>
        </w:rPr>
      </w:pPr>
      <w:bookmarkStart w:name="_bookmark1203" w:id="1205"/>
      <w:bookmarkEnd w:id="1205"/>
      <w:r>
        <w:rPr/>
      </w:r>
      <w:hyperlink w:history="true" w:anchor="_bookmark970">
        <w:r>
          <w:rPr>
            <w:color w:val="005DA1"/>
            <w:position w:val="5"/>
            <w:sz w:val="14"/>
            <w:u w:val="single" w:color="005DA1"/>
          </w:rPr>
          <w:t>571</w:t>
        </w:r>
      </w:hyperlink>
      <w:r>
        <w:rPr>
          <w:position w:val="5"/>
          <w:sz w:val="14"/>
        </w:rPr>
        <w:t>.</w:t>
      </w:r>
      <w:r>
        <w:rPr>
          <w:spacing w:val="80"/>
          <w:position w:val="5"/>
          <w:sz w:val="14"/>
        </w:rPr>
        <w:t>  </w:t>
      </w:r>
      <w:r>
        <w:rPr>
          <w:rFonts w:ascii="Arial" w:hAnsi="Arial"/>
          <w:i/>
          <w:sz w:val="20"/>
        </w:rPr>
        <w:t>Argo Systems FZE v Liberty Insurance (Pte) (The Copa Casino) [2011] EWCA Civ 1572, [2012] 1 Lloyd’s Rep 129 </w:t>
      </w:r>
      <w:r>
        <w:rPr>
          <w:sz w:val="20"/>
        </w:rPr>
        <w:t>(where, for the reason given in para.4-093 above, the in some </w:t>
      </w:r>
      <w:r>
        <w:rPr>
          <w:sz w:val="20"/>
        </w:rPr>
        <w:t>respects analogous doctrine of “waiver by estoppel” did not apply).</w:t>
      </w:r>
    </w:p>
    <w:p>
      <w:pPr>
        <w:pStyle w:val="BodyText"/>
        <w:spacing w:before="8"/>
      </w:pPr>
    </w:p>
    <w:p>
      <w:pPr>
        <w:tabs>
          <w:tab w:pos="705" w:val="left" w:leader="none"/>
        </w:tabs>
        <w:spacing w:line="235" w:lineRule="auto" w:before="0"/>
        <w:ind w:left="705" w:right="168" w:hanging="541"/>
        <w:jc w:val="left"/>
        <w:rPr>
          <w:sz w:val="20"/>
        </w:rPr>
      </w:pPr>
      <w:bookmarkStart w:name="_bookmark1204" w:id="1206"/>
      <w:bookmarkEnd w:id="1206"/>
      <w:r>
        <w:rPr/>
      </w:r>
      <w:hyperlink w:history="true" w:anchor="_bookmark971">
        <w:r>
          <w:rPr>
            <w:color w:val="005DA1"/>
            <w:spacing w:val="-4"/>
            <w:position w:val="5"/>
            <w:sz w:val="14"/>
            <w:u w:val="single" w:color="005DA1"/>
          </w:rPr>
          <w:t>572</w:t>
        </w:r>
      </w:hyperlink>
      <w:r>
        <w:rPr>
          <w:spacing w:val="-4"/>
          <w:position w:val="5"/>
          <w:sz w:val="14"/>
        </w:rPr>
        <w:t>.</w:t>
      </w:r>
      <w:r>
        <w:rPr>
          <w:position w:val="5"/>
          <w:sz w:val="14"/>
        </w:rPr>
        <w:tab/>
      </w:r>
      <w:r>
        <w:rPr>
          <w:rFonts w:ascii="Arial"/>
          <w:i/>
          <w:sz w:val="20"/>
        </w:rPr>
        <w:t>Shah</w:t>
      </w:r>
      <w:r>
        <w:rPr>
          <w:rFonts w:ascii="Arial"/>
          <w:i/>
          <w:spacing w:val="79"/>
          <w:sz w:val="20"/>
        </w:rPr>
        <w:t> </w:t>
      </w:r>
      <w:r>
        <w:rPr>
          <w:rFonts w:ascii="Arial"/>
          <w:i/>
          <w:sz w:val="20"/>
        </w:rPr>
        <w:t>v</w:t>
      </w:r>
      <w:r>
        <w:rPr>
          <w:rFonts w:ascii="Arial"/>
          <w:i/>
          <w:spacing w:val="79"/>
          <w:sz w:val="20"/>
        </w:rPr>
        <w:t> </w:t>
      </w:r>
      <w:r>
        <w:rPr>
          <w:rFonts w:ascii="Arial"/>
          <w:i/>
          <w:sz w:val="20"/>
        </w:rPr>
        <w:t>Shah</w:t>
      </w:r>
      <w:r>
        <w:rPr>
          <w:rFonts w:ascii="Arial"/>
          <w:i/>
          <w:spacing w:val="79"/>
          <w:sz w:val="20"/>
        </w:rPr>
        <w:t> </w:t>
      </w:r>
      <w:r>
        <w:rPr>
          <w:rFonts w:ascii="Arial"/>
          <w:i/>
          <w:sz w:val="20"/>
        </w:rPr>
        <w:t>[2001]</w:t>
      </w:r>
      <w:r>
        <w:rPr>
          <w:rFonts w:ascii="Arial"/>
          <w:i/>
          <w:spacing w:val="79"/>
          <w:sz w:val="20"/>
        </w:rPr>
        <w:t> </w:t>
      </w:r>
      <w:r>
        <w:rPr>
          <w:rFonts w:ascii="Arial"/>
          <w:i/>
          <w:sz w:val="20"/>
        </w:rPr>
        <w:t>EWCA</w:t>
      </w:r>
      <w:r>
        <w:rPr>
          <w:rFonts w:ascii="Arial"/>
          <w:i/>
          <w:spacing w:val="79"/>
          <w:sz w:val="20"/>
        </w:rPr>
        <w:t> </w:t>
      </w:r>
      <w:r>
        <w:rPr>
          <w:rFonts w:ascii="Arial"/>
          <w:i/>
          <w:sz w:val="20"/>
        </w:rPr>
        <w:t>Civ</w:t>
      </w:r>
      <w:r>
        <w:rPr>
          <w:rFonts w:ascii="Arial"/>
          <w:i/>
          <w:spacing w:val="79"/>
          <w:sz w:val="20"/>
        </w:rPr>
        <w:t> </w:t>
      </w:r>
      <w:r>
        <w:rPr>
          <w:rFonts w:ascii="Arial"/>
          <w:i/>
          <w:sz w:val="20"/>
        </w:rPr>
        <w:t>527;</w:t>
      </w:r>
      <w:r>
        <w:rPr>
          <w:rFonts w:ascii="Arial"/>
          <w:i/>
          <w:spacing w:val="79"/>
          <w:sz w:val="20"/>
        </w:rPr>
        <w:t> </w:t>
      </w:r>
      <w:r>
        <w:rPr>
          <w:rFonts w:ascii="Arial"/>
          <w:i/>
          <w:sz w:val="20"/>
        </w:rPr>
        <w:t>[2002]</w:t>
      </w:r>
      <w:r>
        <w:rPr>
          <w:rFonts w:ascii="Arial"/>
          <w:i/>
          <w:spacing w:val="79"/>
          <w:sz w:val="20"/>
        </w:rPr>
        <w:t> </w:t>
      </w:r>
      <w:r>
        <w:rPr>
          <w:rFonts w:ascii="Arial"/>
          <w:i/>
          <w:sz w:val="20"/>
        </w:rPr>
        <w:t>Q.B.</w:t>
      </w:r>
      <w:r>
        <w:rPr>
          <w:rFonts w:ascii="Arial"/>
          <w:i/>
          <w:spacing w:val="79"/>
          <w:sz w:val="20"/>
        </w:rPr>
        <w:t> </w:t>
      </w:r>
      <w:r>
        <w:rPr>
          <w:rFonts w:ascii="Arial"/>
          <w:i/>
          <w:sz w:val="20"/>
        </w:rPr>
        <w:t>35</w:t>
      </w:r>
      <w:r>
        <w:rPr>
          <w:rFonts w:ascii="Arial"/>
          <w:i/>
          <w:spacing w:val="79"/>
          <w:sz w:val="20"/>
        </w:rPr>
        <w:t> </w:t>
      </w:r>
      <w:r>
        <w:rPr>
          <w:sz w:val="20"/>
        </w:rPr>
        <w:t>at</w:t>
      </w:r>
      <w:r>
        <w:rPr>
          <w:spacing w:val="79"/>
          <w:sz w:val="20"/>
        </w:rPr>
        <w:t> </w:t>
      </w:r>
      <w:r>
        <w:rPr>
          <w:sz w:val="20"/>
        </w:rPr>
        <w:t>[31]</w:t>
      </w:r>
      <w:r>
        <w:rPr>
          <w:spacing w:val="79"/>
          <w:sz w:val="20"/>
        </w:rPr>
        <w:t> </w:t>
      </w:r>
      <w:r>
        <w:rPr>
          <w:sz w:val="20"/>
        </w:rPr>
        <w:t>(a</w:t>
      </w:r>
      <w:r>
        <w:rPr>
          <w:spacing w:val="79"/>
          <w:sz w:val="20"/>
        </w:rPr>
        <w:t> </w:t>
      </w:r>
      <w:r>
        <w:rPr>
          <w:sz w:val="20"/>
        </w:rPr>
        <w:t>case</w:t>
      </w:r>
      <w:r>
        <w:rPr>
          <w:spacing w:val="79"/>
          <w:sz w:val="20"/>
        </w:rPr>
        <w:t> </w:t>
      </w:r>
      <w:r>
        <w:rPr>
          <w:sz w:val="20"/>
        </w:rPr>
        <w:t>of</w:t>
      </w:r>
      <w:r>
        <w:rPr>
          <w:spacing w:val="79"/>
          <w:sz w:val="20"/>
        </w:rPr>
        <w:t> </w:t>
      </w:r>
      <w:r>
        <w:rPr>
          <w:sz w:val="20"/>
        </w:rPr>
        <w:t>estoppel</w:t>
      </w:r>
      <w:r>
        <w:rPr>
          <w:spacing w:val="79"/>
          <w:sz w:val="20"/>
        </w:rPr>
        <w:t> </w:t>
      </w:r>
      <w:r>
        <w:rPr>
          <w:sz w:val="20"/>
        </w:rPr>
        <w:t>by </w:t>
      </w:r>
      <w:r>
        <w:rPr>
          <w:spacing w:val="-2"/>
          <w:sz w:val="20"/>
        </w:rPr>
        <w:t>representation).</w:t>
      </w:r>
    </w:p>
    <w:p>
      <w:pPr>
        <w:pStyle w:val="BodyText"/>
        <w:spacing w:before="10"/>
      </w:pPr>
    </w:p>
    <w:p>
      <w:pPr>
        <w:spacing w:line="235" w:lineRule="auto" w:before="0"/>
        <w:ind w:left="705" w:right="168" w:hanging="541"/>
        <w:jc w:val="both"/>
        <w:rPr>
          <w:sz w:val="20"/>
        </w:rPr>
      </w:pPr>
      <w:bookmarkStart w:name="_bookmark1205" w:id="1207"/>
      <w:bookmarkEnd w:id="1207"/>
      <w:r>
        <w:rPr/>
      </w:r>
      <w:hyperlink w:history="true" w:anchor="_bookmark972">
        <w:r>
          <w:rPr>
            <w:color w:val="005DA1"/>
            <w:position w:val="5"/>
            <w:sz w:val="14"/>
            <w:u w:val="single" w:color="005DA1"/>
          </w:rPr>
          <w:t>573</w:t>
        </w:r>
      </w:hyperlink>
      <w:r>
        <w:rPr>
          <w:position w:val="5"/>
          <w:sz w:val="14"/>
        </w:rPr>
        <w:t>.</w:t>
      </w:r>
      <w:r>
        <w:rPr>
          <w:spacing w:val="80"/>
          <w:w w:val="150"/>
          <w:position w:val="5"/>
          <w:sz w:val="14"/>
        </w:rPr>
        <w:t> </w:t>
      </w:r>
      <w:r>
        <w:rPr>
          <w:sz w:val="20"/>
        </w:rPr>
        <w:t>This may be the force of the statement in </w:t>
      </w:r>
      <w:r>
        <w:rPr>
          <w:rFonts w:ascii="Arial" w:hAnsi="Arial"/>
          <w:i/>
          <w:sz w:val="20"/>
        </w:rPr>
        <w:t>Evans v Amicus Healthcare Ltd [2003] EWHC 2161 (Fam); [2003] 4 All E.R. 903 </w:t>
      </w:r>
      <w:r>
        <w:rPr>
          <w:sz w:val="20"/>
        </w:rPr>
        <w:t>at [303] that promissory estoppel “is not, of itself, the cause </w:t>
      </w:r>
      <w:r>
        <w:rPr>
          <w:sz w:val="20"/>
        </w:rPr>
        <w:t>of action, although it may be an element in it”; affirmed, without reference to this point, </w:t>
      </w:r>
      <w:r>
        <w:rPr>
          <w:rFonts w:ascii="Arial" w:hAnsi="Arial"/>
          <w:i/>
          <w:sz w:val="20"/>
        </w:rPr>
        <w:t>[2004] EWCA Civ 727, [2005] Fam. 1 </w:t>
      </w:r>
      <w:r>
        <w:rPr>
          <w:sz w:val="20"/>
        </w:rPr>
        <w:t>(above, para.4-089).</w:t>
      </w:r>
    </w:p>
    <w:p>
      <w:pPr>
        <w:pStyle w:val="BodyText"/>
        <w:spacing w:before="8"/>
      </w:pPr>
    </w:p>
    <w:p>
      <w:pPr>
        <w:tabs>
          <w:tab w:pos="705" w:val="left" w:leader="none"/>
        </w:tabs>
        <w:spacing w:line="235" w:lineRule="auto" w:before="0"/>
        <w:ind w:left="705" w:right="168" w:hanging="541"/>
        <w:jc w:val="left"/>
        <w:rPr>
          <w:sz w:val="20"/>
        </w:rPr>
      </w:pPr>
      <w:bookmarkStart w:name="_bookmark1206" w:id="1208"/>
      <w:bookmarkEnd w:id="1208"/>
      <w:r>
        <w:rPr/>
      </w:r>
      <w:hyperlink w:history="true" w:anchor="_bookmark973">
        <w:r>
          <w:rPr>
            <w:color w:val="005DA1"/>
            <w:spacing w:val="-4"/>
            <w:position w:val="5"/>
            <w:sz w:val="14"/>
            <w:u w:val="single" w:color="005DA1"/>
          </w:rPr>
          <w:t>574</w:t>
        </w:r>
      </w:hyperlink>
      <w:r>
        <w:rPr>
          <w:spacing w:val="-4"/>
          <w:position w:val="5"/>
          <w:sz w:val="14"/>
        </w:rPr>
        <w:t>.</w:t>
      </w:r>
      <w:r>
        <w:rPr>
          <w:position w:val="5"/>
          <w:sz w:val="14"/>
        </w:rPr>
        <w:tab/>
      </w:r>
      <w:r>
        <w:rPr>
          <w:sz w:val="20"/>
        </w:rPr>
        <w:t>cf.</w:t>
      </w:r>
      <w:r>
        <w:rPr>
          <w:spacing w:val="22"/>
          <w:sz w:val="20"/>
        </w:rPr>
        <w:t> </w:t>
      </w:r>
      <w:r>
        <w:rPr>
          <w:sz w:val="20"/>
        </w:rPr>
        <w:t>the</w:t>
      </w:r>
      <w:r>
        <w:rPr>
          <w:spacing w:val="22"/>
          <w:sz w:val="20"/>
        </w:rPr>
        <w:t> </w:t>
      </w:r>
      <w:r>
        <w:rPr>
          <w:sz w:val="20"/>
        </w:rPr>
        <w:t>criticism</w:t>
      </w:r>
      <w:r>
        <w:rPr>
          <w:spacing w:val="22"/>
          <w:sz w:val="20"/>
        </w:rPr>
        <w:t> </w:t>
      </w:r>
      <w:r>
        <w:rPr>
          <w:sz w:val="20"/>
        </w:rPr>
        <w:t>(above,</w:t>
      </w:r>
      <w:r>
        <w:rPr>
          <w:spacing w:val="22"/>
          <w:sz w:val="20"/>
        </w:rPr>
        <w:t> </w:t>
      </w:r>
      <w:r>
        <w:rPr>
          <w:sz w:val="20"/>
        </w:rPr>
        <w:t>para.4-089)</w:t>
      </w:r>
      <w:r>
        <w:rPr>
          <w:spacing w:val="22"/>
          <w:sz w:val="20"/>
        </w:rPr>
        <w:t> </w:t>
      </w:r>
      <w:r>
        <w:rPr>
          <w:sz w:val="20"/>
        </w:rPr>
        <w:t>of</w:t>
      </w:r>
      <w:r>
        <w:rPr>
          <w:spacing w:val="22"/>
          <w:sz w:val="20"/>
        </w:rPr>
        <w:t> </w:t>
      </w:r>
      <w:r>
        <w:rPr>
          <w:rFonts w:ascii="Arial" w:hAnsi="Arial"/>
          <w:i/>
          <w:sz w:val="20"/>
        </w:rPr>
        <w:t>Pacol</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Trade</w:t>
      </w:r>
      <w:r>
        <w:rPr>
          <w:rFonts w:ascii="Arial" w:hAnsi="Arial"/>
          <w:i/>
          <w:spacing w:val="22"/>
          <w:sz w:val="20"/>
        </w:rPr>
        <w:t> </w:t>
      </w:r>
      <w:r>
        <w:rPr>
          <w:rFonts w:ascii="Arial" w:hAnsi="Arial"/>
          <w:i/>
          <w:sz w:val="20"/>
        </w:rPr>
        <w:t>Lines</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(The</w:t>
      </w:r>
      <w:r>
        <w:rPr>
          <w:rFonts w:ascii="Arial" w:hAnsi="Arial"/>
          <w:i/>
          <w:spacing w:val="22"/>
          <w:sz w:val="20"/>
        </w:rPr>
        <w:t> </w:t>
      </w:r>
      <w:r>
        <w:rPr>
          <w:rFonts w:ascii="Arial" w:hAnsi="Arial"/>
          <w:i/>
          <w:sz w:val="20"/>
        </w:rPr>
        <w:t>Henrik</w:t>
      </w:r>
      <w:r>
        <w:rPr>
          <w:rFonts w:ascii="Arial" w:hAnsi="Arial"/>
          <w:i/>
          <w:spacing w:val="22"/>
          <w:sz w:val="20"/>
        </w:rPr>
        <w:t> </w:t>
      </w:r>
      <w:r>
        <w:rPr>
          <w:rFonts w:ascii="Arial" w:hAnsi="Arial"/>
          <w:i/>
          <w:sz w:val="20"/>
        </w:rPr>
        <w:t>Sif)</w:t>
      </w:r>
      <w:r>
        <w:rPr>
          <w:rFonts w:ascii="Arial" w:hAnsi="Arial"/>
          <w:i/>
          <w:spacing w:val="22"/>
          <w:sz w:val="20"/>
        </w:rPr>
        <w:t> </w:t>
      </w:r>
      <w:r>
        <w:rPr>
          <w:rFonts w:ascii="Arial" w:hAnsi="Arial"/>
          <w:i/>
          <w:sz w:val="20"/>
        </w:rPr>
        <w:t>[1982]</w:t>
      </w:r>
      <w:r>
        <w:rPr>
          <w:rFonts w:ascii="Arial" w:hAnsi="Arial"/>
          <w:i/>
          <w:spacing w:val="22"/>
          <w:sz w:val="20"/>
        </w:rPr>
        <w:t> </w:t>
      </w:r>
      <w:r>
        <w:rPr>
          <w:rFonts w:ascii="Arial" w:hAnsi="Arial"/>
          <w:i/>
          <w:sz w:val="20"/>
        </w:rPr>
        <w:t>1 Lloyd’s Rep. 456</w:t>
      </w:r>
      <w:r>
        <w:rPr>
          <w:sz w:val="20"/>
        </w:rPr>
        <w:t>. For the position in relation to estoppel by convention see below, para.4-114.</w:t>
      </w:r>
    </w:p>
    <w:p>
      <w:pPr>
        <w:pStyle w:val="BodyText"/>
        <w:spacing w:before="6"/>
      </w:pPr>
    </w:p>
    <w:p>
      <w:pPr>
        <w:tabs>
          <w:tab w:pos="705" w:val="left" w:leader="none"/>
        </w:tabs>
        <w:spacing w:before="0"/>
        <w:ind w:left="165" w:right="0" w:firstLine="0"/>
        <w:jc w:val="left"/>
        <w:rPr>
          <w:sz w:val="20"/>
        </w:rPr>
      </w:pPr>
      <w:bookmarkStart w:name="_bookmark1207" w:id="1209"/>
      <w:bookmarkEnd w:id="1209"/>
      <w:r>
        <w:rPr/>
      </w:r>
      <w:hyperlink w:history="true" w:anchor="_bookmark974">
        <w:r>
          <w:rPr>
            <w:color w:val="005DA1"/>
            <w:spacing w:val="-4"/>
            <w:position w:val="5"/>
            <w:sz w:val="14"/>
            <w:u w:val="single" w:color="005DA1"/>
          </w:rPr>
          <w:t>575</w:t>
        </w:r>
      </w:hyperlink>
      <w:r>
        <w:rPr>
          <w:spacing w:val="-4"/>
          <w:position w:val="5"/>
          <w:sz w:val="14"/>
        </w:rPr>
        <w:t>.</w:t>
      </w:r>
      <w:r>
        <w:rPr>
          <w:position w:val="5"/>
          <w:sz w:val="14"/>
        </w:rPr>
        <w:tab/>
      </w:r>
      <w:r>
        <w:rPr>
          <w:rFonts w:ascii="Arial"/>
          <w:i/>
          <w:sz w:val="20"/>
        </w:rPr>
        <w:t>(1998) 75 P. &amp; C.R. </w:t>
      </w:r>
      <w:r>
        <w:rPr>
          <w:rFonts w:ascii="Arial"/>
          <w:i/>
          <w:spacing w:val="-4"/>
          <w:sz w:val="20"/>
        </w:rPr>
        <w:t>466</w:t>
      </w:r>
      <w:r>
        <w:rPr>
          <w:spacing w:val="-4"/>
          <w:sz w:val="20"/>
        </w:rPr>
        <w:t>.</w:t>
      </w:r>
    </w:p>
    <w:p>
      <w:pPr>
        <w:pStyle w:val="BodyText"/>
        <w:spacing w:before="5"/>
      </w:pPr>
    </w:p>
    <w:p>
      <w:pPr>
        <w:pStyle w:val="BodyText"/>
        <w:tabs>
          <w:tab w:pos="705" w:val="left" w:leader="none"/>
        </w:tabs>
        <w:ind w:left="165"/>
      </w:pPr>
      <w:bookmarkStart w:name="_bookmark1208" w:id="1210"/>
      <w:bookmarkEnd w:id="1210"/>
      <w:r>
        <w:rPr/>
      </w:r>
      <w:hyperlink w:history="true" w:anchor="_bookmark975">
        <w:r>
          <w:rPr>
            <w:color w:val="005DA1"/>
            <w:spacing w:val="-4"/>
            <w:position w:val="5"/>
            <w:sz w:val="14"/>
            <w:u w:val="single" w:color="005DA1"/>
          </w:rPr>
          <w:t>576</w:t>
        </w:r>
      </w:hyperlink>
      <w:r>
        <w:rPr>
          <w:spacing w:val="-4"/>
          <w:position w:val="5"/>
          <w:sz w:val="14"/>
        </w:rPr>
        <w:t>.</w:t>
      </w:r>
      <w:r>
        <w:rPr>
          <w:position w:val="5"/>
          <w:sz w:val="14"/>
        </w:rPr>
        <w:tab/>
      </w:r>
      <w:r>
        <w:rPr/>
        <w:t>See the cases cited in n.583 </w:t>
      </w:r>
      <w:r>
        <w:rPr>
          <w:spacing w:val="-2"/>
        </w:rPr>
        <w:t>below.</w:t>
      </w:r>
    </w:p>
    <w:p>
      <w:pPr>
        <w:pStyle w:val="BodyText"/>
        <w:spacing w:before="8"/>
      </w:pPr>
    </w:p>
    <w:p>
      <w:pPr>
        <w:spacing w:line="235" w:lineRule="auto" w:before="1"/>
        <w:ind w:left="705" w:right="167" w:hanging="541"/>
        <w:jc w:val="both"/>
        <w:rPr>
          <w:sz w:val="20"/>
        </w:rPr>
      </w:pPr>
      <w:bookmarkStart w:name="_bookmark1209" w:id="1211"/>
      <w:bookmarkEnd w:id="1211"/>
      <w:r>
        <w:rPr/>
      </w:r>
      <w:hyperlink w:history="true" w:anchor="_bookmark976">
        <w:r>
          <w:rPr>
            <w:color w:val="005DA1"/>
            <w:position w:val="5"/>
            <w:sz w:val="14"/>
            <w:u w:val="single" w:color="005DA1"/>
          </w:rPr>
          <w:t>577</w:t>
        </w:r>
      </w:hyperlink>
      <w:r>
        <w:rPr>
          <w:position w:val="5"/>
          <w:sz w:val="14"/>
        </w:rPr>
        <w:t>.</w:t>
      </w:r>
      <w:r>
        <w:rPr>
          <w:spacing w:val="80"/>
          <w:w w:val="150"/>
          <w:position w:val="5"/>
          <w:sz w:val="14"/>
        </w:rPr>
        <w:t> </w:t>
      </w:r>
      <w:r>
        <w:rPr>
          <w:sz w:val="20"/>
        </w:rPr>
        <w:t>The reference seems to be to Lord Denning, M.R.’s statement in </w:t>
      </w:r>
      <w:r>
        <w:rPr>
          <w:rFonts w:ascii="Arial" w:hAnsi="Arial"/>
          <w:i/>
          <w:sz w:val="20"/>
        </w:rPr>
        <w:t>Amalgamated Investment &amp; Property Co Ltd v Texas Commerce International Bank Ltd [1982] 2 Q.B. 73 </w:t>
      </w:r>
      <w:r>
        <w:rPr>
          <w:sz w:val="20"/>
        </w:rPr>
        <w:t>at 122 (“one general principle shorn of limitations”). The passage containing these words is cited </w:t>
      </w:r>
      <w:r>
        <w:rPr>
          <w:sz w:val="20"/>
        </w:rPr>
        <w:t>with apparent approval by Lord Bingham in </w:t>
      </w:r>
      <w:r>
        <w:rPr>
          <w:rFonts w:ascii="Arial" w:hAnsi="Arial"/>
          <w:i/>
          <w:sz w:val="20"/>
        </w:rPr>
        <w:t>Johnson v Gore Wood &amp; Co [2002] 2 A.C. 1 </w:t>
      </w:r>
      <w:r>
        <w:rPr>
          <w:sz w:val="20"/>
        </w:rPr>
        <w:t>at 33 but it</w:t>
      </w:r>
      <w:r>
        <w:rPr>
          <w:spacing w:val="40"/>
          <w:sz w:val="20"/>
        </w:rPr>
        <w:t> </w:t>
      </w:r>
      <w:r>
        <w:rPr>
          <w:sz w:val="20"/>
        </w:rPr>
        <w:t>is not clear whether (a) this citation is part of Lord Bingham’s </w:t>
      </w:r>
      <w:r>
        <w:rPr>
          <w:rFonts w:ascii="Arial" w:hAnsi="Arial"/>
          <w:i/>
          <w:sz w:val="20"/>
        </w:rPr>
        <w:t>ratio </w:t>
      </w:r>
      <w:r>
        <w:rPr>
          <w:sz w:val="20"/>
        </w:rPr>
        <w:t>in that case; or (b) the apparent approval is shared by Lords Hutton and Cooke who agree generally with the part of Lord Bingham’s speech in which it occurs. cf. also the reference, in another context, to a possible “move to a more uniform doctrine of estoppel” in </w:t>
      </w:r>
      <w:r>
        <w:rPr>
          <w:rFonts w:ascii="Arial" w:hAnsi="Arial"/>
          <w:i/>
          <w:sz w:val="20"/>
        </w:rPr>
        <w:t>Scottish Equitable plc v Derby [2001] EWCA Civ 369; [2001] 2 All E.R. 818 </w:t>
      </w:r>
      <w:r>
        <w:rPr>
          <w:sz w:val="20"/>
        </w:rPr>
        <w:t>at [48]. Lord Denning’s statement quoted above in this note is also cited in </w:t>
      </w:r>
      <w:r>
        <w:rPr>
          <w:rFonts w:ascii="Arial" w:hAnsi="Arial"/>
          <w:i/>
          <w:sz w:val="20"/>
        </w:rPr>
        <w:t>Mears Limited v Shoreline Housing Partnership Limited [2013] EWHC 27 (TCC), [2013] B.L.R. 181 </w:t>
      </w:r>
      <w:r>
        <w:rPr>
          <w:sz w:val="20"/>
        </w:rPr>
        <w:t>at [30] where the statement is said to give rise to “some difficulties”;</w:t>
      </w:r>
      <w:r>
        <w:rPr>
          <w:spacing w:val="40"/>
          <w:sz w:val="20"/>
        </w:rPr>
        <w:t> </w:t>
      </w:r>
      <w:r>
        <w:rPr>
          <w:sz w:val="20"/>
        </w:rPr>
        <w:t>no discussion of these difficulties was called for in the </w:t>
      </w:r>
      <w:r>
        <w:rPr>
          <w:rFonts w:ascii="Arial" w:hAnsi="Arial"/>
          <w:i/>
          <w:sz w:val="20"/>
        </w:rPr>
        <w:t>Mears </w:t>
      </w:r>
      <w:r>
        <w:rPr>
          <w:sz w:val="20"/>
        </w:rPr>
        <w:t>case. The decision in the Mears case was</w:t>
      </w:r>
      <w:r>
        <w:rPr>
          <w:spacing w:val="-1"/>
          <w:sz w:val="20"/>
        </w:rPr>
        <w:t> </w:t>
      </w:r>
      <w:r>
        <w:rPr>
          <w:sz w:val="20"/>
        </w:rPr>
        <w:t>affirmed on</w:t>
      </w:r>
      <w:r>
        <w:rPr>
          <w:spacing w:val="-1"/>
          <w:sz w:val="20"/>
        </w:rPr>
        <w:t> </w:t>
      </w:r>
      <w:r>
        <w:rPr>
          <w:sz w:val="20"/>
        </w:rPr>
        <w:t>appeal </w:t>
      </w:r>
      <w:r>
        <w:rPr>
          <w:rFonts w:ascii="Arial" w:hAnsi="Arial"/>
          <w:i/>
          <w:sz w:val="20"/>
        </w:rPr>
        <w:t>[2013]</w:t>
      </w:r>
      <w:r>
        <w:rPr>
          <w:rFonts w:ascii="Arial" w:hAnsi="Arial"/>
          <w:i/>
          <w:spacing w:val="-1"/>
          <w:sz w:val="20"/>
        </w:rPr>
        <w:t> </w:t>
      </w:r>
      <w:r>
        <w:rPr>
          <w:rFonts w:ascii="Arial" w:hAnsi="Arial"/>
          <w:i/>
          <w:sz w:val="20"/>
        </w:rPr>
        <w:t>EWCA Civ</w:t>
      </w:r>
      <w:r>
        <w:rPr>
          <w:rFonts w:ascii="Arial" w:hAnsi="Arial"/>
          <w:i/>
          <w:spacing w:val="-1"/>
          <w:sz w:val="20"/>
        </w:rPr>
        <w:t> </w:t>
      </w:r>
      <w:r>
        <w:rPr>
          <w:rFonts w:ascii="Arial" w:hAnsi="Arial"/>
          <w:i/>
          <w:sz w:val="20"/>
        </w:rPr>
        <w:t>639, [2013]</w:t>
      </w:r>
      <w:r>
        <w:rPr>
          <w:rFonts w:ascii="Arial" w:hAnsi="Arial"/>
          <w:i/>
          <w:spacing w:val="-1"/>
          <w:sz w:val="20"/>
        </w:rPr>
        <w:t> </w:t>
      </w:r>
      <w:r>
        <w:rPr>
          <w:rFonts w:ascii="Arial" w:hAnsi="Arial"/>
          <w:i/>
          <w:sz w:val="20"/>
        </w:rPr>
        <w:t>B.L.R. 639</w:t>
      </w:r>
      <w:r>
        <w:rPr>
          <w:rFonts w:ascii="Arial" w:hAnsi="Arial"/>
          <w:i/>
          <w:spacing w:val="-1"/>
          <w:sz w:val="20"/>
        </w:rPr>
        <w:t> </w:t>
      </w:r>
      <w:r>
        <w:rPr>
          <w:sz w:val="20"/>
        </w:rPr>
        <w:t>without further</w:t>
      </w:r>
      <w:r>
        <w:rPr>
          <w:spacing w:val="-1"/>
          <w:sz w:val="20"/>
        </w:rPr>
        <w:t> </w:t>
      </w:r>
      <w:r>
        <w:rPr>
          <w:sz w:val="20"/>
        </w:rPr>
        <w:t>reference to Lord Denning’s statement quoted above. In further proceedings in this case (</w:t>
      </w:r>
      <w:r>
        <w:rPr>
          <w:rFonts w:ascii="Arial" w:hAnsi="Arial"/>
          <w:i/>
          <w:sz w:val="20"/>
        </w:rPr>
        <w:t>[2015] EWHC 1396 (TCC)</w:t>
      </w:r>
      <w:r>
        <w:rPr>
          <w:sz w:val="20"/>
        </w:rPr>
        <w:t>) Akenhead J. treats estoppel by convention as distinct from estoppel by representation: see at [43].</w:t>
      </w:r>
    </w:p>
    <w:p>
      <w:pPr>
        <w:pStyle w:val="BodyText"/>
        <w:spacing w:before="3"/>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bookmarkStart w:name="_bookmark1210" w:id="1212"/>
      <w:bookmarkEnd w:id="1212"/>
      <w:r>
        <w:rPr/>
      </w:r>
      <w:hyperlink w:history="true" w:anchor="_bookmark976">
        <w:r>
          <w:rPr>
            <w:color w:val="005DA1"/>
            <w:spacing w:val="-4"/>
            <w:sz w:val="14"/>
            <w:u w:val="single" w:color="005DA1"/>
          </w:rPr>
          <w:t>578</w:t>
        </w:r>
      </w:hyperlink>
      <w:r>
        <w:rPr>
          <w:spacing w:val="-4"/>
          <w:sz w:val="14"/>
        </w:rPr>
        <w:t>.</w:t>
      </w:r>
    </w:p>
    <w:p>
      <w:pPr>
        <w:spacing w:line="235" w:lineRule="auto" w:before="212"/>
        <w:ind w:left="165" w:right="168" w:firstLine="170"/>
        <w:jc w:val="both"/>
        <w:rPr>
          <w:rFonts w:ascii="Arial"/>
          <w:i/>
          <w:sz w:val="20"/>
        </w:rPr>
      </w:pPr>
      <w:r>
        <w:rPr/>
        <w:br w:type="column"/>
      </w:r>
      <w:r>
        <w:rPr>
          <w:rFonts w:ascii="Arial"/>
          <w:i/>
          <w:sz w:val="20"/>
        </w:rPr>
        <w:t>First National Bank plc v Thomson [1996] Ch. 231, 236</w:t>
      </w:r>
      <w:r>
        <w:rPr>
          <w:sz w:val="20"/>
        </w:rPr>
        <w:t>; cf. </w:t>
      </w:r>
      <w:r>
        <w:rPr>
          <w:rFonts w:ascii="Arial"/>
          <w:i/>
          <w:sz w:val="20"/>
        </w:rPr>
        <w:t>Republic of India v India S.S. </w:t>
      </w:r>
      <w:r>
        <w:rPr>
          <w:rFonts w:ascii="Arial"/>
          <w:i/>
          <w:sz w:val="20"/>
        </w:rPr>
        <w:t>Co Ltd (The Indian Endurance) (No.2) [1998] A.C. 878 </w:t>
      </w:r>
      <w:r>
        <w:rPr>
          <w:sz w:val="20"/>
        </w:rPr>
        <w:t>at 913; </w:t>
      </w:r>
      <w:r>
        <w:rPr>
          <w:rFonts w:ascii="Arial"/>
          <w:i/>
          <w:sz w:val="20"/>
        </w:rPr>
        <w:t>National Westminster Bank plc v Somer</w:t>
      </w:r>
      <w:r>
        <w:rPr>
          <w:rFonts w:ascii="Arial"/>
          <w:i/>
          <w:spacing w:val="8"/>
          <w:sz w:val="20"/>
        </w:rPr>
        <w:t> </w:t>
      </w:r>
      <w:r>
        <w:rPr>
          <w:rFonts w:ascii="Arial"/>
          <w:i/>
          <w:sz w:val="20"/>
        </w:rPr>
        <w:t>[2001]</w:t>
      </w:r>
      <w:r>
        <w:rPr>
          <w:rFonts w:ascii="Arial"/>
          <w:i/>
          <w:spacing w:val="8"/>
          <w:sz w:val="20"/>
        </w:rPr>
        <w:t> </w:t>
      </w:r>
      <w:r>
        <w:rPr>
          <w:rFonts w:ascii="Arial"/>
          <w:i/>
          <w:sz w:val="20"/>
        </w:rPr>
        <w:t>EWCA</w:t>
      </w:r>
      <w:r>
        <w:rPr>
          <w:rFonts w:ascii="Arial"/>
          <w:i/>
          <w:spacing w:val="8"/>
          <w:sz w:val="20"/>
        </w:rPr>
        <w:t> </w:t>
      </w:r>
      <w:r>
        <w:rPr>
          <w:rFonts w:ascii="Arial"/>
          <w:i/>
          <w:sz w:val="20"/>
        </w:rPr>
        <w:t>Civ</w:t>
      </w:r>
      <w:r>
        <w:rPr>
          <w:rFonts w:ascii="Arial"/>
          <w:i/>
          <w:spacing w:val="8"/>
          <w:sz w:val="20"/>
        </w:rPr>
        <w:t> </w:t>
      </w:r>
      <w:r>
        <w:rPr>
          <w:rFonts w:ascii="Arial"/>
          <w:i/>
          <w:sz w:val="20"/>
        </w:rPr>
        <w:t>970;</w:t>
      </w:r>
      <w:r>
        <w:rPr>
          <w:rFonts w:ascii="Arial"/>
          <w:i/>
          <w:spacing w:val="8"/>
          <w:sz w:val="20"/>
        </w:rPr>
        <w:t> </w:t>
      </w:r>
      <w:r>
        <w:rPr>
          <w:rFonts w:ascii="Arial"/>
          <w:i/>
          <w:sz w:val="20"/>
        </w:rPr>
        <w:t>[2002]</w:t>
      </w:r>
      <w:r>
        <w:rPr>
          <w:rFonts w:ascii="Arial"/>
          <w:i/>
          <w:spacing w:val="8"/>
          <w:sz w:val="20"/>
        </w:rPr>
        <w:t> </w:t>
      </w:r>
      <w:r>
        <w:rPr>
          <w:rFonts w:ascii="Arial"/>
          <w:i/>
          <w:sz w:val="20"/>
        </w:rPr>
        <w:t>1</w:t>
      </w:r>
      <w:r>
        <w:rPr>
          <w:rFonts w:ascii="Arial"/>
          <w:i/>
          <w:spacing w:val="8"/>
          <w:sz w:val="20"/>
        </w:rPr>
        <w:t> </w:t>
      </w:r>
      <w:r>
        <w:rPr>
          <w:rFonts w:ascii="Arial"/>
          <w:i/>
          <w:sz w:val="20"/>
        </w:rPr>
        <w:t>All</w:t>
      </w:r>
      <w:r>
        <w:rPr>
          <w:rFonts w:ascii="Arial"/>
          <w:i/>
          <w:spacing w:val="8"/>
          <w:sz w:val="20"/>
        </w:rPr>
        <w:t> </w:t>
      </w:r>
      <w:r>
        <w:rPr>
          <w:rFonts w:ascii="Arial"/>
          <w:i/>
          <w:sz w:val="20"/>
        </w:rPr>
        <w:t>E.R.</w:t>
      </w:r>
      <w:r>
        <w:rPr>
          <w:rFonts w:ascii="Arial"/>
          <w:i/>
          <w:spacing w:val="8"/>
          <w:sz w:val="20"/>
        </w:rPr>
        <w:t> </w:t>
      </w:r>
      <w:r>
        <w:rPr>
          <w:rFonts w:ascii="Arial"/>
          <w:i/>
          <w:sz w:val="20"/>
        </w:rPr>
        <w:t>198</w:t>
      </w:r>
      <w:r>
        <w:rPr>
          <w:rFonts w:ascii="Arial"/>
          <w:i/>
          <w:spacing w:val="7"/>
          <w:sz w:val="20"/>
        </w:rPr>
        <w:t> </w:t>
      </w:r>
      <w:r>
        <w:rPr>
          <w:sz w:val="20"/>
        </w:rPr>
        <w:t>at</w:t>
      </w:r>
      <w:r>
        <w:rPr>
          <w:spacing w:val="8"/>
          <w:sz w:val="20"/>
        </w:rPr>
        <w:t> </w:t>
      </w:r>
      <w:r>
        <w:rPr>
          <w:sz w:val="20"/>
        </w:rPr>
        <w:t>[38],</w:t>
      </w:r>
      <w:r>
        <w:rPr>
          <w:spacing w:val="8"/>
          <w:sz w:val="20"/>
        </w:rPr>
        <w:t> </w:t>
      </w:r>
      <w:r>
        <w:rPr>
          <w:sz w:val="20"/>
        </w:rPr>
        <w:t>[39];</w:t>
      </w:r>
      <w:r>
        <w:rPr>
          <w:spacing w:val="8"/>
          <w:sz w:val="20"/>
        </w:rPr>
        <w:t> </w:t>
      </w:r>
      <w:r>
        <w:rPr>
          <w:sz w:val="20"/>
        </w:rPr>
        <w:t>dicta</w:t>
      </w:r>
      <w:r>
        <w:rPr>
          <w:spacing w:val="8"/>
          <w:sz w:val="20"/>
        </w:rPr>
        <w:t> </w:t>
      </w:r>
      <w:r>
        <w:rPr>
          <w:sz w:val="20"/>
        </w:rPr>
        <w:t>in</w:t>
      </w:r>
      <w:r>
        <w:rPr>
          <w:spacing w:val="8"/>
          <w:sz w:val="20"/>
        </w:rPr>
        <w:t> </w:t>
      </w:r>
      <w:r>
        <w:rPr>
          <w:rFonts w:ascii="Arial"/>
          <w:i/>
          <w:sz w:val="20"/>
        </w:rPr>
        <w:t>Baird</w:t>
      </w:r>
      <w:r>
        <w:rPr>
          <w:rFonts w:ascii="Arial"/>
          <w:i/>
          <w:spacing w:val="8"/>
          <w:sz w:val="20"/>
        </w:rPr>
        <w:t> </w:t>
      </w:r>
      <w:r>
        <w:rPr>
          <w:rFonts w:ascii="Arial"/>
          <w:i/>
          <w:sz w:val="20"/>
        </w:rPr>
        <w:t>Textile</w:t>
      </w:r>
      <w:r>
        <w:rPr>
          <w:rFonts w:ascii="Arial"/>
          <w:i/>
          <w:spacing w:val="8"/>
          <w:sz w:val="20"/>
        </w:rPr>
        <w:t> </w:t>
      </w:r>
      <w:r>
        <w:rPr>
          <w:rFonts w:ascii="Arial"/>
          <w:i/>
          <w:spacing w:val="-2"/>
          <w:sz w:val="20"/>
        </w:rPr>
        <w:t>Holdings</w:t>
      </w:r>
    </w:p>
    <w:p>
      <w:pPr>
        <w:pStyle w:val="BodyText"/>
        <w:spacing w:line="235" w:lineRule="auto"/>
        <w:ind w:left="165" w:right="167"/>
        <w:jc w:val="both"/>
        <w:rPr>
          <w:rFonts w:ascii="Arial" w:hAnsi="Arial"/>
          <w:i/>
        </w:rPr>
      </w:pPr>
      <w:r>
        <w:rPr>
          <w:rFonts w:ascii="Arial" w:hAnsi="Arial"/>
          <w:i/>
        </w:rPr>
        <w:drawing>
          <wp:anchor distT="0" distB="0" distL="0" distR="0" allowOverlap="1" layoutInCell="1" locked="0" behindDoc="0" simplePos="0" relativeHeight="15773696">
            <wp:simplePos x="0" y="0"/>
            <wp:positionH relativeFrom="page">
              <wp:posOffset>1257846</wp:posOffset>
            </wp:positionH>
            <wp:positionV relativeFrom="paragraph">
              <wp:posOffset>-403293</wp:posOffset>
            </wp:positionV>
            <wp:extent cx="107988" cy="107988"/>
            <wp:effectExtent l="0" t="0" r="0" b="0"/>
            <wp:wrapNone/>
            <wp:docPr id="200" name="Image 200"/>
            <wp:cNvGraphicFramePr>
              <a:graphicFrameLocks/>
            </wp:cNvGraphicFramePr>
            <a:graphic>
              <a:graphicData uri="http://schemas.openxmlformats.org/drawingml/2006/picture">
                <pic:pic>
                  <pic:nvPicPr>
                    <pic:cNvPr id="200" name="Image 200"/>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rPr>
        <w:t>Ltd v Marks &amp; Spencer plc [2001] EWCA Civ 274; [2002] 1 All E.R. (Comm) 737 </w:t>
      </w:r>
      <w:r>
        <w:rPr/>
        <w:t>at [38], [50], [83], [84] perhaps incline in the other direction but cannot be regarded as conclusive. </w:t>
      </w:r>
      <w:r>
        <w:rPr/>
        <w:t>Millett L.J.’s statement in </w:t>
      </w:r>
      <w:r>
        <w:rPr>
          <w:rFonts w:ascii="Arial" w:hAnsi="Arial"/>
          <w:i/>
        </w:rPr>
        <w:t>First National Bank plc v Thompson [1996] Ch. 231, 236</w:t>
      </w:r>
      <w:r>
        <w:rPr/>
        <w:t>, to the effect that “the attempt to demonstrate that all estoppels … are now governed by the same principle …</w:t>
      </w:r>
      <w:r>
        <w:rPr>
          <w:spacing w:val="40"/>
        </w:rPr>
        <w:t> </w:t>
      </w:r>
      <w:r>
        <w:rPr/>
        <w:t>has never won general acceptance” (quoted in Main Work, Vol.I, para.4-104) is cited with apparent approval in </w:t>
      </w:r>
      <w:r>
        <w:rPr>
          <w:rFonts w:ascii="Arial" w:hAnsi="Arial"/>
          <w:i/>
        </w:rPr>
        <w:t>Monde Petroleum SA v WesternZagros Ltd [2016] EWHC 1472 (Comm), [2016] 2 Lloyd’s Rep. 229 </w:t>
      </w:r>
      <w:r>
        <w:rPr/>
        <w:t>at [227], though it appears to be qualified by the point made in the latter judgment that “a representation followed by reliance” is “a fundamental requirement of estoppel by representation and promissory estoppel” ([ibid.]). This is, with respect, true, but the </w:t>
      </w:r>
      <w:r>
        <w:rPr>
          <w:rFonts w:ascii="Arial" w:hAnsi="Arial"/>
          <w:i/>
        </w:rPr>
        <w:t>kinds</w:t>
      </w:r>
      <w:r>
        <w:rPr>
          <w:rFonts w:ascii="Arial" w:hAnsi="Arial"/>
          <w:i/>
          <w:spacing w:val="-2"/>
        </w:rPr>
        <w:t> </w:t>
      </w:r>
      <w:r>
        <w:rPr/>
        <w:t>of</w:t>
      </w:r>
      <w:r>
        <w:rPr>
          <w:spacing w:val="-2"/>
        </w:rPr>
        <w:t> </w:t>
      </w:r>
      <w:r>
        <w:rPr/>
        <w:t>representation</w:t>
      </w:r>
      <w:r>
        <w:rPr>
          <w:spacing w:val="-2"/>
        </w:rPr>
        <w:t> </w:t>
      </w:r>
      <w:r>
        <w:rPr/>
        <w:t>capable</w:t>
      </w:r>
      <w:r>
        <w:rPr>
          <w:spacing w:val="-2"/>
        </w:rPr>
        <w:t> </w:t>
      </w:r>
      <w:r>
        <w:rPr/>
        <w:t>of</w:t>
      </w:r>
      <w:r>
        <w:rPr>
          <w:spacing w:val="-2"/>
        </w:rPr>
        <w:t> </w:t>
      </w:r>
      <w:r>
        <w:rPr/>
        <w:t>giving</w:t>
      </w:r>
      <w:r>
        <w:rPr>
          <w:spacing w:val="-2"/>
        </w:rPr>
        <w:t> </w:t>
      </w:r>
      <w:r>
        <w:rPr/>
        <w:t>rise</w:t>
      </w:r>
      <w:r>
        <w:rPr>
          <w:spacing w:val="-2"/>
        </w:rPr>
        <w:t> </w:t>
      </w:r>
      <w:r>
        <w:rPr/>
        <w:t>to</w:t>
      </w:r>
      <w:r>
        <w:rPr>
          <w:spacing w:val="-2"/>
        </w:rPr>
        <w:t> </w:t>
      </w:r>
      <w:r>
        <w:rPr/>
        <w:t>these</w:t>
      </w:r>
      <w:r>
        <w:rPr>
          <w:spacing w:val="-2"/>
        </w:rPr>
        <w:t> </w:t>
      </w:r>
      <w:r>
        <w:rPr/>
        <w:t>two</w:t>
      </w:r>
      <w:r>
        <w:rPr>
          <w:spacing w:val="-2"/>
        </w:rPr>
        <w:t> </w:t>
      </w:r>
      <w:r>
        <w:rPr/>
        <w:t>forms</w:t>
      </w:r>
      <w:r>
        <w:rPr>
          <w:spacing w:val="-2"/>
        </w:rPr>
        <w:t> </w:t>
      </w:r>
      <w:r>
        <w:rPr/>
        <w:t>of</w:t>
      </w:r>
      <w:r>
        <w:rPr>
          <w:spacing w:val="-2"/>
        </w:rPr>
        <w:t> </w:t>
      </w:r>
      <w:r>
        <w:rPr/>
        <w:t>estoppel</w:t>
      </w:r>
      <w:r>
        <w:rPr>
          <w:spacing w:val="-2"/>
        </w:rPr>
        <w:t> </w:t>
      </w:r>
      <w:r>
        <w:rPr/>
        <w:t>are</w:t>
      </w:r>
      <w:r>
        <w:rPr>
          <w:spacing w:val="-2"/>
        </w:rPr>
        <w:t> </w:t>
      </w:r>
      <w:r>
        <w:rPr/>
        <w:t>not</w:t>
      </w:r>
      <w:r>
        <w:rPr>
          <w:spacing w:val="-2"/>
        </w:rPr>
        <w:t> </w:t>
      </w:r>
      <w:r>
        <w:rPr/>
        <w:t>the</w:t>
      </w:r>
      <w:r>
        <w:rPr>
          <w:spacing w:val="-2"/>
        </w:rPr>
        <w:t> </w:t>
      </w:r>
      <w:r>
        <w:rPr/>
        <w:t>same,</w:t>
      </w:r>
      <w:r>
        <w:rPr>
          <w:spacing w:val="-2"/>
        </w:rPr>
        <w:t> </w:t>
      </w:r>
      <w:r>
        <w:rPr/>
        <w:t>a representation as to the future (or a promise) being capable of giving rise to promissory</w:t>
      </w:r>
      <w:r>
        <w:rPr>
          <w:spacing w:val="40"/>
        </w:rPr>
        <w:t> </w:t>
      </w:r>
      <w:r>
        <w:rPr/>
        <w:t>estoppel but not to estoppel by representation (see Main Work, Vol.I, para.4-104). The</w:t>
      </w:r>
      <w:r>
        <w:rPr>
          <w:spacing w:val="40"/>
        </w:rPr>
        <w:t> </w:t>
      </w:r>
      <w:r>
        <w:rPr/>
        <w:t>judgment in the </w:t>
      </w:r>
      <w:r>
        <w:rPr>
          <w:rFonts w:ascii="Arial" w:hAnsi="Arial"/>
          <w:i/>
        </w:rPr>
        <w:t>Monde Petroleum </w:t>
      </w:r>
      <w:r>
        <w:rPr/>
        <w:t>case also accepts that estoppel by convention (Main Work, Vol.I,</w:t>
      </w:r>
      <w:r>
        <w:rPr>
          <w:spacing w:val="7"/>
        </w:rPr>
        <w:t> </w:t>
      </w:r>
      <w:r>
        <w:rPr/>
        <w:t>paras</w:t>
      </w:r>
      <w:r>
        <w:rPr>
          <w:spacing w:val="8"/>
        </w:rPr>
        <w:t> </w:t>
      </w:r>
      <w:r>
        <w:rPr/>
        <w:t>4-108—4-109)</w:t>
      </w:r>
      <w:r>
        <w:rPr>
          <w:spacing w:val="8"/>
        </w:rPr>
        <w:t> </w:t>
      </w:r>
      <w:r>
        <w:rPr/>
        <w:t>“does</w:t>
      </w:r>
      <w:r>
        <w:rPr>
          <w:spacing w:val="8"/>
        </w:rPr>
        <w:t> </w:t>
      </w:r>
      <w:r>
        <w:rPr/>
        <w:t>not</w:t>
      </w:r>
      <w:r>
        <w:rPr>
          <w:spacing w:val="8"/>
        </w:rPr>
        <w:t> </w:t>
      </w:r>
      <w:r>
        <w:rPr/>
        <w:t>depend</w:t>
      </w:r>
      <w:r>
        <w:rPr>
          <w:spacing w:val="8"/>
        </w:rPr>
        <w:t> </w:t>
      </w:r>
      <w:r>
        <w:rPr/>
        <w:t>on</w:t>
      </w:r>
      <w:r>
        <w:rPr>
          <w:spacing w:val="7"/>
        </w:rPr>
        <w:t> </w:t>
      </w:r>
      <w:r>
        <w:rPr/>
        <w:t>any</w:t>
      </w:r>
      <w:r>
        <w:rPr>
          <w:spacing w:val="8"/>
        </w:rPr>
        <w:t> </w:t>
      </w:r>
      <w:r>
        <w:rPr/>
        <w:t>representation</w:t>
      </w:r>
      <w:r>
        <w:rPr>
          <w:spacing w:val="8"/>
        </w:rPr>
        <w:t> </w:t>
      </w:r>
      <w:r>
        <w:rPr/>
        <w:t>or</w:t>
      </w:r>
      <w:r>
        <w:rPr>
          <w:spacing w:val="8"/>
        </w:rPr>
        <w:t> </w:t>
      </w:r>
      <w:r>
        <w:rPr/>
        <w:t>promise”</w:t>
      </w:r>
      <w:r>
        <w:rPr>
          <w:spacing w:val="8"/>
        </w:rPr>
        <w:t> </w:t>
      </w:r>
      <w:r>
        <w:rPr/>
        <w:t>(</w:t>
      </w:r>
      <w:r>
        <w:rPr>
          <w:rFonts w:ascii="Arial" w:hAnsi="Arial"/>
          <w:i/>
        </w:rPr>
        <w:t>[2016]</w:t>
      </w:r>
      <w:r>
        <w:rPr>
          <w:rFonts w:ascii="Arial" w:hAnsi="Arial"/>
          <w:i/>
          <w:spacing w:val="8"/>
        </w:rPr>
        <w:t> </w:t>
      </w:r>
      <w:r>
        <w:rPr>
          <w:rFonts w:ascii="Arial" w:hAnsi="Arial"/>
          <w:i/>
          <w:spacing w:val="-4"/>
        </w:rPr>
        <w:t>EWHC</w:t>
      </w:r>
    </w:p>
    <w:p>
      <w:pPr>
        <w:pStyle w:val="BodyText"/>
        <w:spacing w:after="0" w:line="235" w:lineRule="auto"/>
        <w:jc w:val="both"/>
        <w:rPr>
          <w:rFonts w:ascii="Arial" w:hAnsi="Arial"/>
          <w:i/>
        </w:rPr>
        <w:sectPr>
          <w:type w:val="continuous"/>
          <w:pgSz w:w="11900" w:h="16840"/>
          <w:pgMar w:header="971" w:footer="0" w:top="3760" w:bottom="280" w:left="1275" w:right="1275"/>
          <w:cols w:num="2" w:equalWidth="0">
            <w:col w:w="478" w:space="63"/>
            <w:col w:w="8809"/>
          </w:cols>
        </w:sectPr>
      </w:pPr>
    </w:p>
    <w:p>
      <w:pPr>
        <w:pStyle w:val="BodyText"/>
        <w:spacing w:before="24"/>
        <w:rPr>
          <w:rFonts w:ascii="Arial"/>
          <w:i/>
        </w:rPr>
      </w:pPr>
    </w:p>
    <w:p>
      <w:pPr>
        <w:pStyle w:val="BodyText"/>
        <w:spacing w:line="235" w:lineRule="auto" w:before="1"/>
        <w:ind w:left="705" w:right="167"/>
        <w:jc w:val="both"/>
      </w:pPr>
      <w:r>
        <w:rPr>
          <w:rFonts w:ascii="Arial" w:hAnsi="Arial"/>
          <w:i/>
        </w:rPr>
        <w:t>1472 (Comm) </w:t>
      </w:r>
      <w:r>
        <w:rPr/>
        <w:t>at [227]), though it does depend on “communications to pass across the line between the parties”: ibid. and see Main Work, para.4-110. The latter requirement seems to </w:t>
      </w:r>
      <w:r>
        <w:rPr/>
        <w:t>be regarded as a sort of functional equivalent of the requirement of a representation in cases of estoppel by representation or promissory estoppel. It is, however, less exacting than those requirements, especially if the recent judicial suggestion that the existence of the “common assumption” on which estoppel by convention is based (Main Work, Vol.I, para.4-108) may be “inferred from conduct, or even silence”: </w:t>
      </w:r>
      <w:r>
        <w:rPr>
          <w:rFonts w:ascii="Arial" w:hAnsi="Arial"/>
          <w:i/>
        </w:rPr>
        <w:t>Dixon v Blindley Heath Investments Ltd [2015] EWCA Civ 1023, [2017] 3 W.L.R. 166 </w:t>
      </w:r>
      <w:r>
        <w:rPr/>
        <w:t>at [92]; and see below, para.4-108 n.630.</w:t>
      </w:r>
    </w:p>
    <w:p>
      <w:pPr>
        <w:pStyle w:val="BodyText"/>
        <w:spacing w:before="6"/>
      </w:pPr>
    </w:p>
    <w:p>
      <w:pPr>
        <w:pStyle w:val="BodyText"/>
        <w:spacing w:line="235" w:lineRule="auto" w:before="1"/>
        <w:ind w:left="705" w:right="167" w:hanging="541"/>
        <w:jc w:val="both"/>
      </w:pPr>
      <w:bookmarkStart w:name="_bookmark1211" w:id="1213"/>
      <w:bookmarkEnd w:id="1213"/>
      <w:r>
        <w:rPr/>
      </w:r>
      <w:hyperlink w:history="true" w:anchor="_bookmark977">
        <w:r>
          <w:rPr>
            <w:color w:val="005DA1"/>
            <w:position w:val="5"/>
            <w:sz w:val="14"/>
            <w:u w:val="single" w:color="005DA1"/>
          </w:rPr>
          <w:t>579</w:t>
        </w:r>
      </w:hyperlink>
      <w:r>
        <w:rPr>
          <w:position w:val="5"/>
          <w:sz w:val="14"/>
        </w:rPr>
        <w:t>.</w:t>
      </w:r>
      <w:r>
        <w:rPr>
          <w:spacing w:val="80"/>
          <w:position w:val="5"/>
          <w:sz w:val="14"/>
        </w:rPr>
        <w:t> </w:t>
      </w:r>
      <w:r>
        <w:rPr/>
        <w:t>i.e. estoppel by representation (below, para.7-103) promissory estoppel (discussed here), estoppel</w:t>
      </w:r>
      <w:r>
        <w:rPr>
          <w:spacing w:val="36"/>
        </w:rPr>
        <w:t> </w:t>
      </w:r>
      <w:r>
        <w:rPr/>
        <w:t>by</w:t>
      </w:r>
      <w:r>
        <w:rPr>
          <w:spacing w:val="36"/>
        </w:rPr>
        <w:t> </w:t>
      </w:r>
      <w:r>
        <w:rPr/>
        <w:t>convention</w:t>
      </w:r>
      <w:r>
        <w:rPr>
          <w:spacing w:val="36"/>
        </w:rPr>
        <w:t> </w:t>
      </w:r>
      <w:r>
        <w:rPr/>
        <w:t>(below,</w:t>
      </w:r>
      <w:r>
        <w:rPr>
          <w:spacing w:val="36"/>
        </w:rPr>
        <w:t> </w:t>
      </w:r>
      <w:r>
        <w:rPr/>
        <w:t>paras</w:t>
      </w:r>
      <w:r>
        <w:rPr>
          <w:spacing w:val="36"/>
        </w:rPr>
        <w:t> </w:t>
      </w:r>
      <w:r>
        <w:rPr/>
        <w:t>4-108</w:t>
      </w:r>
      <w:r>
        <w:rPr>
          <w:spacing w:val="36"/>
        </w:rPr>
        <w:t> </w:t>
      </w:r>
      <w:r>
        <w:rPr/>
        <w:t>et</w:t>
      </w:r>
      <w:r>
        <w:rPr>
          <w:spacing w:val="36"/>
        </w:rPr>
        <w:t> </w:t>
      </w:r>
      <w:r>
        <w:rPr/>
        <w:t>seq.)</w:t>
      </w:r>
      <w:r>
        <w:rPr>
          <w:spacing w:val="36"/>
        </w:rPr>
        <w:t> </w:t>
      </w:r>
      <w:r>
        <w:rPr/>
        <w:t>and</w:t>
      </w:r>
      <w:r>
        <w:rPr>
          <w:spacing w:val="36"/>
        </w:rPr>
        <w:t> </w:t>
      </w:r>
      <w:r>
        <w:rPr/>
        <w:t>proprietary</w:t>
      </w:r>
      <w:r>
        <w:rPr>
          <w:spacing w:val="36"/>
        </w:rPr>
        <w:t> </w:t>
      </w:r>
      <w:r>
        <w:rPr/>
        <w:t>estoppel</w:t>
      </w:r>
      <w:r>
        <w:rPr>
          <w:spacing w:val="36"/>
        </w:rPr>
        <w:t> </w:t>
      </w:r>
      <w:r>
        <w:rPr/>
        <w:t>(below</w:t>
      </w:r>
      <w:r>
        <w:rPr>
          <w:spacing w:val="36"/>
        </w:rPr>
        <w:t> </w:t>
      </w:r>
      <w:r>
        <w:rPr/>
        <w:t>paras 4-139 et seq.).</w:t>
      </w:r>
    </w:p>
    <w:p>
      <w:pPr>
        <w:pStyle w:val="BodyText"/>
        <w:spacing w:before="8"/>
      </w:pPr>
    </w:p>
    <w:p>
      <w:pPr>
        <w:spacing w:line="235" w:lineRule="auto" w:before="1"/>
        <w:ind w:left="705" w:right="167" w:hanging="541"/>
        <w:jc w:val="both"/>
        <w:rPr>
          <w:rFonts w:ascii="Arial" w:hAnsi="Arial"/>
          <w:i/>
          <w:sz w:val="20"/>
        </w:rPr>
      </w:pPr>
      <w:bookmarkStart w:name="_bookmark1212" w:id="1214"/>
      <w:bookmarkEnd w:id="1214"/>
      <w:r>
        <w:rPr/>
      </w:r>
      <w:hyperlink w:history="true" w:anchor="_bookmark978">
        <w:r>
          <w:rPr>
            <w:color w:val="005DA1"/>
            <w:position w:val="5"/>
            <w:sz w:val="14"/>
            <w:u w:val="single" w:color="005DA1"/>
          </w:rPr>
          <w:t>580</w:t>
        </w:r>
      </w:hyperlink>
      <w:r>
        <w:rPr>
          <w:position w:val="5"/>
          <w:sz w:val="14"/>
        </w:rPr>
        <w:t>.</w:t>
      </w:r>
      <w:r>
        <w:rPr>
          <w:spacing w:val="80"/>
          <w:position w:val="5"/>
          <w:sz w:val="14"/>
        </w:rPr>
        <w:t>  </w:t>
      </w:r>
      <w:r>
        <w:rPr>
          <w:rFonts w:ascii="Arial" w:hAnsi="Arial"/>
          <w:i/>
          <w:sz w:val="20"/>
        </w:rPr>
        <w:t>Johnson v Gore Wood &amp; Co [2002] 2 A.C. 1 </w:t>
      </w:r>
      <w:r>
        <w:rPr>
          <w:sz w:val="20"/>
        </w:rPr>
        <w:t>at 41; </w:t>
      </w:r>
      <w:r>
        <w:rPr>
          <w:rFonts w:ascii="Arial" w:hAnsi="Arial"/>
          <w:i/>
          <w:sz w:val="20"/>
        </w:rPr>
        <w:t>Gillett v Holt [2001] Ch. 210 </w:t>
      </w:r>
      <w:r>
        <w:rPr>
          <w:sz w:val="20"/>
        </w:rPr>
        <w:t>at 225, per Walker L.J., cited with approval by Lord Neuberger in </w:t>
      </w:r>
      <w:r>
        <w:rPr>
          <w:rFonts w:ascii="Arial" w:hAnsi="Arial"/>
          <w:i/>
          <w:sz w:val="20"/>
        </w:rPr>
        <w:t>Fisher v Brooker [2009] UKHL 41, [2009] 1</w:t>
      </w:r>
      <w:r>
        <w:rPr>
          <w:rFonts w:ascii="Arial" w:hAnsi="Arial"/>
          <w:i/>
          <w:spacing w:val="12"/>
          <w:sz w:val="20"/>
        </w:rPr>
        <w:t> </w:t>
      </w:r>
      <w:r>
        <w:rPr>
          <w:rFonts w:ascii="Arial" w:hAnsi="Arial"/>
          <w:i/>
          <w:sz w:val="20"/>
        </w:rPr>
        <w:t>W.L.R.</w:t>
      </w:r>
      <w:r>
        <w:rPr>
          <w:rFonts w:ascii="Arial" w:hAnsi="Arial"/>
          <w:i/>
          <w:spacing w:val="14"/>
          <w:sz w:val="20"/>
        </w:rPr>
        <w:t> </w:t>
      </w:r>
      <w:r>
        <w:rPr>
          <w:rFonts w:ascii="Arial" w:hAnsi="Arial"/>
          <w:i/>
          <w:sz w:val="20"/>
        </w:rPr>
        <w:t>1764</w:t>
      </w:r>
      <w:r>
        <w:rPr>
          <w:rFonts w:ascii="Arial" w:hAnsi="Arial"/>
          <w:i/>
          <w:spacing w:val="14"/>
          <w:sz w:val="20"/>
        </w:rPr>
        <w:t> </w:t>
      </w:r>
      <w:r>
        <w:rPr>
          <w:sz w:val="20"/>
        </w:rPr>
        <w:t>at</w:t>
      </w:r>
      <w:r>
        <w:rPr>
          <w:spacing w:val="14"/>
          <w:sz w:val="20"/>
        </w:rPr>
        <w:t> </w:t>
      </w:r>
      <w:r>
        <w:rPr>
          <w:sz w:val="20"/>
        </w:rPr>
        <w:t>[63].</w:t>
      </w:r>
      <w:r>
        <w:rPr>
          <w:spacing w:val="14"/>
          <w:sz w:val="20"/>
        </w:rPr>
        <w:t> </w:t>
      </w:r>
      <w:r>
        <w:rPr>
          <w:sz w:val="20"/>
        </w:rPr>
        <w:t>In</w:t>
      </w:r>
      <w:r>
        <w:rPr>
          <w:spacing w:val="14"/>
          <w:sz w:val="20"/>
        </w:rPr>
        <w:t> </w:t>
      </w:r>
      <w:r>
        <w:rPr>
          <w:rFonts w:ascii="Arial" w:hAnsi="Arial"/>
          <w:i/>
          <w:sz w:val="20"/>
        </w:rPr>
        <w:t>Cobbe</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Yeoman’s</w:t>
      </w:r>
      <w:r>
        <w:rPr>
          <w:rFonts w:ascii="Arial" w:hAnsi="Arial"/>
          <w:i/>
          <w:spacing w:val="14"/>
          <w:sz w:val="20"/>
        </w:rPr>
        <w:t> </w:t>
      </w:r>
      <w:r>
        <w:rPr>
          <w:rFonts w:ascii="Arial" w:hAnsi="Arial"/>
          <w:i/>
          <w:sz w:val="20"/>
        </w:rPr>
        <w:t>Row</w:t>
      </w:r>
      <w:r>
        <w:rPr>
          <w:rFonts w:ascii="Arial" w:hAnsi="Arial"/>
          <w:i/>
          <w:spacing w:val="14"/>
          <w:sz w:val="20"/>
        </w:rPr>
        <w:t> </w:t>
      </w:r>
      <w:r>
        <w:rPr>
          <w:rFonts w:ascii="Arial" w:hAnsi="Arial"/>
          <w:i/>
          <w:sz w:val="20"/>
        </w:rPr>
        <w:t>Management</w:t>
      </w:r>
      <w:r>
        <w:rPr>
          <w:rFonts w:ascii="Arial" w:hAnsi="Arial"/>
          <w:i/>
          <w:spacing w:val="14"/>
          <w:sz w:val="20"/>
        </w:rPr>
        <w:t> </w:t>
      </w:r>
      <w:r>
        <w:rPr>
          <w:rFonts w:ascii="Arial" w:hAnsi="Arial"/>
          <w:i/>
          <w:sz w:val="20"/>
        </w:rPr>
        <w:t>Ltd</w:t>
      </w:r>
      <w:r>
        <w:rPr>
          <w:rFonts w:ascii="Arial" w:hAnsi="Arial"/>
          <w:i/>
          <w:spacing w:val="14"/>
          <w:sz w:val="20"/>
        </w:rPr>
        <w:t> </w:t>
      </w:r>
      <w:r>
        <w:rPr>
          <w:rFonts w:ascii="Arial" w:hAnsi="Arial"/>
          <w:i/>
          <w:sz w:val="20"/>
        </w:rPr>
        <w:t>[2008]</w:t>
      </w:r>
      <w:r>
        <w:rPr>
          <w:rFonts w:ascii="Arial" w:hAnsi="Arial"/>
          <w:i/>
          <w:spacing w:val="14"/>
          <w:sz w:val="20"/>
        </w:rPr>
        <w:t> </w:t>
      </w:r>
      <w:r>
        <w:rPr>
          <w:rFonts w:ascii="Arial" w:hAnsi="Arial"/>
          <w:i/>
          <w:sz w:val="20"/>
        </w:rPr>
        <w:t>UKHL</w:t>
      </w:r>
      <w:r>
        <w:rPr>
          <w:rFonts w:ascii="Arial" w:hAnsi="Arial"/>
          <w:i/>
          <w:spacing w:val="14"/>
          <w:sz w:val="20"/>
        </w:rPr>
        <w:t> </w:t>
      </w:r>
      <w:r>
        <w:rPr>
          <w:rFonts w:ascii="Arial" w:hAnsi="Arial"/>
          <w:i/>
          <w:sz w:val="20"/>
        </w:rPr>
        <w:t>55,</w:t>
      </w:r>
      <w:r>
        <w:rPr>
          <w:rFonts w:ascii="Arial" w:hAnsi="Arial"/>
          <w:i/>
          <w:spacing w:val="14"/>
          <w:sz w:val="20"/>
        </w:rPr>
        <w:t> </w:t>
      </w:r>
      <w:r>
        <w:rPr>
          <w:rFonts w:ascii="Arial" w:hAnsi="Arial"/>
          <w:i/>
          <w:sz w:val="20"/>
        </w:rPr>
        <w:t>[2008]</w:t>
      </w:r>
      <w:r>
        <w:rPr>
          <w:rFonts w:ascii="Arial" w:hAnsi="Arial"/>
          <w:i/>
          <w:spacing w:val="14"/>
          <w:sz w:val="20"/>
        </w:rPr>
        <w:t> </w:t>
      </w:r>
      <w:r>
        <w:rPr>
          <w:rFonts w:ascii="Arial" w:hAnsi="Arial"/>
          <w:i/>
          <w:spacing w:val="-10"/>
          <w:sz w:val="20"/>
        </w:rPr>
        <w:t>1</w:t>
      </w:r>
    </w:p>
    <w:p>
      <w:pPr>
        <w:pStyle w:val="BodyText"/>
        <w:spacing w:line="235" w:lineRule="auto"/>
        <w:ind w:left="705" w:right="167"/>
        <w:jc w:val="both"/>
      </w:pPr>
      <w:r>
        <w:rPr>
          <w:rFonts w:ascii="Arial" w:hAnsi="Arial"/>
          <w:i/>
        </w:rPr>
        <w:t>W.L.R. 1752 </w:t>
      </w:r>
      <w:r>
        <w:rPr/>
        <w:t>at [59] Lord Walker refers with apparent approval to a “broad or unified </w:t>
      </w:r>
      <w:r>
        <w:rPr/>
        <w:t>approach</w:t>
      </w:r>
      <w:r>
        <w:rPr>
          <w:spacing w:val="40"/>
        </w:rPr>
        <w:t> </w:t>
      </w:r>
      <w:r>
        <w:rPr/>
        <w:t>to equitable estoppel”. But in this speech he uses “equitable estoppel” to mean </w:t>
      </w:r>
      <w:r>
        <w:rPr>
          <w:rFonts w:ascii="Arial" w:hAnsi="Arial"/>
          <w:i/>
        </w:rPr>
        <w:t>proprietary </w:t>
      </w:r>
      <w:r>
        <w:rPr/>
        <w:t>estoppel: see below, para.4-139 n.822; so that his approval is of a “unified approach” to the various</w:t>
      </w:r>
      <w:r>
        <w:rPr>
          <w:spacing w:val="-2"/>
        </w:rPr>
        <w:t> </w:t>
      </w:r>
      <w:r>
        <w:rPr/>
        <w:t>situations</w:t>
      </w:r>
      <w:r>
        <w:rPr>
          <w:spacing w:val="-2"/>
        </w:rPr>
        <w:t> </w:t>
      </w:r>
      <w:r>
        <w:rPr/>
        <w:t>within</w:t>
      </w:r>
      <w:r>
        <w:rPr>
          <w:spacing w:val="-2"/>
        </w:rPr>
        <w:t> </w:t>
      </w:r>
      <w:r>
        <w:rPr/>
        <w:t>this</w:t>
      </w:r>
      <w:r>
        <w:rPr>
          <w:spacing w:val="-2"/>
        </w:rPr>
        <w:t> </w:t>
      </w:r>
      <w:r>
        <w:rPr/>
        <w:t>kind</w:t>
      </w:r>
      <w:r>
        <w:rPr>
          <w:spacing w:val="-2"/>
        </w:rPr>
        <w:t> </w:t>
      </w:r>
      <w:r>
        <w:rPr/>
        <w:t>of</w:t>
      </w:r>
      <w:r>
        <w:rPr>
          <w:spacing w:val="-2"/>
        </w:rPr>
        <w:t> </w:t>
      </w:r>
      <w:r>
        <w:rPr/>
        <w:t>estoppel</w:t>
      </w:r>
      <w:r>
        <w:rPr>
          <w:spacing w:val="-2"/>
        </w:rPr>
        <w:t> </w:t>
      </w:r>
      <w:r>
        <w:rPr/>
        <w:t>(below,</w:t>
      </w:r>
      <w:r>
        <w:rPr>
          <w:spacing w:val="-2"/>
        </w:rPr>
        <w:t> </w:t>
      </w:r>
      <w:r>
        <w:rPr/>
        <w:t>para.4-140):</w:t>
      </w:r>
      <w:r>
        <w:rPr>
          <w:spacing w:val="-2"/>
        </w:rPr>
        <w:t> </w:t>
      </w:r>
      <w:r>
        <w:rPr/>
        <w:t>not</w:t>
      </w:r>
      <w:r>
        <w:rPr>
          <w:spacing w:val="-2"/>
        </w:rPr>
        <w:t> </w:t>
      </w:r>
      <w:r>
        <w:rPr/>
        <w:t>to</w:t>
      </w:r>
      <w:r>
        <w:rPr>
          <w:spacing w:val="-2"/>
        </w:rPr>
        <w:t> </w:t>
      </w:r>
      <w:r>
        <w:rPr/>
        <w:t>such</w:t>
      </w:r>
      <w:r>
        <w:rPr>
          <w:spacing w:val="-2"/>
        </w:rPr>
        <w:t> </w:t>
      </w:r>
      <w:r>
        <w:rPr/>
        <w:t>an</w:t>
      </w:r>
      <w:r>
        <w:rPr>
          <w:spacing w:val="-2"/>
        </w:rPr>
        <w:t> </w:t>
      </w:r>
      <w:r>
        <w:rPr/>
        <w:t>approach</w:t>
      </w:r>
      <w:r>
        <w:rPr>
          <w:spacing w:val="-2"/>
        </w:rPr>
        <w:t> </w:t>
      </w:r>
      <w:r>
        <w:rPr/>
        <w:t>to</w:t>
      </w:r>
      <w:r>
        <w:rPr>
          <w:spacing w:val="-2"/>
        </w:rPr>
        <w:t> </w:t>
      </w:r>
      <w:r>
        <w:rPr/>
        <w:t>all of the </w:t>
      </w:r>
      <w:r>
        <w:rPr>
          <w:rFonts w:ascii="Arial" w:hAnsi="Arial"/>
          <w:i/>
        </w:rPr>
        <w:t>other </w:t>
      </w:r>
      <w:r>
        <w:rPr/>
        <w:t>kinds of estoppel discussed in this chapter. In </w:t>
      </w:r>
      <w:r>
        <w:rPr>
          <w:rFonts w:ascii="Arial" w:hAnsi="Arial"/>
          <w:i/>
        </w:rPr>
        <w:t>Thorner v Major [2009] UKHL 18, [2009] 1 W.L.R. 776</w:t>
      </w:r>
      <w:r>
        <w:rPr/>
        <w:t>, Lord Walker (at [67]) while expressing no concluded view on the point seems</w:t>
      </w:r>
      <w:r>
        <w:rPr>
          <w:spacing w:val="40"/>
        </w:rPr>
        <w:t> </w:t>
      </w:r>
      <w:r>
        <w:rPr/>
        <w:t>to</w:t>
      </w:r>
      <w:r>
        <w:rPr>
          <w:spacing w:val="40"/>
        </w:rPr>
        <w:t> </w:t>
      </w:r>
      <w:r>
        <w:rPr/>
        <w:t>regard</w:t>
      </w:r>
      <w:r>
        <w:rPr>
          <w:spacing w:val="40"/>
        </w:rPr>
        <w:t> </w:t>
      </w:r>
      <w:r>
        <w:rPr/>
        <w:t>promissory</w:t>
      </w:r>
      <w:r>
        <w:rPr>
          <w:spacing w:val="40"/>
        </w:rPr>
        <w:t> </w:t>
      </w:r>
      <w:r>
        <w:rPr/>
        <w:t>estoppel</w:t>
      </w:r>
      <w:r>
        <w:rPr>
          <w:spacing w:val="40"/>
        </w:rPr>
        <w:t> </w:t>
      </w:r>
      <w:r>
        <w:rPr/>
        <w:t>as</w:t>
      </w:r>
      <w:r>
        <w:rPr>
          <w:spacing w:val="40"/>
        </w:rPr>
        <w:t> </w:t>
      </w:r>
      <w:r>
        <w:rPr/>
        <w:t>distinct</w:t>
      </w:r>
      <w:r>
        <w:rPr>
          <w:spacing w:val="40"/>
        </w:rPr>
        <w:t> </w:t>
      </w:r>
      <w:r>
        <w:rPr/>
        <w:t>from</w:t>
      </w:r>
      <w:r>
        <w:rPr>
          <w:spacing w:val="40"/>
        </w:rPr>
        <w:t> </w:t>
      </w:r>
      <w:r>
        <w:rPr/>
        <w:t>proprietary</w:t>
      </w:r>
      <w:r>
        <w:rPr>
          <w:spacing w:val="40"/>
        </w:rPr>
        <w:t> </w:t>
      </w:r>
      <w:r>
        <w:rPr/>
        <w:t>estoppel:</w:t>
      </w:r>
      <w:r>
        <w:rPr>
          <w:spacing w:val="40"/>
        </w:rPr>
        <w:t> </w:t>
      </w:r>
      <w:r>
        <w:rPr/>
        <w:t>see</w:t>
      </w:r>
      <w:r>
        <w:rPr>
          <w:spacing w:val="40"/>
        </w:rPr>
        <w:t> </w:t>
      </w:r>
      <w:r>
        <w:rPr/>
        <w:t>below, para.4-181 at nn.1150, 1151. Proprietary estoppel is likewise distinguished from estoppel </w:t>
      </w:r>
      <w:r>
        <w:rPr/>
        <w:t>by representation in </w:t>
      </w:r>
      <w:r>
        <w:rPr>
          <w:rFonts w:ascii="Arial" w:hAnsi="Arial"/>
          <w:i/>
        </w:rPr>
        <w:t>Newport City Council v Charles [2006] EWCA Civ 1541</w:t>
      </w:r>
      <w:r>
        <w:rPr>
          <w:rFonts w:ascii="Arial" w:hAnsi="Arial"/>
          <w:i/>
          <w:spacing w:val="-1"/>
        </w:rPr>
        <w:t> </w:t>
      </w:r>
      <w:r>
        <w:rPr/>
        <w:t>at [27], though neither of these forms of estoppel there applied: see paras 4-102 above and 4-154 below.</w:t>
      </w:r>
    </w:p>
    <w:p>
      <w:pPr>
        <w:pStyle w:val="BodyText"/>
        <w:spacing w:before="4"/>
      </w:pPr>
    </w:p>
    <w:p>
      <w:pPr>
        <w:pStyle w:val="BodyText"/>
        <w:spacing w:line="235" w:lineRule="auto" w:before="1"/>
        <w:ind w:left="705" w:right="167" w:hanging="541"/>
        <w:jc w:val="both"/>
      </w:pPr>
      <w:bookmarkStart w:name="_bookmark1213" w:id="1215"/>
      <w:bookmarkEnd w:id="1215"/>
      <w:r>
        <w:rPr/>
      </w:r>
      <w:hyperlink w:history="true" w:anchor="_bookmark979">
        <w:r>
          <w:rPr>
            <w:color w:val="005DA1"/>
            <w:position w:val="5"/>
            <w:sz w:val="14"/>
            <w:u w:val="single" w:color="005DA1"/>
          </w:rPr>
          <w:t>581</w:t>
        </w:r>
      </w:hyperlink>
      <w:r>
        <w:rPr>
          <w:position w:val="5"/>
          <w:sz w:val="14"/>
        </w:rPr>
        <w:t>.</w:t>
      </w:r>
      <w:r>
        <w:rPr>
          <w:spacing w:val="40"/>
          <w:position w:val="5"/>
          <w:sz w:val="14"/>
        </w:rPr>
        <w:t>  </w:t>
      </w:r>
      <w:r>
        <w:rPr>
          <w:rFonts w:ascii="Arial" w:hAnsi="Arial"/>
          <w:i/>
        </w:rPr>
        <w:t>Republic</w:t>
      </w:r>
      <w:r>
        <w:rPr>
          <w:rFonts w:ascii="Arial" w:hAnsi="Arial"/>
          <w:i/>
          <w:spacing w:val="40"/>
        </w:rPr>
        <w:t> </w:t>
      </w:r>
      <w:r>
        <w:rPr>
          <w:rFonts w:ascii="Arial" w:hAnsi="Arial"/>
          <w:i/>
        </w:rPr>
        <w:t>of</w:t>
      </w:r>
      <w:r>
        <w:rPr>
          <w:rFonts w:ascii="Arial" w:hAnsi="Arial"/>
          <w:i/>
          <w:spacing w:val="40"/>
        </w:rPr>
        <w:t> </w:t>
      </w:r>
      <w:r>
        <w:rPr>
          <w:rFonts w:ascii="Arial" w:hAnsi="Arial"/>
          <w:i/>
        </w:rPr>
        <w:t>India</w:t>
      </w:r>
      <w:r>
        <w:rPr>
          <w:rFonts w:ascii="Arial" w:hAnsi="Arial"/>
          <w:i/>
          <w:spacing w:val="40"/>
        </w:rPr>
        <w:t> </w:t>
      </w:r>
      <w:r>
        <w:rPr>
          <w:rFonts w:ascii="Arial" w:hAnsi="Arial"/>
          <w:i/>
        </w:rPr>
        <w:t>v</w:t>
      </w:r>
      <w:r>
        <w:rPr>
          <w:rFonts w:ascii="Arial" w:hAnsi="Arial"/>
          <w:i/>
          <w:spacing w:val="40"/>
        </w:rPr>
        <w:t> </w:t>
      </w:r>
      <w:r>
        <w:rPr>
          <w:rFonts w:ascii="Arial" w:hAnsi="Arial"/>
          <w:i/>
        </w:rPr>
        <w:t>India</w:t>
      </w:r>
      <w:r>
        <w:rPr>
          <w:rFonts w:ascii="Arial" w:hAnsi="Arial"/>
          <w:i/>
          <w:spacing w:val="40"/>
        </w:rPr>
        <w:t> </w:t>
      </w:r>
      <w:r>
        <w:rPr>
          <w:rFonts w:ascii="Arial" w:hAnsi="Arial"/>
          <w:i/>
        </w:rPr>
        <w:t>S.S.</w:t>
      </w:r>
      <w:r>
        <w:rPr>
          <w:rFonts w:ascii="Arial" w:hAnsi="Arial"/>
          <w:i/>
          <w:spacing w:val="40"/>
        </w:rPr>
        <w:t> </w:t>
      </w:r>
      <w:r>
        <w:rPr>
          <w:rFonts w:ascii="Arial" w:hAnsi="Arial"/>
          <w:i/>
        </w:rPr>
        <w:t>Co</w:t>
      </w:r>
      <w:r>
        <w:rPr>
          <w:rFonts w:ascii="Arial" w:hAnsi="Arial"/>
          <w:i/>
          <w:spacing w:val="40"/>
        </w:rPr>
        <w:t> </w:t>
      </w:r>
      <w:r>
        <w:rPr>
          <w:rFonts w:ascii="Arial" w:hAnsi="Arial"/>
          <w:i/>
        </w:rPr>
        <w:t>Ltd</w:t>
      </w:r>
      <w:r>
        <w:rPr>
          <w:rFonts w:ascii="Arial" w:hAnsi="Arial"/>
          <w:i/>
          <w:spacing w:val="40"/>
        </w:rPr>
        <w:t> </w:t>
      </w:r>
      <w:r>
        <w:rPr>
          <w:rFonts w:ascii="Arial" w:hAnsi="Arial"/>
          <w:i/>
        </w:rPr>
        <w:t>(The</w:t>
      </w:r>
      <w:r>
        <w:rPr>
          <w:rFonts w:ascii="Arial" w:hAnsi="Arial"/>
          <w:i/>
          <w:spacing w:val="40"/>
        </w:rPr>
        <w:t> </w:t>
      </w:r>
      <w:r>
        <w:rPr>
          <w:rFonts w:ascii="Arial" w:hAnsi="Arial"/>
          <w:i/>
        </w:rPr>
        <w:t>Indian</w:t>
      </w:r>
      <w:r>
        <w:rPr>
          <w:rFonts w:ascii="Arial" w:hAnsi="Arial"/>
          <w:i/>
          <w:spacing w:val="40"/>
        </w:rPr>
        <w:t> </w:t>
      </w:r>
      <w:r>
        <w:rPr>
          <w:rFonts w:ascii="Arial" w:hAnsi="Arial"/>
          <w:i/>
        </w:rPr>
        <w:t>Endurance)</w:t>
      </w:r>
      <w:r>
        <w:rPr>
          <w:rFonts w:ascii="Arial" w:hAnsi="Arial"/>
          <w:i/>
          <w:spacing w:val="40"/>
        </w:rPr>
        <w:t> </w:t>
      </w:r>
      <w:r>
        <w:rPr>
          <w:rFonts w:ascii="Arial" w:hAnsi="Arial"/>
          <w:i/>
        </w:rPr>
        <w:t>(No.2)</w:t>
      </w:r>
      <w:r>
        <w:rPr>
          <w:rFonts w:ascii="Arial" w:hAnsi="Arial"/>
          <w:i/>
          <w:spacing w:val="40"/>
        </w:rPr>
        <w:t> </w:t>
      </w:r>
      <w:r>
        <w:rPr>
          <w:rFonts w:ascii="Arial" w:hAnsi="Arial"/>
          <w:i/>
        </w:rPr>
        <w:t>[1998]</w:t>
      </w:r>
      <w:r>
        <w:rPr>
          <w:rFonts w:ascii="Arial" w:hAnsi="Arial"/>
          <w:i/>
          <w:spacing w:val="40"/>
        </w:rPr>
        <w:t> </w:t>
      </w:r>
      <w:r>
        <w:rPr>
          <w:rFonts w:ascii="Arial" w:hAnsi="Arial"/>
          <w:i/>
        </w:rPr>
        <w:t>A.C.</w:t>
      </w:r>
      <w:r>
        <w:rPr>
          <w:rFonts w:ascii="Arial" w:hAnsi="Arial"/>
          <w:i/>
          <w:spacing w:val="40"/>
        </w:rPr>
        <w:t> </w:t>
      </w:r>
      <w:r>
        <w:rPr>
          <w:rFonts w:ascii="Arial" w:hAnsi="Arial"/>
          <w:i/>
        </w:rPr>
        <w:t>878</w:t>
      </w:r>
      <w:r>
        <w:rPr>
          <w:rFonts w:ascii="Arial" w:hAnsi="Arial"/>
          <w:i/>
          <w:spacing w:val="40"/>
        </w:rPr>
        <w:t> </w:t>
      </w:r>
      <w:r>
        <w:rPr/>
        <w:t>at 913–914, where Lord Steyn distinguished between estoppels by convention and </w:t>
      </w:r>
      <w:r>
        <w:rPr/>
        <w:t>by acquiescence. This distinction was viewed with some scepticism in </w:t>
      </w:r>
      <w:r>
        <w:rPr>
          <w:rFonts w:ascii="Arial" w:hAnsi="Arial"/>
          <w:i/>
        </w:rPr>
        <w:t>ING Bank NV v Ros Roca SA [2011] EWCA Civ 353, [2012] 1 W.L.R. 472 </w:t>
      </w:r>
      <w:r>
        <w:rPr/>
        <w:t>at [59] by Carnwath L.J., who added at [60] that there was a “degree of overlap” between these two kinds of estoppel. This view seems to be based on the passage from </w:t>
      </w:r>
      <w:r>
        <w:rPr>
          <w:rFonts w:ascii="Arial" w:hAnsi="Arial"/>
          <w:i/>
        </w:rPr>
        <w:t>The Indian Endurance </w:t>
      </w:r>
      <w:r>
        <w:rPr/>
        <w:t>referred to earlier in this note. Lord Steyn had there said that an assumption either shared by the parties “or acquiesced in by the other” could give rise to an estoppel by convention and that this kind of estoppel was distinct from “estoppel by acquiescence” which can operate in favour of an “acquirer” of property against the “owner.” In this context, “estoppel by acquiescence” refers to one of the kinds of </w:t>
      </w:r>
      <w:r>
        <w:rPr>
          <w:rFonts w:ascii="Arial" w:hAnsi="Arial"/>
          <w:i/>
        </w:rPr>
        <w:t>proprietary </w:t>
      </w:r>
      <w:r>
        <w:rPr/>
        <w:t>estoppel described in para.4-140 below; and it is the latter kind of estoppel that Lord Steyn distinguishes from estoppel by convention. Rix L.J. in the </w:t>
      </w:r>
      <w:r>
        <w:rPr>
          <w:rFonts w:ascii="Arial" w:hAnsi="Arial"/>
          <w:i/>
        </w:rPr>
        <w:t>ING </w:t>
      </w:r>
      <w:r>
        <w:rPr/>
        <w:t>case, while accepting Carnwath L.J.’s “solution in terms of estoppel by convention”, also considered that the same solution</w:t>
      </w:r>
      <w:r>
        <w:rPr>
          <w:spacing w:val="40"/>
        </w:rPr>
        <w:t> </w:t>
      </w:r>
      <w:r>
        <w:rPr/>
        <w:t>could be based on promissory estoppel “supported by a duty to speak” (at [85]); and apparently regarded the failure to perform </w:t>
      </w:r>
      <w:r>
        <w:rPr>
          <w:rFonts w:ascii="Arial" w:hAnsi="Arial"/>
          <w:i/>
        </w:rPr>
        <w:t>that </w:t>
      </w:r>
      <w:r>
        <w:rPr/>
        <w:t>duty as the necessary “acquiescence” (at [86]). Stanley Burnton L.J. inclined to the view that the case was “not one of promissory estoppel but of estoppel by convention” but thought it “unnecessary to decide this question, which is largely</w:t>
      </w:r>
      <w:r>
        <w:rPr>
          <w:spacing w:val="40"/>
        </w:rPr>
        <w:t> </w:t>
      </w:r>
      <w:r>
        <w:rPr/>
        <w:t>one of terminology” (at [76]). See also </w:t>
      </w:r>
      <w:r>
        <w:rPr>
          <w:rFonts w:ascii="Arial" w:hAnsi="Arial"/>
          <w:i/>
        </w:rPr>
        <w:t>Donegal International Ltd v Zambia [2007] EWHC 197 (Comm), [2007] 1 Lloyd’s Rep. 397</w:t>
      </w:r>
      <w:r>
        <w:rPr/>
        <w:t>, distinguishing between estoppels by convention and by representation and referring with apparent approval to the text above in a previous edition of</w:t>
      </w:r>
      <w:r>
        <w:rPr>
          <w:spacing w:val="40"/>
        </w:rPr>
        <w:t> </w:t>
      </w:r>
      <w:r>
        <w:rPr/>
        <w:t>this book.</w:t>
      </w:r>
    </w:p>
    <w:p>
      <w:pPr>
        <w:pStyle w:val="BodyText"/>
        <w:spacing w:before="1"/>
      </w:pPr>
    </w:p>
    <w:p>
      <w:pPr>
        <w:spacing w:line="235" w:lineRule="auto" w:before="1"/>
        <w:ind w:left="705" w:right="167" w:hanging="541"/>
        <w:jc w:val="both"/>
        <w:rPr>
          <w:sz w:val="20"/>
        </w:rPr>
      </w:pPr>
      <w:bookmarkStart w:name="_bookmark1214" w:id="1216"/>
      <w:bookmarkEnd w:id="1216"/>
      <w:r>
        <w:rPr/>
      </w:r>
      <w:hyperlink w:history="true" w:anchor="_bookmark980">
        <w:r>
          <w:rPr>
            <w:color w:val="005DA1"/>
            <w:position w:val="5"/>
            <w:sz w:val="14"/>
            <w:u w:val="single" w:color="005DA1"/>
          </w:rPr>
          <w:t>582</w:t>
        </w:r>
      </w:hyperlink>
      <w:r>
        <w:rPr>
          <w:position w:val="5"/>
          <w:sz w:val="14"/>
        </w:rPr>
        <w:t>.</w:t>
      </w:r>
      <w:r>
        <w:rPr>
          <w:spacing w:val="80"/>
          <w:position w:val="5"/>
          <w:sz w:val="14"/>
        </w:rPr>
        <w:t>  </w:t>
      </w:r>
      <w:r>
        <w:rPr>
          <w:rFonts w:ascii="Arial" w:hAnsi="Arial"/>
          <w:i/>
          <w:sz w:val="20"/>
        </w:rPr>
        <w:t>Johnson v Gore Wood &amp; Co [2000] 2 A.C. 1 </w:t>
      </w:r>
      <w:r>
        <w:rPr>
          <w:sz w:val="20"/>
        </w:rPr>
        <w:t>at 41. See also </w:t>
      </w:r>
      <w:r>
        <w:rPr>
          <w:rFonts w:ascii="Arial" w:hAnsi="Arial"/>
          <w:i/>
          <w:sz w:val="20"/>
        </w:rPr>
        <w:t>Prime Sight Limited v Lavarello [2013] UKPC 22, [2014] A.C. 436 </w:t>
      </w:r>
      <w:r>
        <w:rPr>
          <w:sz w:val="20"/>
        </w:rPr>
        <w:t>at [30], referring to </w:t>
      </w:r>
      <w:r>
        <w:rPr>
          <w:rFonts w:ascii="Arial" w:hAnsi="Arial"/>
          <w:i/>
          <w:sz w:val="20"/>
        </w:rPr>
        <w:t>Johnson v Gore Wood [2002] 2 A.C. 1 </w:t>
      </w:r>
      <w:r>
        <w:rPr>
          <w:sz w:val="20"/>
        </w:rPr>
        <w:t>at 39–40, where “Lord Goff expressed reservation about attempting to encapsulate the many circumstances capable of giving rise to an estoppel within a single formula, in part because consideration remains a fundamental principle of the law of contract and is not to be reduced</w:t>
      </w:r>
      <w:r>
        <w:rPr>
          <w:spacing w:val="40"/>
          <w:sz w:val="20"/>
        </w:rPr>
        <w:t> </w:t>
      </w:r>
      <w:r>
        <w:rPr>
          <w:sz w:val="20"/>
        </w:rPr>
        <w:t>out of existence by the law of estoppel” (at [30], per Lord Toulson).</w:t>
      </w:r>
    </w:p>
    <w:p>
      <w:pPr>
        <w:pStyle w:val="BodyText"/>
        <w:spacing w:before="3"/>
      </w:pPr>
    </w:p>
    <w:p>
      <w:pPr>
        <w:pStyle w:val="BodyText"/>
        <w:tabs>
          <w:tab w:pos="705" w:val="left" w:leader="none"/>
        </w:tabs>
        <w:spacing w:before="1"/>
        <w:ind w:left="165"/>
      </w:pPr>
      <w:bookmarkStart w:name="_bookmark1215" w:id="1217"/>
      <w:bookmarkEnd w:id="1217"/>
      <w:r>
        <w:rPr/>
      </w:r>
      <w:hyperlink w:history="true" w:anchor="_bookmark981">
        <w:r>
          <w:rPr>
            <w:color w:val="005DA1"/>
            <w:spacing w:val="-4"/>
            <w:position w:val="5"/>
            <w:sz w:val="14"/>
            <w:u w:val="single" w:color="005DA1"/>
          </w:rPr>
          <w:t>583</w:t>
        </w:r>
      </w:hyperlink>
      <w:r>
        <w:rPr>
          <w:spacing w:val="-4"/>
          <w:position w:val="5"/>
          <w:sz w:val="14"/>
        </w:rPr>
        <w:t>.</w:t>
      </w:r>
      <w:r>
        <w:rPr>
          <w:position w:val="5"/>
          <w:sz w:val="14"/>
        </w:rPr>
        <w:tab/>
      </w:r>
      <w:r>
        <w:rPr/>
        <w:t>i.e. estoppel by representation and promissory </w:t>
      </w:r>
      <w:r>
        <w:rPr>
          <w:spacing w:val="-2"/>
        </w:rPr>
        <w:t>estoppel.</w:t>
      </w:r>
    </w:p>
    <w:p>
      <w:pPr>
        <w:pStyle w:val="BodyText"/>
        <w:spacing w:before="4"/>
      </w:pPr>
    </w:p>
    <w:p>
      <w:pPr>
        <w:tabs>
          <w:tab w:pos="705" w:val="left" w:leader="none"/>
        </w:tabs>
        <w:spacing w:line="227" w:lineRule="exact" w:before="1"/>
        <w:ind w:left="165" w:right="0" w:firstLine="0"/>
        <w:jc w:val="left"/>
        <w:rPr>
          <w:sz w:val="20"/>
        </w:rPr>
      </w:pPr>
      <w:bookmarkStart w:name="_bookmark1216" w:id="1218"/>
      <w:bookmarkEnd w:id="1218"/>
      <w:r>
        <w:rPr/>
      </w:r>
      <w:hyperlink w:history="true" w:anchor="_bookmark982">
        <w:r>
          <w:rPr>
            <w:color w:val="005DA1"/>
            <w:spacing w:val="-4"/>
            <w:position w:val="5"/>
            <w:sz w:val="14"/>
            <w:u w:val="single" w:color="005DA1"/>
          </w:rPr>
          <w:t>584</w:t>
        </w:r>
      </w:hyperlink>
      <w:r>
        <w:rPr>
          <w:spacing w:val="-4"/>
          <w:position w:val="5"/>
          <w:sz w:val="14"/>
        </w:rPr>
        <w:t>.</w:t>
      </w:r>
      <w:r>
        <w:rPr>
          <w:position w:val="5"/>
          <w:sz w:val="14"/>
        </w:rPr>
        <w:tab/>
      </w:r>
      <w:r>
        <w:rPr>
          <w:rFonts w:ascii="Arial"/>
          <w:i/>
          <w:sz w:val="20"/>
        </w:rPr>
        <w:t>Jordan</w:t>
      </w:r>
      <w:r>
        <w:rPr>
          <w:rFonts w:ascii="Arial"/>
          <w:i/>
          <w:spacing w:val="7"/>
          <w:sz w:val="20"/>
        </w:rPr>
        <w:t> </w:t>
      </w:r>
      <w:r>
        <w:rPr>
          <w:rFonts w:ascii="Arial"/>
          <w:i/>
          <w:sz w:val="20"/>
        </w:rPr>
        <w:t>v</w:t>
      </w:r>
      <w:r>
        <w:rPr>
          <w:rFonts w:ascii="Arial"/>
          <w:i/>
          <w:spacing w:val="8"/>
          <w:sz w:val="20"/>
        </w:rPr>
        <w:t> </w:t>
      </w:r>
      <w:r>
        <w:rPr>
          <w:rFonts w:ascii="Arial"/>
          <w:i/>
          <w:sz w:val="20"/>
        </w:rPr>
        <w:t>Money</w:t>
      </w:r>
      <w:r>
        <w:rPr>
          <w:rFonts w:ascii="Arial"/>
          <w:i/>
          <w:spacing w:val="8"/>
          <w:sz w:val="20"/>
        </w:rPr>
        <w:t> </w:t>
      </w:r>
      <w:r>
        <w:rPr>
          <w:rFonts w:ascii="Arial"/>
          <w:i/>
          <w:sz w:val="20"/>
        </w:rPr>
        <w:t>(1854)</w:t>
      </w:r>
      <w:r>
        <w:rPr>
          <w:rFonts w:ascii="Arial"/>
          <w:i/>
          <w:spacing w:val="8"/>
          <w:sz w:val="20"/>
        </w:rPr>
        <w:t> </w:t>
      </w:r>
      <w:r>
        <w:rPr>
          <w:rFonts w:ascii="Arial"/>
          <w:i/>
          <w:sz w:val="20"/>
        </w:rPr>
        <w:t>5</w:t>
      </w:r>
      <w:r>
        <w:rPr>
          <w:rFonts w:ascii="Arial"/>
          <w:i/>
          <w:spacing w:val="8"/>
          <w:sz w:val="20"/>
        </w:rPr>
        <w:t> </w:t>
      </w:r>
      <w:r>
        <w:rPr>
          <w:rFonts w:ascii="Arial"/>
          <w:i/>
          <w:sz w:val="20"/>
        </w:rPr>
        <w:t>H.L.C.</w:t>
      </w:r>
      <w:r>
        <w:rPr>
          <w:rFonts w:ascii="Arial"/>
          <w:i/>
          <w:spacing w:val="8"/>
          <w:sz w:val="20"/>
        </w:rPr>
        <w:t> </w:t>
      </w:r>
      <w:r>
        <w:rPr>
          <w:rFonts w:ascii="Arial"/>
          <w:i/>
          <w:sz w:val="20"/>
        </w:rPr>
        <w:t>195</w:t>
      </w:r>
      <w:r>
        <w:rPr>
          <w:sz w:val="20"/>
        </w:rPr>
        <w:t>,</w:t>
      </w:r>
      <w:r>
        <w:rPr>
          <w:spacing w:val="8"/>
          <w:sz w:val="20"/>
        </w:rPr>
        <w:t> </w:t>
      </w:r>
      <w:r>
        <w:rPr>
          <w:sz w:val="20"/>
        </w:rPr>
        <w:t>criticised</w:t>
      </w:r>
      <w:r>
        <w:rPr>
          <w:spacing w:val="8"/>
          <w:sz w:val="20"/>
        </w:rPr>
        <w:t> </w:t>
      </w:r>
      <w:r>
        <w:rPr>
          <w:sz w:val="20"/>
        </w:rPr>
        <w:t>by</w:t>
      </w:r>
      <w:r>
        <w:rPr>
          <w:spacing w:val="8"/>
          <w:sz w:val="20"/>
        </w:rPr>
        <w:t> </w:t>
      </w:r>
      <w:r>
        <w:rPr>
          <w:sz w:val="20"/>
        </w:rPr>
        <w:t>Jackson</w:t>
      </w:r>
      <w:r>
        <w:rPr>
          <w:spacing w:val="8"/>
          <w:sz w:val="20"/>
        </w:rPr>
        <w:t> </w:t>
      </w:r>
      <w:r>
        <w:rPr>
          <w:sz w:val="20"/>
        </w:rPr>
        <w:t>(1965)</w:t>
      </w:r>
      <w:r>
        <w:rPr>
          <w:spacing w:val="8"/>
          <w:sz w:val="20"/>
        </w:rPr>
        <w:t> </w:t>
      </w:r>
      <w:r>
        <w:rPr>
          <w:sz w:val="20"/>
        </w:rPr>
        <w:t>81</w:t>
      </w:r>
      <w:r>
        <w:rPr>
          <w:spacing w:val="8"/>
          <w:sz w:val="20"/>
        </w:rPr>
        <w:t> </w:t>
      </w:r>
      <w:r>
        <w:rPr>
          <w:sz w:val="20"/>
        </w:rPr>
        <w:t>L.Q.R.</w:t>
      </w:r>
      <w:r>
        <w:rPr>
          <w:spacing w:val="8"/>
          <w:sz w:val="20"/>
        </w:rPr>
        <w:t> </w:t>
      </w:r>
      <w:r>
        <w:rPr>
          <w:sz w:val="20"/>
        </w:rPr>
        <w:t>84;</w:t>
      </w:r>
      <w:r>
        <w:rPr>
          <w:spacing w:val="8"/>
          <w:sz w:val="20"/>
        </w:rPr>
        <w:t> </w:t>
      </w:r>
      <w:r>
        <w:rPr>
          <w:sz w:val="20"/>
        </w:rPr>
        <w:t>cf.</w:t>
      </w:r>
      <w:r>
        <w:rPr>
          <w:spacing w:val="8"/>
          <w:sz w:val="20"/>
        </w:rPr>
        <w:t> </w:t>
      </w:r>
      <w:r>
        <w:rPr>
          <w:sz w:val="20"/>
        </w:rPr>
        <w:t>Halliwell,</w:t>
      </w:r>
      <w:r>
        <w:rPr>
          <w:spacing w:val="8"/>
          <w:sz w:val="20"/>
        </w:rPr>
        <w:t> </w:t>
      </w:r>
      <w:r>
        <w:rPr>
          <w:spacing w:val="-10"/>
          <w:sz w:val="20"/>
        </w:rPr>
        <w:t>5</w:t>
      </w:r>
    </w:p>
    <w:p>
      <w:pPr>
        <w:pStyle w:val="BodyText"/>
        <w:spacing w:line="235" w:lineRule="auto" w:before="1"/>
        <w:ind w:left="705"/>
      </w:pPr>
      <w:r>
        <w:rPr/>
        <w:t>L.S.</w:t>
      </w:r>
      <w:r>
        <w:rPr>
          <w:spacing w:val="21"/>
        </w:rPr>
        <w:t> </w:t>
      </w:r>
      <w:r>
        <w:rPr/>
        <w:t>15.</w:t>
      </w:r>
      <w:r>
        <w:rPr>
          <w:spacing w:val="21"/>
        </w:rPr>
        <w:t> </w:t>
      </w:r>
      <w:r>
        <w:rPr/>
        <w:t>Atiyah</w:t>
      </w:r>
      <w:r>
        <w:rPr>
          <w:spacing w:val="21"/>
        </w:rPr>
        <w:t> </w:t>
      </w:r>
      <w:r>
        <w:rPr/>
        <w:t>(op.</w:t>
      </w:r>
      <w:r>
        <w:rPr>
          <w:spacing w:val="21"/>
        </w:rPr>
        <w:t> </w:t>
      </w:r>
      <w:r>
        <w:rPr/>
        <w:t>cit.,</w:t>
      </w:r>
      <w:r>
        <w:rPr>
          <w:spacing w:val="21"/>
        </w:rPr>
        <w:t> </w:t>
      </w:r>
      <w:r>
        <w:rPr/>
        <w:t>above,</w:t>
      </w:r>
      <w:r>
        <w:rPr>
          <w:spacing w:val="21"/>
        </w:rPr>
        <w:t> </w:t>
      </w:r>
      <w:r>
        <w:rPr/>
        <w:t>para.4-007,</w:t>
      </w:r>
      <w:r>
        <w:rPr>
          <w:spacing w:val="21"/>
        </w:rPr>
        <w:t> </w:t>
      </w:r>
      <w:r>
        <w:rPr/>
        <w:t>n.30,</w:t>
      </w:r>
      <w:r>
        <w:rPr>
          <w:spacing w:val="21"/>
        </w:rPr>
        <w:t> </w:t>
      </w:r>
      <w:r>
        <w:rPr/>
        <w:t>pp.53–57)</w:t>
      </w:r>
      <w:r>
        <w:rPr>
          <w:spacing w:val="21"/>
        </w:rPr>
        <w:t> </w:t>
      </w:r>
      <w:r>
        <w:rPr/>
        <w:t>suggests</w:t>
      </w:r>
      <w:r>
        <w:rPr>
          <w:spacing w:val="21"/>
        </w:rPr>
        <w:t> </w:t>
      </w:r>
      <w:r>
        <w:rPr/>
        <w:t>that</w:t>
      </w:r>
      <w:r>
        <w:rPr>
          <w:spacing w:val="21"/>
        </w:rPr>
        <w:t> </w:t>
      </w:r>
      <w:r>
        <w:rPr/>
        <w:t>the</w:t>
      </w:r>
      <w:r>
        <w:rPr>
          <w:spacing w:val="21"/>
        </w:rPr>
        <w:t> </w:t>
      </w:r>
      <w:r>
        <w:rPr/>
        <w:t>case</w:t>
      </w:r>
      <w:r>
        <w:rPr>
          <w:spacing w:val="21"/>
        </w:rPr>
        <w:t> </w:t>
      </w:r>
      <w:r>
        <w:rPr/>
        <w:t>does</w:t>
      </w:r>
      <w:r>
        <w:rPr>
          <w:spacing w:val="21"/>
        </w:rPr>
        <w:t> </w:t>
      </w:r>
      <w:r>
        <w:rPr/>
        <w:t>not support</w:t>
      </w:r>
      <w:r>
        <w:rPr>
          <w:spacing w:val="25"/>
        </w:rPr>
        <w:t> </w:t>
      </w:r>
      <w:r>
        <w:rPr/>
        <w:t>the</w:t>
      </w:r>
      <w:r>
        <w:rPr>
          <w:spacing w:val="25"/>
        </w:rPr>
        <w:t> </w:t>
      </w:r>
      <w:r>
        <w:rPr/>
        <w:t>proposition</w:t>
      </w:r>
      <w:r>
        <w:rPr>
          <w:spacing w:val="25"/>
        </w:rPr>
        <w:t> </w:t>
      </w:r>
      <w:r>
        <w:rPr/>
        <w:t>for</w:t>
      </w:r>
      <w:r>
        <w:rPr>
          <w:spacing w:val="25"/>
        </w:rPr>
        <w:t> </w:t>
      </w:r>
      <w:r>
        <w:rPr/>
        <w:t>which</w:t>
      </w:r>
      <w:r>
        <w:rPr>
          <w:spacing w:val="25"/>
        </w:rPr>
        <w:t> </w:t>
      </w:r>
      <w:r>
        <w:rPr/>
        <w:t>it</w:t>
      </w:r>
      <w:r>
        <w:rPr>
          <w:spacing w:val="25"/>
        </w:rPr>
        <w:t> </w:t>
      </w:r>
      <w:r>
        <w:rPr/>
        <w:t>is</w:t>
      </w:r>
      <w:r>
        <w:rPr>
          <w:spacing w:val="25"/>
        </w:rPr>
        <w:t> </w:t>
      </w:r>
      <w:r>
        <w:rPr/>
        <w:t>usually</w:t>
      </w:r>
      <w:r>
        <w:rPr>
          <w:spacing w:val="25"/>
        </w:rPr>
        <w:t> </w:t>
      </w:r>
      <w:r>
        <w:rPr/>
        <w:t>cited,</w:t>
      </w:r>
      <w:r>
        <w:rPr>
          <w:spacing w:val="25"/>
        </w:rPr>
        <w:t> </w:t>
      </w:r>
      <w:r>
        <w:rPr/>
        <w:t>but</w:t>
      </w:r>
      <w:r>
        <w:rPr>
          <w:spacing w:val="25"/>
        </w:rPr>
        <w:t> </w:t>
      </w:r>
      <w:r>
        <w:rPr/>
        <w:t>that</w:t>
      </w:r>
      <w:r>
        <w:rPr>
          <w:spacing w:val="25"/>
        </w:rPr>
        <w:t> </w:t>
      </w:r>
      <w:r>
        <w:rPr/>
        <w:t>there</w:t>
      </w:r>
      <w:r>
        <w:rPr>
          <w:spacing w:val="24"/>
        </w:rPr>
        <w:t> </w:t>
      </w:r>
      <w:r>
        <w:rPr>
          <w:rFonts w:ascii="Arial" w:hAnsi="Arial"/>
          <w:i/>
        </w:rPr>
        <w:t>was</w:t>
      </w:r>
      <w:r>
        <w:rPr>
          <w:rFonts w:ascii="Arial" w:hAnsi="Arial"/>
          <w:i/>
          <w:spacing w:val="25"/>
        </w:rPr>
        <w:t> </w:t>
      </w:r>
      <w:r>
        <w:rPr/>
        <w:t>a</w:t>
      </w:r>
      <w:r>
        <w:rPr>
          <w:spacing w:val="25"/>
        </w:rPr>
        <w:t> </w:t>
      </w:r>
      <w:r>
        <w:rPr/>
        <w:t>contract,</w:t>
      </w:r>
      <w:r>
        <w:rPr>
          <w:spacing w:val="25"/>
        </w:rPr>
        <w:t> </w:t>
      </w:r>
      <w:r>
        <w:rPr/>
        <w:t>which</w:t>
      </w:r>
      <w:r>
        <w:rPr>
          <w:spacing w:val="25"/>
        </w:rPr>
        <w:t> </w:t>
      </w:r>
      <w:r>
        <w:rPr>
          <w:spacing w:val="-5"/>
        </w:rPr>
        <w:t>wa</w:t>
      </w:r>
      <w:r>
        <w:rPr>
          <w:spacing w:val="-5"/>
        </w:rPr>
        <w:t>s</w:t>
      </w:r>
    </w:p>
    <w:p>
      <w:pPr>
        <w:pStyle w:val="BodyText"/>
        <w:spacing w:after="0" w:line="235" w:lineRule="auto"/>
        <w:sectPr>
          <w:pgSz w:w="11900" w:h="16840"/>
          <w:pgMar w:header="971" w:footer="0" w:top="1160" w:bottom="280" w:left="1275" w:right="1275"/>
        </w:sectPr>
      </w:pPr>
    </w:p>
    <w:p>
      <w:pPr>
        <w:pStyle w:val="BodyText"/>
        <w:spacing w:before="24"/>
      </w:pPr>
    </w:p>
    <w:p>
      <w:pPr>
        <w:spacing w:line="235" w:lineRule="auto" w:before="1"/>
        <w:ind w:left="705" w:right="167" w:firstLine="0"/>
        <w:jc w:val="both"/>
        <w:rPr>
          <w:rFonts w:ascii="Arial" w:hAnsi="Arial"/>
          <w:i/>
          <w:sz w:val="20"/>
        </w:rPr>
      </w:pPr>
      <w:r>
        <w:rPr>
          <w:sz w:val="20"/>
        </w:rPr>
        <w:t>unenforceable for want of written evidence. But the claimant alleged no such contract: as </w:t>
      </w:r>
      <w:r>
        <w:rPr>
          <w:sz w:val="20"/>
        </w:rPr>
        <w:t>Lord Cranworth said at p.215, “it is put entirely on the ground of misrepresentation.” The orthodox view is also supported by Lord Selborne (who was counsel in </w:t>
      </w:r>
      <w:r>
        <w:rPr>
          <w:rFonts w:ascii="Arial" w:hAnsi="Arial"/>
          <w:i/>
          <w:sz w:val="20"/>
        </w:rPr>
        <w:t>Jordan v Money</w:t>
      </w:r>
      <w:r>
        <w:rPr>
          <w:sz w:val="20"/>
        </w:rPr>
        <w:t>) in his speech in </w:t>
      </w:r>
      <w:r>
        <w:rPr>
          <w:rFonts w:ascii="Arial" w:hAnsi="Arial"/>
          <w:i/>
          <w:sz w:val="20"/>
        </w:rPr>
        <w:t>Maddison v Alderson (1883) 8 App. Cas. 467, 473</w:t>
      </w:r>
      <w:r>
        <w:rPr>
          <w:sz w:val="20"/>
        </w:rPr>
        <w:t>. For recent statements of the rule that estoppel can be based only on a representation of existing fact, see </w:t>
      </w:r>
      <w:r>
        <w:rPr>
          <w:rFonts w:ascii="Arial" w:hAnsi="Arial"/>
          <w:i/>
          <w:sz w:val="20"/>
        </w:rPr>
        <w:t>Argy Trading Development Co Ltd v Lapid Developments Ltd [1977] 1 Lloyd’s Rep. 67, 76</w:t>
      </w:r>
      <w:r>
        <w:rPr>
          <w:sz w:val="20"/>
        </w:rPr>
        <w:t>; </w:t>
      </w:r>
      <w:r>
        <w:rPr>
          <w:rFonts w:ascii="Arial" w:hAnsi="Arial"/>
          <w:i/>
          <w:sz w:val="20"/>
        </w:rPr>
        <w:t>China-Pacific SA v The Food Corp.</w:t>
      </w:r>
      <w:r>
        <w:rPr>
          <w:rFonts w:ascii="Arial" w:hAnsi="Arial"/>
          <w:i/>
          <w:spacing w:val="11"/>
          <w:sz w:val="20"/>
        </w:rPr>
        <w:t> </w:t>
      </w:r>
      <w:r>
        <w:rPr>
          <w:rFonts w:ascii="Arial" w:hAnsi="Arial"/>
          <w:i/>
          <w:sz w:val="20"/>
        </w:rPr>
        <w:t>of</w:t>
      </w:r>
      <w:r>
        <w:rPr>
          <w:rFonts w:ascii="Arial" w:hAnsi="Arial"/>
          <w:i/>
          <w:spacing w:val="11"/>
          <w:sz w:val="20"/>
        </w:rPr>
        <w:t> </w:t>
      </w:r>
      <w:r>
        <w:rPr>
          <w:rFonts w:ascii="Arial" w:hAnsi="Arial"/>
          <w:i/>
          <w:sz w:val="20"/>
        </w:rPr>
        <w:t>India</w:t>
      </w:r>
      <w:r>
        <w:rPr>
          <w:rFonts w:ascii="Arial" w:hAnsi="Arial"/>
          <w:i/>
          <w:spacing w:val="11"/>
          <w:sz w:val="20"/>
        </w:rPr>
        <w:t> </w:t>
      </w:r>
      <w:r>
        <w:rPr>
          <w:rFonts w:ascii="Arial" w:hAnsi="Arial"/>
          <w:i/>
          <w:sz w:val="20"/>
        </w:rPr>
        <w:t>(The</w:t>
      </w:r>
      <w:r>
        <w:rPr>
          <w:rFonts w:ascii="Arial" w:hAnsi="Arial"/>
          <w:i/>
          <w:spacing w:val="11"/>
          <w:sz w:val="20"/>
        </w:rPr>
        <w:t> </w:t>
      </w:r>
      <w:r>
        <w:rPr>
          <w:rFonts w:ascii="Arial" w:hAnsi="Arial"/>
          <w:i/>
          <w:sz w:val="20"/>
        </w:rPr>
        <w:t>Winson)</w:t>
      </w:r>
      <w:r>
        <w:rPr>
          <w:rFonts w:ascii="Arial" w:hAnsi="Arial"/>
          <w:i/>
          <w:spacing w:val="11"/>
          <w:sz w:val="20"/>
        </w:rPr>
        <w:t> </w:t>
      </w:r>
      <w:r>
        <w:rPr>
          <w:rFonts w:ascii="Arial" w:hAnsi="Arial"/>
          <w:i/>
          <w:sz w:val="20"/>
        </w:rPr>
        <w:t>[1980]</w:t>
      </w:r>
      <w:r>
        <w:rPr>
          <w:rFonts w:ascii="Arial" w:hAnsi="Arial"/>
          <w:i/>
          <w:spacing w:val="11"/>
          <w:sz w:val="20"/>
        </w:rPr>
        <w:t> </w:t>
      </w:r>
      <w:r>
        <w:rPr>
          <w:rFonts w:ascii="Arial" w:hAnsi="Arial"/>
          <w:i/>
          <w:sz w:val="20"/>
        </w:rPr>
        <w:t>2</w:t>
      </w:r>
      <w:r>
        <w:rPr>
          <w:rFonts w:ascii="Arial" w:hAnsi="Arial"/>
          <w:i/>
          <w:spacing w:val="11"/>
          <w:sz w:val="20"/>
        </w:rPr>
        <w:t> </w:t>
      </w:r>
      <w:r>
        <w:rPr>
          <w:rFonts w:ascii="Arial" w:hAnsi="Arial"/>
          <w:i/>
          <w:sz w:val="20"/>
        </w:rPr>
        <w:t>Lloyd’s</w:t>
      </w:r>
      <w:r>
        <w:rPr>
          <w:rFonts w:ascii="Arial" w:hAnsi="Arial"/>
          <w:i/>
          <w:spacing w:val="11"/>
          <w:sz w:val="20"/>
        </w:rPr>
        <w:t> </w:t>
      </w:r>
      <w:r>
        <w:rPr>
          <w:rFonts w:ascii="Arial" w:hAnsi="Arial"/>
          <w:i/>
          <w:sz w:val="20"/>
        </w:rPr>
        <w:t>Rep.</w:t>
      </w:r>
      <w:r>
        <w:rPr>
          <w:rFonts w:ascii="Arial" w:hAnsi="Arial"/>
          <w:i/>
          <w:spacing w:val="11"/>
          <w:sz w:val="20"/>
        </w:rPr>
        <w:t> </w:t>
      </w:r>
      <w:r>
        <w:rPr>
          <w:rFonts w:ascii="Arial" w:hAnsi="Arial"/>
          <w:i/>
          <w:sz w:val="20"/>
        </w:rPr>
        <w:t>213,</w:t>
      </w:r>
      <w:r>
        <w:rPr>
          <w:rFonts w:ascii="Arial" w:hAnsi="Arial"/>
          <w:i/>
          <w:spacing w:val="11"/>
          <w:sz w:val="20"/>
        </w:rPr>
        <w:t> </w:t>
      </w:r>
      <w:r>
        <w:rPr>
          <w:rFonts w:ascii="Arial" w:hAnsi="Arial"/>
          <w:i/>
          <w:sz w:val="20"/>
        </w:rPr>
        <w:t>222</w:t>
      </w:r>
      <w:r>
        <w:rPr>
          <w:rFonts w:ascii="Arial" w:hAnsi="Arial"/>
          <w:i/>
          <w:spacing w:val="10"/>
          <w:sz w:val="20"/>
        </w:rPr>
        <w:t> </w:t>
      </w:r>
      <w:r>
        <w:rPr>
          <w:sz w:val="20"/>
        </w:rPr>
        <w:t>(reversed</w:t>
      </w:r>
      <w:r>
        <w:rPr>
          <w:spacing w:val="11"/>
          <w:sz w:val="20"/>
        </w:rPr>
        <w:t> </w:t>
      </w:r>
      <w:r>
        <w:rPr>
          <w:sz w:val="20"/>
        </w:rPr>
        <w:t>on</w:t>
      </w:r>
      <w:r>
        <w:rPr>
          <w:spacing w:val="11"/>
          <w:sz w:val="20"/>
        </w:rPr>
        <w:t> </w:t>
      </w:r>
      <w:r>
        <w:rPr>
          <w:sz w:val="20"/>
        </w:rPr>
        <w:t>other</w:t>
      </w:r>
      <w:r>
        <w:rPr>
          <w:spacing w:val="11"/>
          <w:sz w:val="20"/>
        </w:rPr>
        <w:t> </w:t>
      </w:r>
      <w:r>
        <w:rPr>
          <w:sz w:val="20"/>
        </w:rPr>
        <w:t>grounds</w:t>
      </w:r>
      <w:r>
        <w:rPr>
          <w:spacing w:val="10"/>
          <w:sz w:val="20"/>
        </w:rPr>
        <w:t> </w:t>
      </w:r>
      <w:r>
        <w:rPr>
          <w:rFonts w:ascii="Arial" w:hAnsi="Arial"/>
          <w:i/>
          <w:spacing w:val="-2"/>
          <w:sz w:val="20"/>
        </w:rPr>
        <w:t>[1982]</w:t>
      </w:r>
    </w:p>
    <w:p>
      <w:pPr>
        <w:spacing w:line="221" w:lineRule="exact" w:before="0"/>
        <w:ind w:left="705" w:right="0" w:firstLine="0"/>
        <w:jc w:val="left"/>
        <w:rPr>
          <w:rFonts w:ascii="Arial"/>
          <w:i/>
          <w:sz w:val="20"/>
        </w:rPr>
      </w:pPr>
      <w:r>
        <w:rPr>
          <w:rFonts w:ascii="Arial"/>
          <w:i/>
          <w:sz w:val="20"/>
        </w:rPr>
        <w:t>A.C.</w:t>
      </w:r>
      <w:r>
        <w:rPr>
          <w:rFonts w:ascii="Arial"/>
          <w:i/>
          <w:spacing w:val="35"/>
          <w:sz w:val="20"/>
        </w:rPr>
        <w:t> </w:t>
      </w:r>
      <w:r>
        <w:rPr>
          <w:rFonts w:ascii="Arial"/>
          <w:i/>
          <w:sz w:val="20"/>
        </w:rPr>
        <w:t>939</w:t>
      </w:r>
      <w:r>
        <w:rPr>
          <w:sz w:val="20"/>
        </w:rPr>
        <w:t>);</w:t>
      </w:r>
      <w:r>
        <w:rPr>
          <w:spacing w:val="36"/>
          <w:sz w:val="20"/>
        </w:rPr>
        <w:t> </w:t>
      </w:r>
      <w:r>
        <w:rPr>
          <w:rFonts w:ascii="Arial"/>
          <w:i/>
          <w:sz w:val="20"/>
        </w:rPr>
        <w:t>Spence</w:t>
      </w:r>
      <w:r>
        <w:rPr>
          <w:rFonts w:ascii="Arial"/>
          <w:i/>
          <w:spacing w:val="36"/>
          <w:sz w:val="20"/>
        </w:rPr>
        <w:t> </w:t>
      </w:r>
      <w:r>
        <w:rPr>
          <w:rFonts w:ascii="Arial"/>
          <w:i/>
          <w:sz w:val="20"/>
        </w:rPr>
        <w:t>v</w:t>
      </w:r>
      <w:r>
        <w:rPr>
          <w:rFonts w:ascii="Arial"/>
          <w:i/>
          <w:spacing w:val="36"/>
          <w:sz w:val="20"/>
        </w:rPr>
        <w:t> </w:t>
      </w:r>
      <w:r>
        <w:rPr>
          <w:rFonts w:ascii="Arial"/>
          <w:i/>
          <w:sz w:val="20"/>
        </w:rPr>
        <w:t>Shell</w:t>
      </w:r>
      <w:r>
        <w:rPr>
          <w:rFonts w:ascii="Arial"/>
          <w:i/>
          <w:spacing w:val="36"/>
          <w:sz w:val="20"/>
        </w:rPr>
        <w:t> </w:t>
      </w:r>
      <w:r>
        <w:rPr>
          <w:rFonts w:ascii="Arial"/>
          <w:i/>
          <w:sz w:val="20"/>
        </w:rPr>
        <w:t>(1980)</w:t>
      </w:r>
      <w:r>
        <w:rPr>
          <w:rFonts w:ascii="Arial"/>
          <w:i/>
          <w:spacing w:val="36"/>
          <w:sz w:val="20"/>
        </w:rPr>
        <w:t> </w:t>
      </w:r>
      <w:r>
        <w:rPr>
          <w:rFonts w:ascii="Arial"/>
          <w:i/>
          <w:sz w:val="20"/>
        </w:rPr>
        <w:t>256</w:t>
      </w:r>
      <w:r>
        <w:rPr>
          <w:rFonts w:ascii="Arial"/>
          <w:i/>
          <w:spacing w:val="36"/>
          <w:sz w:val="20"/>
        </w:rPr>
        <w:t> </w:t>
      </w:r>
      <w:r>
        <w:rPr>
          <w:rFonts w:ascii="Arial"/>
          <w:i/>
          <w:sz w:val="20"/>
        </w:rPr>
        <w:t>E.G.</w:t>
      </w:r>
      <w:r>
        <w:rPr>
          <w:rFonts w:ascii="Arial"/>
          <w:i/>
          <w:spacing w:val="36"/>
          <w:sz w:val="20"/>
        </w:rPr>
        <w:t> </w:t>
      </w:r>
      <w:r>
        <w:rPr>
          <w:rFonts w:ascii="Arial"/>
          <w:i/>
          <w:sz w:val="20"/>
        </w:rPr>
        <w:t>55,</w:t>
      </w:r>
      <w:r>
        <w:rPr>
          <w:rFonts w:ascii="Arial"/>
          <w:i/>
          <w:spacing w:val="35"/>
          <w:sz w:val="20"/>
        </w:rPr>
        <w:t> </w:t>
      </w:r>
      <w:r>
        <w:rPr>
          <w:rFonts w:ascii="Arial"/>
          <w:i/>
          <w:sz w:val="20"/>
        </w:rPr>
        <w:t>63</w:t>
      </w:r>
      <w:r>
        <w:rPr>
          <w:sz w:val="20"/>
        </w:rPr>
        <w:t>;</w:t>
      </w:r>
      <w:r>
        <w:rPr>
          <w:spacing w:val="36"/>
          <w:sz w:val="20"/>
        </w:rPr>
        <w:t> </w:t>
      </w:r>
      <w:r>
        <w:rPr>
          <w:rFonts w:ascii="Arial"/>
          <w:i/>
          <w:sz w:val="20"/>
        </w:rPr>
        <w:t>T.C.B.</w:t>
      </w:r>
      <w:r>
        <w:rPr>
          <w:rFonts w:ascii="Arial"/>
          <w:i/>
          <w:spacing w:val="36"/>
          <w:sz w:val="20"/>
        </w:rPr>
        <w:t> </w:t>
      </w:r>
      <w:r>
        <w:rPr>
          <w:rFonts w:ascii="Arial"/>
          <w:i/>
          <w:sz w:val="20"/>
        </w:rPr>
        <w:t>Ltd</w:t>
      </w:r>
      <w:r>
        <w:rPr>
          <w:rFonts w:ascii="Arial"/>
          <w:i/>
          <w:spacing w:val="36"/>
          <w:sz w:val="20"/>
        </w:rPr>
        <w:t> </w:t>
      </w:r>
      <w:r>
        <w:rPr>
          <w:rFonts w:ascii="Arial"/>
          <w:i/>
          <w:sz w:val="20"/>
        </w:rPr>
        <w:t>v</w:t>
      </w:r>
      <w:r>
        <w:rPr>
          <w:rFonts w:ascii="Arial"/>
          <w:i/>
          <w:spacing w:val="36"/>
          <w:sz w:val="20"/>
        </w:rPr>
        <w:t> </w:t>
      </w:r>
      <w:r>
        <w:rPr>
          <w:rFonts w:ascii="Arial"/>
          <w:i/>
          <w:sz w:val="20"/>
        </w:rPr>
        <w:t>Gray</w:t>
      </w:r>
      <w:r>
        <w:rPr>
          <w:rFonts w:ascii="Arial"/>
          <w:i/>
          <w:spacing w:val="36"/>
          <w:sz w:val="20"/>
        </w:rPr>
        <w:t> </w:t>
      </w:r>
      <w:r>
        <w:rPr>
          <w:rFonts w:ascii="Arial"/>
          <w:i/>
          <w:sz w:val="20"/>
        </w:rPr>
        <w:t>[1986]</w:t>
      </w:r>
      <w:r>
        <w:rPr>
          <w:rFonts w:ascii="Arial"/>
          <w:i/>
          <w:spacing w:val="36"/>
          <w:sz w:val="20"/>
        </w:rPr>
        <w:t> </w:t>
      </w:r>
      <w:r>
        <w:rPr>
          <w:rFonts w:ascii="Arial"/>
          <w:i/>
          <w:sz w:val="20"/>
        </w:rPr>
        <w:t>Ch.</w:t>
      </w:r>
      <w:r>
        <w:rPr>
          <w:rFonts w:ascii="Arial"/>
          <w:i/>
          <w:spacing w:val="36"/>
          <w:sz w:val="20"/>
        </w:rPr>
        <w:t> </w:t>
      </w:r>
      <w:r>
        <w:rPr>
          <w:rFonts w:ascii="Arial"/>
          <w:i/>
          <w:sz w:val="20"/>
        </w:rPr>
        <w:t>621,</w:t>
      </w:r>
      <w:r>
        <w:rPr>
          <w:rFonts w:ascii="Arial"/>
          <w:i/>
          <w:spacing w:val="36"/>
          <w:sz w:val="20"/>
        </w:rPr>
        <w:t> </w:t>
      </w:r>
      <w:r>
        <w:rPr>
          <w:rFonts w:ascii="Arial"/>
          <w:i/>
          <w:spacing w:val="-5"/>
          <w:sz w:val="20"/>
        </w:rPr>
        <w:t>634</w:t>
      </w:r>
    </w:p>
    <w:p>
      <w:pPr>
        <w:pStyle w:val="BodyText"/>
        <w:spacing w:line="235" w:lineRule="auto" w:before="1"/>
        <w:ind w:left="705" w:right="167"/>
        <w:jc w:val="both"/>
      </w:pPr>
      <w:r>
        <w:rPr/>
        <w:t>(affirmed </w:t>
      </w:r>
      <w:r>
        <w:rPr>
          <w:rFonts w:ascii="Arial" w:hAnsi="Arial"/>
          <w:i/>
        </w:rPr>
        <w:t>[1987] Ch. 458</w:t>
      </w:r>
      <w:r>
        <w:rPr/>
        <w:t>); </w:t>
      </w:r>
      <w:r>
        <w:rPr>
          <w:rFonts w:ascii="Arial" w:hAnsi="Arial"/>
          <w:i/>
        </w:rPr>
        <w:t>Roebuck v Mungovin [1994] 2 A.C. 224, 235</w:t>
      </w:r>
      <w:r>
        <w:rPr/>
        <w:t>; cf. </w:t>
      </w:r>
      <w:r>
        <w:rPr>
          <w:rFonts w:ascii="Arial" w:hAnsi="Arial"/>
          <w:i/>
        </w:rPr>
        <w:t>Janred Properties v Ente Nazionale per il Turismo [1987] F.L.R. 179 </w:t>
      </w:r>
      <w:r>
        <w:rPr/>
        <w:t>(implied representation that approval </w:t>
      </w:r>
      <w:r>
        <w:rPr>
          <w:rFonts w:ascii="Arial" w:hAnsi="Arial"/>
          <w:i/>
        </w:rPr>
        <w:t>had </w:t>
      </w:r>
      <w:r>
        <w:rPr/>
        <w:t>been given). So-called “estoppel by convention” is similarly based on a common assumption of </w:t>
      </w:r>
      <w:r>
        <w:rPr>
          <w:rFonts w:ascii="Arial" w:hAnsi="Arial"/>
          <w:i/>
        </w:rPr>
        <w:t>fact</w:t>
      </w:r>
      <w:r>
        <w:rPr>
          <w:rFonts w:ascii="Arial" w:hAnsi="Arial"/>
          <w:i/>
          <w:spacing w:val="40"/>
        </w:rPr>
        <w:t> </w:t>
      </w:r>
      <w:r>
        <w:rPr/>
        <w:t>or (at least to some extent) on one of “law”: see below, para.4-111. In </w:t>
      </w:r>
      <w:r>
        <w:rPr>
          <w:rFonts w:ascii="Arial" w:hAnsi="Arial"/>
          <w:i/>
        </w:rPr>
        <w:t>Robertson v Minister of Pensions [1949] 1 K.B. 227</w:t>
      </w:r>
      <w:r>
        <w:rPr/>
        <w:t>, the equitable doctrine was mentioned though the representation was</w:t>
      </w:r>
      <w:r>
        <w:rPr>
          <w:spacing w:val="-3"/>
        </w:rPr>
        <w:t> </w:t>
      </w:r>
      <w:r>
        <w:rPr/>
        <w:t>a</w:t>
      </w:r>
      <w:r>
        <w:rPr>
          <w:spacing w:val="-3"/>
        </w:rPr>
        <w:t> </w:t>
      </w:r>
      <w:r>
        <w:rPr/>
        <w:t>statement</w:t>
      </w:r>
      <w:r>
        <w:rPr>
          <w:spacing w:val="-3"/>
        </w:rPr>
        <w:t> </w:t>
      </w:r>
      <w:r>
        <w:rPr/>
        <w:t>of</w:t>
      </w:r>
      <w:r>
        <w:rPr>
          <w:spacing w:val="-3"/>
        </w:rPr>
        <w:t> </w:t>
      </w:r>
      <w:r>
        <w:rPr/>
        <w:t>fact</w:t>
      </w:r>
      <w:r>
        <w:rPr>
          <w:spacing w:val="-3"/>
        </w:rPr>
        <w:t> </w:t>
      </w:r>
      <w:r>
        <w:rPr/>
        <w:t>rather</w:t>
      </w:r>
      <w:r>
        <w:rPr>
          <w:spacing w:val="-3"/>
        </w:rPr>
        <w:t> </w:t>
      </w:r>
      <w:r>
        <w:rPr/>
        <w:t>than</w:t>
      </w:r>
      <w:r>
        <w:rPr>
          <w:spacing w:val="-3"/>
        </w:rPr>
        <w:t> </w:t>
      </w:r>
      <w:r>
        <w:rPr/>
        <w:t>a</w:t>
      </w:r>
      <w:r>
        <w:rPr>
          <w:spacing w:val="-3"/>
        </w:rPr>
        <w:t> </w:t>
      </w:r>
      <w:r>
        <w:rPr/>
        <w:t>promise.</w:t>
      </w:r>
      <w:r>
        <w:rPr>
          <w:spacing w:val="-3"/>
        </w:rPr>
        <w:t> </w:t>
      </w:r>
      <w:r>
        <w:rPr/>
        <w:t>In</w:t>
      </w:r>
      <w:r>
        <w:rPr>
          <w:spacing w:val="-3"/>
        </w:rPr>
        <w:t> </w:t>
      </w:r>
      <w:r>
        <w:rPr/>
        <w:t>the</w:t>
      </w:r>
      <w:r>
        <w:rPr>
          <w:spacing w:val="-3"/>
        </w:rPr>
        <w:t> </w:t>
      </w:r>
      <w:r>
        <w:rPr/>
        <w:t>present</w:t>
      </w:r>
      <w:r>
        <w:rPr>
          <w:spacing w:val="-3"/>
        </w:rPr>
        <w:t> </w:t>
      </w:r>
      <w:r>
        <w:rPr/>
        <w:t>context,</w:t>
      </w:r>
      <w:r>
        <w:rPr>
          <w:spacing w:val="-3"/>
        </w:rPr>
        <w:t> </w:t>
      </w:r>
      <w:r>
        <w:rPr/>
        <w:t>some</w:t>
      </w:r>
      <w:r>
        <w:rPr>
          <w:spacing w:val="-3"/>
        </w:rPr>
        <w:t> </w:t>
      </w:r>
      <w:r>
        <w:rPr/>
        <w:t>difficulty</w:t>
      </w:r>
      <w:r>
        <w:rPr>
          <w:spacing w:val="-3"/>
        </w:rPr>
        <w:t> </w:t>
      </w:r>
      <w:r>
        <w:rPr/>
        <w:t>arises</w:t>
      </w:r>
      <w:r>
        <w:rPr>
          <w:spacing w:val="-3"/>
        </w:rPr>
        <w:t> </w:t>
      </w:r>
      <w:r>
        <w:rPr/>
        <w:t>from the statement in </w:t>
      </w:r>
      <w:r>
        <w:rPr>
          <w:rFonts w:ascii="Arial" w:hAnsi="Arial"/>
          <w:i/>
        </w:rPr>
        <w:t>Kim v Chasewood Park Residents Ltd [2013] EWCA Civ 239, [2013] H.L.R. 24 </w:t>
      </w:r>
      <w:r>
        <w:rPr/>
        <w:t>at [23] that “in order to found a promissory estoppel (in the same way as any </w:t>
      </w:r>
      <w:r>
        <w:rPr>
          <w:rFonts w:ascii="Arial" w:hAnsi="Arial"/>
          <w:i/>
        </w:rPr>
        <w:t>other </w:t>
      </w:r>
      <w:r>
        <w:rPr/>
        <w:t>estoppel based on a representation of fact) the representation or promise must be clear and unambiguous” (italics supplied). If the word “other” were read as meaning that promissory estoppel was “based on a representation of fact”, the statement here quoted would be hard to reconcile with the generally accepted view that promissory estoppel arises from a </w:t>
      </w:r>
      <w:r>
        <w:rPr>
          <w:rFonts w:ascii="Arial" w:hAnsi="Arial"/>
          <w:i/>
        </w:rPr>
        <w:t>promise</w:t>
      </w:r>
      <w:r>
        <w:rPr/>
        <w:t>, as opposed</w:t>
      </w:r>
      <w:r>
        <w:rPr>
          <w:spacing w:val="-1"/>
        </w:rPr>
        <w:t> </w:t>
      </w:r>
      <w:r>
        <w:rPr/>
        <w:t>to</w:t>
      </w:r>
      <w:r>
        <w:rPr>
          <w:spacing w:val="-1"/>
        </w:rPr>
        <w:t> </w:t>
      </w:r>
      <w:r>
        <w:rPr/>
        <w:t>a</w:t>
      </w:r>
      <w:r>
        <w:rPr>
          <w:spacing w:val="-1"/>
        </w:rPr>
        <w:t> </w:t>
      </w:r>
      <w:r>
        <w:rPr/>
        <w:t>statement</w:t>
      </w:r>
      <w:r>
        <w:rPr>
          <w:spacing w:val="-1"/>
        </w:rPr>
        <w:t> </w:t>
      </w:r>
      <w:r>
        <w:rPr/>
        <w:t>of</w:t>
      </w:r>
      <w:r>
        <w:rPr>
          <w:spacing w:val="-1"/>
        </w:rPr>
        <w:t> </w:t>
      </w:r>
      <w:r>
        <w:rPr/>
        <w:t>(present)</w:t>
      </w:r>
      <w:r>
        <w:rPr>
          <w:spacing w:val="-1"/>
        </w:rPr>
        <w:t> </w:t>
      </w:r>
      <w:r>
        <w:rPr>
          <w:rFonts w:ascii="Arial" w:hAnsi="Arial"/>
          <w:i/>
        </w:rPr>
        <w:t>fact</w:t>
      </w:r>
      <w:r>
        <w:rPr/>
        <w:t>,</w:t>
      </w:r>
      <w:r>
        <w:rPr>
          <w:spacing w:val="-1"/>
        </w:rPr>
        <w:t> </w:t>
      </w:r>
      <w:r>
        <w:rPr/>
        <w:t>and</w:t>
      </w:r>
      <w:r>
        <w:rPr>
          <w:spacing w:val="-1"/>
        </w:rPr>
        <w:t> </w:t>
      </w:r>
      <w:r>
        <w:rPr/>
        <w:t>would</w:t>
      </w:r>
      <w:r>
        <w:rPr>
          <w:spacing w:val="-1"/>
        </w:rPr>
        <w:t> </w:t>
      </w:r>
      <w:r>
        <w:rPr/>
        <w:t>indeed</w:t>
      </w:r>
      <w:r>
        <w:rPr>
          <w:spacing w:val="-1"/>
        </w:rPr>
        <w:t> </w:t>
      </w:r>
      <w:r>
        <w:rPr/>
        <w:t>contain</w:t>
      </w:r>
      <w:r>
        <w:rPr>
          <w:spacing w:val="-1"/>
        </w:rPr>
        <w:t> </w:t>
      </w:r>
      <w:r>
        <w:rPr/>
        <w:t>an</w:t>
      </w:r>
      <w:r>
        <w:rPr>
          <w:spacing w:val="-1"/>
        </w:rPr>
        <w:t> </w:t>
      </w:r>
      <w:r>
        <w:rPr/>
        <w:t>internal</w:t>
      </w:r>
      <w:r>
        <w:rPr>
          <w:spacing w:val="-1"/>
        </w:rPr>
        <w:t> </w:t>
      </w:r>
      <w:r>
        <w:rPr/>
        <w:t>inconsistency</w:t>
      </w:r>
      <w:r>
        <w:rPr>
          <w:spacing w:val="-1"/>
        </w:rPr>
        <w:t> </w:t>
      </w:r>
      <w:r>
        <w:rPr/>
        <w:t>by reason of the use of the words “or promise” where this phrase is italicised above. It would also be hard to reconcile the statement with the points made below at nn.587 and 589 and in</w:t>
      </w:r>
      <w:r>
        <w:rPr>
          <w:spacing w:val="80"/>
        </w:rPr>
        <w:t> </w:t>
      </w:r>
      <w:r>
        <w:rPr/>
        <w:t>para.4-105 at nn.594 to 595.</w:t>
      </w:r>
    </w:p>
    <w:p>
      <w:pPr>
        <w:pStyle w:val="BodyText"/>
      </w:pPr>
    </w:p>
    <w:p>
      <w:pPr>
        <w:tabs>
          <w:tab w:pos="705" w:val="left" w:leader="none"/>
        </w:tabs>
        <w:spacing w:line="227" w:lineRule="exact" w:before="0"/>
        <w:ind w:left="165" w:right="0" w:firstLine="0"/>
        <w:jc w:val="left"/>
        <w:rPr>
          <w:rFonts w:ascii="Arial"/>
          <w:i/>
          <w:sz w:val="20"/>
        </w:rPr>
      </w:pPr>
      <w:bookmarkStart w:name="_bookmark1217" w:id="1219"/>
      <w:bookmarkEnd w:id="1219"/>
      <w:r>
        <w:rPr/>
      </w:r>
      <w:hyperlink w:history="true" w:anchor="_bookmark982">
        <w:r>
          <w:rPr>
            <w:color w:val="005DA1"/>
            <w:spacing w:val="-4"/>
            <w:position w:val="5"/>
            <w:sz w:val="14"/>
            <w:u w:val="single" w:color="005DA1"/>
          </w:rPr>
          <w:t>585</w:t>
        </w:r>
      </w:hyperlink>
      <w:r>
        <w:rPr>
          <w:spacing w:val="-4"/>
          <w:position w:val="5"/>
          <w:sz w:val="14"/>
        </w:rPr>
        <w:t>.</w:t>
      </w:r>
      <w:r>
        <w:rPr>
          <w:position w:val="5"/>
          <w:sz w:val="14"/>
        </w:rPr>
        <w:tab/>
      </w:r>
      <w:r>
        <w:rPr>
          <w:sz w:val="20"/>
        </w:rPr>
        <w:t>i.e.</w:t>
      </w:r>
      <w:r>
        <w:rPr>
          <w:spacing w:val="12"/>
          <w:sz w:val="20"/>
        </w:rPr>
        <w:t> </w:t>
      </w:r>
      <w:r>
        <w:rPr>
          <w:sz w:val="20"/>
        </w:rPr>
        <w:t>after</w:t>
      </w:r>
      <w:r>
        <w:rPr>
          <w:spacing w:val="12"/>
          <w:sz w:val="20"/>
        </w:rPr>
        <w:t> </w:t>
      </w:r>
      <w:r>
        <w:rPr>
          <w:sz w:val="20"/>
        </w:rPr>
        <w:t>the</w:t>
      </w:r>
      <w:r>
        <w:rPr>
          <w:spacing w:val="12"/>
          <w:sz w:val="20"/>
        </w:rPr>
        <w:t> </w:t>
      </w:r>
      <w:r>
        <w:rPr>
          <w:sz w:val="20"/>
        </w:rPr>
        <w:t>rejection</w:t>
      </w:r>
      <w:r>
        <w:rPr>
          <w:spacing w:val="12"/>
          <w:sz w:val="20"/>
        </w:rPr>
        <w:t> </w:t>
      </w:r>
      <w:r>
        <w:rPr>
          <w:sz w:val="20"/>
        </w:rPr>
        <w:t>of</w:t>
      </w:r>
      <w:r>
        <w:rPr>
          <w:spacing w:val="12"/>
          <w:sz w:val="20"/>
        </w:rPr>
        <w:t> </w:t>
      </w:r>
      <w:r>
        <w:rPr>
          <w:sz w:val="20"/>
        </w:rPr>
        <w:t>the</w:t>
      </w:r>
      <w:r>
        <w:rPr>
          <w:spacing w:val="12"/>
          <w:sz w:val="20"/>
        </w:rPr>
        <w:t> </w:t>
      </w:r>
      <w:r>
        <w:rPr>
          <w:sz w:val="20"/>
        </w:rPr>
        <w:t>distinction</w:t>
      </w:r>
      <w:r>
        <w:rPr>
          <w:spacing w:val="12"/>
          <w:sz w:val="20"/>
        </w:rPr>
        <w:t> </w:t>
      </w:r>
      <w:r>
        <w:rPr>
          <w:sz w:val="20"/>
        </w:rPr>
        <w:t>in</w:t>
      </w:r>
      <w:r>
        <w:rPr>
          <w:spacing w:val="12"/>
          <w:sz w:val="20"/>
        </w:rPr>
        <w:t> </w:t>
      </w:r>
      <w:r>
        <w:rPr>
          <w:rFonts w:ascii="Arial"/>
          <w:i/>
          <w:sz w:val="20"/>
        </w:rPr>
        <w:t>Kleinwort</w:t>
      </w:r>
      <w:r>
        <w:rPr>
          <w:rFonts w:ascii="Arial"/>
          <w:i/>
          <w:spacing w:val="12"/>
          <w:sz w:val="20"/>
        </w:rPr>
        <w:t> </w:t>
      </w:r>
      <w:r>
        <w:rPr>
          <w:rFonts w:ascii="Arial"/>
          <w:i/>
          <w:sz w:val="20"/>
        </w:rPr>
        <w:t>Benson</w:t>
      </w:r>
      <w:r>
        <w:rPr>
          <w:rFonts w:ascii="Arial"/>
          <w:i/>
          <w:spacing w:val="12"/>
          <w:sz w:val="20"/>
        </w:rPr>
        <w:t> </w:t>
      </w:r>
      <w:r>
        <w:rPr>
          <w:rFonts w:ascii="Arial"/>
          <w:i/>
          <w:sz w:val="20"/>
        </w:rPr>
        <w:t>Ltd</w:t>
      </w:r>
      <w:r>
        <w:rPr>
          <w:rFonts w:ascii="Arial"/>
          <w:i/>
          <w:spacing w:val="12"/>
          <w:sz w:val="20"/>
        </w:rPr>
        <w:t> </w:t>
      </w:r>
      <w:r>
        <w:rPr>
          <w:rFonts w:ascii="Arial"/>
          <w:i/>
          <w:sz w:val="20"/>
        </w:rPr>
        <w:t>v</w:t>
      </w:r>
      <w:r>
        <w:rPr>
          <w:rFonts w:ascii="Arial"/>
          <w:i/>
          <w:spacing w:val="12"/>
          <w:sz w:val="20"/>
        </w:rPr>
        <w:t> </w:t>
      </w:r>
      <w:r>
        <w:rPr>
          <w:rFonts w:ascii="Arial"/>
          <w:i/>
          <w:sz w:val="20"/>
        </w:rPr>
        <w:t>Lincoln</w:t>
      </w:r>
      <w:r>
        <w:rPr>
          <w:rFonts w:ascii="Arial"/>
          <w:i/>
          <w:spacing w:val="12"/>
          <w:sz w:val="20"/>
        </w:rPr>
        <w:t> </w:t>
      </w:r>
      <w:r>
        <w:rPr>
          <w:rFonts w:ascii="Arial"/>
          <w:i/>
          <w:sz w:val="20"/>
        </w:rPr>
        <w:t>City</w:t>
      </w:r>
      <w:r>
        <w:rPr>
          <w:rFonts w:ascii="Arial"/>
          <w:i/>
          <w:spacing w:val="12"/>
          <w:sz w:val="20"/>
        </w:rPr>
        <w:t> </w:t>
      </w:r>
      <w:r>
        <w:rPr>
          <w:rFonts w:ascii="Arial"/>
          <w:i/>
          <w:sz w:val="20"/>
        </w:rPr>
        <w:t>Council</w:t>
      </w:r>
      <w:r>
        <w:rPr>
          <w:rFonts w:ascii="Arial"/>
          <w:i/>
          <w:spacing w:val="12"/>
          <w:sz w:val="20"/>
        </w:rPr>
        <w:t> </w:t>
      </w:r>
      <w:r>
        <w:rPr>
          <w:rFonts w:ascii="Arial"/>
          <w:i/>
          <w:sz w:val="20"/>
        </w:rPr>
        <w:t>[1999]</w:t>
      </w:r>
      <w:r>
        <w:rPr>
          <w:rFonts w:ascii="Arial"/>
          <w:i/>
          <w:spacing w:val="12"/>
          <w:sz w:val="20"/>
        </w:rPr>
        <w:t> </w:t>
      </w:r>
      <w:r>
        <w:rPr>
          <w:rFonts w:ascii="Arial"/>
          <w:i/>
          <w:spacing w:val="-10"/>
          <w:sz w:val="20"/>
        </w:rPr>
        <w:t>2</w:t>
      </w:r>
    </w:p>
    <w:p>
      <w:pPr>
        <w:pStyle w:val="BodyText"/>
        <w:spacing w:line="235" w:lineRule="auto" w:before="1"/>
        <w:ind w:left="705" w:right="167"/>
        <w:jc w:val="both"/>
      </w:pPr>
      <w:r>
        <w:rPr>
          <w:rFonts w:ascii="Arial"/>
          <w:i/>
        </w:rPr>
        <w:t>A.C. 349 </w:t>
      </w:r>
      <w:r>
        <w:rPr/>
        <w:t>between mistakes of fact and of law in the context of claims for the return of money paid under a mistake (below, paras 29-046, 29-047) and the recognition of the possibility </w:t>
      </w:r>
      <w:r>
        <w:rPr/>
        <w:t>that</w:t>
      </w:r>
      <w:r>
        <w:rPr>
          <w:spacing w:val="40"/>
        </w:rPr>
        <w:t> </w:t>
      </w:r>
      <w:r>
        <w:rPr/>
        <w:t>an assumption of law can give rise to an estoppel by convention (below, para.4-111).</w:t>
      </w:r>
    </w:p>
    <w:p>
      <w:pPr>
        <w:pStyle w:val="BodyText"/>
        <w:spacing w:before="5"/>
      </w:pPr>
    </w:p>
    <w:p>
      <w:pPr>
        <w:tabs>
          <w:tab w:pos="705" w:val="left" w:leader="none"/>
        </w:tabs>
        <w:spacing w:before="1"/>
        <w:ind w:left="165" w:right="0" w:firstLine="0"/>
        <w:jc w:val="left"/>
        <w:rPr>
          <w:sz w:val="20"/>
        </w:rPr>
      </w:pPr>
      <w:bookmarkStart w:name="_bookmark1218" w:id="1220"/>
      <w:bookmarkEnd w:id="1220"/>
      <w:r>
        <w:rPr/>
      </w:r>
      <w:hyperlink w:history="true" w:anchor="_bookmark983">
        <w:r>
          <w:rPr>
            <w:color w:val="005DA1"/>
            <w:spacing w:val="-4"/>
            <w:position w:val="5"/>
            <w:sz w:val="14"/>
            <w:u w:val="single" w:color="005DA1"/>
          </w:rPr>
          <w:t>586</w:t>
        </w:r>
      </w:hyperlink>
      <w:r>
        <w:rPr>
          <w:spacing w:val="-4"/>
          <w:position w:val="5"/>
          <w:sz w:val="14"/>
        </w:rPr>
        <w:t>.</w:t>
      </w:r>
      <w:r>
        <w:rPr>
          <w:position w:val="5"/>
          <w:sz w:val="14"/>
        </w:rPr>
        <w:tab/>
      </w:r>
      <w:r>
        <w:rPr>
          <w:rFonts w:ascii="Arial"/>
          <w:i/>
          <w:sz w:val="20"/>
        </w:rPr>
        <w:t>Briggs v Gleeds (Head Office) [2014] EWHC 1178 (Ch), [2015] 1 All E.R. 553</w:t>
      </w:r>
      <w:r>
        <w:rPr>
          <w:rFonts w:ascii="Arial"/>
          <w:i/>
          <w:spacing w:val="-1"/>
          <w:sz w:val="20"/>
        </w:rPr>
        <w:t> </w:t>
      </w:r>
      <w:r>
        <w:rPr>
          <w:sz w:val="20"/>
        </w:rPr>
        <w:t>at </w:t>
      </w:r>
      <w:r>
        <w:rPr>
          <w:spacing w:val="-2"/>
          <w:sz w:val="20"/>
        </w:rPr>
        <w:t>[35].</w:t>
      </w:r>
    </w:p>
    <w:p>
      <w:pPr>
        <w:pStyle w:val="BodyText"/>
        <w:spacing w:before="8"/>
      </w:pPr>
    </w:p>
    <w:p>
      <w:pPr>
        <w:pStyle w:val="BodyText"/>
        <w:spacing w:line="235" w:lineRule="auto"/>
        <w:ind w:left="705" w:right="167" w:hanging="541"/>
        <w:jc w:val="both"/>
      </w:pPr>
      <w:bookmarkStart w:name="_bookmark1219" w:id="1221"/>
      <w:bookmarkEnd w:id="1221"/>
      <w:r>
        <w:rPr/>
      </w:r>
      <w:hyperlink w:history="true" w:anchor="_bookmark984">
        <w:r>
          <w:rPr>
            <w:color w:val="005DA1"/>
            <w:position w:val="5"/>
            <w:sz w:val="14"/>
            <w:u w:val="single" w:color="005DA1"/>
          </w:rPr>
          <w:t>587</w:t>
        </w:r>
      </w:hyperlink>
      <w:r>
        <w:rPr>
          <w:position w:val="5"/>
          <w:sz w:val="14"/>
        </w:rPr>
        <w:t>.</w:t>
      </w:r>
      <w:r>
        <w:rPr>
          <w:spacing w:val="40"/>
          <w:position w:val="5"/>
          <w:sz w:val="14"/>
        </w:rPr>
        <w:t>  </w:t>
      </w:r>
      <w:r>
        <w:rPr/>
        <w:t>ibid., stating that “it will very often be the case that a statement about law will not be capable </w:t>
      </w:r>
      <w:r>
        <w:rPr/>
        <w:t>of giving rise to a relevant estoppel” (giving examples). The actual decision in this case was that no such estoppel arose from an implied representation that deeds had been validly executed in accordance with s.1(3) of the Law of Property (Miscellaneous Provisions) Act 1989 by which an instrument was “validly executed as a deed by an individual if it is signed (a)(i) by him in the presence of a witness who attests the signature.” Each of deeds in question was not witnessed and so “did not even appear to comply with the 1989 Act on its face” (at [42]).</w:t>
      </w:r>
    </w:p>
    <w:p>
      <w:pPr>
        <w:pStyle w:val="BodyText"/>
        <w:spacing w:before="7"/>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bookmarkStart w:name="_bookmark1220" w:id="1222"/>
      <w:bookmarkEnd w:id="1222"/>
      <w:r>
        <w:rPr/>
      </w:r>
      <w:hyperlink w:history="true" w:anchor="_bookmark985">
        <w:r>
          <w:rPr>
            <w:color w:val="005DA1"/>
            <w:spacing w:val="-4"/>
            <w:sz w:val="14"/>
            <w:u w:val="single" w:color="005DA1"/>
          </w:rPr>
          <w:t>588</w:t>
        </w:r>
      </w:hyperlink>
      <w:r>
        <w:rPr>
          <w:spacing w:val="-4"/>
          <w:sz w:val="14"/>
        </w:rPr>
        <w:t>.</w:t>
      </w:r>
    </w:p>
    <w:p>
      <w:pPr>
        <w:spacing w:line="235" w:lineRule="auto" w:before="213"/>
        <w:ind w:left="165" w:right="167" w:firstLine="170"/>
        <w:jc w:val="both"/>
        <w:rPr>
          <w:rFonts w:ascii="Arial" w:hAnsi="Arial"/>
          <w:i/>
          <w:sz w:val="20"/>
        </w:rPr>
      </w:pPr>
      <w:r>
        <w:rPr/>
        <w:br w:type="column"/>
      </w:r>
      <w:r>
        <w:rPr>
          <w:sz w:val="20"/>
        </w:rPr>
        <w:t>e.g. </w:t>
      </w:r>
      <w:r>
        <w:rPr>
          <w:rFonts w:ascii="Arial" w:hAnsi="Arial"/>
          <w:i/>
          <w:sz w:val="20"/>
        </w:rPr>
        <w:t>Woodhouse A.C. Israel Cocoa Ltd v Nigerian Produce Marketing Co Ltd [1972] A.C. 741, 758</w:t>
      </w:r>
      <w:r>
        <w:rPr>
          <w:sz w:val="20"/>
        </w:rPr>
        <w:t>; </w:t>
      </w:r>
      <w:r>
        <w:rPr>
          <w:rFonts w:ascii="Arial" w:hAnsi="Arial"/>
          <w:i/>
          <w:sz w:val="20"/>
        </w:rPr>
        <w:t>Ogilvy v Hope-Davies [1976] 1 All E.R. 683, 689</w:t>
      </w:r>
      <w:r>
        <w:rPr>
          <w:sz w:val="20"/>
        </w:rPr>
        <w:t>; </w:t>
      </w:r>
      <w:r>
        <w:rPr>
          <w:rFonts w:ascii="Arial" w:hAnsi="Arial"/>
          <w:i/>
          <w:sz w:val="20"/>
        </w:rPr>
        <w:t>B.P. Exploration Co (Libya) Ltd v Hunt (No. 2) [1979] 1 W.L.R. 783, 812 </w:t>
      </w:r>
      <w:r>
        <w:rPr>
          <w:sz w:val="20"/>
        </w:rPr>
        <w:t>(affirmed </w:t>
      </w:r>
      <w:r>
        <w:rPr>
          <w:rFonts w:ascii="Arial" w:hAnsi="Arial"/>
          <w:i/>
          <w:sz w:val="20"/>
        </w:rPr>
        <w:t>[1983] 2 A.C. 352</w:t>
      </w:r>
      <w:r>
        <w:rPr>
          <w:sz w:val="20"/>
        </w:rPr>
        <w:t>, without reference to this point); </w:t>
      </w:r>
      <w:r>
        <w:rPr>
          <w:rFonts w:ascii="Arial" w:hAnsi="Arial"/>
          <w:i/>
          <w:sz w:val="20"/>
        </w:rPr>
        <w:t>China-Pacific SA v The Food Corp. Of India (The Winson) [1980] 2 Lloyd’s Rep. 213, </w:t>
      </w:r>
      <w:r>
        <w:rPr>
          <w:rFonts w:ascii="Arial" w:hAnsi="Arial"/>
          <w:i/>
          <w:sz w:val="20"/>
        </w:rPr>
        <w:t>222 </w:t>
      </w:r>
      <w:r>
        <w:rPr>
          <w:sz w:val="20"/>
        </w:rPr>
        <w:t>(reversed on other grounds </w:t>
      </w:r>
      <w:r>
        <w:rPr>
          <w:rFonts w:ascii="Arial" w:hAnsi="Arial"/>
          <w:i/>
          <w:sz w:val="20"/>
        </w:rPr>
        <w:t>[1982] A.C. 939</w:t>
      </w:r>
      <w:r>
        <w:rPr>
          <w:sz w:val="20"/>
        </w:rPr>
        <w:t>); </w:t>
      </w:r>
      <w:r>
        <w:rPr>
          <w:rFonts w:ascii="Arial" w:hAnsi="Arial"/>
          <w:i/>
          <w:sz w:val="20"/>
        </w:rPr>
        <w:t>Ets. Soules &amp; Cie v International Trade Development Co Ltd [1980] 1 Lloyd’s Rep. 129, 133</w:t>
      </w:r>
      <w:r>
        <w:rPr>
          <w:sz w:val="20"/>
        </w:rPr>
        <w:t>; </w:t>
      </w:r>
      <w:r>
        <w:rPr>
          <w:rFonts w:ascii="Arial" w:hAnsi="Arial"/>
          <w:i/>
          <w:sz w:val="20"/>
        </w:rPr>
        <w:t>Nippon Yusen Kaisha v </w:t>
      </w:r>
      <w:r>
        <w:rPr>
          <w:rFonts w:ascii="Arial" w:hAnsi="Arial"/>
          <w:i/>
          <w:sz w:val="20"/>
        </w:rPr>
        <w:t>Pacifica Navegacion</w:t>
      </w:r>
      <w:r>
        <w:rPr>
          <w:rFonts w:ascii="Arial" w:hAnsi="Arial"/>
          <w:i/>
          <w:spacing w:val="6"/>
          <w:sz w:val="20"/>
        </w:rPr>
        <w:t> </w:t>
      </w:r>
      <w:r>
        <w:rPr>
          <w:rFonts w:ascii="Arial" w:hAnsi="Arial"/>
          <w:i/>
          <w:sz w:val="20"/>
        </w:rPr>
        <w:t>SA</w:t>
      </w:r>
      <w:r>
        <w:rPr>
          <w:rFonts w:ascii="Arial" w:hAnsi="Arial"/>
          <w:i/>
          <w:spacing w:val="7"/>
          <w:sz w:val="20"/>
        </w:rPr>
        <w:t> </w:t>
      </w:r>
      <w:r>
        <w:rPr>
          <w:rFonts w:ascii="Arial" w:hAnsi="Arial"/>
          <w:i/>
          <w:sz w:val="20"/>
        </w:rPr>
        <w:t>(The</w:t>
      </w:r>
      <w:r>
        <w:rPr>
          <w:rFonts w:ascii="Arial" w:hAnsi="Arial"/>
          <w:i/>
          <w:spacing w:val="7"/>
          <w:sz w:val="20"/>
        </w:rPr>
        <w:t> </w:t>
      </w:r>
      <w:r>
        <w:rPr>
          <w:rFonts w:ascii="Arial" w:hAnsi="Arial"/>
          <w:i/>
          <w:sz w:val="20"/>
        </w:rPr>
        <w:t>Ion)</w:t>
      </w:r>
      <w:r>
        <w:rPr>
          <w:rFonts w:ascii="Arial" w:hAnsi="Arial"/>
          <w:i/>
          <w:spacing w:val="7"/>
          <w:sz w:val="20"/>
        </w:rPr>
        <w:t> </w:t>
      </w:r>
      <w:r>
        <w:rPr>
          <w:rFonts w:ascii="Arial" w:hAnsi="Arial"/>
          <w:i/>
          <w:sz w:val="20"/>
        </w:rPr>
        <w:t>[1980]</w:t>
      </w:r>
      <w:r>
        <w:rPr>
          <w:rFonts w:ascii="Arial" w:hAnsi="Arial"/>
          <w:i/>
          <w:spacing w:val="7"/>
          <w:sz w:val="20"/>
        </w:rPr>
        <w:t> </w:t>
      </w:r>
      <w:r>
        <w:rPr>
          <w:rFonts w:ascii="Arial" w:hAnsi="Arial"/>
          <w:i/>
          <w:sz w:val="20"/>
        </w:rPr>
        <w:t>1</w:t>
      </w:r>
      <w:r>
        <w:rPr>
          <w:rFonts w:ascii="Arial" w:hAnsi="Arial"/>
          <w:i/>
          <w:spacing w:val="7"/>
          <w:sz w:val="20"/>
        </w:rPr>
        <w:t> </w:t>
      </w:r>
      <w:r>
        <w:rPr>
          <w:rFonts w:ascii="Arial" w:hAnsi="Arial"/>
          <w:i/>
          <w:sz w:val="20"/>
        </w:rPr>
        <w:t>Lloyd’s</w:t>
      </w:r>
      <w:r>
        <w:rPr>
          <w:rFonts w:ascii="Arial" w:hAnsi="Arial"/>
          <w:i/>
          <w:spacing w:val="7"/>
          <w:sz w:val="20"/>
        </w:rPr>
        <w:t> </w:t>
      </w:r>
      <w:r>
        <w:rPr>
          <w:rFonts w:ascii="Arial" w:hAnsi="Arial"/>
          <w:i/>
          <w:sz w:val="20"/>
        </w:rPr>
        <w:t>Rep.</w:t>
      </w:r>
      <w:r>
        <w:rPr>
          <w:rFonts w:ascii="Arial" w:hAnsi="Arial"/>
          <w:i/>
          <w:spacing w:val="7"/>
          <w:sz w:val="20"/>
        </w:rPr>
        <w:t> </w:t>
      </w:r>
      <w:r>
        <w:rPr>
          <w:rFonts w:ascii="Arial" w:hAnsi="Arial"/>
          <w:i/>
          <w:sz w:val="20"/>
        </w:rPr>
        <w:t>245,</w:t>
      </w:r>
      <w:r>
        <w:rPr>
          <w:rFonts w:ascii="Arial" w:hAnsi="Arial"/>
          <w:i/>
          <w:spacing w:val="7"/>
          <w:sz w:val="20"/>
        </w:rPr>
        <w:t> </w:t>
      </w:r>
      <w:r>
        <w:rPr>
          <w:rFonts w:ascii="Arial" w:hAnsi="Arial"/>
          <w:i/>
          <w:sz w:val="20"/>
        </w:rPr>
        <w:t>259</w:t>
      </w:r>
      <w:r>
        <w:rPr>
          <w:sz w:val="20"/>
        </w:rPr>
        <w:t>;</w:t>
      </w:r>
      <w:r>
        <w:rPr>
          <w:spacing w:val="7"/>
          <w:sz w:val="20"/>
        </w:rPr>
        <w:t> </w:t>
      </w:r>
      <w:r>
        <w:rPr>
          <w:rFonts w:ascii="Arial" w:hAnsi="Arial"/>
          <w:i/>
          <w:sz w:val="20"/>
        </w:rPr>
        <w:t>Peter</w:t>
      </w:r>
      <w:r>
        <w:rPr>
          <w:rFonts w:ascii="Arial" w:hAnsi="Arial"/>
          <w:i/>
          <w:spacing w:val="7"/>
          <w:sz w:val="20"/>
        </w:rPr>
        <w:t> </w:t>
      </w:r>
      <w:r>
        <w:rPr>
          <w:rFonts w:ascii="Arial" w:hAnsi="Arial"/>
          <w:i/>
          <w:sz w:val="20"/>
        </w:rPr>
        <w:t>Cremer</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Granaria</w:t>
      </w:r>
      <w:r>
        <w:rPr>
          <w:rFonts w:ascii="Arial" w:hAnsi="Arial"/>
          <w:i/>
          <w:spacing w:val="7"/>
          <w:sz w:val="20"/>
        </w:rPr>
        <w:t> </w:t>
      </w:r>
      <w:r>
        <w:rPr>
          <w:rFonts w:ascii="Arial" w:hAnsi="Arial"/>
          <w:i/>
          <w:sz w:val="20"/>
        </w:rPr>
        <w:t>B.V.</w:t>
      </w:r>
      <w:r>
        <w:rPr>
          <w:rFonts w:ascii="Arial" w:hAnsi="Arial"/>
          <w:i/>
          <w:spacing w:val="7"/>
          <w:sz w:val="20"/>
        </w:rPr>
        <w:t> </w:t>
      </w:r>
      <w:r>
        <w:rPr>
          <w:rFonts w:ascii="Arial" w:hAnsi="Arial"/>
          <w:i/>
          <w:spacing w:val="-2"/>
          <w:sz w:val="20"/>
        </w:rPr>
        <w:t>[1981]</w:t>
      </w:r>
    </w:p>
    <w:p>
      <w:pPr>
        <w:spacing w:line="235" w:lineRule="auto" w:before="0"/>
        <w:ind w:left="165" w:right="167" w:firstLine="0"/>
        <w:jc w:val="both"/>
        <w:rPr>
          <w:rFonts w:ascii="Arial" w:hAnsi="Arial"/>
          <w:i/>
          <w:sz w:val="20"/>
        </w:rPr>
      </w:pPr>
      <w:r>
        <w:rPr>
          <w:rFonts w:ascii="Arial" w:hAnsi="Arial"/>
          <w:i/>
          <w:sz w:val="20"/>
        </w:rPr>
        <w:drawing>
          <wp:anchor distT="0" distB="0" distL="0" distR="0" allowOverlap="1" layoutInCell="1" locked="0" behindDoc="0" simplePos="0" relativeHeight="15774208">
            <wp:simplePos x="0" y="0"/>
            <wp:positionH relativeFrom="page">
              <wp:posOffset>1257846</wp:posOffset>
            </wp:positionH>
            <wp:positionV relativeFrom="paragraph">
              <wp:posOffset>-976295</wp:posOffset>
            </wp:positionV>
            <wp:extent cx="107988" cy="107988"/>
            <wp:effectExtent l="0" t="0" r="0" b="0"/>
            <wp:wrapNone/>
            <wp:docPr id="201" name="Image 201"/>
            <wp:cNvGraphicFramePr>
              <a:graphicFrameLocks/>
            </wp:cNvGraphicFramePr>
            <a:graphic>
              <a:graphicData uri="http://schemas.openxmlformats.org/drawingml/2006/picture">
                <pic:pic>
                  <pic:nvPicPr>
                    <pic:cNvPr id="201" name="Image 201"/>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sz w:val="20"/>
        </w:rPr>
        <w:t>2 Lloyd’s Rep. 583, 587</w:t>
      </w:r>
      <w:r>
        <w:rPr>
          <w:sz w:val="20"/>
        </w:rPr>
        <w:t>; </w:t>
      </w:r>
      <w:r>
        <w:rPr>
          <w:rFonts w:ascii="Arial" w:hAnsi="Arial"/>
          <w:i/>
          <w:sz w:val="20"/>
        </w:rPr>
        <w:t>Société Italo-Belge pour le Commerce et l’Industrie v Palm </w:t>
      </w:r>
      <w:r>
        <w:rPr>
          <w:rFonts w:ascii="Arial" w:hAnsi="Arial"/>
          <w:i/>
          <w:sz w:val="20"/>
        </w:rPr>
        <w:t>&amp; Vegetable Oils (Malaysia) Sdn. Bhd. (The Post Chaser) [1981] 2 Lloyd’s Rep. 695, 700</w:t>
      </w:r>
      <w:r>
        <w:rPr>
          <w:sz w:val="20"/>
        </w:rPr>
        <w:t>; </w:t>
      </w:r>
      <w:r>
        <w:rPr>
          <w:rFonts w:ascii="Arial" w:hAnsi="Arial"/>
          <w:i/>
          <w:sz w:val="20"/>
        </w:rPr>
        <w:t>Roebuck v Mungovin [1994] 2 A.C. 224, 235</w:t>
      </w:r>
      <w:r>
        <w:rPr>
          <w:sz w:val="20"/>
        </w:rPr>
        <w:t>; in </w:t>
      </w:r>
      <w:r>
        <w:rPr>
          <w:rFonts w:ascii="Arial" w:hAnsi="Arial"/>
          <w:i/>
          <w:sz w:val="20"/>
        </w:rPr>
        <w:t>Glencore International AG v MSC Mediterranean Shipping Co SA [2015] EWHC 1989 (Comm), [2015] 2 Lloyd’s Rep. 508</w:t>
      </w:r>
      <w:r>
        <w:rPr>
          <w:sz w:val="20"/>
        </w:rPr>
        <w:t>,</w:t>
      </w:r>
      <w:r>
        <w:rPr>
          <w:spacing w:val="40"/>
          <w:sz w:val="20"/>
        </w:rPr>
        <w:t> </w:t>
      </w:r>
      <w:r>
        <w:rPr>
          <w:sz w:val="20"/>
        </w:rPr>
        <w:t>Andrew Smith J. rejected the submission that the facts of that case gave rise to an estoppel which “might be characterised as an estoppel by representation or an equitable estoppel” (at [33]); he did so on the ground that the claimant had made no relevant representation or so conducted itself as to give rise to the alleged estoppel (ibid.). It seems that “equitable estoppel” here</w:t>
      </w:r>
      <w:r>
        <w:rPr>
          <w:spacing w:val="1"/>
          <w:sz w:val="20"/>
        </w:rPr>
        <w:t> </w:t>
      </w:r>
      <w:r>
        <w:rPr>
          <w:sz w:val="20"/>
        </w:rPr>
        <w:t>refers</w:t>
      </w:r>
      <w:r>
        <w:rPr>
          <w:spacing w:val="1"/>
          <w:sz w:val="20"/>
        </w:rPr>
        <w:t> </w:t>
      </w:r>
      <w:r>
        <w:rPr>
          <w:sz w:val="20"/>
        </w:rPr>
        <w:t>to</w:t>
      </w:r>
      <w:r>
        <w:rPr>
          <w:spacing w:val="1"/>
          <w:sz w:val="20"/>
        </w:rPr>
        <w:t> </w:t>
      </w:r>
      <w:r>
        <w:rPr>
          <w:sz w:val="20"/>
        </w:rPr>
        <w:t>promissory</w:t>
      </w:r>
      <w:r>
        <w:rPr>
          <w:spacing w:val="1"/>
          <w:sz w:val="20"/>
        </w:rPr>
        <w:t> </w:t>
      </w:r>
      <w:r>
        <w:rPr>
          <w:sz w:val="20"/>
        </w:rPr>
        <w:t>estoppel;</w:t>
      </w:r>
      <w:r>
        <w:rPr>
          <w:spacing w:val="1"/>
          <w:sz w:val="20"/>
        </w:rPr>
        <w:t> </w:t>
      </w:r>
      <w:r>
        <w:rPr>
          <w:sz w:val="20"/>
        </w:rPr>
        <w:t>cf.</w:t>
      </w:r>
      <w:r>
        <w:rPr>
          <w:spacing w:val="1"/>
          <w:sz w:val="20"/>
        </w:rPr>
        <w:t> </w:t>
      </w:r>
      <w:r>
        <w:rPr>
          <w:rFonts w:ascii="Arial" w:hAnsi="Arial"/>
          <w:i/>
          <w:sz w:val="20"/>
        </w:rPr>
        <w:t>Brikom</w:t>
      </w:r>
      <w:r>
        <w:rPr>
          <w:rFonts w:ascii="Arial" w:hAnsi="Arial"/>
          <w:i/>
          <w:spacing w:val="1"/>
          <w:sz w:val="20"/>
        </w:rPr>
        <w:t> </w:t>
      </w:r>
      <w:r>
        <w:rPr>
          <w:rFonts w:ascii="Arial" w:hAnsi="Arial"/>
          <w:i/>
          <w:sz w:val="20"/>
        </w:rPr>
        <w:t>Investments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Carr</w:t>
      </w:r>
      <w:r>
        <w:rPr>
          <w:rFonts w:ascii="Arial" w:hAnsi="Arial"/>
          <w:i/>
          <w:spacing w:val="1"/>
          <w:sz w:val="20"/>
        </w:rPr>
        <w:t> </w:t>
      </w:r>
      <w:r>
        <w:rPr>
          <w:rFonts w:ascii="Arial" w:hAnsi="Arial"/>
          <w:i/>
          <w:sz w:val="20"/>
        </w:rPr>
        <w:t>[1979]</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z w:val="20"/>
        </w:rPr>
        <w:t>467,</w:t>
      </w:r>
      <w:r>
        <w:rPr>
          <w:rFonts w:ascii="Arial" w:hAnsi="Arial"/>
          <w:i/>
          <w:spacing w:val="1"/>
          <w:sz w:val="20"/>
        </w:rPr>
        <w:t> </w:t>
      </w:r>
      <w:r>
        <w:rPr>
          <w:rFonts w:ascii="Arial" w:hAnsi="Arial"/>
          <w:i/>
          <w:sz w:val="20"/>
        </w:rPr>
        <w:t>485,</w:t>
      </w:r>
      <w:r>
        <w:rPr>
          <w:rFonts w:ascii="Arial" w:hAnsi="Arial"/>
          <w:i/>
          <w:spacing w:val="1"/>
          <w:sz w:val="20"/>
        </w:rPr>
        <w:t> </w:t>
      </w:r>
      <w:r>
        <w:rPr>
          <w:rFonts w:ascii="Arial" w:hAnsi="Arial"/>
          <w:i/>
          <w:spacing w:val="-5"/>
          <w:sz w:val="20"/>
        </w:rPr>
        <w:t>489</w:t>
      </w:r>
    </w:p>
    <w:p>
      <w:pPr>
        <w:spacing w:line="235" w:lineRule="auto" w:before="0"/>
        <w:ind w:left="165" w:right="167" w:firstLine="0"/>
        <w:jc w:val="both"/>
        <w:rPr>
          <w:sz w:val="20"/>
        </w:rPr>
      </w:pPr>
      <w:r>
        <w:rPr>
          <w:sz w:val="20"/>
        </w:rPr>
        <w:t>, where Roskill L.J. prefers to refer simply to the principle of </w:t>
      </w:r>
      <w:r>
        <w:rPr>
          <w:rFonts w:ascii="Arial" w:hAnsi="Arial"/>
          <w:i/>
          <w:sz w:val="20"/>
        </w:rPr>
        <w:t>Hughes v Metropolitan Ry (1877) </w:t>
      </w:r>
      <w:r>
        <w:rPr>
          <w:rFonts w:ascii="Arial" w:hAnsi="Arial"/>
          <w:i/>
          <w:sz w:val="20"/>
        </w:rPr>
        <w:t>2 App. Cas. 439</w:t>
      </w:r>
      <w:r>
        <w:rPr>
          <w:sz w:val="20"/>
        </w:rPr>
        <w:t>. </w:t>
      </w:r>
      <w:r>
        <w:rPr>
          <w:rFonts w:ascii="Arial" w:hAnsi="Arial"/>
          <w:i/>
          <w:sz w:val="20"/>
        </w:rPr>
        <w:t>Amherst v James Walker Goldsmiths &amp; Silversmiths Ltd [1983] Ch. 305, 316 </w:t>
      </w:r>
      <w:r>
        <w:rPr>
          <w:sz w:val="20"/>
        </w:rPr>
        <w:t>somewhat puzzlingly seems to distinguish between “promissory” and “equitable” estoppel. Terminological difficulty is compounded by occasional use of the phrase “equitable estoppel” to refer to true estoppel by representation: see below n.585.</w:t>
      </w:r>
    </w:p>
    <w:p>
      <w:pPr>
        <w:spacing w:after="0" w:line="235" w:lineRule="auto"/>
        <w:jc w:val="both"/>
        <w:rPr>
          <w:sz w:val="20"/>
        </w:rPr>
        <w:sectPr>
          <w:type w:val="continuous"/>
          <w:pgSz w:w="11900" w:h="16840"/>
          <w:pgMar w:header="971" w:footer="0" w:top="3760" w:bottom="280" w:left="1275" w:right="1275"/>
          <w:cols w:num="2" w:equalWidth="0">
            <w:col w:w="478" w:space="63"/>
            <w:col w:w="8809"/>
          </w:cols>
        </w:sectPr>
      </w:pPr>
    </w:p>
    <w:p>
      <w:pPr>
        <w:pStyle w:val="BodyText"/>
        <w:spacing w:before="84"/>
      </w:pPr>
    </w:p>
    <w:p>
      <w:pPr>
        <w:spacing w:line="235" w:lineRule="auto" w:before="1"/>
        <w:ind w:left="705" w:right="167" w:hanging="541"/>
        <w:jc w:val="both"/>
        <w:rPr>
          <w:sz w:val="20"/>
        </w:rPr>
      </w:pPr>
      <w:hyperlink w:history="true" w:anchor="_bookmark986">
        <w:r>
          <w:rPr>
            <w:color w:val="005DA1"/>
            <w:position w:val="5"/>
            <w:sz w:val="14"/>
            <w:u w:val="single" w:color="005DA1"/>
          </w:rPr>
          <w:t>589</w:t>
        </w:r>
      </w:hyperlink>
      <w:r>
        <w:rPr>
          <w:position w:val="5"/>
          <w:sz w:val="14"/>
        </w:rPr>
        <w:t>.</w:t>
      </w:r>
      <w:r>
        <w:rPr>
          <w:spacing w:val="40"/>
          <w:position w:val="5"/>
          <w:sz w:val="14"/>
        </w:rPr>
        <w:t>  </w:t>
      </w:r>
      <w:r>
        <w:rPr>
          <w:rFonts w:ascii="Arial" w:hAnsi="Arial"/>
          <w:i/>
          <w:sz w:val="20"/>
        </w:rPr>
        <w:t>Jordan v Money</w:t>
      </w:r>
      <w:r>
        <w:rPr>
          <w:sz w:val="20"/>
        </w:rPr>
        <w:t>, above, was itself an appeal from the Court of Appeal in Chancery. See also </w:t>
      </w:r>
      <w:r>
        <w:rPr>
          <w:rFonts w:ascii="Arial" w:hAnsi="Arial"/>
          <w:i/>
          <w:sz w:val="20"/>
        </w:rPr>
        <w:t>Pigott v Stratton (1859) 1 D.F. &amp; J. 33, 51</w:t>
      </w:r>
      <w:r>
        <w:rPr>
          <w:sz w:val="20"/>
        </w:rPr>
        <w:t>; </w:t>
      </w:r>
      <w:r>
        <w:rPr>
          <w:rFonts w:ascii="Arial" w:hAnsi="Arial"/>
          <w:i/>
          <w:sz w:val="20"/>
        </w:rPr>
        <w:t>Citizens’ Bank of Louisiana v First National Bank of New</w:t>
      </w:r>
      <w:r>
        <w:rPr>
          <w:rFonts w:ascii="Arial" w:hAnsi="Arial"/>
          <w:i/>
          <w:spacing w:val="13"/>
          <w:sz w:val="20"/>
        </w:rPr>
        <w:t> </w:t>
      </w:r>
      <w:r>
        <w:rPr>
          <w:rFonts w:ascii="Arial" w:hAnsi="Arial"/>
          <w:i/>
          <w:sz w:val="20"/>
        </w:rPr>
        <w:t>Orleans</w:t>
      </w:r>
      <w:r>
        <w:rPr>
          <w:rFonts w:ascii="Arial" w:hAnsi="Arial"/>
          <w:i/>
          <w:spacing w:val="14"/>
          <w:sz w:val="20"/>
        </w:rPr>
        <w:t> </w:t>
      </w:r>
      <w:r>
        <w:rPr>
          <w:rFonts w:ascii="Arial" w:hAnsi="Arial"/>
          <w:i/>
          <w:sz w:val="20"/>
        </w:rPr>
        <w:t>(1873)</w:t>
      </w:r>
      <w:r>
        <w:rPr>
          <w:rFonts w:ascii="Arial" w:hAnsi="Arial"/>
          <w:i/>
          <w:spacing w:val="14"/>
          <w:sz w:val="20"/>
        </w:rPr>
        <w:t> </w:t>
      </w:r>
      <w:r>
        <w:rPr>
          <w:rFonts w:ascii="Arial" w:hAnsi="Arial"/>
          <w:i/>
          <w:sz w:val="20"/>
        </w:rPr>
        <w:t>L.R.</w:t>
      </w:r>
      <w:r>
        <w:rPr>
          <w:rFonts w:ascii="Arial" w:hAnsi="Arial"/>
          <w:i/>
          <w:spacing w:val="14"/>
          <w:sz w:val="20"/>
        </w:rPr>
        <w:t> </w:t>
      </w:r>
      <w:r>
        <w:rPr>
          <w:rFonts w:ascii="Arial" w:hAnsi="Arial"/>
          <w:i/>
          <w:sz w:val="20"/>
        </w:rPr>
        <w:t>6</w:t>
      </w:r>
      <w:r>
        <w:rPr>
          <w:rFonts w:ascii="Arial" w:hAnsi="Arial"/>
          <w:i/>
          <w:spacing w:val="14"/>
          <w:sz w:val="20"/>
        </w:rPr>
        <w:t> </w:t>
      </w:r>
      <w:r>
        <w:rPr>
          <w:rFonts w:ascii="Arial" w:hAnsi="Arial"/>
          <w:i/>
          <w:sz w:val="20"/>
        </w:rPr>
        <w:t>H.L.</w:t>
      </w:r>
      <w:r>
        <w:rPr>
          <w:rFonts w:ascii="Arial" w:hAnsi="Arial"/>
          <w:i/>
          <w:spacing w:val="14"/>
          <w:sz w:val="20"/>
        </w:rPr>
        <w:t> </w:t>
      </w:r>
      <w:r>
        <w:rPr>
          <w:rFonts w:ascii="Arial" w:hAnsi="Arial"/>
          <w:i/>
          <w:sz w:val="20"/>
        </w:rPr>
        <w:t>352,</w:t>
      </w:r>
      <w:r>
        <w:rPr>
          <w:rFonts w:ascii="Arial" w:hAnsi="Arial"/>
          <w:i/>
          <w:spacing w:val="14"/>
          <w:sz w:val="20"/>
        </w:rPr>
        <w:t> </w:t>
      </w:r>
      <w:r>
        <w:rPr>
          <w:rFonts w:ascii="Arial" w:hAnsi="Arial"/>
          <w:i/>
          <w:sz w:val="20"/>
        </w:rPr>
        <w:t>360</w:t>
      </w:r>
      <w:r>
        <w:rPr>
          <w:sz w:val="20"/>
        </w:rPr>
        <w:t>;</w:t>
      </w:r>
      <w:r>
        <w:rPr>
          <w:spacing w:val="14"/>
          <w:sz w:val="20"/>
        </w:rPr>
        <w:t> </w:t>
      </w:r>
      <w:r>
        <w:rPr>
          <w:rFonts w:ascii="Arial" w:hAnsi="Arial"/>
          <w:i/>
          <w:sz w:val="20"/>
        </w:rPr>
        <w:t>Maddison</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Alderson</w:t>
      </w:r>
      <w:r>
        <w:rPr>
          <w:rFonts w:ascii="Arial" w:hAnsi="Arial"/>
          <w:i/>
          <w:spacing w:val="14"/>
          <w:sz w:val="20"/>
        </w:rPr>
        <w:t> </w:t>
      </w:r>
      <w:r>
        <w:rPr>
          <w:rFonts w:ascii="Arial" w:hAnsi="Arial"/>
          <w:i/>
          <w:sz w:val="20"/>
        </w:rPr>
        <w:t>(1883)</w:t>
      </w:r>
      <w:r>
        <w:rPr>
          <w:rFonts w:ascii="Arial" w:hAnsi="Arial"/>
          <w:i/>
          <w:spacing w:val="14"/>
          <w:sz w:val="20"/>
        </w:rPr>
        <w:t> </w:t>
      </w:r>
      <w:r>
        <w:rPr>
          <w:rFonts w:ascii="Arial" w:hAnsi="Arial"/>
          <w:i/>
          <w:sz w:val="20"/>
        </w:rPr>
        <w:t>8</w:t>
      </w:r>
      <w:r>
        <w:rPr>
          <w:rFonts w:ascii="Arial" w:hAnsi="Arial"/>
          <w:i/>
          <w:spacing w:val="14"/>
          <w:sz w:val="20"/>
        </w:rPr>
        <w:t> </w:t>
      </w:r>
      <w:r>
        <w:rPr>
          <w:rFonts w:ascii="Arial" w:hAnsi="Arial"/>
          <w:i/>
          <w:sz w:val="20"/>
        </w:rPr>
        <w:t>App.</w:t>
      </w:r>
      <w:r>
        <w:rPr>
          <w:rFonts w:ascii="Arial" w:hAnsi="Arial"/>
          <w:i/>
          <w:spacing w:val="14"/>
          <w:sz w:val="20"/>
        </w:rPr>
        <w:t> </w:t>
      </w:r>
      <w:r>
        <w:rPr>
          <w:rFonts w:ascii="Arial" w:hAnsi="Arial"/>
          <w:i/>
          <w:sz w:val="20"/>
        </w:rPr>
        <w:t>Cas.</w:t>
      </w:r>
      <w:r>
        <w:rPr>
          <w:rFonts w:ascii="Arial" w:hAnsi="Arial"/>
          <w:i/>
          <w:spacing w:val="14"/>
          <w:sz w:val="20"/>
        </w:rPr>
        <w:t> </w:t>
      </w:r>
      <w:r>
        <w:rPr>
          <w:rFonts w:ascii="Arial" w:hAnsi="Arial"/>
          <w:i/>
          <w:sz w:val="20"/>
        </w:rPr>
        <w:t>467,</w:t>
      </w:r>
      <w:r>
        <w:rPr>
          <w:rFonts w:ascii="Arial" w:hAnsi="Arial"/>
          <w:i/>
          <w:spacing w:val="14"/>
          <w:sz w:val="20"/>
        </w:rPr>
        <w:t> </w:t>
      </w:r>
      <w:r>
        <w:rPr>
          <w:rFonts w:ascii="Arial" w:hAnsi="Arial"/>
          <w:i/>
          <w:spacing w:val="-4"/>
          <w:sz w:val="20"/>
        </w:rPr>
        <w:t>473</w:t>
      </w:r>
      <w:r>
        <w:rPr>
          <w:spacing w:val="-4"/>
          <w:sz w:val="20"/>
        </w:rPr>
        <w:t>;</w:t>
      </w:r>
    </w:p>
    <w:p>
      <w:pPr>
        <w:spacing w:line="225" w:lineRule="exact" w:before="0"/>
        <w:ind w:left="705" w:right="0" w:firstLine="0"/>
        <w:jc w:val="both"/>
        <w:rPr>
          <w:sz w:val="20"/>
        </w:rPr>
      </w:pPr>
      <w:r>
        <w:rPr>
          <w:rFonts w:ascii="Arial"/>
          <w:i/>
          <w:sz w:val="20"/>
        </w:rPr>
        <w:t>Chadwick v Manning [1896] A.C. 231, </w:t>
      </w:r>
      <w:r>
        <w:rPr>
          <w:rFonts w:ascii="Arial"/>
          <w:i/>
          <w:spacing w:val="-4"/>
          <w:sz w:val="20"/>
        </w:rPr>
        <w:t>238</w:t>
      </w:r>
      <w:r>
        <w:rPr>
          <w:spacing w:val="-4"/>
          <w:sz w:val="20"/>
        </w:rPr>
        <w:t>.</w:t>
      </w:r>
    </w:p>
    <w:p>
      <w:pPr>
        <w:pStyle w:val="BodyText"/>
        <w:spacing w:before="8"/>
      </w:pPr>
    </w:p>
    <w:p>
      <w:pPr>
        <w:pStyle w:val="BodyText"/>
        <w:spacing w:line="235" w:lineRule="auto"/>
        <w:ind w:left="705" w:right="167" w:hanging="541"/>
        <w:jc w:val="both"/>
      </w:pPr>
      <w:bookmarkStart w:name="_bookmark1221" w:id="1223"/>
      <w:bookmarkEnd w:id="1223"/>
      <w:r>
        <w:rPr/>
      </w:r>
      <w:hyperlink w:history="true" w:anchor="_bookmark986">
        <w:r>
          <w:rPr>
            <w:color w:val="005DA1"/>
            <w:position w:val="5"/>
            <w:sz w:val="14"/>
            <w:u w:val="single" w:color="005DA1"/>
          </w:rPr>
          <w:t>590</w:t>
        </w:r>
      </w:hyperlink>
      <w:r>
        <w:rPr>
          <w:position w:val="5"/>
          <w:sz w:val="14"/>
        </w:rPr>
        <w:t>.</w:t>
      </w:r>
      <w:r>
        <w:rPr>
          <w:spacing w:val="80"/>
          <w:w w:val="150"/>
          <w:position w:val="5"/>
          <w:sz w:val="14"/>
        </w:rPr>
        <w:t> </w:t>
      </w:r>
      <w:r>
        <w:rPr/>
        <w:t>Estoppel by representation of fact was recognised at common law at least as long ago as </w:t>
      </w:r>
      <w:r>
        <w:rPr>
          <w:rFonts w:ascii="Arial" w:hAnsi="Arial"/>
          <w:i/>
        </w:rPr>
        <w:t>Freeman v Cooke (1848) 2 Ex. 654</w:t>
      </w:r>
      <w:r>
        <w:rPr/>
        <w:t>; but sometimes this form of estoppel is (confusingly) referred to as “equitable estoppel:” e.g. in </w:t>
      </w:r>
      <w:r>
        <w:rPr>
          <w:rFonts w:ascii="Arial" w:hAnsi="Arial"/>
          <w:i/>
        </w:rPr>
        <w:t>Lombard North Central plc v Stobart [1990] </w:t>
      </w:r>
      <w:r>
        <w:rPr>
          <w:rFonts w:ascii="Arial" w:hAnsi="Arial"/>
          <w:i/>
        </w:rPr>
        <w:t>Tr.L.R. 105, 107</w:t>
      </w:r>
      <w:r>
        <w:rPr/>
        <w:t>. In that case, an estoppel arose from a finance company’s statement that no more</w:t>
      </w:r>
      <w:r>
        <w:rPr>
          <w:spacing w:val="40"/>
        </w:rPr>
        <w:t> </w:t>
      </w:r>
      <w:r>
        <w:rPr/>
        <w:t>than £1,003 was due under a conditional sale, when the actual sum due was nearly five times as much. This statement was clearly a representation of </w:t>
      </w:r>
      <w:r>
        <w:rPr>
          <w:rFonts w:ascii="Arial" w:hAnsi="Arial"/>
          <w:i/>
        </w:rPr>
        <w:t>fact </w:t>
      </w:r>
      <w:r>
        <w:rPr/>
        <w:t>rather than a </w:t>
      </w:r>
      <w:r>
        <w:rPr>
          <w:rFonts w:ascii="Arial" w:hAnsi="Arial"/>
          <w:i/>
        </w:rPr>
        <w:t>promise</w:t>
      </w:r>
      <w:r>
        <w:rPr/>
        <w:t>.</w:t>
      </w:r>
    </w:p>
    <w:p>
      <w:pPr>
        <w:pStyle w:val="BodyText"/>
        <w:spacing w:before="4"/>
      </w:pPr>
    </w:p>
    <w:p>
      <w:pPr>
        <w:tabs>
          <w:tab w:pos="705" w:val="left" w:leader="none"/>
        </w:tabs>
        <w:spacing w:before="0"/>
        <w:ind w:left="165" w:right="0" w:firstLine="0"/>
        <w:jc w:val="left"/>
        <w:rPr>
          <w:sz w:val="20"/>
        </w:rPr>
      </w:pPr>
      <w:bookmarkStart w:name="_bookmark1222" w:id="1224"/>
      <w:bookmarkEnd w:id="1224"/>
      <w:r>
        <w:rPr/>
      </w:r>
      <w:hyperlink w:history="true" w:anchor="_bookmark987">
        <w:r>
          <w:rPr>
            <w:color w:val="005DA1"/>
            <w:spacing w:val="-4"/>
            <w:position w:val="5"/>
            <w:sz w:val="14"/>
            <w:u w:val="single" w:color="005DA1"/>
          </w:rPr>
          <w:t>591</w:t>
        </w:r>
      </w:hyperlink>
      <w:r>
        <w:rPr>
          <w:spacing w:val="-4"/>
          <w:position w:val="5"/>
          <w:sz w:val="14"/>
        </w:rPr>
        <w:t>.</w:t>
      </w:r>
      <w:r>
        <w:rPr>
          <w:position w:val="5"/>
          <w:sz w:val="14"/>
        </w:rPr>
        <w:tab/>
      </w:r>
      <w:r>
        <w:rPr>
          <w:sz w:val="20"/>
        </w:rPr>
        <w:t>Above, para.4-</w:t>
      </w:r>
      <w:r>
        <w:rPr>
          <w:spacing w:val="-4"/>
          <w:sz w:val="20"/>
        </w:rPr>
        <w:t>095.</w:t>
      </w:r>
    </w:p>
    <w:p>
      <w:pPr>
        <w:pStyle w:val="BodyText"/>
        <w:spacing w:before="5"/>
      </w:pPr>
    </w:p>
    <w:p>
      <w:pPr>
        <w:tabs>
          <w:tab w:pos="705" w:val="left" w:leader="none"/>
        </w:tabs>
        <w:spacing w:before="1"/>
        <w:ind w:left="165" w:right="0" w:firstLine="0"/>
        <w:jc w:val="left"/>
        <w:rPr>
          <w:sz w:val="20"/>
        </w:rPr>
      </w:pPr>
      <w:bookmarkStart w:name="_bookmark1223" w:id="1225"/>
      <w:bookmarkEnd w:id="1225"/>
      <w:r>
        <w:rPr/>
      </w:r>
      <w:hyperlink w:history="true" w:anchor="_bookmark988">
        <w:r>
          <w:rPr>
            <w:color w:val="005DA1"/>
            <w:spacing w:val="-4"/>
            <w:position w:val="5"/>
            <w:sz w:val="14"/>
            <w:u w:val="single" w:color="005DA1"/>
          </w:rPr>
          <w:t>592</w:t>
        </w:r>
      </w:hyperlink>
      <w:r>
        <w:rPr>
          <w:spacing w:val="-4"/>
          <w:position w:val="5"/>
          <w:sz w:val="14"/>
        </w:rPr>
        <w:t>.</w:t>
      </w:r>
      <w:r>
        <w:rPr>
          <w:position w:val="5"/>
          <w:sz w:val="14"/>
        </w:rPr>
        <w:tab/>
      </w:r>
      <w:r>
        <w:rPr>
          <w:sz w:val="20"/>
        </w:rPr>
        <w:t>Above, para.4-</w:t>
      </w:r>
      <w:r>
        <w:rPr>
          <w:spacing w:val="-4"/>
          <w:sz w:val="20"/>
        </w:rPr>
        <w:t>097.</w:t>
      </w:r>
    </w:p>
    <w:p>
      <w:pPr>
        <w:pStyle w:val="BodyText"/>
        <w:spacing w:before="8"/>
      </w:pPr>
    </w:p>
    <w:p>
      <w:pPr>
        <w:pStyle w:val="BodyText"/>
        <w:spacing w:line="235" w:lineRule="auto"/>
        <w:ind w:left="705" w:right="167" w:hanging="541"/>
        <w:jc w:val="both"/>
      </w:pPr>
      <w:bookmarkStart w:name="_bookmark1224" w:id="1226"/>
      <w:bookmarkEnd w:id="1226"/>
      <w:r>
        <w:rPr/>
      </w:r>
      <w:hyperlink w:history="true" w:anchor="_bookmark989">
        <w:r>
          <w:rPr>
            <w:color w:val="005DA1"/>
            <w:position w:val="5"/>
            <w:sz w:val="14"/>
            <w:u w:val="single" w:color="005DA1"/>
          </w:rPr>
          <w:t>593</w:t>
        </w:r>
      </w:hyperlink>
      <w:r>
        <w:rPr>
          <w:position w:val="5"/>
          <w:sz w:val="14"/>
        </w:rPr>
        <w:t>.</w:t>
      </w:r>
      <w:r>
        <w:rPr>
          <w:spacing w:val="40"/>
          <w:position w:val="5"/>
          <w:sz w:val="14"/>
        </w:rPr>
        <w:t>  </w:t>
      </w:r>
      <w:r>
        <w:rPr/>
        <w:t>This point accounts for the rule that estoppel by </w:t>
      </w:r>
      <w:r>
        <w:rPr>
          <w:rFonts w:ascii="Arial" w:hAnsi="Arial"/>
          <w:i/>
        </w:rPr>
        <w:t>representation </w:t>
      </w:r>
      <w:r>
        <w:rPr/>
        <w:t>does not give rise to a cause of action: </w:t>
      </w:r>
      <w:r>
        <w:rPr>
          <w:rFonts w:ascii="Arial" w:hAnsi="Arial"/>
          <w:i/>
        </w:rPr>
        <w:t>Low v Bouverie [1891] 3 Ch. 82 </w:t>
      </w:r>
      <w:r>
        <w:rPr/>
        <w:t>at 101, 105. If, for example, there are </w:t>
      </w:r>
      <w:r>
        <w:rPr/>
        <w:t>two warehousemen, A and B, and A represents to C that goods which have been bought by C are</w:t>
      </w:r>
      <w:r>
        <w:rPr>
          <w:spacing w:val="40"/>
        </w:rPr>
        <w:t> </w:t>
      </w:r>
      <w:r>
        <w:rPr/>
        <w:t>in B’s warehouse when they are not, then the fact that A is estopped from denying the truth of the representation does not make A liable to C as a bailee of those goods. The rule that </w:t>
      </w:r>
      <w:r>
        <w:rPr>
          <w:rFonts w:ascii="Arial" w:hAnsi="Arial"/>
          <w:i/>
        </w:rPr>
        <w:t>promissory </w:t>
      </w:r>
      <w:r>
        <w:rPr/>
        <w:t>estoppel does not give rise to a cause of action is based on different grounds explained in para.4-099 above.</w:t>
      </w:r>
    </w:p>
    <w:p>
      <w:pPr>
        <w:pStyle w:val="BodyText"/>
        <w:spacing w:before="7"/>
      </w:pPr>
    </w:p>
    <w:p>
      <w:pPr>
        <w:spacing w:line="235" w:lineRule="auto" w:before="1"/>
        <w:ind w:left="705" w:right="167" w:hanging="541"/>
        <w:jc w:val="both"/>
        <w:rPr>
          <w:sz w:val="20"/>
        </w:rPr>
      </w:pPr>
      <w:bookmarkStart w:name="_bookmark1225" w:id="1227"/>
      <w:bookmarkEnd w:id="1227"/>
      <w:r>
        <w:rPr/>
      </w:r>
      <w:hyperlink w:history="true" w:anchor="_bookmark990">
        <w:r>
          <w:rPr>
            <w:color w:val="005DA1"/>
            <w:position w:val="5"/>
            <w:sz w:val="14"/>
            <w:u w:val="single" w:color="005DA1"/>
          </w:rPr>
          <w:t>594</w:t>
        </w:r>
      </w:hyperlink>
      <w:r>
        <w:rPr>
          <w:position w:val="5"/>
          <w:sz w:val="14"/>
        </w:rPr>
        <w:t>.</w:t>
      </w:r>
      <w:r>
        <w:rPr>
          <w:spacing w:val="40"/>
          <w:position w:val="5"/>
          <w:sz w:val="14"/>
        </w:rPr>
        <w:t>  </w:t>
      </w:r>
      <w:r>
        <w:rPr>
          <w:rFonts w:ascii="Arial"/>
          <w:i/>
          <w:sz w:val="20"/>
        </w:rPr>
        <w:t>(1877) 2 App. Cas. 439</w:t>
      </w:r>
      <w:r>
        <w:rPr>
          <w:sz w:val="20"/>
        </w:rPr>
        <w:t>, above, para.4-086. In </w:t>
      </w:r>
      <w:r>
        <w:rPr>
          <w:rFonts w:ascii="Arial"/>
          <w:i/>
          <w:sz w:val="20"/>
        </w:rPr>
        <w:t>Central London Property Trust Ltd v High Trees House Ltd [1947] K.B. 130 </w:t>
      </w:r>
      <w:r>
        <w:rPr>
          <w:sz w:val="20"/>
        </w:rPr>
        <w:t>(below para.4-130) the fact that the promise had been made </w:t>
      </w:r>
      <w:r>
        <w:rPr>
          <w:sz w:val="20"/>
        </w:rPr>
        <w:t>was likewise not in dispute.</w:t>
      </w:r>
    </w:p>
    <w:p>
      <w:pPr>
        <w:pStyle w:val="BodyText"/>
        <w:spacing w:before="5"/>
      </w:pPr>
    </w:p>
    <w:p>
      <w:pPr>
        <w:tabs>
          <w:tab w:pos="705" w:val="left" w:leader="none"/>
        </w:tabs>
        <w:spacing w:before="0"/>
        <w:ind w:left="165" w:right="0" w:firstLine="0"/>
        <w:jc w:val="left"/>
        <w:rPr>
          <w:sz w:val="20"/>
        </w:rPr>
      </w:pPr>
      <w:bookmarkStart w:name="_bookmark1226" w:id="1228"/>
      <w:bookmarkEnd w:id="1228"/>
      <w:r>
        <w:rPr/>
      </w:r>
      <w:hyperlink w:history="true" w:anchor="_bookmark991">
        <w:r>
          <w:rPr>
            <w:color w:val="005DA1"/>
            <w:spacing w:val="-4"/>
            <w:position w:val="5"/>
            <w:sz w:val="14"/>
            <w:u w:val="single" w:color="005DA1"/>
          </w:rPr>
          <w:t>595</w:t>
        </w:r>
      </w:hyperlink>
      <w:r>
        <w:rPr>
          <w:spacing w:val="-4"/>
          <w:position w:val="5"/>
          <w:sz w:val="14"/>
        </w:rPr>
        <w:t>.</w:t>
      </w:r>
      <w:r>
        <w:rPr>
          <w:position w:val="5"/>
          <w:sz w:val="14"/>
        </w:rPr>
        <w:tab/>
      </w:r>
      <w:r>
        <w:rPr>
          <w:rFonts w:ascii="Arial"/>
          <w:i/>
          <w:sz w:val="20"/>
        </w:rPr>
        <w:t>Central London Property Trust Ltd v High Trees House Ltd [1947] K.B. 130, </w:t>
      </w:r>
      <w:r>
        <w:rPr>
          <w:rFonts w:ascii="Arial"/>
          <w:i/>
          <w:spacing w:val="-4"/>
          <w:sz w:val="20"/>
        </w:rPr>
        <w:t>134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27" w:id="1229"/>
      <w:bookmarkEnd w:id="1229"/>
      <w:r>
        <w:rPr/>
      </w:r>
      <w:hyperlink w:history="true" w:anchor="_bookmark992">
        <w:r>
          <w:rPr>
            <w:color w:val="005DA1"/>
            <w:spacing w:val="-4"/>
            <w:position w:val="5"/>
            <w:sz w:val="14"/>
            <w:u w:val="single" w:color="005DA1"/>
          </w:rPr>
          <w:t>596</w:t>
        </w:r>
      </w:hyperlink>
      <w:r>
        <w:rPr>
          <w:spacing w:val="-4"/>
          <w:position w:val="5"/>
          <w:sz w:val="14"/>
        </w:rPr>
        <w:t>.</w:t>
      </w:r>
      <w:r>
        <w:rPr>
          <w:position w:val="5"/>
          <w:sz w:val="14"/>
        </w:rPr>
        <w:tab/>
      </w:r>
      <w:r>
        <w:rPr>
          <w:sz w:val="20"/>
        </w:rPr>
        <w:t>Above, para.4-</w:t>
      </w:r>
      <w:r>
        <w:rPr>
          <w:spacing w:val="-4"/>
          <w:sz w:val="20"/>
        </w:rPr>
        <w:t>082.</w:t>
      </w:r>
    </w:p>
    <w:p>
      <w:pPr>
        <w:pStyle w:val="BodyText"/>
        <w:spacing w:before="5"/>
      </w:pPr>
    </w:p>
    <w:p>
      <w:pPr>
        <w:tabs>
          <w:tab w:pos="705" w:val="left" w:leader="none"/>
        </w:tabs>
        <w:spacing w:before="0"/>
        <w:ind w:left="165" w:right="0" w:firstLine="0"/>
        <w:jc w:val="left"/>
        <w:rPr>
          <w:sz w:val="20"/>
        </w:rPr>
      </w:pPr>
      <w:bookmarkStart w:name="_bookmark1228" w:id="1230"/>
      <w:bookmarkEnd w:id="1230"/>
      <w:r>
        <w:rPr/>
      </w:r>
      <w:hyperlink w:history="true" w:anchor="_bookmark993">
        <w:r>
          <w:rPr>
            <w:color w:val="005DA1"/>
            <w:spacing w:val="-4"/>
            <w:position w:val="5"/>
            <w:sz w:val="14"/>
            <w:u w:val="single" w:color="005DA1"/>
          </w:rPr>
          <w:t>597</w:t>
        </w:r>
      </w:hyperlink>
      <w:r>
        <w:rPr>
          <w:spacing w:val="-4"/>
          <w:position w:val="5"/>
          <w:sz w:val="14"/>
        </w:rPr>
        <w:t>.</w:t>
      </w:r>
      <w:r>
        <w:rPr>
          <w:position w:val="5"/>
          <w:sz w:val="14"/>
        </w:rPr>
        <w:tab/>
      </w:r>
      <w:r>
        <w:rPr>
          <w:sz w:val="20"/>
        </w:rPr>
        <w:t>Above para.4-</w:t>
      </w:r>
      <w:r>
        <w:rPr>
          <w:spacing w:val="-4"/>
          <w:sz w:val="20"/>
        </w:rPr>
        <w:t>085.</w:t>
      </w:r>
    </w:p>
    <w:p>
      <w:pPr>
        <w:pStyle w:val="BodyText"/>
        <w:spacing w:before="5"/>
      </w:pPr>
    </w:p>
    <w:p>
      <w:pPr>
        <w:tabs>
          <w:tab w:pos="705" w:val="left" w:leader="none"/>
        </w:tabs>
        <w:spacing w:before="0"/>
        <w:ind w:left="165" w:right="0" w:firstLine="0"/>
        <w:jc w:val="left"/>
        <w:rPr>
          <w:sz w:val="20"/>
        </w:rPr>
      </w:pPr>
      <w:bookmarkStart w:name="_bookmark1229" w:id="1231"/>
      <w:bookmarkEnd w:id="1231"/>
      <w:r>
        <w:rPr/>
      </w:r>
      <w:hyperlink w:history="true" w:anchor="_bookmark994">
        <w:r>
          <w:rPr>
            <w:color w:val="005DA1"/>
            <w:spacing w:val="-4"/>
            <w:position w:val="5"/>
            <w:sz w:val="14"/>
            <w:u w:val="single" w:color="005DA1"/>
          </w:rPr>
          <w:t>598</w:t>
        </w:r>
      </w:hyperlink>
      <w:r>
        <w:rPr>
          <w:spacing w:val="-4"/>
          <w:position w:val="5"/>
          <w:sz w:val="14"/>
        </w:rPr>
        <w:t>.</w:t>
      </w:r>
      <w:r>
        <w:rPr>
          <w:position w:val="5"/>
          <w:sz w:val="14"/>
        </w:rPr>
        <w:tab/>
      </w:r>
      <w:r>
        <w:rPr>
          <w:rFonts w:ascii="Arial"/>
          <w:i/>
          <w:sz w:val="20"/>
        </w:rPr>
        <w:t>[1972]</w:t>
      </w:r>
      <w:r>
        <w:rPr>
          <w:rFonts w:ascii="Arial"/>
          <w:i/>
          <w:spacing w:val="-2"/>
          <w:sz w:val="20"/>
        </w:rPr>
        <w:t> </w:t>
      </w:r>
      <w:r>
        <w:rPr>
          <w:rFonts w:ascii="Arial"/>
          <w:i/>
          <w:sz w:val="20"/>
        </w:rPr>
        <w:t>A.C. 741, </w:t>
      </w:r>
      <w:r>
        <w:rPr>
          <w:rFonts w:ascii="Arial"/>
          <w:i/>
          <w:spacing w:val="-4"/>
          <w:sz w:val="20"/>
        </w:rPr>
        <w:t>762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30" w:id="1232"/>
      <w:bookmarkEnd w:id="1232"/>
      <w:r>
        <w:rPr/>
      </w:r>
      <w:hyperlink w:history="true" w:anchor="_bookmark995">
        <w:r>
          <w:rPr>
            <w:color w:val="005DA1"/>
            <w:spacing w:val="-4"/>
            <w:position w:val="5"/>
            <w:sz w:val="14"/>
            <w:u w:val="single" w:color="005DA1"/>
          </w:rPr>
          <w:t>599</w:t>
        </w:r>
      </w:hyperlink>
      <w:r>
        <w:rPr>
          <w:spacing w:val="-4"/>
          <w:position w:val="5"/>
          <w:sz w:val="14"/>
        </w:rPr>
        <w:t>.</w:t>
      </w:r>
      <w:r>
        <w:rPr>
          <w:position w:val="5"/>
          <w:sz w:val="14"/>
        </w:rPr>
        <w:tab/>
      </w:r>
      <w:r>
        <w:rPr>
          <w:rFonts w:ascii="Arial"/>
          <w:i/>
          <w:sz w:val="20"/>
        </w:rPr>
        <w:t>(1877)</w:t>
      </w:r>
      <w:r>
        <w:rPr>
          <w:rFonts w:ascii="Arial"/>
          <w:i/>
          <w:spacing w:val="-1"/>
          <w:sz w:val="20"/>
        </w:rPr>
        <w:t> </w:t>
      </w:r>
      <w:r>
        <w:rPr>
          <w:rFonts w:ascii="Arial"/>
          <w:i/>
          <w:sz w:val="20"/>
        </w:rPr>
        <w:t>2 App. Cas. 439</w:t>
      </w:r>
      <w:r>
        <w:rPr>
          <w:sz w:val="20"/>
        </w:rPr>
        <w:t>; above, para.4-</w:t>
      </w:r>
      <w:r>
        <w:rPr>
          <w:spacing w:val="-4"/>
          <w:sz w:val="20"/>
        </w:rPr>
        <w:t>086.</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bookmarkStart w:name="_bookmark1231" w:id="1233"/>
      <w:bookmarkEnd w:id="1233"/>
      <w:r>
        <w:rPr/>
      </w:r>
      <w:hyperlink w:history="true" w:anchor="_bookmark996">
        <w:r>
          <w:rPr>
            <w:color w:val="005DA1"/>
            <w:spacing w:val="-4"/>
            <w:sz w:val="14"/>
            <w:u w:val="single" w:color="005DA1"/>
          </w:rPr>
          <w:t>600</w:t>
        </w:r>
      </w:hyperlink>
      <w:r>
        <w:rPr>
          <w:spacing w:val="-4"/>
          <w:sz w:val="14"/>
        </w:rPr>
        <w:t>.</w:t>
      </w:r>
    </w:p>
    <w:p>
      <w:pPr>
        <w:spacing w:line="235" w:lineRule="auto" w:before="212"/>
        <w:ind w:left="165" w:right="168" w:firstLine="170"/>
        <w:jc w:val="both"/>
        <w:rPr>
          <w:sz w:val="20"/>
        </w:rPr>
      </w:pPr>
      <w:r>
        <w:rPr/>
        <w:br w:type="column"/>
      </w:r>
      <w:r>
        <w:rPr>
          <w:sz w:val="20"/>
        </w:rPr>
        <w:t>e.g. </w:t>
      </w:r>
      <w:r>
        <w:rPr>
          <w:rFonts w:ascii="Arial" w:hAnsi="Arial"/>
          <w:i/>
          <w:sz w:val="20"/>
        </w:rPr>
        <w:t>Ogilvy v Hope-Davies [1976] 1 All E.R. 683, 688–689</w:t>
      </w:r>
      <w:r>
        <w:rPr>
          <w:sz w:val="20"/>
        </w:rPr>
        <w:t>; </w:t>
      </w:r>
      <w:r>
        <w:rPr>
          <w:rFonts w:ascii="Arial" w:hAnsi="Arial"/>
          <w:i/>
          <w:sz w:val="20"/>
        </w:rPr>
        <w:t>Finagrain SA Geneva v P. </w:t>
      </w:r>
      <w:r>
        <w:rPr>
          <w:rFonts w:ascii="Arial" w:hAnsi="Arial"/>
          <w:i/>
          <w:sz w:val="20"/>
        </w:rPr>
        <w:t>Kruse Hamburg [1976] 2 Lloyd’s Rep. 508, 534</w:t>
      </w:r>
      <w:r>
        <w:rPr>
          <w:sz w:val="20"/>
        </w:rPr>
        <w:t>; </w:t>
      </w:r>
      <w:r>
        <w:rPr>
          <w:rFonts w:ascii="Arial" w:hAnsi="Arial"/>
          <w:i/>
          <w:sz w:val="20"/>
        </w:rPr>
        <w:t>Bremer Handelsgesellschaft mbH v C. Mackprang Jr. [1979] 1 Lloyd’s Rep. 221, 226</w:t>
      </w:r>
      <w:r>
        <w:rPr>
          <w:sz w:val="20"/>
        </w:rPr>
        <w:t>; </w:t>
      </w:r>
      <w:r>
        <w:rPr>
          <w:rFonts w:ascii="Arial" w:hAnsi="Arial"/>
          <w:i/>
          <w:sz w:val="20"/>
        </w:rPr>
        <w:t>Prosper Homes v Hambro’s Bank Executor &amp; Trustee Co</w:t>
      </w:r>
      <w:r>
        <w:rPr>
          <w:rFonts w:ascii="Arial" w:hAnsi="Arial"/>
          <w:i/>
          <w:spacing w:val="40"/>
          <w:sz w:val="20"/>
        </w:rPr>
        <w:t> </w:t>
      </w:r>
      <w:r>
        <w:rPr>
          <w:rFonts w:ascii="Arial" w:hAnsi="Arial"/>
          <w:i/>
          <w:sz w:val="20"/>
        </w:rPr>
        <w:t>(1979)</w:t>
      </w:r>
      <w:r>
        <w:rPr>
          <w:rFonts w:ascii="Arial" w:hAnsi="Arial"/>
          <w:i/>
          <w:spacing w:val="12"/>
          <w:sz w:val="20"/>
        </w:rPr>
        <w:t> </w:t>
      </w:r>
      <w:r>
        <w:rPr>
          <w:rFonts w:ascii="Arial" w:hAnsi="Arial"/>
          <w:i/>
          <w:sz w:val="20"/>
        </w:rPr>
        <w:t>39</w:t>
      </w:r>
      <w:r>
        <w:rPr>
          <w:rFonts w:ascii="Arial" w:hAnsi="Arial"/>
          <w:i/>
          <w:spacing w:val="13"/>
          <w:sz w:val="20"/>
        </w:rPr>
        <w:t> </w:t>
      </w:r>
      <w:r>
        <w:rPr>
          <w:rFonts w:ascii="Arial" w:hAnsi="Arial"/>
          <w:i/>
          <w:sz w:val="20"/>
        </w:rPr>
        <w:t>R.</w:t>
      </w:r>
      <w:r>
        <w:rPr>
          <w:rFonts w:ascii="Arial" w:hAnsi="Arial"/>
          <w:i/>
          <w:spacing w:val="13"/>
          <w:sz w:val="20"/>
        </w:rPr>
        <w:t> </w:t>
      </w:r>
      <w:r>
        <w:rPr>
          <w:rFonts w:ascii="Arial" w:hAnsi="Arial"/>
          <w:i/>
          <w:sz w:val="20"/>
        </w:rPr>
        <w:t>&amp;</w:t>
      </w:r>
      <w:r>
        <w:rPr>
          <w:rFonts w:ascii="Arial" w:hAnsi="Arial"/>
          <w:i/>
          <w:spacing w:val="13"/>
          <w:sz w:val="20"/>
        </w:rPr>
        <w:t> </w:t>
      </w:r>
      <w:r>
        <w:rPr>
          <w:rFonts w:ascii="Arial" w:hAnsi="Arial"/>
          <w:i/>
          <w:sz w:val="20"/>
        </w:rPr>
        <w:t>C.R.</w:t>
      </w:r>
      <w:r>
        <w:rPr>
          <w:rFonts w:ascii="Arial" w:hAnsi="Arial"/>
          <w:i/>
          <w:spacing w:val="13"/>
          <w:sz w:val="20"/>
        </w:rPr>
        <w:t> </w:t>
      </w:r>
      <w:r>
        <w:rPr>
          <w:rFonts w:ascii="Arial" w:hAnsi="Arial"/>
          <w:i/>
          <w:sz w:val="20"/>
        </w:rPr>
        <w:t>395,</w:t>
      </w:r>
      <w:r>
        <w:rPr>
          <w:rFonts w:ascii="Arial" w:hAnsi="Arial"/>
          <w:i/>
          <w:spacing w:val="13"/>
          <w:sz w:val="20"/>
        </w:rPr>
        <w:t> </w:t>
      </w:r>
      <w:r>
        <w:rPr>
          <w:rFonts w:ascii="Arial" w:hAnsi="Arial"/>
          <w:i/>
          <w:sz w:val="20"/>
        </w:rPr>
        <w:t>401</w:t>
      </w:r>
      <w:r>
        <w:rPr>
          <w:sz w:val="20"/>
        </w:rPr>
        <w:t>;</w:t>
      </w:r>
      <w:r>
        <w:rPr>
          <w:spacing w:val="13"/>
          <w:sz w:val="20"/>
        </w:rPr>
        <w:t> </w:t>
      </w:r>
      <w:r>
        <w:rPr>
          <w:rFonts w:ascii="Arial" w:hAnsi="Arial"/>
          <w:i/>
          <w:sz w:val="20"/>
        </w:rPr>
        <w:t>Brikom</w:t>
      </w:r>
      <w:r>
        <w:rPr>
          <w:rFonts w:ascii="Arial" w:hAnsi="Arial"/>
          <w:i/>
          <w:spacing w:val="13"/>
          <w:sz w:val="20"/>
        </w:rPr>
        <w:t> </w:t>
      </w:r>
      <w:r>
        <w:rPr>
          <w:rFonts w:ascii="Arial" w:hAnsi="Arial"/>
          <w:i/>
          <w:sz w:val="20"/>
        </w:rPr>
        <w:t>Investments</w:t>
      </w:r>
      <w:r>
        <w:rPr>
          <w:rFonts w:ascii="Arial" w:hAnsi="Arial"/>
          <w:i/>
          <w:spacing w:val="13"/>
          <w:sz w:val="20"/>
        </w:rPr>
        <w:t> </w:t>
      </w:r>
      <w:r>
        <w:rPr>
          <w:rFonts w:ascii="Arial" w:hAnsi="Arial"/>
          <w:i/>
          <w:sz w:val="20"/>
        </w:rPr>
        <w:t>Ltd</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Carr</w:t>
      </w:r>
      <w:r>
        <w:rPr>
          <w:rFonts w:ascii="Arial" w:hAnsi="Arial"/>
          <w:i/>
          <w:spacing w:val="13"/>
          <w:sz w:val="20"/>
        </w:rPr>
        <w:t> </w:t>
      </w:r>
      <w:r>
        <w:rPr>
          <w:rFonts w:ascii="Arial" w:hAnsi="Arial"/>
          <w:i/>
          <w:sz w:val="20"/>
        </w:rPr>
        <w:t>[1979]</w:t>
      </w:r>
      <w:r>
        <w:rPr>
          <w:rFonts w:ascii="Arial" w:hAnsi="Arial"/>
          <w:i/>
          <w:spacing w:val="13"/>
          <w:sz w:val="20"/>
        </w:rPr>
        <w:t> </w:t>
      </w:r>
      <w:r>
        <w:rPr>
          <w:rFonts w:ascii="Arial" w:hAnsi="Arial"/>
          <w:i/>
          <w:sz w:val="20"/>
        </w:rPr>
        <w:t>Q.B.</w:t>
      </w:r>
      <w:r>
        <w:rPr>
          <w:rFonts w:ascii="Arial" w:hAnsi="Arial"/>
          <w:i/>
          <w:spacing w:val="13"/>
          <w:sz w:val="20"/>
        </w:rPr>
        <w:t> </w:t>
      </w:r>
      <w:r>
        <w:rPr>
          <w:rFonts w:ascii="Arial" w:hAnsi="Arial"/>
          <w:i/>
          <w:sz w:val="20"/>
        </w:rPr>
        <w:t>467,</w:t>
      </w:r>
      <w:r>
        <w:rPr>
          <w:rFonts w:ascii="Arial" w:hAnsi="Arial"/>
          <w:i/>
          <w:spacing w:val="13"/>
          <w:sz w:val="20"/>
        </w:rPr>
        <w:t> </w:t>
      </w:r>
      <w:r>
        <w:rPr>
          <w:rFonts w:ascii="Arial" w:hAnsi="Arial"/>
          <w:i/>
          <w:sz w:val="20"/>
        </w:rPr>
        <w:t>488,</w:t>
      </w:r>
      <w:r>
        <w:rPr>
          <w:rFonts w:ascii="Arial" w:hAnsi="Arial"/>
          <w:i/>
          <w:spacing w:val="13"/>
          <w:sz w:val="20"/>
        </w:rPr>
        <w:t> </w:t>
      </w:r>
      <w:r>
        <w:rPr>
          <w:rFonts w:ascii="Arial" w:hAnsi="Arial"/>
          <w:i/>
          <w:sz w:val="20"/>
        </w:rPr>
        <w:t>489,</w:t>
      </w:r>
      <w:r>
        <w:rPr>
          <w:rFonts w:ascii="Arial" w:hAnsi="Arial"/>
          <w:i/>
          <w:spacing w:val="13"/>
          <w:sz w:val="20"/>
        </w:rPr>
        <w:t> </w:t>
      </w:r>
      <w:r>
        <w:rPr>
          <w:rFonts w:ascii="Arial" w:hAnsi="Arial"/>
          <w:i/>
          <w:spacing w:val="-4"/>
          <w:sz w:val="20"/>
        </w:rPr>
        <w:t>490</w:t>
      </w:r>
      <w:r>
        <w:rPr>
          <w:spacing w:val="-4"/>
          <w:sz w:val="20"/>
        </w:rPr>
        <w:t>;</w:t>
      </w:r>
    </w:p>
    <w:p>
      <w:pPr>
        <w:spacing w:line="235" w:lineRule="auto" w:before="0"/>
        <w:ind w:left="165" w:right="167" w:firstLine="0"/>
        <w:jc w:val="both"/>
        <w:rPr>
          <w:rFonts w:ascii="Arial" w:hAnsi="Arial"/>
          <w:i/>
          <w:sz w:val="20"/>
        </w:rPr>
      </w:pPr>
      <w:r>
        <w:rPr>
          <w:rFonts w:ascii="Arial" w:hAnsi="Arial"/>
          <w:i/>
          <w:sz w:val="20"/>
        </w:rPr>
        <w:drawing>
          <wp:anchor distT="0" distB="0" distL="0" distR="0" allowOverlap="1" layoutInCell="1" locked="0" behindDoc="0" simplePos="0" relativeHeight="15774720">
            <wp:simplePos x="0" y="0"/>
            <wp:positionH relativeFrom="page">
              <wp:posOffset>1257846</wp:posOffset>
            </wp:positionH>
            <wp:positionV relativeFrom="paragraph">
              <wp:posOffset>-546905</wp:posOffset>
            </wp:positionV>
            <wp:extent cx="107988" cy="107988"/>
            <wp:effectExtent l="0" t="0" r="0" b="0"/>
            <wp:wrapNone/>
            <wp:docPr id="202" name="Image 202"/>
            <wp:cNvGraphicFramePr>
              <a:graphicFrameLocks/>
            </wp:cNvGraphicFramePr>
            <a:graphic>
              <a:graphicData uri="http://schemas.openxmlformats.org/drawingml/2006/picture">
                <pic:pic>
                  <pic:nvPicPr>
                    <pic:cNvPr id="202" name="Image 202"/>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sz w:val="20"/>
        </w:rPr>
        <w:t>Scandinavian Trading Tanker Co A.B. v Flota Petrolera Ecuatoriana (The Scaptrade) [1981] </w:t>
      </w:r>
      <w:r>
        <w:rPr>
          <w:rFonts w:ascii="Arial" w:hAnsi="Arial"/>
          <w:i/>
          <w:sz w:val="20"/>
        </w:rPr>
        <w:t>2 Lloyd’s Rep. 425, 430 </w:t>
      </w:r>
      <w:r>
        <w:rPr>
          <w:sz w:val="20"/>
        </w:rPr>
        <w:t>(affirmed without reference to this point </w:t>
      </w:r>
      <w:r>
        <w:rPr>
          <w:rFonts w:ascii="Arial" w:hAnsi="Arial"/>
          <w:i/>
          <w:sz w:val="20"/>
        </w:rPr>
        <w:t>[1983] 2 A.C. 694</w:t>
      </w:r>
      <w:r>
        <w:rPr>
          <w:sz w:val="20"/>
        </w:rPr>
        <w:t>) </w:t>
      </w:r>
      <w:r>
        <w:rPr>
          <w:rFonts w:ascii="Arial" w:hAnsi="Arial"/>
          <w:i/>
          <w:sz w:val="20"/>
        </w:rPr>
        <w:t>Procter &amp; Gamble</w:t>
      </w:r>
      <w:r>
        <w:rPr>
          <w:rFonts w:ascii="Arial" w:hAnsi="Arial"/>
          <w:i/>
          <w:spacing w:val="14"/>
          <w:sz w:val="20"/>
        </w:rPr>
        <w:t> </w:t>
      </w:r>
      <w:r>
        <w:rPr>
          <w:rFonts w:ascii="Arial" w:hAnsi="Arial"/>
          <w:i/>
          <w:sz w:val="20"/>
        </w:rPr>
        <w:t>Philippine</w:t>
      </w:r>
      <w:r>
        <w:rPr>
          <w:rFonts w:ascii="Arial" w:hAnsi="Arial"/>
          <w:i/>
          <w:spacing w:val="14"/>
          <w:sz w:val="20"/>
        </w:rPr>
        <w:t> </w:t>
      </w:r>
      <w:r>
        <w:rPr>
          <w:rFonts w:ascii="Arial" w:hAnsi="Arial"/>
          <w:i/>
          <w:sz w:val="20"/>
        </w:rPr>
        <w:t>Manufacturing</w:t>
      </w:r>
      <w:r>
        <w:rPr>
          <w:rFonts w:ascii="Arial" w:hAnsi="Arial"/>
          <w:i/>
          <w:spacing w:val="14"/>
          <w:sz w:val="20"/>
        </w:rPr>
        <w:t> </w:t>
      </w:r>
      <w:r>
        <w:rPr>
          <w:rFonts w:ascii="Arial" w:hAnsi="Arial"/>
          <w:i/>
          <w:sz w:val="20"/>
        </w:rPr>
        <w:t>Corp.</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Peter</w:t>
      </w:r>
      <w:r>
        <w:rPr>
          <w:rFonts w:ascii="Arial" w:hAnsi="Arial"/>
          <w:i/>
          <w:spacing w:val="14"/>
          <w:sz w:val="20"/>
        </w:rPr>
        <w:t> </w:t>
      </w:r>
      <w:r>
        <w:rPr>
          <w:rFonts w:ascii="Arial" w:hAnsi="Arial"/>
          <w:i/>
          <w:sz w:val="20"/>
        </w:rPr>
        <w:t>Cremer</w:t>
      </w:r>
      <w:r>
        <w:rPr>
          <w:rFonts w:ascii="Arial" w:hAnsi="Arial"/>
          <w:i/>
          <w:spacing w:val="14"/>
          <w:sz w:val="20"/>
        </w:rPr>
        <w:t> </w:t>
      </w:r>
      <w:r>
        <w:rPr>
          <w:rFonts w:ascii="Arial" w:hAnsi="Arial"/>
          <w:i/>
          <w:sz w:val="20"/>
        </w:rPr>
        <w:t>GmbH</w:t>
      </w:r>
      <w:r>
        <w:rPr>
          <w:rFonts w:ascii="Arial" w:hAnsi="Arial"/>
          <w:i/>
          <w:spacing w:val="14"/>
          <w:sz w:val="20"/>
        </w:rPr>
        <w:t> </w:t>
      </w:r>
      <w:r>
        <w:rPr>
          <w:rFonts w:ascii="Arial" w:hAnsi="Arial"/>
          <w:i/>
          <w:sz w:val="20"/>
        </w:rPr>
        <w:t>&amp;</w:t>
      </w:r>
      <w:r>
        <w:rPr>
          <w:rFonts w:ascii="Arial" w:hAnsi="Arial"/>
          <w:i/>
          <w:spacing w:val="14"/>
          <w:sz w:val="20"/>
        </w:rPr>
        <w:t> </w:t>
      </w:r>
      <w:r>
        <w:rPr>
          <w:rFonts w:ascii="Arial" w:hAnsi="Arial"/>
          <w:i/>
          <w:sz w:val="20"/>
        </w:rPr>
        <w:t>Co</w:t>
      </w:r>
      <w:r>
        <w:rPr>
          <w:rFonts w:ascii="Arial" w:hAnsi="Arial"/>
          <w:i/>
          <w:spacing w:val="14"/>
          <w:sz w:val="20"/>
        </w:rPr>
        <w:t> </w:t>
      </w:r>
      <w:r>
        <w:rPr>
          <w:rFonts w:ascii="Arial" w:hAnsi="Arial"/>
          <w:i/>
          <w:sz w:val="20"/>
        </w:rPr>
        <w:t>(The</w:t>
      </w:r>
      <w:r>
        <w:rPr>
          <w:rFonts w:ascii="Arial" w:hAnsi="Arial"/>
          <w:i/>
          <w:spacing w:val="14"/>
          <w:sz w:val="20"/>
        </w:rPr>
        <w:t> </w:t>
      </w:r>
      <w:r>
        <w:rPr>
          <w:rFonts w:ascii="Arial" w:hAnsi="Arial"/>
          <w:i/>
          <w:sz w:val="20"/>
        </w:rPr>
        <w:t>Manila)</w:t>
      </w:r>
      <w:r>
        <w:rPr>
          <w:rFonts w:ascii="Arial" w:hAnsi="Arial"/>
          <w:i/>
          <w:spacing w:val="14"/>
          <w:sz w:val="20"/>
        </w:rPr>
        <w:t> </w:t>
      </w:r>
      <w:r>
        <w:rPr>
          <w:rFonts w:ascii="Arial" w:hAnsi="Arial"/>
          <w:i/>
          <w:sz w:val="20"/>
        </w:rPr>
        <w:t>[1988]</w:t>
      </w:r>
      <w:r>
        <w:rPr>
          <w:rFonts w:ascii="Arial" w:hAnsi="Arial"/>
          <w:i/>
          <w:spacing w:val="14"/>
          <w:sz w:val="20"/>
        </w:rPr>
        <w:t> </w:t>
      </w:r>
      <w:r>
        <w:rPr>
          <w:rFonts w:ascii="Arial" w:hAnsi="Arial"/>
          <w:i/>
          <w:sz w:val="20"/>
        </w:rPr>
        <w:t>3</w:t>
      </w:r>
      <w:r>
        <w:rPr>
          <w:rFonts w:ascii="Arial" w:hAnsi="Arial"/>
          <w:i/>
          <w:spacing w:val="14"/>
          <w:sz w:val="20"/>
        </w:rPr>
        <w:t> </w:t>
      </w:r>
      <w:r>
        <w:rPr>
          <w:rFonts w:ascii="Arial" w:hAnsi="Arial"/>
          <w:i/>
          <w:spacing w:val="-5"/>
          <w:sz w:val="20"/>
        </w:rPr>
        <w:t>All</w:t>
      </w:r>
    </w:p>
    <w:p>
      <w:pPr>
        <w:spacing w:line="235" w:lineRule="auto" w:before="0"/>
        <w:ind w:left="165" w:right="167" w:firstLine="0"/>
        <w:jc w:val="both"/>
        <w:rPr>
          <w:rFonts w:ascii="Arial"/>
          <w:i/>
          <w:sz w:val="20"/>
        </w:rPr>
      </w:pPr>
      <w:r>
        <w:rPr>
          <w:rFonts w:ascii="Arial"/>
          <w:i/>
          <w:sz w:val="20"/>
        </w:rPr>
        <w:t>E.R. 843, 853</w:t>
      </w:r>
      <w:r>
        <w:rPr>
          <w:sz w:val="20"/>
        </w:rPr>
        <w:t>; </w:t>
      </w:r>
      <w:r>
        <w:rPr>
          <w:rFonts w:ascii="Arial"/>
          <w:i/>
          <w:sz w:val="20"/>
        </w:rPr>
        <w:t>MSAS Global Logistics Ltd v Power Packaging Inc [2003] EWHC 1393, </w:t>
      </w:r>
      <w:r>
        <w:rPr>
          <w:rFonts w:ascii="Arial"/>
          <w:i/>
          <w:sz w:val="20"/>
        </w:rPr>
        <w:t>The Times,</w:t>
      </w:r>
      <w:r>
        <w:rPr>
          <w:rFonts w:ascii="Arial"/>
          <w:i/>
          <w:spacing w:val="25"/>
          <w:sz w:val="20"/>
        </w:rPr>
        <w:t> </w:t>
      </w:r>
      <w:r>
        <w:rPr>
          <w:rFonts w:ascii="Arial"/>
          <w:i/>
          <w:sz w:val="20"/>
        </w:rPr>
        <w:t>June</w:t>
      </w:r>
      <w:r>
        <w:rPr>
          <w:rFonts w:ascii="Arial"/>
          <w:i/>
          <w:spacing w:val="26"/>
          <w:sz w:val="20"/>
        </w:rPr>
        <w:t> </w:t>
      </w:r>
      <w:r>
        <w:rPr>
          <w:rFonts w:ascii="Arial"/>
          <w:i/>
          <w:sz w:val="20"/>
        </w:rPr>
        <w:t>25,</w:t>
      </w:r>
      <w:r>
        <w:rPr>
          <w:rFonts w:ascii="Arial"/>
          <w:i/>
          <w:spacing w:val="26"/>
          <w:sz w:val="20"/>
        </w:rPr>
        <w:t> </w:t>
      </w:r>
      <w:r>
        <w:rPr>
          <w:rFonts w:ascii="Arial"/>
          <w:i/>
          <w:sz w:val="20"/>
        </w:rPr>
        <w:t>2003</w:t>
      </w:r>
      <w:r>
        <w:rPr>
          <w:sz w:val="20"/>
        </w:rPr>
        <w:t>;</w:t>
      </w:r>
      <w:r>
        <w:rPr>
          <w:spacing w:val="26"/>
          <w:sz w:val="20"/>
        </w:rPr>
        <w:t> </w:t>
      </w:r>
      <w:r>
        <w:rPr>
          <w:rFonts w:ascii="Arial"/>
          <w:i/>
          <w:sz w:val="20"/>
        </w:rPr>
        <w:t>Fortisbank</w:t>
      </w:r>
      <w:r>
        <w:rPr>
          <w:rFonts w:ascii="Arial"/>
          <w:i/>
          <w:spacing w:val="26"/>
          <w:sz w:val="20"/>
        </w:rPr>
        <w:t> </w:t>
      </w:r>
      <w:r>
        <w:rPr>
          <w:rFonts w:ascii="Arial"/>
          <w:i/>
          <w:sz w:val="20"/>
        </w:rPr>
        <w:t>SA</w:t>
      </w:r>
      <w:r>
        <w:rPr>
          <w:rFonts w:ascii="Arial"/>
          <w:i/>
          <w:spacing w:val="26"/>
          <w:sz w:val="20"/>
        </w:rPr>
        <w:t> </w:t>
      </w:r>
      <w:r>
        <w:rPr>
          <w:rFonts w:ascii="Arial"/>
          <w:i/>
          <w:sz w:val="20"/>
        </w:rPr>
        <w:t>v</w:t>
      </w:r>
      <w:r>
        <w:rPr>
          <w:rFonts w:ascii="Arial"/>
          <w:i/>
          <w:spacing w:val="26"/>
          <w:sz w:val="20"/>
        </w:rPr>
        <w:t> </w:t>
      </w:r>
      <w:r>
        <w:rPr>
          <w:rFonts w:ascii="Arial"/>
          <w:i/>
          <w:sz w:val="20"/>
        </w:rPr>
        <w:t>Trenwick</w:t>
      </w:r>
      <w:r>
        <w:rPr>
          <w:rFonts w:ascii="Arial"/>
          <w:i/>
          <w:spacing w:val="26"/>
          <w:sz w:val="20"/>
        </w:rPr>
        <w:t> </w:t>
      </w:r>
      <w:r>
        <w:rPr>
          <w:rFonts w:ascii="Arial"/>
          <w:i/>
          <w:sz w:val="20"/>
        </w:rPr>
        <w:t>International</w:t>
      </w:r>
      <w:r>
        <w:rPr>
          <w:rFonts w:ascii="Arial"/>
          <w:i/>
          <w:spacing w:val="26"/>
          <w:sz w:val="20"/>
        </w:rPr>
        <w:t> </w:t>
      </w:r>
      <w:r>
        <w:rPr>
          <w:rFonts w:ascii="Arial"/>
          <w:i/>
          <w:sz w:val="20"/>
        </w:rPr>
        <w:t>Ltd</w:t>
      </w:r>
      <w:r>
        <w:rPr>
          <w:rFonts w:ascii="Arial"/>
          <w:i/>
          <w:spacing w:val="26"/>
          <w:sz w:val="20"/>
        </w:rPr>
        <w:t> </w:t>
      </w:r>
      <w:r>
        <w:rPr>
          <w:rFonts w:ascii="Arial"/>
          <w:i/>
          <w:sz w:val="20"/>
        </w:rPr>
        <w:t>[2005]</w:t>
      </w:r>
      <w:r>
        <w:rPr>
          <w:rFonts w:ascii="Arial"/>
          <w:i/>
          <w:spacing w:val="26"/>
          <w:sz w:val="20"/>
        </w:rPr>
        <w:t> </w:t>
      </w:r>
      <w:r>
        <w:rPr>
          <w:rFonts w:ascii="Arial"/>
          <w:i/>
          <w:sz w:val="20"/>
        </w:rPr>
        <w:t>EWHC</w:t>
      </w:r>
      <w:r>
        <w:rPr>
          <w:rFonts w:ascii="Arial"/>
          <w:i/>
          <w:spacing w:val="26"/>
          <w:sz w:val="20"/>
        </w:rPr>
        <w:t> </w:t>
      </w:r>
      <w:r>
        <w:rPr>
          <w:rFonts w:ascii="Arial"/>
          <w:i/>
          <w:sz w:val="20"/>
        </w:rPr>
        <w:t>339;</w:t>
      </w:r>
      <w:r>
        <w:rPr>
          <w:rFonts w:ascii="Arial"/>
          <w:i/>
          <w:spacing w:val="26"/>
          <w:sz w:val="20"/>
        </w:rPr>
        <w:t> </w:t>
      </w:r>
      <w:r>
        <w:rPr>
          <w:rFonts w:ascii="Arial"/>
          <w:i/>
          <w:spacing w:val="-2"/>
          <w:sz w:val="20"/>
        </w:rPr>
        <w:t>[2005]</w:t>
      </w:r>
    </w:p>
    <w:p>
      <w:pPr>
        <w:spacing w:line="223" w:lineRule="exact" w:before="0"/>
        <w:ind w:left="165" w:right="0" w:firstLine="0"/>
        <w:jc w:val="both"/>
        <w:rPr>
          <w:rFonts w:ascii="Arial" w:hAnsi="Arial"/>
          <w:i/>
          <w:sz w:val="20"/>
        </w:rPr>
      </w:pPr>
      <w:r>
        <w:rPr>
          <w:rFonts w:ascii="Arial" w:hAnsi="Arial"/>
          <w:i/>
          <w:sz w:val="20"/>
        </w:rPr>
        <w:t>Lloyd’s</w:t>
      </w:r>
      <w:r>
        <w:rPr>
          <w:rFonts w:ascii="Arial" w:hAnsi="Arial"/>
          <w:i/>
          <w:spacing w:val="6"/>
          <w:sz w:val="20"/>
        </w:rPr>
        <w:t> </w:t>
      </w:r>
      <w:r>
        <w:rPr>
          <w:rFonts w:ascii="Arial" w:hAnsi="Arial"/>
          <w:i/>
          <w:sz w:val="20"/>
        </w:rPr>
        <w:t>Rep.</w:t>
      </w:r>
      <w:r>
        <w:rPr>
          <w:rFonts w:ascii="Arial" w:hAnsi="Arial"/>
          <w:i/>
          <w:spacing w:val="6"/>
          <w:sz w:val="20"/>
        </w:rPr>
        <w:t> </w:t>
      </w:r>
      <w:r>
        <w:rPr>
          <w:rFonts w:ascii="Arial" w:hAnsi="Arial"/>
          <w:i/>
          <w:sz w:val="20"/>
        </w:rPr>
        <w:t>I.R.</w:t>
      </w:r>
      <w:r>
        <w:rPr>
          <w:rFonts w:ascii="Arial" w:hAnsi="Arial"/>
          <w:i/>
          <w:spacing w:val="6"/>
          <w:sz w:val="20"/>
        </w:rPr>
        <w:t> </w:t>
      </w:r>
      <w:r>
        <w:rPr>
          <w:rFonts w:ascii="Arial" w:hAnsi="Arial"/>
          <w:i/>
          <w:sz w:val="20"/>
        </w:rPr>
        <w:t>464</w:t>
      </w:r>
      <w:r>
        <w:rPr>
          <w:rFonts w:ascii="Arial" w:hAnsi="Arial"/>
          <w:i/>
          <w:spacing w:val="5"/>
          <w:sz w:val="20"/>
        </w:rPr>
        <w:t> </w:t>
      </w:r>
      <w:r>
        <w:rPr>
          <w:sz w:val="20"/>
        </w:rPr>
        <w:t>at</w:t>
      </w:r>
      <w:r>
        <w:rPr>
          <w:spacing w:val="6"/>
          <w:sz w:val="20"/>
        </w:rPr>
        <w:t> </w:t>
      </w:r>
      <w:r>
        <w:rPr>
          <w:sz w:val="20"/>
        </w:rPr>
        <w:t>[29];</w:t>
      </w:r>
      <w:r>
        <w:rPr>
          <w:spacing w:val="6"/>
          <w:sz w:val="20"/>
        </w:rPr>
        <w:t> </w:t>
      </w:r>
      <w:r>
        <w:rPr>
          <w:rFonts w:ascii="Arial" w:hAnsi="Arial"/>
          <w:i/>
          <w:sz w:val="20"/>
        </w:rPr>
        <w:t>Edo</w:t>
      </w:r>
      <w:r>
        <w:rPr>
          <w:rFonts w:ascii="Arial" w:hAnsi="Arial"/>
          <w:i/>
          <w:spacing w:val="6"/>
          <w:sz w:val="20"/>
        </w:rPr>
        <w:t> </w:t>
      </w:r>
      <w:r>
        <w:rPr>
          <w:rFonts w:ascii="Arial" w:hAnsi="Arial"/>
          <w:i/>
          <w:sz w:val="20"/>
        </w:rPr>
        <w:t>Corp</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Ultra</w:t>
      </w:r>
      <w:r>
        <w:rPr>
          <w:rFonts w:ascii="Arial" w:hAnsi="Arial"/>
          <w:i/>
          <w:spacing w:val="6"/>
          <w:sz w:val="20"/>
        </w:rPr>
        <w:t> </w:t>
      </w:r>
      <w:r>
        <w:rPr>
          <w:rFonts w:ascii="Arial" w:hAnsi="Arial"/>
          <w:i/>
          <w:sz w:val="20"/>
        </w:rPr>
        <w:t>Electronics</w:t>
      </w:r>
      <w:r>
        <w:rPr>
          <w:rFonts w:ascii="Arial" w:hAnsi="Arial"/>
          <w:i/>
          <w:spacing w:val="6"/>
          <w:sz w:val="20"/>
        </w:rPr>
        <w:t> </w:t>
      </w:r>
      <w:r>
        <w:rPr>
          <w:rFonts w:ascii="Arial" w:hAnsi="Arial"/>
          <w:i/>
          <w:sz w:val="20"/>
        </w:rPr>
        <w:t>Ltd</w:t>
      </w:r>
      <w:r>
        <w:rPr>
          <w:rFonts w:ascii="Arial" w:hAnsi="Arial"/>
          <w:i/>
          <w:spacing w:val="6"/>
          <w:sz w:val="20"/>
        </w:rPr>
        <w:t> </w:t>
      </w:r>
      <w:r>
        <w:rPr>
          <w:rFonts w:ascii="Arial" w:hAnsi="Arial"/>
          <w:i/>
          <w:sz w:val="20"/>
        </w:rPr>
        <w:t>[2009]</w:t>
      </w:r>
      <w:r>
        <w:rPr>
          <w:rFonts w:ascii="Arial" w:hAnsi="Arial"/>
          <w:i/>
          <w:spacing w:val="6"/>
          <w:sz w:val="20"/>
        </w:rPr>
        <w:t> </w:t>
      </w:r>
      <w:r>
        <w:rPr>
          <w:rFonts w:ascii="Arial" w:hAnsi="Arial"/>
          <w:i/>
          <w:sz w:val="20"/>
        </w:rPr>
        <w:t>EWHC</w:t>
      </w:r>
      <w:r>
        <w:rPr>
          <w:rFonts w:ascii="Arial" w:hAnsi="Arial"/>
          <w:i/>
          <w:spacing w:val="6"/>
          <w:sz w:val="20"/>
        </w:rPr>
        <w:t> </w:t>
      </w:r>
      <w:r>
        <w:rPr>
          <w:rFonts w:ascii="Arial" w:hAnsi="Arial"/>
          <w:i/>
          <w:sz w:val="20"/>
        </w:rPr>
        <w:t>689</w:t>
      </w:r>
      <w:r>
        <w:rPr>
          <w:rFonts w:ascii="Arial" w:hAnsi="Arial"/>
          <w:i/>
          <w:spacing w:val="6"/>
          <w:sz w:val="20"/>
        </w:rPr>
        <w:t> </w:t>
      </w:r>
      <w:r>
        <w:rPr>
          <w:rFonts w:ascii="Arial" w:hAnsi="Arial"/>
          <w:i/>
          <w:sz w:val="20"/>
        </w:rPr>
        <w:t>(Ch),</w:t>
      </w:r>
      <w:r>
        <w:rPr>
          <w:rFonts w:ascii="Arial" w:hAnsi="Arial"/>
          <w:i/>
          <w:spacing w:val="6"/>
          <w:sz w:val="20"/>
        </w:rPr>
        <w:t> </w:t>
      </w:r>
      <w:r>
        <w:rPr>
          <w:rFonts w:ascii="Arial" w:hAnsi="Arial"/>
          <w:i/>
          <w:sz w:val="20"/>
        </w:rPr>
        <w:t>[2009]</w:t>
      </w:r>
      <w:r>
        <w:rPr>
          <w:rFonts w:ascii="Arial" w:hAnsi="Arial"/>
          <w:i/>
          <w:spacing w:val="6"/>
          <w:sz w:val="20"/>
        </w:rPr>
        <w:t> </w:t>
      </w:r>
      <w:r>
        <w:rPr>
          <w:rFonts w:ascii="Arial" w:hAnsi="Arial"/>
          <w:i/>
          <w:spacing w:val="-10"/>
          <w:sz w:val="20"/>
        </w:rPr>
        <w:t>2</w:t>
      </w:r>
    </w:p>
    <w:p>
      <w:pPr>
        <w:spacing w:line="235" w:lineRule="auto" w:before="0"/>
        <w:ind w:left="165" w:right="167" w:firstLine="0"/>
        <w:jc w:val="both"/>
        <w:rPr>
          <w:sz w:val="20"/>
        </w:rPr>
      </w:pP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349</w:t>
      </w:r>
      <w:r>
        <w:rPr>
          <w:rFonts w:ascii="Arial" w:hAnsi="Arial"/>
          <w:i/>
          <w:spacing w:val="-1"/>
          <w:sz w:val="20"/>
        </w:rPr>
        <w:t> </w:t>
      </w:r>
      <w:r>
        <w:rPr>
          <w:sz w:val="20"/>
        </w:rPr>
        <w:t>at</w:t>
      </w:r>
      <w:r>
        <w:rPr>
          <w:spacing w:val="-1"/>
          <w:sz w:val="20"/>
        </w:rPr>
        <w:t> </w:t>
      </w:r>
      <w:r>
        <w:rPr>
          <w:sz w:val="20"/>
        </w:rPr>
        <w:t>[28];</w:t>
      </w:r>
      <w:r>
        <w:rPr>
          <w:spacing w:val="-1"/>
          <w:sz w:val="20"/>
        </w:rPr>
        <w:t> </w:t>
      </w:r>
      <w:r>
        <w:rPr>
          <w:rFonts w:ascii="Arial" w:hAnsi="Arial"/>
          <w:i/>
          <w:sz w:val="20"/>
        </w:rPr>
        <w:t>Virulite</w:t>
      </w:r>
      <w:r>
        <w:rPr>
          <w:rFonts w:ascii="Arial" w:hAnsi="Arial"/>
          <w:i/>
          <w:spacing w:val="-1"/>
          <w:sz w:val="20"/>
        </w:rPr>
        <w:t> </w:t>
      </w:r>
      <w:r>
        <w:rPr>
          <w:rFonts w:ascii="Arial" w:hAnsi="Arial"/>
          <w:i/>
          <w:sz w:val="20"/>
        </w:rPr>
        <w:t>LLC</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Virulite</w:t>
      </w:r>
      <w:r>
        <w:rPr>
          <w:rFonts w:ascii="Arial" w:hAnsi="Arial"/>
          <w:i/>
          <w:spacing w:val="-1"/>
          <w:sz w:val="20"/>
        </w:rPr>
        <w:t> </w:t>
      </w:r>
      <w:r>
        <w:rPr>
          <w:rFonts w:ascii="Arial" w:hAnsi="Arial"/>
          <w:i/>
          <w:sz w:val="20"/>
        </w:rPr>
        <w:t>Distribution</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[2014]</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366</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z w:val="20"/>
        </w:rPr>
        <w:t>[2015]</w:t>
      </w:r>
      <w:r>
        <w:rPr>
          <w:rFonts w:ascii="Arial" w:hAnsi="Arial"/>
          <w:i/>
          <w:spacing w:val="-1"/>
          <w:sz w:val="20"/>
        </w:rPr>
        <w:t> </w:t>
      </w:r>
      <w:r>
        <w:rPr>
          <w:rFonts w:ascii="Arial" w:hAnsi="Arial"/>
          <w:i/>
          <w:sz w:val="20"/>
        </w:rPr>
        <w:t>1 All E.R. (Comm) 204 </w:t>
      </w:r>
      <w:r>
        <w:rPr>
          <w:sz w:val="20"/>
        </w:rPr>
        <w:t>at [117] (there are many other references in this case to “waiver or estoppel” and to “waiver and promissory estoppel”); </w:t>
      </w:r>
      <w:r>
        <w:rPr>
          <w:rFonts w:ascii="Arial" w:hAnsi="Arial"/>
          <w:i/>
          <w:sz w:val="20"/>
        </w:rPr>
        <w:t>MWB Business Exchange Centres Ltd v Rock Advertising Ltd [2016] EWCA Civ 553, [2017] Q.B. 604 </w:t>
      </w:r>
      <w:r>
        <w:rPr>
          <w:sz w:val="20"/>
        </w:rPr>
        <w:t>at [64], describing “waiver” in the context of para.4-015 of Vol.I, as “akin to promissory estoppel”; cf. </w:t>
      </w:r>
      <w:r>
        <w:rPr>
          <w:rFonts w:ascii="Arial" w:hAnsi="Arial"/>
          <w:i/>
          <w:sz w:val="20"/>
        </w:rPr>
        <w:t>Bremer Handelsgesellschaft mbH v Finagrain Cie. Commercial Agricole &amp; Financière [1981] 2 Lloyd’s Rep. 259</w:t>
      </w:r>
      <w:r>
        <w:rPr>
          <w:sz w:val="20"/>
        </w:rPr>
        <w:t>, where Lord Denning,</w:t>
      </w:r>
      <w:r>
        <w:rPr>
          <w:spacing w:val="21"/>
          <w:sz w:val="20"/>
        </w:rPr>
        <w:t> </w:t>
      </w:r>
      <w:r>
        <w:rPr>
          <w:sz w:val="20"/>
        </w:rPr>
        <w:t>M.R.</w:t>
      </w:r>
      <w:r>
        <w:rPr>
          <w:spacing w:val="21"/>
          <w:sz w:val="20"/>
        </w:rPr>
        <w:t> </w:t>
      </w:r>
      <w:r>
        <w:rPr>
          <w:sz w:val="20"/>
        </w:rPr>
        <w:t>refers</w:t>
      </w:r>
      <w:r>
        <w:rPr>
          <w:spacing w:val="21"/>
          <w:sz w:val="20"/>
        </w:rPr>
        <w:t> </w:t>
      </w:r>
      <w:r>
        <w:rPr>
          <w:sz w:val="20"/>
        </w:rPr>
        <w:t>at</w:t>
      </w:r>
      <w:r>
        <w:rPr>
          <w:spacing w:val="21"/>
          <w:sz w:val="20"/>
        </w:rPr>
        <w:t> </w:t>
      </w:r>
      <w:r>
        <w:rPr>
          <w:sz w:val="20"/>
        </w:rPr>
        <w:t>263</w:t>
      </w:r>
      <w:r>
        <w:rPr>
          <w:spacing w:val="21"/>
          <w:sz w:val="20"/>
        </w:rPr>
        <w:t> </w:t>
      </w:r>
      <w:r>
        <w:rPr>
          <w:sz w:val="20"/>
        </w:rPr>
        <w:t>to</w:t>
      </w:r>
      <w:r>
        <w:rPr>
          <w:spacing w:val="21"/>
          <w:sz w:val="20"/>
        </w:rPr>
        <w:t> </w:t>
      </w:r>
      <w:r>
        <w:rPr>
          <w:sz w:val="20"/>
        </w:rPr>
        <w:t>“the</w:t>
      </w:r>
      <w:r>
        <w:rPr>
          <w:spacing w:val="21"/>
          <w:sz w:val="20"/>
        </w:rPr>
        <w:t> </w:t>
      </w:r>
      <w:r>
        <w:rPr>
          <w:sz w:val="20"/>
        </w:rPr>
        <w:t>principle</w:t>
      </w:r>
      <w:r>
        <w:rPr>
          <w:spacing w:val="21"/>
          <w:sz w:val="20"/>
        </w:rPr>
        <w:t> </w:t>
      </w:r>
      <w:r>
        <w:rPr>
          <w:sz w:val="20"/>
        </w:rPr>
        <w:t>…</w:t>
      </w:r>
      <w:r>
        <w:rPr>
          <w:spacing w:val="21"/>
          <w:sz w:val="20"/>
        </w:rPr>
        <w:t> </w:t>
      </w:r>
      <w:r>
        <w:rPr>
          <w:sz w:val="20"/>
        </w:rPr>
        <w:t>in</w:t>
      </w:r>
      <w:r>
        <w:rPr>
          <w:spacing w:val="21"/>
          <w:sz w:val="20"/>
        </w:rPr>
        <w:t> </w:t>
      </w:r>
      <w:r>
        <w:rPr>
          <w:rFonts w:ascii="Arial" w:hAnsi="Arial"/>
          <w:i/>
          <w:sz w:val="20"/>
        </w:rPr>
        <w:t>Hughes</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Metropolitan</w:t>
      </w:r>
      <w:r>
        <w:rPr>
          <w:rFonts w:ascii="Arial" w:hAnsi="Arial"/>
          <w:i/>
          <w:spacing w:val="21"/>
          <w:sz w:val="20"/>
        </w:rPr>
        <w:t> </w:t>
      </w:r>
      <w:r>
        <w:rPr>
          <w:rFonts w:ascii="Arial" w:hAnsi="Arial"/>
          <w:i/>
          <w:sz w:val="20"/>
        </w:rPr>
        <w:t>Railway</w:t>
      </w:r>
      <w:r>
        <w:rPr>
          <w:rFonts w:ascii="Arial" w:hAnsi="Arial"/>
          <w:i/>
          <w:spacing w:val="-35"/>
          <w:sz w:val="20"/>
        </w:rPr>
        <w:t> </w:t>
      </w:r>
      <w:r>
        <w:rPr>
          <w:sz w:val="20"/>
        </w:rPr>
        <w:t>”</w:t>
      </w:r>
      <w:r>
        <w:rPr>
          <w:spacing w:val="21"/>
          <w:sz w:val="20"/>
        </w:rPr>
        <w:t> </w:t>
      </w:r>
      <w:r>
        <w:rPr>
          <w:sz w:val="20"/>
        </w:rPr>
        <w:t>while</w:t>
      </w:r>
      <w:r>
        <w:rPr>
          <w:spacing w:val="21"/>
          <w:sz w:val="20"/>
        </w:rPr>
        <w:t> </w:t>
      </w:r>
      <w:r>
        <w:rPr>
          <w:spacing w:val="-5"/>
          <w:sz w:val="20"/>
        </w:rPr>
        <w:t>Fox</w:t>
      </w:r>
    </w:p>
    <w:p>
      <w:pPr>
        <w:spacing w:line="235" w:lineRule="auto" w:before="0"/>
        <w:ind w:left="165" w:right="167" w:firstLine="0"/>
        <w:jc w:val="both"/>
        <w:rPr>
          <w:sz w:val="20"/>
        </w:rPr>
      </w:pPr>
      <w:r>
        <w:rPr>
          <w:sz w:val="20"/>
        </w:rPr>
        <w:t>L.J. refers at 266 to “waiver”; </w:t>
      </w:r>
      <w:r>
        <w:rPr>
          <w:rFonts w:ascii="Arial" w:hAnsi="Arial"/>
          <w:i/>
          <w:sz w:val="20"/>
        </w:rPr>
        <w:t>Bremer Handelsgesellschaft mbH v C. Mackprang Jr. [1981] </w:t>
      </w:r>
      <w:r>
        <w:rPr>
          <w:rFonts w:ascii="Arial" w:hAnsi="Arial"/>
          <w:i/>
          <w:sz w:val="20"/>
        </w:rPr>
        <w:t>1 Lloyd’s Rep. 292, 298</w:t>
      </w:r>
      <w:r>
        <w:rPr>
          <w:sz w:val="20"/>
        </w:rPr>
        <w:t>; </w:t>
      </w:r>
      <w:r>
        <w:rPr>
          <w:rFonts w:ascii="Arial" w:hAnsi="Arial"/>
          <w:i/>
          <w:sz w:val="20"/>
        </w:rPr>
        <w:t>Bremer Handelsgesellschaft mbH v Bunge Corp. [1983] 1 Lloyd’s Rep. 476, 484</w:t>
      </w:r>
      <w:r>
        <w:rPr>
          <w:sz w:val="20"/>
        </w:rPr>
        <w:t>; </w:t>
      </w:r>
      <w:r>
        <w:rPr>
          <w:rFonts w:ascii="Arial" w:hAnsi="Arial"/>
          <w:i/>
          <w:sz w:val="20"/>
        </w:rPr>
        <w:t>BICC Ltd v Burndy Corp. [1985] Ch. 232, 253</w:t>
      </w:r>
      <w:r>
        <w:rPr>
          <w:sz w:val="20"/>
        </w:rPr>
        <w:t>; </w:t>
      </w:r>
      <w:r>
        <w:rPr>
          <w:rFonts w:ascii="Arial" w:hAnsi="Arial"/>
          <w:i/>
          <w:sz w:val="20"/>
        </w:rPr>
        <w:t>Pearl Carriers Inc v Japan Lines Ltd (The Chemical Venture) [1993] 1 Lloyd’s Rep. 509, 521</w:t>
      </w:r>
      <w:r>
        <w:rPr>
          <w:sz w:val="20"/>
        </w:rPr>
        <w:t>; and see </w:t>
      </w:r>
      <w:r>
        <w:rPr>
          <w:rFonts w:ascii="Arial" w:hAnsi="Arial"/>
          <w:i/>
          <w:sz w:val="20"/>
        </w:rPr>
        <w:t>Oliver Ashworth (Holdings)</w:t>
      </w:r>
      <w:r>
        <w:rPr>
          <w:rFonts w:ascii="Arial" w:hAnsi="Arial"/>
          <w:i/>
          <w:spacing w:val="40"/>
          <w:sz w:val="20"/>
        </w:rPr>
        <w:t> </w:t>
      </w:r>
      <w:r>
        <w:rPr>
          <w:rFonts w:ascii="Arial" w:hAnsi="Arial"/>
          <w:i/>
          <w:sz w:val="20"/>
        </w:rPr>
        <w:t>Ltd</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z w:val="20"/>
        </w:rPr>
        <w:t>Ballard</w:t>
      </w:r>
      <w:r>
        <w:rPr>
          <w:rFonts w:ascii="Arial" w:hAnsi="Arial"/>
          <w:i/>
          <w:spacing w:val="4"/>
          <w:sz w:val="20"/>
        </w:rPr>
        <w:t> </w:t>
      </w:r>
      <w:r>
        <w:rPr>
          <w:rFonts w:ascii="Arial" w:hAnsi="Arial"/>
          <w:i/>
          <w:sz w:val="20"/>
        </w:rPr>
        <w:t>(Kent)</w:t>
      </w:r>
      <w:r>
        <w:rPr>
          <w:rFonts w:ascii="Arial" w:hAnsi="Arial"/>
          <w:i/>
          <w:spacing w:val="4"/>
          <w:sz w:val="20"/>
        </w:rPr>
        <w:t> </w:t>
      </w:r>
      <w:r>
        <w:rPr>
          <w:rFonts w:ascii="Arial" w:hAnsi="Arial"/>
          <w:i/>
          <w:sz w:val="20"/>
        </w:rPr>
        <w:t>Ltd</w:t>
      </w:r>
      <w:r>
        <w:rPr>
          <w:rFonts w:ascii="Arial" w:hAnsi="Arial"/>
          <w:i/>
          <w:spacing w:val="4"/>
          <w:sz w:val="20"/>
        </w:rPr>
        <w:t> </w:t>
      </w:r>
      <w:r>
        <w:rPr>
          <w:rFonts w:ascii="Arial" w:hAnsi="Arial"/>
          <w:i/>
          <w:sz w:val="20"/>
        </w:rPr>
        <w:t>[2000]</w:t>
      </w:r>
      <w:r>
        <w:rPr>
          <w:rFonts w:ascii="Arial" w:hAnsi="Arial"/>
          <w:i/>
          <w:spacing w:val="4"/>
          <w:sz w:val="20"/>
        </w:rPr>
        <w:t> </w:t>
      </w:r>
      <w:r>
        <w:rPr>
          <w:rFonts w:ascii="Arial" w:hAnsi="Arial"/>
          <w:i/>
          <w:sz w:val="20"/>
        </w:rPr>
        <w:t>Ch.</w:t>
      </w:r>
      <w:r>
        <w:rPr>
          <w:rFonts w:ascii="Arial" w:hAnsi="Arial"/>
          <w:i/>
          <w:spacing w:val="4"/>
          <w:sz w:val="20"/>
        </w:rPr>
        <w:t> </w:t>
      </w:r>
      <w:r>
        <w:rPr>
          <w:rFonts w:ascii="Arial" w:hAnsi="Arial"/>
          <w:i/>
          <w:sz w:val="20"/>
        </w:rPr>
        <w:t>12</w:t>
      </w:r>
      <w:r>
        <w:rPr>
          <w:rFonts w:ascii="Arial" w:hAnsi="Arial"/>
          <w:i/>
          <w:spacing w:val="3"/>
          <w:sz w:val="20"/>
        </w:rPr>
        <w:t> </w:t>
      </w:r>
      <w:r>
        <w:rPr>
          <w:sz w:val="20"/>
        </w:rPr>
        <w:t>at</w:t>
      </w:r>
      <w:r>
        <w:rPr>
          <w:spacing w:val="4"/>
          <w:sz w:val="20"/>
        </w:rPr>
        <w:t> </w:t>
      </w:r>
      <w:r>
        <w:rPr>
          <w:sz w:val="20"/>
        </w:rPr>
        <w:t>27,</w:t>
      </w:r>
      <w:r>
        <w:rPr>
          <w:spacing w:val="4"/>
          <w:sz w:val="20"/>
        </w:rPr>
        <w:t> </w:t>
      </w:r>
      <w:r>
        <w:rPr>
          <w:sz w:val="20"/>
        </w:rPr>
        <w:t>28,</w:t>
      </w:r>
      <w:r>
        <w:rPr>
          <w:spacing w:val="4"/>
          <w:sz w:val="20"/>
        </w:rPr>
        <w:t> </w:t>
      </w:r>
      <w:r>
        <w:rPr>
          <w:sz w:val="20"/>
        </w:rPr>
        <w:t>where</w:t>
      </w:r>
      <w:r>
        <w:rPr>
          <w:spacing w:val="4"/>
          <w:sz w:val="20"/>
        </w:rPr>
        <w:t> </w:t>
      </w:r>
      <w:r>
        <w:rPr>
          <w:sz w:val="20"/>
        </w:rPr>
        <w:t>the</w:t>
      </w:r>
      <w:r>
        <w:rPr>
          <w:spacing w:val="4"/>
          <w:sz w:val="20"/>
        </w:rPr>
        <w:t> </w:t>
      </w:r>
      <w:r>
        <w:rPr>
          <w:sz w:val="20"/>
        </w:rPr>
        <w:t>issue</w:t>
      </w:r>
      <w:r>
        <w:rPr>
          <w:spacing w:val="4"/>
          <w:sz w:val="20"/>
        </w:rPr>
        <w:t> </w:t>
      </w:r>
      <w:r>
        <w:rPr>
          <w:sz w:val="20"/>
        </w:rPr>
        <w:t>was</w:t>
      </w:r>
      <w:r>
        <w:rPr>
          <w:spacing w:val="4"/>
          <w:sz w:val="20"/>
        </w:rPr>
        <w:t> </w:t>
      </w:r>
      <w:r>
        <w:rPr>
          <w:sz w:val="20"/>
        </w:rPr>
        <w:t>whether</w:t>
      </w:r>
      <w:r>
        <w:rPr>
          <w:spacing w:val="4"/>
          <w:sz w:val="20"/>
        </w:rPr>
        <w:t> </w:t>
      </w:r>
      <w:r>
        <w:rPr>
          <w:sz w:val="20"/>
        </w:rPr>
        <w:t>there</w:t>
      </w:r>
      <w:r>
        <w:rPr>
          <w:spacing w:val="4"/>
          <w:sz w:val="20"/>
        </w:rPr>
        <w:t> </w:t>
      </w:r>
      <w:r>
        <w:rPr>
          <w:sz w:val="20"/>
        </w:rPr>
        <w:t>had</w:t>
      </w:r>
      <w:r>
        <w:rPr>
          <w:spacing w:val="4"/>
          <w:sz w:val="20"/>
        </w:rPr>
        <w:t> </w:t>
      </w:r>
      <w:r>
        <w:rPr>
          <w:sz w:val="20"/>
        </w:rPr>
        <w:t>been</w:t>
      </w:r>
      <w:r>
        <w:rPr>
          <w:spacing w:val="4"/>
          <w:sz w:val="20"/>
        </w:rPr>
        <w:t> </w:t>
      </w:r>
      <w:r>
        <w:rPr>
          <w:spacing w:val="-10"/>
          <w:sz w:val="20"/>
        </w:rPr>
        <w:t>a</w:t>
      </w:r>
    </w:p>
    <w:p>
      <w:pPr>
        <w:spacing w:after="0" w:line="235" w:lineRule="auto"/>
        <w:jc w:val="both"/>
        <w:rPr>
          <w:sz w:val="20"/>
        </w:rPr>
        <w:sectPr>
          <w:type w:val="continuous"/>
          <w:pgSz w:w="11900" w:h="16840"/>
          <w:pgMar w:header="971" w:footer="0" w:top="3760" w:bottom="280" w:left="1275" w:right="1275"/>
          <w:cols w:num="2" w:equalWidth="0">
            <w:col w:w="478" w:space="63"/>
            <w:col w:w="8809"/>
          </w:cols>
        </w:sectPr>
      </w:pPr>
    </w:p>
    <w:p>
      <w:pPr>
        <w:pStyle w:val="BodyText"/>
        <w:spacing w:before="24"/>
      </w:pPr>
    </w:p>
    <w:p>
      <w:pPr>
        <w:spacing w:line="235" w:lineRule="auto" w:before="1"/>
        <w:ind w:left="705" w:right="167" w:firstLine="0"/>
        <w:jc w:val="both"/>
        <w:rPr>
          <w:rFonts w:ascii="Arial" w:hAnsi="Arial"/>
          <w:i/>
          <w:sz w:val="20"/>
        </w:rPr>
      </w:pPr>
      <w:r>
        <w:rPr>
          <w:sz w:val="20"/>
        </w:rPr>
        <w:t>“waiver” in the sense of election between remedies, rather than in the sense (here </w:t>
      </w:r>
      <w:r>
        <w:rPr>
          <w:sz w:val="20"/>
        </w:rPr>
        <w:t>under discussion)</w:t>
      </w:r>
      <w:r>
        <w:rPr>
          <w:spacing w:val="18"/>
          <w:sz w:val="20"/>
        </w:rPr>
        <w:t> </w:t>
      </w:r>
      <w:r>
        <w:rPr>
          <w:sz w:val="20"/>
        </w:rPr>
        <w:t>of</w:t>
      </w:r>
      <w:r>
        <w:rPr>
          <w:spacing w:val="18"/>
          <w:sz w:val="20"/>
        </w:rPr>
        <w:t> </w:t>
      </w:r>
      <w:r>
        <w:rPr>
          <w:sz w:val="20"/>
        </w:rPr>
        <w:t>giving</w:t>
      </w:r>
      <w:r>
        <w:rPr>
          <w:spacing w:val="18"/>
          <w:sz w:val="20"/>
        </w:rPr>
        <w:t> </w:t>
      </w:r>
      <w:r>
        <w:rPr>
          <w:sz w:val="20"/>
        </w:rPr>
        <w:t>up</w:t>
      </w:r>
      <w:r>
        <w:rPr>
          <w:spacing w:val="18"/>
          <w:sz w:val="20"/>
        </w:rPr>
        <w:t> </w:t>
      </w:r>
      <w:r>
        <w:rPr>
          <w:sz w:val="20"/>
        </w:rPr>
        <w:t>rights.</w:t>
      </w:r>
      <w:r>
        <w:rPr>
          <w:spacing w:val="18"/>
          <w:sz w:val="20"/>
        </w:rPr>
        <w:t> </w:t>
      </w:r>
      <w:r>
        <w:rPr>
          <w:sz w:val="20"/>
        </w:rPr>
        <w:t>In</w:t>
      </w:r>
      <w:r>
        <w:rPr>
          <w:spacing w:val="18"/>
          <w:sz w:val="20"/>
        </w:rPr>
        <w:t> </w:t>
      </w:r>
      <w:r>
        <w:rPr>
          <w:rFonts w:ascii="Arial" w:hAnsi="Arial"/>
          <w:i/>
          <w:sz w:val="20"/>
        </w:rPr>
        <w:t>W.</w:t>
      </w:r>
      <w:r>
        <w:rPr>
          <w:rFonts w:ascii="Arial" w:hAnsi="Arial"/>
          <w:i/>
          <w:spacing w:val="18"/>
          <w:sz w:val="20"/>
        </w:rPr>
        <w:t> </w:t>
      </w:r>
      <w:r>
        <w:rPr>
          <w:rFonts w:ascii="Arial" w:hAnsi="Arial"/>
          <w:i/>
          <w:sz w:val="20"/>
        </w:rPr>
        <w:t>J.</w:t>
      </w:r>
      <w:r>
        <w:rPr>
          <w:rFonts w:ascii="Arial" w:hAnsi="Arial"/>
          <w:i/>
          <w:spacing w:val="18"/>
          <w:sz w:val="20"/>
        </w:rPr>
        <w:t> </w:t>
      </w:r>
      <w:r>
        <w:rPr>
          <w:rFonts w:ascii="Arial" w:hAnsi="Arial"/>
          <w:i/>
          <w:sz w:val="20"/>
        </w:rPr>
        <w:t>Alan</w:t>
      </w:r>
      <w:r>
        <w:rPr>
          <w:rFonts w:ascii="Arial" w:hAnsi="Arial"/>
          <w:i/>
          <w:spacing w:val="18"/>
          <w:sz w:val="20"/>
        </w:rPr>
        <w:t> </w:t>
      </w:r>
      <w:r>
        <w:rPr>
          <w:rFonts w:ascii="Arial" w:hAnsi="Arial"/>
          <w:i/>
          <w:sz w:val="20"/>
        </w:rPr>
        <w:t>&amp;</w:t>
      </w:r>
      <w:r>
        <w:rPr>
          <w:rFonts w:ascii="Arial" w:hAnsi="Arial"/>
          <w:i/>
          <w:spacing w:val="18"/>
          <w:sz w:val="20"/>
        </w:rPr>
        <w:t> </w:t>
      </w:r>
      <w:r>
        <w:rPr>
          <w:rFonts w:ascii="Arial" w:hAnsi="Arial"/>
          <w:i/>
          <w:sz w:val="20"/>
        </w:rPr>
        <w:t>Co</w:t>
      </w:r>
      <w:r>
        <w:rPr>
          <w:rFonts w:ascii="Arial" w:hAnsi="Arial"/>
          <w:i/>
          <w:spacing w:val="18"/>
          <w:sz w:val="20"/>
        </w:rPr>
        <w:t> </w:t>
      </w:r>
      <w:r>
        <w:rPr>
          <w:rFonts w:ascii="Arial" w:hAnsi="Arial"/>
          <w:i/>
          <w:sz w:val="20"/>
        </w:rPr>
        <w:t>Ltd</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El</w:t>
      </w:r>
      <w:r>
        <w:rPr>
          <w:rFonts w:ascii="Arial" w:hAnsi="Arial"/>
          <w:i/>
          <w:spacing w:val="18"/>
          <w:sz w:val="20"/>
        </w:rPr>
        <w:t> </w:t>
      </w:r>
      <w:r>
        <w:rPr>
          <w:rFonts w:ascii="Arial" w:hAnsi="Arial"/>
          <w:i/>
          <w:sz w:val="20"/>
        </w:rPr>
        <w:t>Nasr</w:t>
      </w:r>
      <w:r>
        <w:rPr>
          <w:rFonts w:ascii="Arial" w:hAnsi="Arial"/>
          <w:i/>
          <w:spacing w:val="18"/>
          <w:sz w:val="20"/>
        </w:rPr>
        <w:t> </w:t>
      </w:r>
      <w:r>
        <w:rPr>
          <w:rFonts w:ascii="Arial" w:hAnsi="Arial"/>
          <w:i/>
          <w:sz w:val="20"/>
        </w:rPr>
        <w:t>Export</w:t>
      </w:r>
      <w:r>
        <w:rPr>
          <w:rFonts w:ascii="Arial" w:hAnsi="Arial"/>
          <w:i/>
          <w:spacing w:val="18"/>
          <w:sz w:val="20"/>
        </w:rPr>
        <w:t> </w:t>
      </w:r>
      <w:r>
        <w:rPr>
          <w:rFonts w:ascii="Arial" w:hAnsi="Arial"/>
          <w:i/>
          <w:sz w:val="20"/>
        </w:rPr>
        <w:t>&amp;</w:t>
      </w:r>
      <w:r>
        <w:rPr>
          <w:rFonts w:ascii="Arial" w:hAnsi="Arial"/>
          <w:i/>
          <w:spacing w:val="18"/>
          <w:sz w:val="20"/>
        </w:rPr>
        <w:t> </w:t>
      </w:r>
      <w:r>
        <w:rPr>
          <w:rFonts w:ascii="Arial" w:hAnsi="Arial"/>
          <w:i/>
          <w:sz w:val="20"/>
        </w:rPr>
        <w:t>Import</w:t>
      </w:r>
      <w:r>
        <w:rPr>
          <w:rFonts w:ascii="Arial" w:hAnsi="Arial"/>
          <w:i/>
          <w:spacing w:val="18"/>
          <w:sz w:val="20"/>
        </w:rPr>
        <w:t> </w:t>
      </w:r>
      <w:r>
        <w:rPr>
          <w:rFonts w:ascii="Arial" w:hAnsi="Arial"/>
          <w:i/>
          <w:sz w:val="20"/>
        </w:rPr>
        <w:t>Co</w:t>
      </w:r>
      <w:r>
        <w:rPr>
          <w:rFonts w:ascii="Arial" w:hAnsi="Arial"/>
          <w:i/>
          <w:spacing w:val="18"/>
          <w:sz w:val="20"/>
        </w:rPr>
        <w:t> </w:t>
      </w:r>
      <w:r>
        <w:rPr>
          <w:rFonts w:ascii="Arial" w:hAnsi="Arial"/>
          <w:i/>
          <w:sz w:val="20"/>
        </w:rPr>
        <w:t>[1972]</w:t>
      </w:r>
      <w:r>
        <w:rPr>
          <w:rFonts w:ascii="Arial" w:hAnsi="Arial"/>
          <w:i/>
          <w:spacing w:val="18"/>
          <w:sz w:val="20"/>
        </w:rPr>
        <w:t> </w:t>
      </w:r>
      <w:r>
        <w:rPr>
          <w:rFonts w:ascii="Arial" w:hAnsi="Arial"/>
          <w:i/>
          <w:spacing w:val="-10"/>
          <w:sz w:val="20"/>
        </w:rPr>
        <w:t>2</w:t>
      </w:r>
    </w:p>
    <w:p>
      <w:pPr>
        <w:spacing w:line="235" w:lineRule="auto" w:before="0"/>
        <w:ind w:left="705" w:right="167" w:firstLine="0"/>
        <w:jc w:val="both"/>
        <w:rPr>
          <w:sz w:val="20"/>
        </w:rPr>
      </w:pPr>
      <w:r>
        <w:rPr>
          <w:rFonts w:ascii="Arial" w:hAnsi="Arial"/>
          <w:i/>
          <w:sz w:val="20"/>
        </w:rPr>
        <w:t>Q.B. 189, 212 </w:t>
      </w:r>
      <w:r>
        <w:rPr>
          <w:sz w:val="20"/>
        </w:rPr>
        <w:t>waiver is described as an instance of the principle of </w:t>
      </w:r>
      <w:r>
        <w:rPr>
          <w:rFonts w:ascii="Arial" w:hAnsi="Arial"/>
          <w:i/>
          <w:sz w:val="20"/>
        </w:rPr>
        <w:t>Hughes v Metropolitan Ry </w:t>
      </w:r>
      <w:r>
        <w:rPr>
          <w:sz w:val="20"/>
        </w:rPr>
        <w:t>(above), which, however, is said to be of “wider” scope; cf. </w:t>
      </w:r>
      <w:r>
        <w:rPr>
          <w:rFonts w:ascii="Arial" w:hAnsi="Arial"/>
          <w:i/>
          <w:sz w:val="20"/>
        </w:rPr>
        <w:t>Nippon Yusen Kaisha v Pacifica Navegacion SA (The Ion) [1980] 2 Lloyd’s Rep. 245 </w:t>
      </w:r>
      <w:r>
        <w:rPr>
          <w:sz w:val="20"/>
        </w:rPr>
        <w:t>where an agreement not to plead </w:t>
      </w:r>
      <w:r>
        <w:rPr>
          <w:sz w:val="20"/>
        </w:rPr>
        <w:t>a contractual time bar was held not to take effect as a “waiver” (at 249) but to give rise to an “equitable or promissory estoppel” (at 250). In </w:t>
      </w:r>
      <w:r>
        <w:rPr>
          <w:rFonts w:ascii="Arial" w:hAnsi="Arial"/>
          <w:i/>
          <w:sz w:val="20"/>
        </w:rPr>
        <w:t>Brikom Investments Ltd v Carr [1979] Q.B. 467, 485, 489 </w:t>
      </w:r>
      <w:r>
        <w:rPr>
          <w:sz w:val="20"/>
        </w:rPr>
        <w:t>the principle of </w:t>
      </w:r>
      <w:r>
        <w:rPr>
          <w:rFonts w:ascii="Arial" w:hAnsi="Arial"/>
          <w:i/>
          <w:sz w:val="20"/>
        </w:rPr>
        <w:t>Hughes v Metropolitan Ry </w:t>
      </w:r>
      <w:r>
        <w:rPr>
          <w:sz w:val="20"/>
        </w:rPr>
        <w:t>(above) is, unusually, regarded as distinct from “promissory estoppel” but rather as an illustration of “waiver,” thus suggesting a difference between these two concepts—perhaps because in the </w:t>
      </w:r>
      <w:r>
        <w:rPr>
          <w:rFonts w:ascii="Arial" w:hAnsi="Arial"/>
          <w:i/>
          <w:sz w:val="20"/>
        </w:rPr>
        <w:t>Brikom </w:t>
      </w:r>
      <w:r>
        <w:rPr>
          <w:sz w:val="20"/>
        </w:rPr>
        <w:t>case the waiver amounted to a contractual</w:t>
      </w:r>
      <w:r>
        <w:rPr>
          <w:spacing w:val="-1"/>
          <w:sz w:val="20"/>
        </w:rPr>
        <w:t> </w:t>
      </w:r>
      <w:r>
        <w:rPr>
          <w:sz w:val="20"/>
        </w:rPr>
        <w:t>variation</w:t>
      </w:r>
      <w:r>
        <w:rPr>
          <w:spacing w:val="-1"/>
          <w:sz w:val="20"/>
        </w:rPr>
        <w:t> </w:t>
      </w:r>
      <w:r>
        <w:rPr>
          <w:sz w:val="20"/>
        </w:rPr>
        <w:t>supported</w:t>
      </w:r>
      <w:r>
        <w:rPr>
          <w:spacing w:val="-1"/>
          <w:sz w:val="20"/>
        </w:rPr>
        <w:t> </w:t>
      </w:r>
      <w:r>
        <w:rPr>
          <w:sz w:val="20"/>
        </w:rPr>
        <w:t>by</w:t>
      </w:r>
      <w:r>
        <w:rPr>
          <w:spacing w:val="-1"/>
          <w:sz w:val="20"/>
        </w:rPr>
        <w:t> </w:t>
      </w:r>
      <w:r>
        <w:rPr>
          <w:sz w:val="20"/>
        </w:rPr>
        <w:t>consideration:</w:t>
      </w:r>
      <w:r>
        <w:rPr>
          <w:spacing w:val="-1"/>
          <w:sz w:val="20"/>
        </w:rPr>
        <w:t> </w:t>
      </w:r>
      <w:r>
        <w:rPr>
          <w:sz w:val="20"/>
        </w:rPr>
        <w:t>cf.</w:t>
      </w:r>
      <w:r>
        <w:rPr>
          <w:spacing w:val="-1"/>
          <w:sz w:val="20"/>
        </w:rPr>
        <w:t> </w:t>
      </w:r>
      <w:r>
        <w:rPr>
          <w:sz w:val="20"/>
        </w:rPr>
        <w:t>below,</w:t>
      </w:r>
      <w:r>
        <w:rPr>
          <w:spacing w:val="-1"/>
          <w:sz w:val="20"/>
        </w:rPr>
        <w:t> </w:t>
      </w:r>
      <w:r>
        <w:rPr>
          <w:sz w:val="20"/>
        </w:rPr>
        <w:t>para.4-135.</w:t>
      </w:r>
      <w:r>
        <w:rPr>
          <w:spacing w:val="-1"/>
          <w:sz w:val="20"/>
        </w:rPr>
        <w:t> </w:t>
      </w:r>
      <w:r>
        <w:rPr>
          <w:sz w:val="20"/>
        </w:rPr>
        <w:t>In</w:t>
      </w:r>
      <w:r>
        <w:rPr>
          <w:spacing w:val="-2"/>
          <w:sz w:val="20"/>
        </w:rPr>
        <w:t> </w:t>
      </w:r>
      <w:r>
        <w:rPr>
          <w:rFonts w:ascii="Arial" w:hAnsi="Arial"/>
          <w:i/>
          <w:sz w:val="20"/>
        </w:rPr>
        <w:t>Youell</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Bland</w:t>
      </w:r>
      <w:r>
        <w:rPr>
          <w:rFonts w:ascii="Arial" w:hAnsi="Arial"/>
          <w:i/>
          <w:spacing w:val="-1"/>
          <w:sz w:val="20"/>
        </w:rPr>
        <w:t> </w:t>
      </w:r>
      <w:r>
        <w:rPr>
          <w:rFonts w:ascii="Arial" w:hAnsi="Arial"/>
          <w:i/>
          <w:sz w:val="20"/>
        </w:rPr>
        <w:t>Welch &amp; Co Ltd (The Superhulls Cover Case) (No.2) [1990] 2 Lloyd’s Rep. 431, 449 </w:t>
      </w:r>
      <w:r>
        <w:rPr>
          <w:sz w:val="20"/>
        </w:rPr>
        <w:t>“waiver” is distinguished</w:t>
      </w:r>
      <w:r>
        <w:rPr>
          <w:spacing w:val="-2"/>
          <w:sz w:val="20"/>
        </w:rPr>
        <w:t> </w:t>
      </w:r>
      <w:r>
        <w:rPr>
          <w:sz w:val="20"/>
        </w:rPr>
        <w:t>from</w:t>
      </w:r>
      <w:r>
        <w:rPr>
          <w:spacing w:val="-2"/>
          <w:sz w:val="20"/>
        </w:rPr>
        <w:t> </w:t>
      </w:r>
      <w:r>
        <w:rPr>
          <w:sz w:val="20"/>
        </w:rPr>
        <w:t>“equitable</w:t>
      </w:r>
      <w:r>
        <w:rPr>
          <w:spacing w:val="-2"/>
          <w:sz w:val="20"/>
        </w:rPr>
        <w:t> </w:t>
      </w:r>
      <w:r>
        <w:rPr>
          <w:sz w:val="20"/>
        </w:rPr>
        <w:t>estoppel”</w:t>
      </w:r>
      <w:r>
        <w:rPr>
          <w:spacing w:val="-2"/>
          <w:sz w:val="20"/>
        </w:rPr>
        <w:t> </w:t>
      </w:r>
      <w:r>
        <w:rPr>
          <w:sz w:val="20"/>
        </w:rPr>
        <w:t>on</w:t>
      </w:r>
      <w:r>
        <w:rPr>
          <w:spacing w:val="-2"/>
          <w:sz w:val="20"/>
        </w:rPr>
        <w:t> </w:t>
      </w:r>
      <w:r>
        <w:rPr>
          <w:sz w:val="20"/>
        </w:rPr>
        <w:t>the</w:t>
      </w:r>
      <w:r>
        <w:rPr>
          <w:spacing w:val="-2"/>
          <w:sz w:val="20"/>
        </w:rPr>
        <w:t> </w:t>
      </w:r>
      <w:r>
        <w:rPr>
          <w:sz w:val="20"/>
        </w:rPr>
        <w:t>ground</w:t>
      </w:r>
      <w:r>
        <w:rPr>
          <w:spacing w:val="-2"/>
          <w:sz w:val="20"/>
        </w:rPr>
        <w:t> </w:t>
      </w:r>
      <w:r>
        <w:rPr>
          <w:sz w:val="20"/>
        </w:rPr>
        <w:t>that</w:t>
      </w:r>
      <w:r>
        <w:rPr>
          <w:spacing w:val="-2"/>
          <w:sz w:val="20"/>
        </w:rPr>
        <w:t> </w:t>
      </w:r>
      <w:r>
        <w:rPr>
          <w:sz w:val="20"/>
        </w:rPr>
        <w:t>the</w:t>
      </w:r>
      <w:r>
        <w:rPr>
          <w:spacing w:val="-2"/>
          <w:sz w:val="20"/>
        </w:rPr>
        <w:t> </w:t>
      </w:r>
      <w:r>
        <w:rPr>
          <w:sz w:val="20"/>
        </w:rPr>
        <w:t>former</w:t>
      </w:r>
      <w:r>
        <w:rPr>
          <w:spacing w:val="-2"/>
          <w:sz w:val="20"/>
        </w:rPr>
        <w:t> </w:t>
      </w:r>
      <w:r>
        <w:rPr>
          <w:sz w:val="20"/>
        </w:rPr>
        <w:t>doctrine</w:t>
      </w:r>
      <w:r>
        <w:rPr>
          <w:spacing w:val="-2"/>
          <w:sz w:val="20"/>
        </w:rPr>
        <w:t> </w:t>
      </w:r>
      <w:r>
        <w:rPr>
          <w:sz w:val="20"/>
        </w:rPr>
        <w:t>requires</w:t>
      </w:r>
      <w:r>
        <w:rPr>
          <w:spacing w:val="-2"/>
          <w:sz w:val="20"/>
        </w:rPr>
        <w:t> </w:t>
      </w:r>
      <w:r>
        <w:rPr>
          <w:sz w:val="20"/>
        </w:rPr>
        <w:t>the</w:t>
      </w:r>
      <w:r>
        <w:rPr>
          <w:spacing w:val="-2"/>
          <w:sz w:val="20"/>
        </w:rPr>
        <w:t> </w:t>
      </w:r>
      <w:r>
        <w:rPr>
          <w:sz w:val="20"/>
        </w:rPr>
        <w:t>party who is alleged to have lost his rights to know the material facts, while the latter is not subject to any such requirements. But when “waiver” is said to be subject to this requirement, the reference</w:t>
      </w:r>
      <w:r>
        <w:rPr>
          <w:spacing w:val="-1"/>
          <w:sz w:val="20"/>
        </w:rPr>
        <w:t> </w:t>
      </w:r>
      <w:r>
        <w:rPr>
          <w:sz w:val="20"/>
        </w:rPr>
        <w:t>is</w:t>
      </w:r>
      <w:r>
        <w:rPr>
          <w:spacing w:val="-1"/>
          <w:sz w:val="20"/>
        </w:rPr>
        <w:t> </w:t>
      </w:r>
      <w:r>
        <w:rPr>
          <w:sz w:val="20"/>
        </w:rPr>
        <w:t>to</w:t>
      </w:r>
      <w:r>
        <w:rPr>
          <w:spacing w:val="-1"/>
          <w:sz w:val="20"/>
        </w:rPr>
        <w:t> </w:t>
      </w:r>
      <w:r>
        <w:rPr>
          <w:sz w:val="20"/>
        </w:rPr>
        <w:t>“waiver”</w:t>
      </w:r>
      <w:r>
        <w:rPr>
          <w:spacing w:val="-1"/>
          <w:sz w:val="20"/>
        </w:rPr>
        <w:t> </w:t>
      </w:r>
      <w:r>
        <w:rPr>
          <w:sz w:val="20"/>
        </w:rPr>
        <w:t>in</w:t>
      </w:r>
      <w:r>
        <w:rPr>
          <w:spacing w:val="-1"/>
          <w:sz w:val="20"/>
        </w:rPr>
        <w:t> </w:t>
      </w:r>
      <w:r>
        <w:rPr>
          <w:sz w:val="20"/>
        </w:rPr>
        <w:t>the</w:t>
      </w:r>
      <w:r>
        <w:rPr>
          <w:spacing w:val="-1"/>
          <w:sz w:val="20"/>
        </w:rPr>
        <w:t> </w:t>
      </w:r>
      <w:r>
        <w:rPr>
          <w:sz w:val="20"/>
        </w:rPr>
        <w:t>sense</w:t>
      </w:r>
      <w:r>
        <w:rPr>
          <w:spacing w:val="-1"/>
          <w:sz w:val="20"/>
        </w:rPr>
        <w:t> </w:t>
      </w:r>
      <w:r>
        <w:rPr>
          <w:sz w:val="20"/>
        </w:rPr>
        <w:t>of</w:t>
      </w:r>
      <w:r>
        <w:rPr>
          <w:spacing w:val="-1"/>
          <w:sz w:val="20"/>
        </w:rPr>
        <w:t> </w:t>
      </w:r>
      <w:r>
        <w:rPr>
          <w:sz w:val="20"/>
        </w:rPr>
        <w:t>election</w:t>
      </w:r>
      <w:r>
        <w:rPr>
          <w:spacing w:val="-1"/>
          <w:sz w:val="20"/>
        </w:rPr>
        <w:t> </w:t>
      </w:r>
      <w:r>
        <w:rPr>
          <w:sz w:val="20"/>
        </w:rPr>
        <w:t>between</w:t>
      </w:r>
      <w:r>
        <w:rPr>
          <w:spacing w:val="-1"/>
          <w:sz w:val="20"/>
        </w:rPr>
        <w:t> </w:t>
      </w:r>
      <w:r>
        <w:rPr>
          <w:sz w:val="20"/>
        </w:rPr>
        <w:t>remedies</w:t>
      </w:r>
      <w:r>
        <w:rPr>
          <w:spacing w:val="-1"/>
          <w:sz w:val="20"/>
        </w:rPr>
        <w:t> </w:t>
      </w:r>
      <w:r>
        <w:rPr>
          <w:sz w:val="20"/>
        </w:rPr>
        <w:t>(below,</w:t>
      </w:r>
      <w:r>
        <w:rPr>
          <w:spacing w:val="-1"/>
          <w:sz w:val="20"/>
        </w:rPr>
        <w:t> </w:t>
      </w:r>
      <w:r>
        <w:rPr>
          <w:sz w:val="20"/>
        </w:rPr>
        <w:t>para.24-007)</w:t>
      </w:r>
      <w:r>
        <w:rPr>
          <w:spacing w:val="-1"/>
          <w:sz w:val="20"/>
        </w:rPr>
        <w:t> </w:t>
      </w:r>
      <w:r>
        <w:rPr>
          <w:sz w:val="20"/>
        </w:rPr>
        <w:t>and</w:t>
      </w:r>
      <w:r>
        <w:rPr>
          <w:spacing w:val="-1"/>
          <w:sz w:val="20"/>
        </w:rPr>
        <w:t> </w:t>
      </w:r>
      <w:r>
        <w:rPr>
          <w:sz w:val="20"/>
        </w:rPr>
        <w:t>not to the “waiver” in the sense of relinquishing rights; and it is this latter type of waiver which is here</w:t>
      </w:r>
      <w:r>
        <w:rPr>
          <w:spacing w:val="-2"/>
          <w:sz w:val="20"/>
        </w:rPr>
        <w:t> </w:t>
      </w:r>
      <w:r>
        <w:rPr>
          <w:sz w:val="20"/>
        </w:rPr>
        <w:t>under</w:t>
      </w:r>
      <w:r>
        <w:rPr>
          <w:spacing w:val="-2"/>
          <w:sz w:val="20"/>
        </w:rPr>
        <w:t> </w:t>
      </w:r>
      <w:r>
        <w:rPr>
          <w:sz w:val="20"/>
        </w:rPr>
        <w:t>discussion.</w:t>
      </w:r>
      <w:r>
        <w:rPr>
          <w:spacing w:val="-2"/>
          <w:sz w:val="20"/>
        </w:rPr>
        <w:t> </w:t>
      </w:r>
      <w:r>
        <w:rPr>
          <w:sz w:val="20"/>
        </w:rPr>
        <w:t>The</w:t>
      </w:r>
      <w:r>
        <w:rPr>
          <w:spacing w:val="-2"/>
          <w:sz w:val="20"/>
        </w:rPr>
        <w:t> </w:t>
      </w:r>
      <w:r>
        <w:rPr>
          <w:sz w:val="20"/>
        </w:rPr>
        <w:t>reference</w:t>
      </w:r>
      <w:r>
        <w:rPr>
          <w:spacing w:val="-2"/>
          <w:sz w:val="20"/>
        </w:rPr>
        <w:t> </w:t>
      </w:r>
      <w:r>
        <w:rPr>
          <w:sz w:val="20"/>
        </w:rPr>
        <w:t>in</w:t>
      </w:r>
      <w:r>
        <w:rPr>
          <w:spacing w:val="-3"/>
          <w:sz w:val="20"/>
        </w:rPr>
        <w:t> </w:t>
      </w:r>
      <w:r>
        <w:rPr>
          <w:rFonts w:ascii="Arial" w:hAnsi="Arial"/>
          <w:i/>
          <w:sz w:val="20"/>
        </w:rPr>
        <w:t>Union</w:t>
      </w:r>
      <w:r>
        <w:rPr>
          <w:rFonts w:ascii="Arial" w:hAnsi="Arial"/>
          <w:i/>
          <w:spacing w:val="-2"/>
          <w:sz w:val="20"/>
        </w:rPr>
        <w:t> </w:t>
      </w:r>
      <w:r>
        <w:rPr>
          <w:rFonts w:ascii="Arial" w:hAnsi="Arial"/>
          <w:i/>
          <w:sz w:val="20"/>
        </w:rPr>
        <w:t>Eagle</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Golden</w:t>
      </w:r>
      <w:r>
        <w:rPr>
          <w:rFonts w:ascii="Arial" w:hAnsi="Arial"/>
          <w:i/>
          <w:spacing w:val="-2"/>
          <w:sz w:val="20"/>
        </w:rPr>
        <w:t> </w:t>
      </w:r>
      <w:r>
        <w:rPr>
          <w:rFonts w:ascii="Arial" w:hAnsi="Arial"/>
          <w:i/>
          <w:sz w:val="20"/>
        </w:rPr>
        <w:t>Achievement</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[1997]</w:t>
      </w:r>
      <w:r>
        <w:rPr>
          <w:rFonts w:ascii="Arial" w:hAnsi="Arial"/>
          <w:i/>
          <w:spacing w:val="-2"/>
          <w:sz w:val="20"/>
        </w:rPr>
        <w:t> </w:t>
      </w:r>
      <w:r>
        <w:rPr>
          <w:rFonts w:ascii="Arial" w:hAnsi="Arial"/>
          <w:i/>
          <w:sz w:val="20"/>
        </w:rPr>
        <w:t>A.C. 514, 518 </w:t>
      </w:r>
      <w:r>
        <w:rPr>
          <w:sz w:val="20"/>
        </w:rPr>
        <w:t>to “waiver or estoppel” is likewise to election between remedies rather than to the relinquishing of rights which is under discussion in the present chapter. This was also the type</w:t>
      </w:r>
      <w:r>
        <w:rPr>
          <w:spacing w:val="40"/>
          <w:sz w:val="20"/>
        </w:rPr>
        <w:t> </w:t>
      </w:r>
      <w:r>
        <w:rPr>
          <w:sz w:val="20"/>
        </w:rPr>
        <w:t>of waiver under discussion in the </w:t>
      </w:r>
      <w:r>
        <w:rPr>
          <w:rFonts w:ascii="Arial" w:hAnsi="Arial"/>
          <w:i/>
          <w:sz w:val="20"/>
        </w:rPr>
        <w:t>Oliver Ashworth </w:t>
      </w:r>
      <w:r>
        <w:rPr>
          <w:sz w:val="20"/>
        </w:rPr>
        <w:t>case, above, and in </w:t>
      </w:r>
      <w:r>
        <w:rPr>
          <w:rFonts w:ascii="Arial" w:hAnsi="Arial"/>
          <w:i/>
          <w:sz w:val="20"/>
        </w:rPr>
        <w:t>Glencore Grain Ltd v Flacker</w:t>
      </w:r>
      <w:r>
        <w:rPr>
          <w:rFonts w:ascii="Arial" w:hAnsi="Arial"/>
          <w:i/>
          <w:spacing w:val="23"/>
          <w:sz w:val="20"/>
        </w:rPr>
        <w:t> </w:t>
      </w:r>
      <w:r>
        <w:rPr>
          <w:rFonts w:ascii="Arial" w:hAnsi="Arial"/>
          <w:i/>
          <w:sz w:val="20"/>
        </w:rPr>
        <w:t>Shipping</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(The</w:t>
      </w:r>
      <w:r>
        <w:rPr>
          <w:rFonts w:ascii="Arial" w:hAnsi="Arial"/>
          <w:i/>
          <w:spacing w:val="23"/>
          <w:sz w:val="20"/>
        </w:rPr>
        <w:t> </w:t>
      </w:r>
      <w:r>
        <w:rPr>
          <w:rFonts w:ascii="Arial" w:hAnsi="Arial"/>
          <w:i/>
          <w:sz w:val="20"/>
        </w:rPr>
        <w:t>Happy</w:t>
      </w:r>
      <w:r>
        <w:rPr>
          <w:rFonts w:ascii="Arial" w:hAnsi="Arial"/>
          <w:i/>
          <w:spacing w:val="23"/>
          <w:sz w:val="20"/>
        </w:rPr>
        <w:t> </w:t>
      </w:r>
      <w:r>
        <w:rPr>
          <w:rFonts w:ascii="Arial" w:hAnsi="Arial"/>
          <w:i/>
          <w:sz w:val="20"/>
        </w:rPr>
        <w:t>Day)</w:t>
      </w:r>
      <w:r>
        <w:rPr>
          <w:rFonts w:ascii="Arial" w:hAnsi="Arial"/>
          <w:i/>
          <w:spacing w:val="23"/>
          <w:sz w:val="20"/>
        </w:rPr>
        <w:t> </w:t>
      </w:r>
      <w:r>
        <w:rPr>
          <w:rFonts w:ascii="Arial" w:hAnsi="Arial"/>
          <w:i/>
          <w:sz w:val="20"/>
        </w:rPr>
        <w:t>[2002]</w:t>
      </w:r>
      <w:r>
        <w:rPr>
          <w:rFonts w:ascii="Arial" w:hAnsi="Arial"/>
          <w:i/>
          <w:spacing w:val="23"/>
          <w:sz w:val="20"/>
        </w:rPr>
        <w:t> </w:t>
      </w:r>
      <w:r>
        <w:rPr>
          <w:rFonts w:ascii="Arial" w:hAnsi="Arial"/>
          <w:i/>
          <w:sz w:val="20"/>
        </w:rPr>
        <w:t>EWCA</w:t>
      </w:r>
      <w:r>
        <w:rPr>
          <w:rFonts w:ascii="Arial" w:hAnsi="Arial"/>
          <w:i/>
          <w:spacing w:val="23"/>
          <w:sz w:val="20"/>
        </w:rPr>
        <w:t> </w:t>
      </w:r>
      <w:r>
        <w:rPr>
          <w:rFonts w:ascii="Arial" w:hAnsi="Arial"/>
          <w:i/>
          <w:sz w:val="20"/>
        </w:rPr>
        <w:t>Civ</w:t>
      </w:r>
      <w:r>
        <w:rPr>
          <w:rFonts w:ascii="Arial" w:hAnsi="Arial"/>
          <w:i/>
          <w:spacing w:val="23"/>
          <w:sz w:val="20"/>
        </w:rPr>
        <w:t> </w:t>
      </w:r>
      <w:r>
        <w:rPr>
          <w:rFonts w:ascii="Arial" w:hAnsi="Arial"/>
          <w:i/>
          <w:sz w:val="20"/>
        </w:rPr>
        <w:t>1068;</w:t>
      </w:r>
      <w:r>
        <w:rPr>
          <w:rFonts w:ascii="Arial" w:hAnsi="Arial"/>
          <w:i/>
          <w:spacing w:val="23"/>
          <w:sz w:val="20"/>
        </w:rPr>
        <w:t> </w:t>
      </w:r>
      <w:r>
        <w:rPr>
          <w:rFonts w:ascii="Arial" w:hAnsi="Arial"/>
          <w:i/>
          <w:sz w:val="20"/>
        </w:rPr>
        <w:t>[2002]</w:t>
      </w:r>
      <w:r>
        <w:rPr>
          <w:rFonts w:ascii="Arial" w:hAnsi="Arial"/>
          <w:i/>
          <w:spacing w:val="23"/>
          <w:sz w:val="20"/>
        </w:rPr>
        <w:t> </w:t>
      </w:r>
      <w:r>
        <w:rPr>
          <w:rFonts w:ascii="Arial" w:hAnsi="Arial"/>
          <w:i/>
          <w:sz w:val="20"/>
        </w:rPr>
        <w:t>2</w:t>
      </w:r>
      <w:r>
        <w:rPr>
          <w:rFonts w:ascii="Arial" w:hAnsi="Arial"/>
          <w:i/>
          <w:spacing w:val="23"/>
          <w:sz w:val="20"/>
        </w:rPr>
        <w:t> </w:t>
      </w:r>
      <w:r>
        <w:rPr>
          <w:rFonts w:ascii="Arial" w:hAnsi="Arial"/>
          <w:i/>
          <w:sz w:val="20"/>
        </w:rPr>
        <w:t>Lloyd’s</w:t>
      </w:r>
      <w:r>
        <w:rPr>
          <w:rFonts w:ascii="Arial" w:hAnsi="Arial"/>
          <w:i/>
          <w:spacing w:val="23"/>
          <w:sz w:val="20"/>
        </w:rPr>
        <w:t> </w:t>
      </w:r>
      <w:r>
        <w:rPr>
          <w:rFonts w:ascii="Arial" w:hAnsi="Arial"/>
          <w:i/>
          <w:sz w:val="20"/>
        </w:rPr>
        <w:t>Rep.</w:t>
      </w:r>
      <w:r>
        <w:rPr>
          <w:rFonts w:ascii="Arial" w:hAnsi="Arial"/>
          <w:i/>
          <w:spacing w:val="23"/>
          <w:sz w:val="20"/>
        </w:rPr>
        <w:t> </w:t>
      </w:r>
      <w:r>
        <w:rPr>
          <w:rFonts w:ascii="Arial" w:hAnsi="Arial"/>
          <w:i/>
          <w:sz w:val="20"/>
        </w:rPr>
        <w:t>487</w:t>
      </w:r>
      <w:r>
        <w:rPr>
          <w:rFonts w:ascii="Arial" w:hAnsi="Arial"/>
          <w:i/>
          <w:spacing w:val="22"/>
          <w:sz w:val="20"/>
        </w:rPr>
        <w:t> </w:t>
      </w:r>
      <w:r>
        <w:rPr>
          <w:spacing w:val="-5"/>
          <w:sz w:val="20"/>
        </w:rPr>
        <w:t>at</w:t>
      </w:r>
    </w:p>
    <w:p>
      <w:pPr>
        <w:pStyle w:val="BodyText"/>
        <w:spacing w:line="219" w:lineRule="exact"/>
        <w:ind w:left="705"/>
      </w:pPr>
      <w:r>
        <w:rPr>
          <w:spacing w:val="-2"/>
        </w:rPr>
        <w:t>[64].</w:t>
      </w:r>
    </w:p>
    <w:p>
      <w:pPr>
        <w:pStyle w:val="BodyText"/>
        <w:spacing w:before="4"/>
      </w:pPr>
    </w:p>
    <w:p>
      <w:pPr>
        <w:tabs>
          <w:tab w:pos="705" w:val="left" w:leader="none"/>
        </w:tabs>
        <w:spacing w:line="227" w:lineRule="exact" w:before="0"/>
        <w:ind w:left="165" w:right="0" w:firstLine="0"/>
        <w:jc w:val="left"/>
        <w:rPr>
          <w:rFonts w:ascii="Arial" w:hAnsi="Arial"/>
          <w:i/>
          <w:sz w:val="20"/>
        </w:rPr>
      </w:pPr>
      <w:bookmarkStart w:name="_bookmark1232" w:id="1234"/>
      <w:bookmarkEnd w:id="1234"/>
      <w:r>
        <w:rPr/>
      </w:r>
      <w:hyperlink w:history="true" w:anchor="_bookmark997">
        <w:r>
          <w:rPr>
            <w:color w:val="005DA1"/>
            <w:spacing w:val="-4"/>
            <w:position w:val="5"/>
            <w:sz w:val="14"/>
            <w:u w:val="single" w:color="005DA1"/>
          </w:rPr>
          <w:t>601</w:t>
        </w:r>
      </w:hyperlink>
      <w:r>
        <w:rPr>
          <w:spacing w:val="-4"/>
          <w:position w:val="5"/>
          <w:sz w:val="14"/>
        </w:rPr>
        <w:t>.</w:t>
      </w:r>
      <w:r>
        <w:rPr>
          <w:position w:val="5"/>
          <w:sz w:val="14"/>
        </w:rPr>
        <w:tab/>
      </w:r>
      <w:r>
        <w:rPr>
          <w:sz w:val="20"/>
        </w:rPr>
        <w:t>e.g. </w:t>
      </w:r>
      <w:r>
        <w:rPr>
          <w:rFonts w:ascii="Arial" w:hAnsi="Arial"/>
          <w:i/>
          <w:sz w:val="20"/>
        </w:rPr>
        <w:t>Bremer Handelsgesellschaft mbH v Westzucker GmbH [1981] 1 Lloyd’s Rep. 207, </w:t>
      </w:r>
      <w:r>
        <w:rPr>
          <w:rFonts w:ascii="Arial" w:hAnsi="Arial"/>
          <w:i/>
          <w:spacing w:val="-2"/>
          <w:sz w:val="20"/>
        </w:rPr>
        <w:t>212–213</w:t>
      </w:r>
    </w:p>
    <w:p>
      <w:pPr>
        <w:spacing w:line="227" w:lineRule="exact" w:before="0"/>
        <w:ind w:left="705" w:right="0" w:firstLine="0"/>
        <w:jc w:val="left"/>
        <w:rPr>
          <w:sz w:val="20"/>
        </w:rPr>
      </w:pPr>
      <w:r>
        <w:rPr>
          <w:spacing w:val="-10"/>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233" w:id="1235"/>
      <w:bookmarkEnd w:id="1235"/>
      <w:r>
        <w:rPr/>
      </w:r>
      <w:hyperlink w:history="true" w:anchor="_bookmark998">
        <w:r>
          <w:rPr>
            <w:color w:val="005DA1"/>
            <w:spacing w:val="-4"/>
            <w:position w:val="5"/>
            <w:sz w:val="14"/>
            <w:u w:val="single" w:color="005DA1"/>
          </w:rPr>
          <w:t>602</w:t>
        </w:r>
      </w:hyperlink>
      <w:r>
        <w:rPr>
          <w:spacing w:val="-4"/>
          <w:position w:val="5"/>
          <w:sz w:val="14"/>
        </w:rPr>
        <w:t>.</w:t>
      </w:r>
      <w:r>
        <w:rPr>
          <w:position w:val="5"/>
          <w:sz w:val="14"/>
        </w:rPr>
        <w:tab/>
      </w:r>
      <w:r>
        <w:rPr>
          <w:rFonts w:ascii="Arial" w:hAnsi="Arial"/>
          <w:i/>
          <w:sz w:val="20"/>
        </w:rPr>
        <w:t>Prosper</w:t>
      </w:r>
      <w:r>
        <w:rPr>
          <w:rFonts w:ascii="Arial" w:hAnsi="Arial"/>
          <w:i/>
          <w:spacing w:val="33"/>
          <w:sz w:val="20"/>
        </w:rPr>
        <w:t> </w:t>
      </w:r>
      <w:r>
        <w:rPr>
          <w:rFonts w:ascii="Arial" w:hAnsi="Arial"/>
          <w:i/>
          <w:sz w:val="20"/>
        </w:rPr>
        <w:t>Homes</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Hambro’s</w:t>
      </w:r>
      <w:r>
        <w:rPr>
          <w:rFonts w:ascii="Arial" w:hAnsi="Arial"/>
          <w:i/>
          <w:spacing w:val="33"/>
          <w:sz w:val="20"/>
        </w:rPr>
        <w:t> </w:t>
      </w:r>
      <w:r>
        <w:rPr>
          <w:rFonts w:ascii="Arial" w:hAnsi="Arial"/>
          <w:i/>
          <w:sz w:val="20"/>
        </w:rPr>
        <w:t>Bank</w:t>
      </w:r>
      <w:r>
        <w:rPr>
          <w:rFonts w:ascii="Arial" w:hAnsi="Arial"/>
          <w:i/>
          <w:spacing w:val="33"/>
          <w:sz w:val="20"/>
        </w:rPr>
        <w:t> </w:t>
      </w:r>
      <w:r>
        <w:rPr>
          <w:rFonts w:ascii="Arial" w:hAnsi="Arial"/>
          <w:i/>
          <w:sz w:val="20"/>
        </w:rPr>
        <w:t>Executor</w:t>
      </w:r>
      <w:r>
        <w:rPr>
          <w:rFonts w:ascii="Arial" w:hAnsi="Arial"/>
          <w:i/>
          <w:spacing w:val="33"/>
          <w:sz w:val="20"/>
        </w:rPr>
        <w:t> </w:t>
      </w:r>
      <w:r>
        <w:rPr>
          <w:rFonts w:ascii="Arial" w:hAnsi="Arial"/>
          <w:i/>
          <w:sz w:val="20"/>
        </w:rPr>
        <w:t>Trustee</w:t>
      </w:r>
      <w:r>
        <w:rPr>
          <w:rFonts w:ascii="Arial" w:hAnsi="Arial"/>
          <w:i/>
          <w:spacing w:val="33"/>
          <w:sz w:val="20"/>
        </w:rPr>
        <w:t> </w:t>
      </w:r>
      <w:r>
        <w:rPr>
          <w:rFonts w:ascii="Arial" w:hAnsi="Arial"/>
          <w:i/>
          <w:sz w:val="20"/>
        </w:rPr>
        <w:t>Co</w:t>
      </w:r>
      <w:r>
        <w:rPr>
          <w:rFonts w:ascii="Arial" w:hAnsi="Arial"/>
          <w:i/>
          <w:spacing w:val="33"/>
          <w:sz w:val="20"/>
        </w:rPr>
        <w:t> </w:t>
      </w:r>
      <w:r>
        <w:rPr>
          <w:rFonts w:ascii="Arial" w:hAnsi="Arial"/>
          <w:i/>
          <w:sz w:val="20"/>
        </w:rPr>
        <w:t>(1979)</w:t>
      </w:r>
      <w:r>
        <w:rPr>
          <w:rFonts w:ascii="Arial" w:hAnsi="Arial"/>
          <w:i/>
          <w:spacing w:val="33"/>
          <w:sz w:val="20"/>
        </w:rPr>
        <w:t> </w:t>
      </w:r>
      <w:r>
        <w:rPr>
          <w:rFonts w:ascii="Arial" w:hAnsi="Arial"/>
          <w:i/>
          <w:sz w:val="20"/>
        </w:rPr>
        <w:t>P.</w:t>
      </w:r>
      <w:r>
        <w:rPr>
          <w:rFonts w:ascii="Arial" w:hAnsi="Arial"/>
          <w:i/>
          <w:spacing w:val="33"/>
          <w:sz w:val="20"/>
        </w:rPr>
        <w:t> </w:t>
      </w:r>
      <w:r>
        <w:rPr>
          <w:rFonts w:ascii="Arial" w:hAnsi="Arial"/>
          <w:i/>
          <w:sz w:val="20"/>
        </w:rPr>
        <w:t>&amp;</w:t>
      </w:r>
      <w:r>
        <w:rPr>
          <w:rFonts w:ascii="Arial" w:hAnsi="Arial"/>
          <w:i/>
          <w:spacing w:val="33"/>
          <w:sz w:val="20"/>
        </w:rPr>
        <w:t> </w:t>
      </w:r>
      <w:r>
        <w:rPr>
          <w:rFonts w:ascii="Arial" w:hAnsi="Arial"/>
          <w:i/>
          <w:sz w:val="20"/>
        </w:rPr>
        <w:t>C.R.</w:t>
      </w:r>
      <w:r>
        <w:rPr>
          <w:rFonts w:ascii="Arial" w:hAnsi="Arial"/>
          <w:i/>
          <w:spacing w:val="33"/>
          <w:sz w:val="20"/>
        </w:rPr>
        <w:t> </w:t>
      </w:r>
      <w:r>
        <w:rPr>
          <w:rFonts w:ascii="Arial" w:hAnsi="Arial"/>
          <w:i/>
          <w:sz w:val="20"/>
        </w:rPr>
        <w:t>395,</w:t>
      </w:r>
      <w:r>
        <w:rPr>
          <w:rFonts w:ascii="Arial" w:hAnsi="Arial"/>
          <w:i/>
          <w:spacing w:val="33"/>
          <w:sz w:val="20"/>
        </w:rPr>
        <w:t> </w:t>
      </w:r>
      <w:r>
        <w:rPr>
          <w:rFonts w:ascii="Arial" w:hAnsi="Arial"/>
          <w:i/>
          <w:sz w:val="20"/>
        </w:rPr>
        <w:t>401</w:t>
      </w:r>
      <w:r>
        <w:rPr>
          <w:sz w:val="20"/>
        </w:rPr>
        <w:t>;</w:t>
      </w:r>
      <w:r>
        <w:rPr>
          <w:spacing w:val="33"/>
          <w:sz w:val="20"/>
        </w:rPr>
        <w:t> </w:t>
      </w:r>
      <w:r>
        <w:rPr>
          <w:sz w:val="20"/>
        </w:rPr>
        <w:t>cf.</w:t>
      </w:r>
      <w:r>
        <w:rPr>
          <w:spacing w:val="33"/>
          <w:sz w:val="20"/>
        </w:rPr>
        <w:t> </w:t>
      </w:r>
      <w:r>
        <w:rPr>
          <w:rFonts w:ascii="Arial" w:hAnsi="Arial"/>
          <w:i/>
          <w:sz w:val="20"/>
        </w:rPr>
        <w:t>The Nerano [1996] 1 Lloyd’s Rep. 1, 6 </w:t>
      </w:r>
      <w:r>
        <w:rPr>
          <w:sz w:val="20"/>
        </w:rPr>
        <w:t>(“really one and the same thing”).</w:t>
      </w:r>
    </w:p>
    <w:p>
      <w:pPr>
        <w:pStyle w:val="BodyText"/>
        <w:spacing w:before="5"/>
      </w:pPr>
    </w:p>
    <w:p>
      <w:pPr>
        <w:pStyle w:val="BodyText"/>
        <w:tabs>
          <w:tab w:pos="705" w:val="left" w:leader="none"/>
        </w:tabs>
        <w:ind w:left="165"/>
      </w:pPr>
      <w:bookmarkStart w:name="_bookmark1234" w:id="1236"/>
      <w:bookmarkEnd w:id="1236"/>
      <w:r>
        <w:rPr/>
      </w:r>
      <w:hyperlink w:history="true" w:anchor="_bookmark999">
        <w:r>
          <w:rPr>
            <w:color w:val="005DA1"/>
            <w:spacing w:val="-4"/>
            <w:position w:val="5"/>
            <w:sz w:val="14"/>
            <w:u w:val="single" w:color="005DA1"/>
          </w:rPr>
          <w:t>603</w:t>
        </w:r>
      </w:hyperlink>
      <w:r>
        <w:rPr>
          <w:spacing w:val="-4"/>
          <w:position w:val="5"/>
          <w:sz w:val="14"/>
        </w:rPr>
        <w:t>.</w:t>
      </w:r>
      <w:r>
        <w:rPr>
          <w:position w:val="5"/>
          <w:sz w:val="14"/>
        </w:rPr>
        <w:tab/>
      </w:r>
      <w:r>
        <w:rPr/>
        <w:t>See the authorities cited in nn.595 and 596, </w:t>
      </w:r>
      <w:r>
        <w:rPr>
          <w:spacing w:val="-2"/>
        </w:rPr>
        <w:t>above.</w:t>
      </w:r>
    </w:p>
    <w:p>
      <w:pPr>
        <w:pStyle w:val="BodyText"/>
        <w:spacing w:before="5"/>
      </w:pPr>
    </w:p>
    <w:p>
      <w:pPr>
        <w:pStyle w:val="BodyText"/>
        <w:tabs>
          <w:tab w:pos="705" w:val="left" w:leader="none"/>
        </w:tabs>
        <w:ind w:left="165"/>
      </w:pPr>
      <w:bookmarkStart w:name="_bookmark1235" w:id="1237"/>
      <w:bookmarkEnd w:id="1237"/>
      <w:r>
        <w:rPr/>
      </w:r>
      <w:hyperlink w:history="true" w:anchor="_bookmark1000">
        <w:r>
          <w:rPr>
            <w:color w:val="005DA1"/>
            <w:spacing w:val="-4"/>
            <w:position w:val="5"/>
            <w:sz w:val="14"/>
            <w:u w:val="single" w:color="005DA1"/>
          </w:rPr>
          <w:t>604</w:t>
        </w:r>
      </w:hyperlink>
      <w:r>
        <w:rPr>
          <w:spacing w:val="-4"/>
          <w:position w:val="5"/>
          <w:sz w:val="14"/>
        </w:rPr>
        <w:t>.</w:t>
      </w:r>
      <w:r>
        <w:rPr>
          <w:position w:val="5"/>
          <w:sz w:val="14"/>
        </w:rPr>
        <w:tab/>
      </w:r>
      <w:r>
        <w:rPr/>
        <w:t>cf. para.4-104 above at </w:t>
      </w:r>
      <w:r>
        <w:rPr>
          <w:spacing w:val="-2"/>
        </w:rPr>
        <w:t>n.577.</w:t>
      </w:r>
    </w:p>
    <w:p>
      <w:pPr>
        <w:pStyle w:val="BodyText"/>
        <w:spacing w:before="9"/>
      </w:pPr>
    </w:p>
    <w:p>
      <w:pPr>
        <w:pStyle w:val="BodyText"/>
        <w:spacing w:line="235" w:lineRule="auto"/>
        <w:ind w:left="705" w:right="167" w:hanging="541"/>
        <w:jc w:val="both"/>
      </w:pPr>
      <w:bookmarkStart w:name="_bookmark1236" w:id="1238"/>
      <w:bookmarkEnd w:id="1238"/>
      <w:r>
        <w:rPr/>
      </w:r>
      <w:hyperlink w:history="true" w:anchor="_bookmark1001">
        <w:r>
          <w:rPr>
            <w:color w:val="005DA1"/>
            <w:position w:val="5"/>
            <w:sz w:val="14"/>
            <w:u w:val="single" w:color="005DA1"/>
          </w:rPr>
          <w:t>605</w:t>
        </w:r>
      </w:hyperlink>
      <w:r>
        <w:rPr>
          <w:position w:val="5"/>
          <w:sz w:val="14"/>
        </w:rPr>
        <w:t>.</w:t>
      </w:r>
      <w:r>
        <w:rPr>
          <w:spacing w:val="80"/>
          <w:position w:val="5"/>
          <w:sz w:val="14"/>
        </w:rPr>
        <w:t>  </w:t>
      </w:r>
      <w:r>
        <w:rPr/>
        <w:t>Restatement, Contracts §90 and Restatement 2d, Contracts §90. In English law, the need </w:t>
      </w:r>
      <w:r>
        <w:rPr/>
        <w:t>to</w:t>
      </w:r>
      <w:r>
        <w:rPr>
          <w:spacing w:val="40"/>
        </w:rPr>
        <w:t> </w:t>
      </w:r>
      <w:r>
        <w:rPr/>
        <w:t>use the doctrine to give rise to a cause of action is less acute than in the United States, where the courts are less ready than the English courts to “invent” consideration (above para.4-010).</w:t>
      </w:r>
    </w:p>
    <w:p>
      <w:pPr>
        <w:pStyle w:val="BodyText"/>
        <w:spacing w:before="5"/>
      </w:pPr>
    </w:p>
    <w:p>
      <w:pPr>
        <w:tabs>
          <w:tab w:pos="705" w:val="left" w:leader="none"/>
        </w:tabs>
        <w:spacing w:before="0"/>
        <w:ind w:left="165" w:right="0" w:firstLine="0"/>
        <w:jc w:val="left"/>
        <w:rPr>
          <w:sz w:val="20"/>
        </w:rPr>
      </w:pPr>
      <w:bookmarkStart w:name="_bookmark1237" w:id="1239"/>
      <w:bookmarkEnd w:id="1239"/>
      <w:r>
        <w:rPr/>
      </w:r>
      <w:hyperlink w:history="true" w:anchor="_bookmark1002">
        <w:r>
          <w:rPr>
            <w:color w:val="005DA1"/>
            <w:spacing w:val="-4"/>
            <w:position w:val="5"/>
            <w:sz w:val="14"/>
            <w:u w:val="single" w:color="005DA1"/>
          </w:rPr>
          <w:t>606</w:t>
        </w:r>
      </w:hyperlink>
      <w:r>
        <w:rPr>
          <w:spacing w:val="-4"/>
          <w:position w:val="5"/>
          <w:sz w:val="14"/>
        </w:rPr>
        <w:t>.</w:t>
      </w:r>
      <w:r>
        <w:rPr>
          <w:position w:val="5"/>
          <w:sz w:val="14"/>
        </w:rPr>
        <w:tab/>
      </w:r>
      <w:r>
        <w:rPr>
          <w:rFonts w:ascii="Arial"/>
          <w:i/>
          <w:sz w:val="20"/>
        </w:rPr>
        <w:t>(1988)</w:t>
      </w:r>
      <w:r>
        <w:rPr>
          <w:rFonts w:ascii="Arial"/>
          <w:i/>
          <w:spacing w:val="-1"/>
          <w:sz w:val="20"/>
        </w:rPr>
        <w:t> </w:t>
      </w:r>
      <w:r>
        <w:rPr>
          <w:rFonts w:ascii="Arial"/>
          <w:i/>
          <w:sz w:val="20"/>
        </w:rPr>
        <w:t>164 C.L.R. 387</w:t>
      </w:r>
      <w:r>
        <w:rPr>
          <w:sz w:val="20"/>
        </w:rPr>
        <w:t>; Duthie 104 L.Q.R. 362; Sutton 1 J.C.L. </w:t>
      </w:r>
      <w:r>
        <w:rPr>
          <w:spacing w:val="-4"/>
          <w:sz w:val="20"/>
        </w:rPr>
        <w:t>205.</w:t>
      </w:r>
    </w:p>
    <w:p>
      <w:pPr>
        <w:pStyle w:val="BodyText"/>
        <w:spacing w:before="5"/>
      </w:pPr>
    </w:p>
    <w:p>
      <w:pPr>
        <w:tabs>
          <w:tab w:pos="705" w:val="left" w:leader="none"/>
        </w:tabs>
        <w:spacing w:before="0"/>
        <w:ind w:left="165" w:right="0" w:firstLine="0"/>
        <w:jc w:val="left"/>
        <w:rPr>
          <w:sz w:val="20"/>
        </w:rPr>
      </w:pPr>
      <w:bookmarkStart w:name="_bookmark1238" w:id="1240"/>
      <w:bookmarkEnd w:id="1240"/>
      <w:r>
        <w:rPr/>
      </w:r>
      <w:hyperlink w:history="true" w:anchor="_bookmark1003">
        <w:r>
          <w:rPr>
            <w:color w:val="005DA1"/>
            <w:spacing w:val="-4"/>
            <w:position w:val="5"/>
            <w:sz w:val="14"/>
            <w:u w:val="single" w:color="005DA1"/>
          </w:rPr>
          <w:t>607</w:t>
        </w:r>
      </w:hyperlink>
      <w:r>
        <w:rPr>
          <w:spacing w:val="-4"/>
          <w:position w:val="5"/>
          <w:sz w:val="14"/>
        </w:rPr>
        <w:t>.</w:t>
      </w:r>
      <w:r>
        <w:rPr>
          <w:position w:val="5"/>
          <w:sz w:val="14"/>
        </w:rPr>
        <w:tab/>
      </w:r>
      <w:r>
        <w:rPr>
          <w:sz w:val="20"/>
        </w:rPr>
        <w:t>Above, para.2-</w:t>
      </w:r>
      <w:r>
        <w:rPr>
          <w:spacing w:val="-4"/>
          <w:sz w:val="20"/>
        </w:rPr>
        <w:t>125.</w:t>
      </w:r>
    </w:p>
    <w:p>
      <w:pPr>
        <w:pStyle w:val="BodyText"/>
        <w:spacing w:before="5"/>
      </w:pPr>
    </w:p>
    <w:p>
      <w:pPr>
        <w:pStyle w:val="BodyText"/>
        <w:tabs>
          <w:tab w:pos="705" w:val="left" w:leader="none"/>
        </w:tabs>
        <w:ind w:left="165"/>
      </w:pPr>
      <w:bookmarkStart w:name="_bookmark1239" w:id="1241"/>
      <w:bookmarkEnd w:id="1241"/>
      <w:r>
        <w:rPr/>
      </w:r>
      <w:hyperlink w:history="true" w:anchor="_bookmark1004">
        <w:r>
          <w:rPr>
            <w:color w:val="005DA1"/>
            <w:spacing w:val="-4"/>
            <w:position w:val="5"/>
            <w:sz w:val="14"/>
            <w:u w:val="single" w:color="005DA1"/>
          </w:rPr>
          <w:t>608</w:t>
        </w:r>
      </w:hyperlink>
      <w:r>
        <w:rPr>
          <w:spacing w:val="-4"/>
          <w:position w:val="5"/>
          <w:sz w:val="14"/>
        </w:rPr>
        <w:t>.</w:t>
      </w:r>
      <w:r>
        <w:rPr>
          <w:position w:val="5"/>
          <w:sz w:val="14"/>
        </w:rPr>
        <w:tab/>
      </w:r>
      <w:r>
        <w:rPr/>
        <w:t>For this requirement, see above, para.2-</w:t>
      </w:r>
      <w:r>
        <w:rPr>
          <w:spacing w:val="-4"/>
        </w:rPr>
        <w:t>126.</w:t>
      </w:r>
    </w:p>
    <w:p>
      <w:pPr>
        <w:pStyle w:val="BodyText"/>
        <w:spacing w:before="5"/>
      </w:pPr>
    </w:p>
    <w:p>
      <w:pPr>
        <w:tabs>
          <w:tab w:pos="705" w:val="left" w:leader="none"/>
        </w:tabs>
        <w:spacing w:before="0"/>
        <w:ind w:left="165" w:right="0" w:firstLine="0"/>
        <w:jc w:val="left"/>
        <w:rPr>
          <w:sz w:val="20"/>
        </w:rPr>
      </w:pPr>
      <w:bookmarkStart w:name="_bookmark1240" w:id="1242"/>
      <w:bookmarkEnd w:id="1242"/>
      <w:r>
        <w:rPr/>
      </w:r>
      <w:hyperlink w:history="true" w:anchor="_bookmark1005">
        <w:r>
          <w:rPr>
            <w:color w:val="005DA1"/>
            <w:spacing w:val="-4"/>
            <w:position w:val="5"/>
            <w:sz w:val="14"/>
            <w:u w:val="single" w:color="005DA1"/>
          </w:rPr>
          <w:t>609</w:t>
        </w:r>
      </w:hyperlink>
      <w:r>
        <w:rPr>
          <w:spacing w:val="-4"/>
          <w:position w:val="5"/>
          <w:sz w:val="14"/>
        </w:rPr>
        <w:t>.</w:t>
      </w:r>
      <w:r>
        <w:rPr>
          <w:position w:val="5"/>
          <w:sz w:val="14"/>
        </w:rPr>
        <w:tab/>
      </w:r>
      <w:r>
        <w:rPr>
          <w:sz w:val="20"/>
        </w:rPr>
        <w:t>e.g. in</w:t>
      </w:r>
      <w:r>
        <w:rPr>
          <w:spacing w:val="-1"/>
          <w:sz w:val="20"/>
        </w:rPr>
        <w:t> </w:t>
      </w:r>
      <w:r>
        <w:rPr>
          <w:rFonts w:ascii="Arial"/>
          <w:i/>
          <w:sz w:val="20"/>
        </w:rPr>
        <w:t>Dillwyn v Llewelyn (1862) 4 D.F. &amp; G. 517</w:t>
      </w:r>
      <w:r>
        <w:rPr>
          <w:rFonts w:ascii="Arial"/>
          <w:i/>
          <w:spacing w:val="-1"/>
          <w:sz w:val="20"/>
        </w:rPr>
        <w:t> </w:t>
      </w:r>
      <w:r>
        <w:rPr>
          <w:sz w:val="20"/>
        </w:rPr>
        <w:t>below, paras 4-141, 4-</w:t>
      </w:r>
      <w:r>
        <w:rPr>
          <w:spacing w:val="-4"/>
          <w:sz w:val="20"/>
        </w:rPr>
        <w:t>170.</w:t>
      </w:r>
    </w:p>
    <w:p>
      <w:pPr>
        <w:pStyle w:val="BodyText"/>
        <w:spacing w:before="9"/>
      </w:pPr>
    </w:p>
    <w:p>
      <w:pPr>
        <w:spacing w:line="235" w:lineRule="auto" w:before="0"/>
        <w:ind w:left="705" w:right="167" w:hanging="541"/>
        <w:jc w:val="both"/>
        <w:rPr>
          <w:sz w:val="20"/>
        </w:rPr>
      </w:pPr>
      <w:bookmarkStart w:name="_bookmark1241" w:id="1243"/>
      <w:bookmarkEnd w:id="1243"/>
      <w:r>
        <w:rPr/>
      </w:r>
      <w:hyperlink w:history="true" w:anchor="_bookmark1006">
        <w:r>
          <w:rPr>
            <w:color w:val="005DA1"/>
            <w:position w:val="5"/>
            <w:sz w:val="14"/>
            <w:u w:val="single" w:color="005DA1"/>
          </w:rPr>
          <w:t>610</w:t>
        </w:r>
      </w:hyperlink>
      <w:r>
        <w:rPr>
          <w:position w:val="5"/>
          <w:sz w:val="14"/>
        </w:rPr>
        <w:t>.</w:t>
      </w:r>
      <w:r>
        <w:rPr>
          <w:spacing w:val="80"/>
          <w:position w:val="5"/>
          <w:sz w:val="14"/>
        </w:rPr>
        <w:t>  </w:t>
      </w:r>
      <w:r>
        <w:rPr>
          <w:sz w:val="20"/>
        </w:rPr>
        <w:t>e.g. in </w:t>
      </w:r>
      <w:r>
        <w:rPr>
          <w:rFonts w:ascii="Arial" w:hAnsi="Arial"/>
          <w:i/>
          <w:sz w:val="20"/>
        </w:rPr>
        <w:t>William Lacey (Hounslow) Ltd v Davis [1954] 1 Q.B. 428</w:t>
      </w:r>
      <w:r>
        <w:rPr>
          <w:sz w:val="20"/>
        </w:rPr>
        <w:t>; </w:t>
      </w:r>
      <w:r>
        <w:rPr>
          <w:rFonts w:ascii="Arial" w:hAnsi="Arial"/>
          <w:i/>
          <w:sz w:val="20"/>
        </w:rPr>
        <w:t>Countrywide Communications Ltd v ICL Pathways Ltd [2002] C.L.C. 325</w:t>
      </w:r>
      <w:r>
        <w:rPr>
          <w:sz w:val="20"/>
        </w:rPr>
        <w:t>; </w:t>
      </w:r>
      <w:r>
        <w:rPr>
          <w:rFonts w:ascii="Arial" w:hAnsi="Arial"/>
          <w:i/>
          <w:sz w:val="20"/>
        </w:rPr>
        <w:t>Cobbe v Yeoman’s Row Management Ltd [2008] UKHL 55, [2008] 1 W.L.R. 1752</w:t>
      </w:r>
      <w:r>
        <w:rPr>
          <w:sz w:val="20"/>
        </w:rPr>
        <w:t>, as to which see n.607 below.</w:t>
      </w:r>
    </w:p>
    <w:p>
      <w:pPr>
        <w:pStyle w:val="BodyText"/>
        <w:spacing w:before="9"/>
      </w:pPr>
    </w:p>
    <w:p>
      <w:pPr>
        <w:pStyle w:val="BodyText"/>
        <w:spacing w:line="235" w:lineRule="auto"/>
        <w:ind w:left="705" w:right="167" w:hanging="541"/>
        <w:jc w:val="both"/>
      </w:pPr>
      <w:bookmarkStart w:name="_bookmark1242" w:id="1244"/>
      <w:bookmarkEnd w:id="1244"/>
      <w:r>
        <w:rPr/>
      </w:r>
      <w:hyperlink w:history="true" w:anchor="_bookmark1007">
        <w:r>
          <w:rPr>
            <w:color w:val="005DA1"/>
            <w:position w:val="5"/>
            <w:sz w:val="14"/>
            <w:u w:val="single" w:color="005DA1"/>
          </w:rPr>
          <w:t>611</w:t>
        </w:r>
      </w:hyperlink>
      <w:r>
        <w:rPr>
          <w:position w:val="5"/>
          <w:sz w:val="14"/>
        </w:rPr>
        <w:t>.</w:t>
      </w:r>
      <w:r>
        <w:rPr>
          <w:spacing w:val="40"/>
          <w:position w:val="5"/>
          <w:sz w:val="14"/>
        </w:rPr>
        <w:t>  </w:t>
      </w:r>
      <w:r>
        <w:rPr/>
        <w:t>Below,</w:t>
      </w:r>
      <w:r>
        <w:rPr>
          <w:spacing w:val="-2"/>
        </w:rPr>
        <w:t> </w:t>
      </w:r>
      <w:r>
        <w:rPr/>
        <w:t>para.4-154;</w:t>
      </w:r>
      <w:r>
        <w:rPr>
          <w:spacing w:val="-2"/>
        </w:rPr>
        <w:t> </w:t>
      </w:r>
      <w:r>
        <w:rPr/>
        <w:t>proprietary</w:t>
      </w:r>
      <w:r>
        <w:rPr>
          <w:spacing w:val="-2"/>
        </w:rPr>
        <w:t> </w:t>
      </w:r>
      <w:r>
        <w:rPr/>
        <w:t>estoppel</w:t>
      </w:r>
      <w:r>
        <w:rPr>
          <w:spacing w:val="-2"/>
        </w:rPr>
        <w:t> </w:t>
      </w:r>
      <w:r>
        <w:rPr/>
        <w:t>would</w:t>
      </w:r>
      <w:r>
        <w:rPr>
          <w:spacing w:val="-2"/>
        </w:rPr>
        <w:t> </w:t>
      </w:r>
      <w:r>
        <w:rPr/>
        <w:t>also</w:t>
      </w:r>
      <w:r>
        <w:rPr>
          <w:spacing w:val="-2"/>
        </w:rPr>
        <w:t> </w:t>
      </w:r>
      <w:r>
        <w:rPr/>
        <w:t>probably</w:t>
      </w:r>
      <w:r>
        <w:rPr>
          <w:spacing w:val="-2"/>
        </w:rPr>
        <w:t> </w:t>
      </w:r>
      <w:r>
        <w:rPr/>
        <w:t>have</w:t>
      </w:r>
      <w:r>
        <w:rPr>
          <w:spacing w:val="-2"/>
        </w:rPr>
        <w:t> </w:t>
      </w:r>
      <w:r>
        <w:rPr/>
        <w:t>been</w:t>
      </w:r>
      <w:r>
        <w:rPr>
          <w:spacing w:val="-2"/>
        </w:rPr>
        <w:t> </w:t>
      </w:r>
      <w:r>
        <w:rPr/>
        <w:t>excluded</w:t>
      </w:r>
      <w:r>
        <w:rPr>
          <w:spacing w:val="-2"/>
        </w:rPr>
        <w:t> </w:t>
      </w:r>
      <w:r>
        <w:rPr/>
        <w:t>on</w:t>
      </w:r>
      <w:r>
        <w:rPr>
          <w:spacing w:val="-2"/>
        </w:rPr>
        <w:t> </w:t>
      </w:r>
      <w:r>
        <w:rPr/>
        <w:t>the</w:t>
      </w:r>
      <w:r>
        <w:rPr>
          <w:spacing w:val="-2"/>
        </w:rPr>
        <w:t> </w:t>
      </w:r>
      <w:r>
        <w:rPr/>
        <w:t>ground that A had no belief that a right had been or would be created in his favour while the agreement remained “subject to contract”: see </w:t>
      </w:r>
      <w:r>
        <w:rPr>
          <w:rFonts w:ascii="Arial" w:hAnsi="Arial"/>
          <w:i/>
        </w:rPr>
        <w:t>Att.-Gen. of Hong Kong v Humphreys Estates (Queens Gardens) [1987] 1 A.C. 114</w:t>
      </w:r>
      <w:r>
        <w:rPr/>
        <w:t>; this obstacle can be overcome if one party induces the other to believe that he will not withdraw: see ibid., at 124; but this qualification can scarcely enable the party </w:t>
      </w:r>
      <w:r>
        <w:rPr>
          <w:rFonts w:ascii="Arial" w:hAnsi="Arial"/>
          <w:i/>
        </w:rPr>
        <w:t>by </w:t>
      </w:r>
      <w:r>
        <w:rPr/>
        <w:t>whom the interest in property is to be created to rely on proprietary estoppel.</w:t>
      </w:r>
    </w:p>
    <w:p>
      <w:pPr>
        <w:pStyle w:val="BodyText"/>
        <w:spacing w:before="8"/>
      </w:pPr>
    </w:p>
    <w:p>
      <w:pPr>
        <w:spacing w:line="235" w:lineRule="auto" w:before="0"/>
        <w:ind w:left="705" w:right="167" w:hanging="541"/>
        <w:jc w:val="both"/>
        <w:rPr>
          <w:sz w:val="20"/>
        </w:rPr>
      </w:pPr>
      <w:bookmarkStart w:name="_bookmark1243" w:id="1245"/>
      <w:bookmarkEnd w:id="1245"/>
      <w:r>
        <w:rPr/>
      </w:r>
      <w:hyperlink w:history="true" w:anchor="_bookmark1008">
        <w:r>
          <w:rPr>
            <w:color w:val="005DA1"/>
            <w:position w:val="5"/>
            <w:sz w:val="14"/>
            <w:u w:val="single" w:color="005DA1"/>
          </w:rPr>
          <w:t>612</w:t>
        </w:r>
      </w:hyperlink>
      <w:r>
        <w:rPr>
          <w:position w:val="5"/>
          <w:sz w:val="14"/>
        </w:rPr>
        <w:t>.</w:t>
      </w:r>
      <w:r>
        <w:rPr>
          <w:spacing w:val="80"/>
          <w:w w:val="150"/>
          <w:position w:val="5"/>
          <w:sz w:val="14"/>
        </w:rPr>
        <w:t> </w:t>
      </w:r>
      <w:r>
        <w:rPr>
          <w:sz w:val="20"/>
        </w:rPr>
        <w:t>Such enrichment was the crucial factor leading to the award of a quantum meruit in </w:t>
      </w:r>
      <w:r>
        <w:rPr>
          <w:rFonts w:ascii="Arial" w:hAnsi="Arial"/>
          <w:i/>
          <w:sz w:val="20"/>
        </w:rPr>
        <w:t>Cobbe </w:t>
      </w:r>
      <w:r>
        <w:rPr>
          <w:rFonts w:ascii="Arial" w:hAnsi="Arial"/>
          <w:i/>
          <w:sz w:val="20"/>
        </w:rPr>
        <w:t>v Yeoman’s Row Management Ltd [2008] UKHL 55, [2008] 1 W.L.R. 1752 </w:t>
      </w:r>
      <w:r>
        <w:rPr>
          <w:sz w:val="20"/>
        </w:rPr>
        <w:t>(below, para.4-167) even though the claimant knew that the anticipated contract was binding in honour only and so took the risk of its never becoming legally binding.</w:t>
      </w:r>
    </w:p>
    <w:p>
      <w:pPr>
        <w:spacing w:after="0" w:line="235" w:lineRule="auto"/>
        <w:jc w:val="both"/>
        <w:rPr>
          <w:sz w:val="20"/>
        </w:rPr>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1009">
        <w:r>
          <w:rPr>
            <w:color w:val="005DA1"/>
            <w:spacing w:val="-4"/>
            <w:position w:val="5"/>
            <w:sz w:val="14"/>
            <w:u w:val="single" w:color="005DA1"/>
          </w:rPr>
          <w:t>613</w:t>
        </w:r>
      </w:hyperlink>
      <w:r>
        <w:rPr>
          <w:spacing w:val="-4"/>
          <w:position w:val="5"/>
          <w:sz w:val="14"/>
        </w:rPr>
        <w:t>.</w:t>
      </w:r>
      <w:r>
        <w:rPr>
          <w:position w:val="5"/>
          <w:sz w:val="14"/>
        </w:rPr>
        <w:tab/>
      </w:r>
      <w:r>
        <w:rPr>
          <w:rFonts w:ascii="Arial"/>
          <w:i/>
          <w:sz w:val="20"/>
        </w:rPr>
        <w:t>Regalian Properties plc v London Dockland Development Corp. [1995] 1 W.L.R. </w:t>
      </w:r>
      <w:r>
        <w:rPr>
          <w:rFonts w:ascii="Arial"/>
          <w:i/>
          <w:spacing w:val="-4"/>
          <w:sz w:val="20"/>
        </w:rPr>
        <w:t>212</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244" w:id="1246"/>
      <w:bookmarkEnd w:id="1246"/>
      <w:r>
        <w:rPr/>
      </w:r>
      <w:hyperlink w:history="true" w:anchor="_bookmark1010">
        <w:r>
          <w:rPr>
            <w:color w:val="005DA1"/>
            <w:spacing w:val="-4"/>
            <w:position w:val="5"/>
            <w:sz w:val="14"/>
            <w:u w:val="single" w:color="005DA1"/>
          </w:rPr>
          <w:t>614</w:t>
        </w:r>
      </w:hyperlink>
      <w:r>
        <w:rPr>
          <w:spacing w:val="-4"/>
          <w:position w:val="5"/>
          <w:sz w:val="14"/>
        </w:rPr>
        <w:t>.</w:t>
      </w:r>
      <w:r>
        <w:rPr>
          <w:position w:val="5"/>
          <w:sz w:val="14"/>
        </w:rPr>
        <w:tab/>
      </w:r>
      <w:r>
        <w:rPr>
          <w:sz w:val="20"/>
        </w:rPr>
        <w:t>There was no such enforcement in </w:t>
      </w:r>
      <w:r>
        <w:rPr>
          <w:rFonts w:ascii="Arial" w:hAnsi="Arial"/>
          <w:i/>
          <w:sz w:val="20"/>
        </w:rPr>
        <w:t>Cobbe v Yeoman’s Row Management Ltd [2008] UKHL </w:t>
      </w:r>
      <w:r>
        <w:rPr>
          <w:rFonts w:ascii="Arial" w:hAnsi="Arial"/>
          <w:i/>
          <w:sz w:val="20"/>
        </w:rPr>
        <w:t>55, [2008] 1 W.L.R. 1752</w:t>
      </w:r>
      <w:r>
        <w:rPr>
          <w:sz w:val="20"/>
        </w:rPr>
        <w:t>, as to which see above, n.607.</w:t>
      </w:r>
    </w:p>
    <w:p>
      <w:pPr>
        <w:pStyle w:val="BodyText"/>
        <w:spacing w:before="5"/>
      </w:pPr>
    </w:p>
    <w:p>
      <w:pPr>
        <w:pStyle w:val="BodyText"/>
        <w:tabs>
          <w:tab w:pos="705" w:val="left" w:leader="none"/>
        </w:tabs>
        <w:spacing w:line="227" w:lineRule="exact"/>
        <w:ind w:left="165"/>
      </w:pPr>
      <w:bookmarkStart w:name="_bookmark1245" w:id="1247"/>
      <w:bookmarkEnd w:id="1247"/>
      <w:r>
        <w:rPr/>
      </w:r>
      <w:hyperlink w:history="true" w:anchor="_bookmark1010">
        <w:r>
          <w:rPr>
            <w:color w:val="005DA1"/>
            <w:spacing w:val="-4"/>
            <w:position w:val="5"/>
            <w:sz w:val="14"/>
            <w:u w:val="single" w:color="005DA1"/>
          </w:rPr>
          <w:t>615</w:t>
        </w:r>
      </w:hyperlink>
      <w:r>
        <w:rPr>
          <w:spacing w:val="-4"/>
          <w:position w:val="5"/>
          <w:sz w:val="14"/>
        </w:rPr>
        <w:t>.</w:t>
      </w:r>
      <w:r>
        <w:rPr>
          <w:position w:val="5"/>
          <w:sz w:val="14"/>
        </w:rPr>
        <w:tab/>
      </w:r>
      <w:r>
        <w:rPr/>
        <w:t>A</w:t>
      </w:r>
      <w:r>
        <w:rPr>
          <w:spacing w:val="5"/>
        </w:rPr>
        <w:t> </w:t>
      </w:r>
      <w:r>
        <w:rPr/>
        <w:t>phrase</w:t>
      </w:r>
      <w:r>
        <w:rPr>
          <w:spacing w:val="7"/>
        </w:rPr>
        <w:t> </w:t>
      </w:r>
      <w:r>
        <w:rPr/>
        <w:t>borrowed</w:t>
      </w:r>
      <w:r>
        <w:rPr>
          <w:spacing w:val="7"/>
        </w:rPr>
        <w:t> </w:t>
      </w:r>
      <w:r>
        <w:rPr/>
        <w:t>from</w:t>
      </w:r>
      <w:r>
        <w:rPr>
          <w:spacing w:val="7"/>
        </w:rPr>
        <w:t> </w:t>
      </w:r>
      <w:r>
        <w:rPr/>
        <w:t>the</w:t>
      </w:r>
      <w:r>
        <w:rPr>
          <w:spacing w:val="7"/>
        </w:rPr>
        <w:t> </w:t>
      </w:r>
      <w:r>
        <w:rPr/>
        <w:t>title</w:t>
      </w:r>
      <w:r>
        <w:rPr>
          <w:spacing w:val="7"/>
        </w:rPr>
        <w:t> </w:t>
      </w:r>
      <w:r>
        <w:rPr/>
        <w:t>of</w:t>
      </w:r>
      <w:r>
        <w:rPr>
          <w:spacing w:val="7"/>
        </w:rPr>
        <w:t> </w:t>
      </w:r>
      <w:r>
        <w:rPr/>
        <w:t>a</w:t>
      </w:r>
      <w:r>
        <w:rPr>
          <w:spacing w:val="7"/>
        </w:rPr>
        <w:t> </w:t>
      </w:r>
      <w:r>
        <w:rPr/>
        <w:t>thesis</w:t>
      </w:r>
      <w:r>
        <w:rPr>
          <w:spacing w:val="7"/>
        </w:rPr>
        <w:t> </w:t>
      </w:r>
      <w:r>
        <w:rPr/>
        <w:t>for</w:t>
      </w:r>
      <w:r>
        <w:rPr>
          <w:spacing w:val="7"/>
        </w:rPr>
        <w:t> </w:t>
      </w:r>
      <w:r>
        <w:rPr/>
        <w:t>the</w:t>
      </w:r>
      <w:r>
        <w:rPr>
          <w:spacing w:val="7"/>
        </w:rPr>
        <w:t> </w:t>
      </w:r>
      <w:r>
        <w:rPr/>
        <w:t>degree</w:t>
      </w:r>
      <w:r>
        <w:rPr>
          <w:spacing w:val="7"/>
        </w:rPr>
        <w:t> </w:t>
      </w:r>
      <w:r>
        <w:rPr/>
        <w:t>of</w:t>
      </w:r>
      <w:r>
        <w:rPr>
          <w:spacing w:val="7"/>
        </w:rPr>
        <w:t> </w:t>
      </w:r>
      <w:r>
        <w:rPr/>
        <w:t>D.Phil.</w:t>
      </w:r>
      <w:r>
        <w:rPr>
          <w:spacing w:val="7"/>
        </w:rPr>
        <w:t> </w:t>
      </w:r>
      <w:r>
        <w:rPr/>
        <w:t>at</w:t>
      </w:r>
      <w:r>
        <w:rPr>
          <w:spacing w:val="7"/>
        </w:rPr>
        <w:t> </w:t>
      </w:r>
      <w:r>
        <w:rPr/>
        <w:t>Oxford</w:t>
      </w:r>
      <w:r>
        <w:rPr>
          <w:spacing w:val="7"/>
        </w:rPr>
        <w:t> </w:t>
      </w:r>
      <w:r>
        <w:rPr/>
        <w:t>University</w:t>
      </w:r>
      <w:r>
        <w:rPr>
          <w:spacing w:val="7"/>
        </w:rPr>
        <w:t> </w:t>
      </w:r>
      <w:r>
        <w:rPr/>
        <w:t>by</w:t>
      </w:r>
      <w:r>
        <w:rPr>
          <w:spacing w:val="7"/>
        </w:rPr>
        <w:t> </w:t>
      </w:r>
      <w:r>
        <w:rPr>
          <w:spacing w:val="-5"/>
        </w:rPr>
        <w:t>M.</w:t>
      </w:r>
    </w:p>
    <w:p>
      <w:pPr>
        <w:pStyle w:val="BodyText"/>
        <w:spacing w:line="235" w:lineRule="auto" w:before="1"/>
        <w:ind w:left="705"/>
      </w:pPr>
      <w:r>
        <w:rPr/>
        <w:t>J.</w:t>
      </w:r>
      <w:r>
        <w:rPr>
          <w:spacing w:val="22"/>
        </w:rPr>
        <w:t> </w:t>
      </w:r>
      <w:r>
        <w:rPr/>
        <w:t>Spence,</w:t>
      </w:r>
      <w:r>
        <w:rPr>
          <w:spacing w:val="22"/>
        </w:rPr>
        <w:t> </w:t>
      </w:r>
      <w:r>
        <w:rPr/>
        <w:t>in</w:t>
      </w:r>
      <w:r>
        <w:rPr>
          <w:spacing w:val="22"/>
        </w:rPr>
        <w:t> </w:t>
      </w:r>
      <w:r>
        <w:rPr/>
        <w:t>which</w:t>
      </w:r>
      <w:r>
        <w:rPr>
          <w:spacing w:val="22"/>
        </w:rPr>
        <w:t> </w:t>
      </w:r>
      <w:r>
        <w:rPr/>
        <w:t>the</w:t>
      </w:r>
      <w:r>
        <w:rPr>
          <w:spacing w:val="22"/>
        </w:rPr>
        <w:t> </w:t>
      </w:r>
      <w:r>
        <w:rPr/>
        <w:t>Australian</w:t>
      </w:r>
      <w:r>
        <w:rPr>
          <w:spacing w:val="22"/>
        </w:rPr>
        <w:t> </w:t>
      </w:r>
      <w:r>
        <w:rPr/>
        <w:t>cases</w:t>
      </w:r>
      <w:r>
        <w:rPr>
          <w:spacing w:val="22"/>
        </w:rPr>
        <w:t> </w:t>
      </w:r>
      <w:r>
        <w:rPr/>
        <w:t>are</w:t>
      </w:r>
      <w:r>
        <w:rPr>
          <w:spacing w:val="22"/>
        </w:rPr>
        <w:t> </w:t>
      </w:r>
      <w:r>
        <w:rPr/>
        <w:t>fully</w:t>
      </w:r>
      <w:r>
        <w:rPr>
          <w:spacing w:val="22"/>
        </w:rPr>
        <w:t> </w:t>
      </w:r>
      <w:r>
        <w:rPr/>
        <w:t>discussed</w:t>
      </w:r>
      <w:r>
        <w:rPr>
          <w:spacing w:val="22"/>
        </w:rPr>
        <w:t> </w:t>
      </w:r>
      <w:r>
        <w:rPr/>
        <w:t>and</w:t>
      </w:r>
      <w:r>
        <w:rPr>
          <w:spacing w:val="22"/>
        </w:rPr>
        <w:t> </w:t>
      </w:r>
      <w:r>
        <w:rPr/>
        <w:t>compared</w:t>
      </w:r>
      <w:r>
        <w:rPr>
          <w:spacing w:val="22"/>
        </w:rPr>
        <w:t> </w:t>
      </w:r>
      <w:r>
        <w:rPr/>
        <w:t>with</w:t>
      </w:r>
      <w:r>
        <w:rPr>
          <w:spacing w:val="22"/>
        </w:rPr>
        <w:t> </w:t>
      </w:r>
      <w:r>
        <w:rPr/>
        <w:t>English</w:t>
      </w:r>
      <w:r>
        <w:rPr>
          <w:spacing w:val="22"/>
        </w:rPr>
        <w:t> </w:t>
      </w:r>
      <w:r>
        <w:rPr/>
        <w:t>and other common law authorities.</w:t>
      </w:r>
    </w:p>
    <w:p>
      <w:pPr>
        <w:pStyle w:val="BodyText"/>
        <w:spacing w:before="6"/>
      </w:pPr>
    </w:p>
    <w:p>
      <w:pPr>
        <w:tabs>
          <w:tab w:pos="705" w:val="left" w:leader="none"/>
        </w:tabs>
        <w:spacing w:before="0"/>
        <w:ind w:left="165" w:right="0" w:firstLine="0"/>
        <w:jc w:val="left"/>
        <w:rPr>
          <w:sz w:val="20"/>
        </w:rPr>
      </w:pPr>
      <w:bookmarkStart w:name="_bookmark1246" w:id="1248"/>
      <w:bookmarkEnd w:id="1248"/>
      <w:r>
        <w:rPr/>
      </w:r>
      <w:hyperlink w:history="true" w:anchor="_bookmark1011">
        <w:r>
          <w:rPr>
            <w:color w:val="005DA1"/>
            <w:spacing w:val="-4"/>
            <w:position w:val="5"/>
            <w:sz w:val="14"/>
            <w:u w:val="single" w:color="005DA1"/>
          </w:rPr>
          <w:t>616</w:t>
        </w:r>
      </w:hyperlink>
      <w:r>
        <w:rPr>
          <w:spacing w:val="-4"/>
          <w:position w:val="5"/>
          <w:sz w:val="14"/>
        </w:rPr>
        <w:t>.</w:t>
      </w:r>
      <w:r>
        <w:rPr>
          <w:position w:val="5"/>
          <w:sz w:val="14"/>
        </w:rPr>
        <w:tab/>
      </w:r>
      <w:r>
        <w:rPr>
          <w:sz w:val="20"/>
        </w:rPr>
        <w:t>Above, para.4-</w:t>
      </w:r>
      <w:r>
        <w:rPr>
          <w:spacing w:val="-4"/>
          <w:sz w:val="20"/>
        </w:rPr>
        <w:t>002.</w:t>
      </w:r>
    </w:p>
    <w:p>
      <w:pPr>
        <w:pStyle w:val="BodyText"/>
        <w:spacing w:before="5"/>
      </w:pPr>
    </w:p>
    <w:p>
      <w:pPr>
        <w:tabs>
          <w:tab w:pos="705" w:val="left" w:leader="none"/>
        </w:tabs>
        <w:spacing w:before="0"/>
        <w:ind w:left="165" w:right="0" w:firstLine="0"/>
        <w:jc w:val="left"/>
        <w:rPr>
          <w:sz w:val="20"/>
        </w:rPr>
      </w:pPr>
      <w:bookmarkStart w:name="_bookmark1247" w:id="1249"/>
      <w:bookmarkEnd w:id="1249"/>
      <w:r>
        <w:rPr/>
      </w:r>
      <w:hyperlink w:history="true" w:anchor="_bookmark1012">
        <w:r>
          <w:rPr>
            <w:color w:val="005DA1"/>
            <w:spacing w:val="-4"/>
            <w:position w:val="5"/>
            <w:sz w:val="14"/>
            <w:u w:val="single" w:color="005DA1"/>
          </w:rPr>
          <w:t>617</w:t>
        </w:r>
      </w:hyperlink>
      <w:r>
        <w:rPr>
          <w:spacing w:val="-4"/>
          <w:position w:val="5"/>
          <w:sz w:val="14"/>
        </w:rPr>
        <w:t>.</w:t>
      </w:r>
      <w:r>
        <w:rPr>
          <w:position w:val="5"/>
          <w:sz w:val="14"/>
        </w:rPr>
        <w:tab/>
      </w:r>
      <w:r>
        <w:rPr>
          <w:sz w:val="20"/>
        </w:rPr>
        <w:t>e.g. </w:t>
      </w:r>
      <w:r>
        <w:rPr>
          <w:rFonts w:ascii="Arial"/>
          <w:i/>
          <w:sz w:val="20"/>
        </w:rPr>
        <w:t>Oscar Chess Ltd v Williams [1957] 1 W.L.R. </w:t>
      </w:r>
      <w:r>
        <w:rPr>
          <w:rFonts w:ascii="Arial"/>
          <w:i/>
          <w:spacing w:val="-4"/>
          <w:sz w:val="20"/>
        </w:rPr>
        <w:t>370</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248" w:id="1250"/>
      <w:bookmarkEnd w:id="1250"/>
      <w:r>
        <w:rPr/>
      </w:r>
      <w:hyperlink w:history="true" w:anchor="_bookmark1013">
        <w:r>
          <w:rPr>
            <w:color w:val="005DA1"/>
            <w:spacing w:val="-4"/>
            <w:position w:val="5"/>
            <w:sz w:val="14"/>
            <w:u w:val="single" w:color="005DA1"/>
          </w:rPr>
          <w:t>618</w:t>
        </w:r>
      </w:hyperlink>
      <w:r>
        <w:rPr>
          <w:spacing w:val="-4"/>
          <w:position w:val="5"/>
          <w:sz w:val="14"/>
        </w:rPr>
        <w:t>.</w:t>
      </w:r>
      <w:r>
        <w:rPr>
          <w:position w:val="5"/>
          <w:sz w:val="14"/>
        </w:rPr>
        <w:tab/>
      </w:r>
      <w:r>
        <w:rPr>
          <w:sz w:val="20"/>
        </w:rPr>
        <w:t>See,</w:t>
      </w:r>
      <w:r>
        <w:rPr>
          <w:spacing w:val="39"/>
          <w:sz w:val="20"/>
        </w:rPr>
        <w:t> </w:t>
      </w:r>
      <w:r>
        <w:rPr>
          <w:sz w:val="20"/>
        </w:rPr>
        <w:t>e.g.,</w:t>
      </w:r>
      <w:r>
        <w:rPr>
          <w:spacing w:val="39"/>
          <w:sz w:val="20"/>
        </w:rPr>
        <w:t> </w:t>
      </w:r>
      <w:r>
        <w:rPr>
          <w:rFonts w:ascii="Arial"/>
          <w:i/>
          <w:sz w:val="20"/>
        </w:rPr>
        <w:t>Commonwealth</w:t>
      </w:r>
      <w:r>
        <w:rPr>
          <w:rFonts w:ascii="Arial"/>
          <w:i/>
          <w:spacing w:val="39"/>
          <w:sz w:val="20"/>
        </w:rPr>
        <w:t> </w:t>
      </w:r>
      <w:r>
        <w:rPr>
          <w:rFonts w:ascii="Arial"/>
          <w:i/>
          <w:sz w:val="20"/>
        </w:rPr>
        <w:t>of</w:t>
      </w:r>
      <w:r>
        <w:rPr>
          <w:rFonts w:ascii="Arial"/>
          <w:i/>
          <w:spacing w:val="39"/>
          <w:sz w:val="20"/>
        </w:rPr>
        <w:t> </w:t>
      </w:r>
      <w:r>
        <w:rPr>
          <w:rFonts w:ascii="Arial"/>
          <w:i/>
          <w:sz w:val="20"/>
        </w:rPr>
        <w:t>Australia</w:t>
      </w:r>
      <w:r>
        <w:rPr>
          <w:rFonts w:ascii="Arial"/>
          <w:i/>
          <w:spacing w:val="39"/>
          <w:sz w:val="20"/>
        </w:rPr>
        <w:t> </w:t>
      </w:r>
      <w:r>
        <w:rPr>
          <w:rFonts w:ascii="Arial"/>
          <w:i/>
          <w:sz w:val="20"/>
        </w:rPr>
        <w:t>v</w:t>
      </w:r>
      <w:r>
        <w:rPr>
          <w:rFonts w:ascii="Arial"/>
          <w:i/>
          <w:spacing w:val="39"/>
          <w:sz w:val="20"/>
        </w:rPr>
        <w:t> </w:t>
      </w:r>
      <w:r>
        <w:rPr>
          <w:rFonts w:ascii="Arial"/>
          <w:i/>
          <w:sz w:val="20"/>
        </w:rPr>
        <w:t>Verwayen</w:t>
      </w:r>
      <w:r>
        <w:rPr>
          <w:rFonts w:ascii="Arial"/>
          <w:i/>
          <w:spacing w:val="39"/>
          <w:sz w:val="20"/>
        </w:rPr>
        <w:t> </w:t>
      </w:r>
      <w:r>
        <w:rPr>
          <w:rFonts w:ascii="Arial"/>
          <w:i/>
          <w:sz w:val="20"/>
        </w:rPr>
        <w:t>(1990)</w:t>
      </w:r>
      <w:r>
        <w:rPr>
          <w:rFonts w:ascii="Arial"/>
          <w:i/>
          <w:spacing w:val="39"/>
          <w:sz w:val="20"/>
        </w:rPr>
        <w:t> </w:t>
      </w:r>
      <w:r>
        <w:rPr>
          <w:rFonts w:ascii="Arial"/>
          <w:i/>
          <w:sz w:val="20"/>
        </w:rPr>
        <w:t>179</w:t>
      </w:r>
      <w:r>
        <w:rPr>
          <w:rFonts w:ascii="Arial"/>
          <w:i/>
          <w:spacing w:val="39"/>
          <w:sz w:val="20"/>
        </w:rPr>
        <w:t> </w:t>
      </w:r>
      <w:r>
        <w:rPr>
          <w:rFonts w:ascii="Arial"/>
          <w:i/>
          <w:sz w:val="20"/>
        </w:rPr>
        <w:t>C.L.R.</w:t>
      </w:r>
      <w:r>
        <w:rPr>
          <w:rFonts w:ascii="Arial"/>
          <w:i/>
          <w:spacing w:val="39"/>
          <w:sz w:val="20"/>
        </w:rPr>
        <w:t> </w:t>
      </w:r>
      <w:r>
        <w:rPr>
          <w:rFonts w:ascii="Arial"/>
          <w:i/>
          <w:sz w:val="20"/>
        </w:rPr>
        <w:t>394</w:t>
      </w:r>
      <w:r>
        <w:rPr>
          <w:sz w:val="20"/>
        </w:rPr>
        <w:t>,</w:t>
      </w:r>
      <w:r>
        <w:rPr>
          <w:spacing w:val="39"/>
          <w:sz w:val="20"/>
        </w:rPr>
        <w:t> </w:t>
      </w:r>
      <w:r>
        <w:rPr>
          <w:sz w:val="20"/>
        </w:rPr>
        <w:t>which</w:t>
      </w:r>
      <w:r>
        <w:rPr>
          <w:spacing w:val="39"/>
          <w:sz w:val="20"/>
        </w:rPr>
        <w:t> </w:t>
      </w:r>
      <w:r>
        <w:rPr>
          <w:sz w:val="20"/>
        </w:rPr>
        <w:t>could</w:t>
      </w:r>
      <w:r>
        <w:rPr>
          <w:spacing w:val="39"/>
          <w:sz w:val="20"/>
        </w:rPr>
        <w:t> </w:t>
      </w:r>
      <w:r>
        <w:rPr>
          <w:sz w:val="20"/>
        </w:rPr>
        <w:t>be explained in English law on the ground stated in para.4-102 at n.564.</w:t>
      </w:r>
    </w:p>
    <w:p>
      <w:pPr>
        <w:pStyle w:val="BodyText"/>
        <w:spacing w:before="9"/>
      </w:pPr>
    </w:p>
    <w:p>
      <w:pPr>
        <w:tabs>
          <w:tab w:pos="705" w:val="left" w:leader="none"/>
        </w:tabs>
        <w:spacing w:line="235" w:lineRule="auto" w:before="0"/>
        <w:ind w:left="705" w:right="168" w:hanging="541"/>
        <w:jc w:val="left"/>
        <w:rPr>
          <w:sz w:val="20"/>
        </w:rPr>
      </w:pPr>
      <w:bookmarkStart w:name="_bookmark1249" w:id="1251"/>
      <w:bookmarkEnd w:id="1251"/>
      <w:r>
        <w:rPr/>
      </w:r>
      <w:hyperlink w:history="true" w:anchor="_bookmark1014">
        <w:r>
          <w:rPr>
            <w:color w:val="005DA1"/>
            <w:spacing w:val="-4"/>
            <w:position w:val="5"/>
            <w:sz w:val="14"/>
            <w:u w:val="single" w:color="005DA1"/>
          </w:rPr>
          <w:t>619</w:t>
        </w:r>
      </w:hyperlink>
      <w:r>
        <w:rPr>
          <w:spacing w:val="-4"/>
          <w:position w:val="5"/>
          <w:sz w:val="14"/>
        </w:rPr>
        <w:t>.</w:t>
      </w:r>
      <w:r>
        <w:rPr>
          <w:position w:val="5"/>
          <w:sz w:val="14"/>
        </w:rPr>
        <w:tab/>
      </w:r>
      <w:r>
        <w:rPr>
          <w:rFonts w:ascii="Arial" w:hAnsi="Arial"/>
          <w:i/>
          <w:sz w:val="20"/>
        </w:rPr>
        <w:t>Low v Bouverie [1891] 3 Ch. 82</w:t>
      </w:r>
      <w:r>
        <w:rPr>
          <w:sz w:val="20"/>
        </w:rPr>
        <w:t>; </w:t>
      </w:r>
      <w:r>
        <w:rPr>
          <w:rFonts w:ascii="Arial" w:hAnsi="Arial"/>
          <w:i/>
          <w:sz w:val="20"/>
        </w:rPr>
        <w:t>Clipper Maritime Ltd v Shirlstar Container Transport Ltd (The Anemone) [1987] 1 Lloyd’s Rep. 547, 557</w:t>
      </w:r>
      <w:r>
        <w:rPr>
          <w:sz w:val="20"/>
        </w:rPr>
        <w:t>.</w:t>
      </w:r>
    </w:p>
    <w:p>
      <w:pPr>
        <w:pStyle w:val="BodyText"/>
        <w:spacing w:before="5"/>
      </w:pPr>
    </w:p>
    <w:p>
      <w:pPr>
        <w:tabs>
          <w:tab w:pos="705" w:val="left" w:leader="none"/>
        </w:tabs>
        <w:spacing w:before="1"/>
        <w:ind w:left="165" w:right="0" w:firstLine="0"/>
        <w:jc w:val="left"/>
        <w:rPr>
          <w:sz w:val="20"/>
        </w:rPr>
      </w:pPr>
      <w:bookmarkStart w:name="_bookmark1250" w:id="1252"/>
      <w:bookmarkEnd w:id="1252"/>
      <w:r>
        <w:rPr/>
      </w:r>
      <w:hyperlink w:history="true" w:anchor="_bookmark1015">
        <w:r>
          <w:rPr>
            <w:color w:val="005DA1"/>
            <w:spacing w:val="-4"/>
            <w:position w:val="5"/>
            <w:sz w:val="14"/>
            <w:u w:val="single" w:color="005DA1"/>
          </w:rPr>
          <w:t>620</w:t>
        </w:r>
      </w:hyperlink>
      <w:r>
        <w:rPr>
          <w:spacing w:val="-4"/>
          <w:position w:val="5"/>
          <w:sz w:val="14"/>
        </w:rPr>
        <w:t>.</w:t>
      </w:r>
      <w:r>
        <w:rPr>
          <w:position w:val="5"/>
          <w:sz w:val="14"/>
        </w:rPr>
        <w:tab/>
      </w:r>
      <w:r>
        <w:rPr>
          <w:sz w:val="20"/>
        </w:rPr>
        <w:t>Above, para.4-</w:t>
      </w:r>
      <w:r>
        <w:rPr>
          <w:spacing w:val="-4"/>
          <w:sz w:val="20"/>
        </w:rPr>
        <w:t>090.</w:t>
      </w:r>
    </w:p>
    <w:p>
      <w:pPr>
        <w:pStyle w:val="BodyText"/>
        <w:spacing w:before="8"/>
      </w:pPr>
    </w:p>
    <w:p>
      <w:pPr>
        <w:spacing w:line="235" w:lineRule="auto" w:before="0"/>
        <w:ind w:left="705" w:right="167" w:hanging="541"/>
        <w:jc w:val="both"/>
        <w:rPr>
          <w:rFonts w:ascii="Arial" w:hAnsi="Arial"/>
          <w:i/>
          <w:sz w:val="20"/>
        </w:rPr>
      </w:pPr>
      <w:bookmarkStart w:name="_bookmark1251" w:id="1253"/>
      <w:bookmarkEnd w:id="1253"/>
      <w:r>
        <w:rPr/>
      </w:r>
      <w:hyperlink w:history="true" w:anchor="_bookmark1016">
        <w:r>
          <w:rPr>
            <w:color w:val="005DA1"/>
            <w:position w:val="5"/>
            <w:sz w:val="14"/>
            <w:u w:val="single" w:color="005DA1"/>
          </w:rPr>
          <w:t>621</w:t>
        </w:r>
      </w:hyperlink>
      <w:r>
        <w:rPr>
          <w:position w:val="5"/>
          <w:sz w:val="14"/>
        </w:rPr>
        <w:t>.</w:t>
      </w:r>
      <w:r>
        <w:rPr>
          <w:spacing w:val="40"/>
          <w:position w:val="5"/>
          <w:sz w:val="14"/>
        </w:rPr>
        <w:t>  </w:t>
      </w:r>
      <w:r>
        <w:rPr>
          <w:sz w:val="20"/>
        </w:rPr>
        <w:t>e.g. by the requirements that the promisee must believe that legal rights have been, or will </w:t>
      </w:r>
      <w:r>
        <w:rPr>
          <w:sz w:val="20"/>
        </w:rPr>
        <w:t>be, created in his favour, and that these are rights in or over the promisor’s property: see below, para.4-154;</w:t>
      </w:r>
      <w:r>
        <w:rPr>
          <w:spacing w:val="-2"/>
          <w:sz w:val="20"/>
        </w:rPr>
        <w:t> </w:t>
      </w:r>
      <w:r>
        <w:rPr>
          <w:sz w:val="20"/>
        </w:rPr>
        <w:t>and</w:t>
      </w:r>
      <w:r>
        <w:rPr>
          <w:spacing w:val="-2"/>
          <w:sz w:val="20"/>
        </w:rPr>
        <w:t> </w:t>
      </w:r>
      <w:r>
        <w:rPr>
          <w:sz w:val="20"/>
        </w:rPr>
        <w:t>by</w:t>
      </w:r>
      <w:r>
        <w:rPr>
          <w:spacing w:val="-2"/>
          <w:sz w:val="20"/>
        </w:rPr>
        <w:t> </w:t>
      </w:r>
      <w:r>
        <w:rPr>
          <w:sz w:val="20"/>
        </w:rPr>
        <w:t>the</w:t>
      </w:r>
      <w:r>
        <w:rPr>
          <w:spacing w:val="-2"/>
          <w:sz w:val="20"/>
        </w:rPr>
        <w:t> </w:t>
      </w:r>
      <w:r>
        <w:rPr>
          <w:sz w:val="20"/>
        </w:rPr>
        <w:t>further</w:t>
      </w:r>
      <w:r>
        <w:rPr>
          <w:spacing w:val="-2"/>
          <w:sz w:val="20"/>
        </w:rPr>
        <w:t> </w:t>
      </w:r>
      <w:r>
        <w:rPr>
          <w:sz w:val="20"/>
        </w:rPr>
        <w:t>requirements</w:t>
      </w:r>
      <w:r>
        <w:rPr>
          <w:spacing w:val="-2"/>
          <w:sz w:val="20"/>
        </w:rPr>
        <w:t> </w:t>
      </w:r>
      <w:r>
        <w:rPr>
          <w:sz w:val="20"/>
        </w:rPr>
        <w:t>derived</w:t>
      </w:r>
      <w:r>
        <w:rPr>
          <w:spacing w:val="-2"/>
          <w:sz w:val="20"/>
        </w:rPr>
        <w:t> </w:t>
      </w:r>
      <w:r>
        <w:rPr>
          <w:sz w:val="20"/>
        </w:rPr>
        <w:t>from</w:t>
      </w:r>
      <w:r>
        <w:rPr>
          <w:spacing w:val="-3"/>
          <w:sz w:val="20"/>
        </w:rPr>
        <w:t> </w:t>
      </w:r>
      <w:r>
        <w:rPr>
          <w:rFonts w:ascii="Arial" w:hAnsi="Arial"/>
          <w:i/>
          <w:sz w:val="20"/>
        </w:rPr>
        <w:t>Cobbe</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Yeoman’s</w:t>
      </w:r>
      <w:r>
        <w:rPr>
          <w:rFonts w:ascii="Arial" w:hAnsi="Arial"/>
          <w:i/>
          <w:spacing w:val="-2"/>
          <w:sz w:val="20"/>
        </w:rPr>
        <w:t> </w:t>
      </w:r>
      <w:r>
        <w:rPr>
          <w:rFonts w:ascii="Arial" w:hAnsi="Arial"/>
          <w:i/>
          <w:sz w:val="20"/>
        </w:rPr>
        <w:t>Row</w:t>
      </w:r>
      <w:r>
        <w:rPr>
          <w:rFonts w:ascii="Arial" w:hAnsi="Arial"/>
          <w:i/>
          <w:spacing w:val="-2"/>
          <w:sz w:val="20"/>
        </w:rPr>
        <w:t> </w:t>
      </w:r>
      <w:r>
        <w:rPr>
          <w:rFonts w:ascii="Arial" w:hAnsi="Arial"/>
          <w:i/>
          <w:sz w:val="20"/>
        </w:rPr>
        <w:t>Management Ltd</w:t>
      </w:r>
      <w:r>
        <w:rPr>
          <w:rFonts w:ascii="Arial" w:hAnsi="Arial"/>
          <w:i/>
          <w:spacing w:val="33"/>
          <w:sz w:val="20"/>
        </w:rPr>
        <w:t> </w:t>
      </w:r>
      <w:r>
        <w:rPr>
          <w:rFonts w:ascii="Arial" w:hAnsi="Arial"/>
          <w:i/>
          <w:sz w:val="20"/>
        </w:rPr>
        <w:t>[2008]</w:t>
      </w:r>
      <w:r>
        <w:rPr>
          <w:rFonts w:ascii="Arial" w:hAnsi="Arial"/>
          <w:i/>
          <w:spacing w:val="33"/>
          <w:sz w:val="20"/>
        </w:rPr>
        <w:t> </w:t>
      </w:r>
      <w:r>
        <w:rPr>
          <w:rFonts w:ascii="Arial" w:hAnsi="Arial"/>
          <w:i/>
          <w:sz w:val="20"/>
        </w:rPr>
        <w:t>UKHL</w:t>
      </w:r>
      <w:r>
        <w:rPr>
          <w:rFonts w:ascii="Arial" w:hAnsi="Arial"/>
          <w:i/>
          <w:spacing w:val="33"/>
          <w:sz w:val="20"/>
        </w:rPr>
        <w:t> </w:t>
      </w:r>
      <w:r>
        <w:rPr>
          <w:rFonts w:ascii="Arial" w:hAnsi="Arial"/>
          <w:i/>
          <w:sz w:val="20"/>
        </w:rPr>
        <w:t>55,</w:t>
      </w:r>
      <w:r>
        <w:rPr>
          <w:rFonts w:ascii="Arial" w:hAnsi="Arial"/>
          <w:i/>
          <w:spacing w:val="33"/>
          <w:sz w:val="20"/>
        </w:rPr>
        <w:t> </w:t>
      </w:r>
      <w:r>
        <w:rPr>
          <w:rFonts w:ascii="Arial" w:hAnsi="Arial"/>
          <w:i/>
          <w:sz w:val="20"/>
        </w:rPr>
        <w:t>[2008]</w:t>
      </w:r>
      <w:r>
        <w:rPr>
          <w:rFonts w:ascii="Arial" w:hAnsi="Arial"/>
          <w:i/>
          <w:spacing w:val="33"/>
          <w:sz w:val="20"/>
        </w:rPr>
        <w:t> </w:t>
      </w:r>
      <w:r>
        <w:rPr>
          <w:rFonts w:ascii="Arial" w:hAnsi="Arial"/>
          <w:i/>
          <w:sz w:val="20"/>
        </w:rPr>
        <w:t>1</w:t>
      </w:r>
      <w:r>
        <w:rPr>
          <w:rFonts w:ascii="Arial" w:hAnsi="Arial"/>
          <w:i/>
          <w:spacing w:val="33"/>
          <w:sz w:val="20"/>
        </w:rPr>
        <w:t> </w:t>
      </w:r>
      <w:r>
        <w:rPr>
          <w:rFonts w:ascii="Arial" w:hAnsi="Arial"/>
          <w:i/>
          <w:sz w:val="20"/>
        </w:rPr>
        <w:t>W.L.R.</w:t>
      </w:r>
      <w:r>
        <w:rPr>
          <w:rFonts w:ascii="Arial" w:hAnsi="Arial"/>
          <w:i/>
          <w:spacing w:val="33"/>
          <w:sz w:val="20"/>
        </w:rPr>
        <w:t> </w:t>
      </w:r>
      <w:r>
        <w:rPr>
          <w:rFonts w:ascii="Arial" w:hAnsi="Arial"/>
          <w:i/>
          <w:sz w:val="20"/>
        </w:rPr>
        <w:t>1752</w:t>
      </w:r>
      <w:r>
        <w:rPr>
          <w:rFonts w:ascii="Arial" w:hAnsi="Arial"/>
          <w:i/>
          <w:spacing w:val="33"/>
          <w:sz w:val="20"/>
        </w:rPr>
        <w:t> </w:t>
      </w:r>
      <w:r>
        <w:rPr>
          <w:sz w:val="20"/>
        </w:rPr>
        <w:t>and</w:t>
      </w:r>
      <w:r>
        <w:rPr>
          <w:spacing w:val="33"/>
          <w:sz w:val="20"/>
        </w:rPr>
        <w:t> </w:t>
      </w:r>
      <w:r>
        <w:rPr>
          <w:rFonts w:ascii="Arial" w:hAnsi="Arial"/>
          <w:i/>
          <w:sz w:val="20"/>
        </w:rPr>
        <w:t>Thorner</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Major</w:t>
      </w:r>
      <w:r>
        <w:rPr>
          <w:rFonts w:ascii="Arial" w:hAnsi="Arial"/>
          <w:i/>
          <w:spacing w:val="33"/>
          <w:sz w:val="20"/>
        </w:rPr>
        <w:t> </w:t>
      </w:r>
      <w:r>
        <w:rPr>
          <w:rFonts w:ascii="Arial" w:hAnsi="Arial"/>
          <w:i/>
          <w:sz w:val="20"/>
        </w:rPr>
        <w:t>[2009]</w:t>
      </w:r>
      <w:r>
        <w:rPr>
          <w:rFonts w:ascii="Arial" w:hAnsi="Arial"/>
          <w:i/>
          <w:spacing w:val="33"/>
          <w:sz w:val="20"/>
        </w:rPr>
        <w:t> </w:t>
      </w:r>
      <w:r>
        <w:rPr>
          <w:rFonts w:ascii="Arial" w:hAnsi="Arial"/>
          <w:i/>
          <w:sz w:val="20"/>
        </w:rPr>
        <w:t>UKHL</w:t>
      </w:r>
      <w:r>
        <w:rPr>
          <w:rFonts w:ascii="Arial" w:hAnsi="Arial"/>
          <w:i/>
          <w:spacing w:val="33"/>
          <w:sz w:val="20"/>
        </w:rPr>
        <w:t> </w:t>
      </w:r>
      <w:r>
        <w:rPr>
          <w:rFonts w:ascii="Arial" w:hAnsi="Arial"/>
          <w:i/>
          <w:sz w:val="20"/>
        </w:rPr>
        <w:t>18,</w:t>
      </w:r>
      <w:r>
        <w:rPr>
          <w:rFonts w:ascii="Arial" w:hAnsi="Arial"/>
          <w:i/>
          <w:spacing w:val="33"/>
          <w:sz w:val="20"/>
        </w:rPr>
        <w:t> </w:t>
      </w:r>
      <w:r>
        <w:rPr>
          <w:rFonts w:ascii="Arial" w:hAnsi="Arial"/>
          <w:i/>
          <w:sz w:val="20"/>
        </w:rPr>
        <w:t>[2009]</w:t>
      </w:r>
      <w:r>
        <w:rPr>
          <w:rFonts w:ascii="Arial" w:hAnsi="Arial"/>
          <w:i/>
          <w:spacing w:val="33"/>
          <w:sz w:val="20"/>
        </w:rPr>
        <w:t> </w:t>
      </w:r>
      <w:r>
        <w:rPr>
          <w:rFonts w:ascii="Arial" w:hAnsi="Arial"/>
          <w:i/>
          <w:spacing w:val="-10"/>
          <w:sz w:val="20"/>
        </w:rPr>
        <w:t>1</w:t>
      </w:r>
    </w:p>
    <w:p>
      <w:pPr>
        <w:pStyle w:val="BodyText"/>
        <w:spacing w:line="225" w:lineRule="exact"/>
        <w:ind w:left="705"/>
        <w:jc w:val="both"/>
      </w:pPr>
      <w:r>
        <w:rPr>
          <w:rFonts w:ascii="Arial"/>
          <w:i/>
        </w:rPr>
        <w:t>W.L.R. 776 </w:t>
      </w:r>
      <w:r>
        <w:rPr/>
        <w:t>and discussed in paras 4-149 to 4-152 and 4-161 to 4-164 </w:t>
      </w:r>
      <w:r>
        <w:rPr>
          <w:spacing w:val="-2"/>
        </w:rPr>
        <w:t>below.</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1252" w:id="1254"/>
      <w:bookmarkEnd w:id="1254"/>
      <w:r>
        <w:rPr/>
      </w:r>
      <w:hyperlink w:history="true" w:anchor="_bookmark1017">
        <w:r>
          <w:rPr>
            <w:color w:val="005DA1"/>
            <w:spacing w:val="-4"/>
            <w:position w:val="5"/>
            <w:sz w:val="14"/>
            <w:u w:val="single" w:color="005DA1"/>
          </w:rPr>
          <w:t>622</w:t>
        </w:r>
      </w:hyperlink>
      <w:r>
        <w:rPr>
          <w:spacing w:val="-4"/>
          <w:position w:val="5"/>
          <w:sz w:val="14"/>
        </w:rPr>
        <w:t>.</w:t>
      </w:r>
      <w:r>
        <w:rPr>
          <w:position w:val="5"/>
          <w:sz w:val="14"/>
        </w:rPr>
        <w:tab/>
      </w:r>
      <w:r>
        <w:rPr>
          <w:sz w:val="20"/>
        </w:rPr>
        <w:t>There can be no such estoppel where one party is not yet in existence: see </w:t>
      </w:r>
      <w:r>
        <w:rPr>
          <w:rFonts w:ascii="Arial"/>
          <w:i/>
          <w:sz w:val="20"/>
        </w:rPr>
        <w:t>Rover International Ltd</w:t>
      </w:r>
      <w:r>
        <w:rPr>
          <w:rFonts w:ascii="Arial"/>
          <w:i/>
          <w:spacing w:val="15"/>
          <w:sz w:val="20"/>
        </w:rPr>
        <w:t> </w:t>
      </w:r>
      <w:r>
        <w:rPr>
          <w:rFonts w:ascii="Arial"/>
          <w:i/>
          <w:sz w:val="20"/>
        </w:rPr>
        <w:t>v</w:t>
      </w:r>
      <w:r>
        <w:rPr>
          <w:rFonts w:ascii="Arial"/>
          <w:i/>
          <w:spacing w:val="16"/>
          <w:sz w:val="20"/>
        </w:rPr>
        <w:t> </w:t>
      </w:r>
      <w:r>
        <w:rPr>
          <w:rFonts w:ascii="Arial"/>
          <w:i/>
          <w:sz w:val="20"/>
        </w:rPr>
        <w:t>Cannon</w:t>
      </w:r>
      <w:r>
        <w:rPr>
          <w:rFonts w:ascii="Arial"/>
          <w:i/>
          <w:spacing w:val="16"/>
          <w:sz w:val="20"/>
        </w:rPr>
        <w:t> </w:t>
      </w:r>
      <w:r>
        <w:rPr>
          <w:rFonts w:ascii="Arial"/>
          <w:i/>
          <w:sz w:val="20"/>
        </w:rPr>
        <w:t>Film</w:t>
      </w:r>
      <w:r>
        <w:rPr>
          <w:rFonts w:ascii="Arial"/>
          <w:i/>
          <w:spacing w:val="16"/>
          <w:sz w:val="20"/>
        </w:rPr>
        <w:t> </w:t>
      </w:r>
      <w:r>
        <w:rPr>
          <w:rFonts w:ascii="Arial"/>
          <w:i/>
          <w:sz w:val="20"/>
        </w:rPr>
        <w:t>Sales</w:t>
      </w:r>
      <w:r>
        <w:rPr>
          <w:rFonts w:ascii="Arial"/>
          <w:i/>
          <w:spacing w:val="16"/>
          <w:sz w:val="20"/>
        </w:rPr>
        <w:t> </w:t>
      </w:r>
      <w:r>
        <w:rPr>
          <w:rFonts w:ascii="Arial"/>
          <w:i/>
          <w:sz w:val="20"/>
        </w:rPr>
        <w:t>Ltd</w:t>
      </w:r>
      <w:r>
        <w:rPr>
          <w:rFonts w:ascii="Arial"/>
          <w:i/>
          <w:spacing w:val="16"/>
          <w:sz w:val="20"/>
        </w:rPr>
        <w:t> </w:t>
      </w:r>
      <w:r>
        <w:rPr>
          <w:rFonts w:ascii="Arial"/>
          <w:i/>
          <w:sz w:val="20"/>
        </w:rPr>
        <w:t>(1987)</w:t>
      </w:r>
      <w:r>
        <w:rPr>
          <w:rFonts w:ascii="Arial"/>
          <w:i/>
          <w:spacing w:val="16"/>
          <w:sz w:val="20"/>
        </w:rPr>
        <w:t> </w:t>
      </w:r>
      <w:r>
        <w:rPr>
          <w:rFonts w:ascii="Arial"/>
          <w:i/>
          <w:sz w:val="20"/>
        </w:rPr>
        <w:t>3</w:t>
      </w:r>
      <w:r>
        <w:rPr>
          <w:rFonts w:ascii="Arial"/>
          <w:i/>
          <w:spacing w:val="16"/>
          <w:sz w:val="20"/>
        </w:rPr>
        <w:t> </w:t>
      </w:r>
      <w:r>
        <w:rPr>
          <w:rFonts w:ascii="Arial"/>
          <w:i/>
          <w:sz w:val="20"/>
        </w:rPr>
        <w:t>B.C.C.</w:t>
      </w:r>
      <w:r>
        <w:rPr>
          <w:rFonts w:ascii="Arial"/>
          <w:i/>
          <w:spacing w:val="16"/>
          <w:sz w:val="20"/>
        </w:rPr>
        <w:t> </w:t>
      </w:r>
      <w:r>
        <w:rPr>
          <w:rFonts w:ascii="Arial"/>
          <w:i/>
          <w:sz w:val="20"/>
        </w:rPr>
        <w:t>369</w:t>
      </w:r>
      <w:r>
        <w:rPr>
          <w:sz w:val="20"/>
        </w:rPr>
        <w:t>,</w:t>
      </w:r>
      <w:r>
        <w:rPr>
          <w:spacing w:val="16"/>
          <w:sz w:val="20"/>
        </w:rPr>
        <w:t> </w:t>
      </w:r>
      <w:r>
        <w:rPr>
          <w:sz w:val="20"/>
        </w:rPr>
        <w:t>reversed</w:t>
      </w:r>
      <w:r>
        <w:rPr>
          <w:spacing w:val="16"/>
          <w:sz w:val="20"/>
        </w:rPr>
        <w:t> </w:t>
      </w:r>
      <w:r>
        <w:rPr>
          <w:sz w:val="20"/>
        </w:rPr>
        <w:t>in</w:t>
      </w:r>
      <w:r>
        <w:rPr>
          <w:spacing w:val="16"/>
          <w:sz w:val="20"/>
        </w:rPr>
        <w:t> </w:t>
      </w:r>
      <w:r>
        <w:rPr>
          <w:sz w:val="20"/>
        </w:rPr>
        <w:t>part</w:t>
      </w:r>
      <w:r>
        <w:rPr>
          <w:spacing w:val="16"/>
          <w:sz w:val="20"/>
        </w:rPr>
        <w:t> </w:t>
      </w:r>
      <w:r>
        <w:rPr>
          <w:sz w:val="20"/>
        </w:rPr>
        <w:t>on</w:t>
      </w:r>
      <w:r>
        <w:rPr>
          <w:spacing w:val="16"/>
          <w:sz w:val="20"/>
        </w:rPr>
        <w:t> </w:t>
      </w:r>
      <w:r>
        <w:rPr>
          <w:sz w:val="20"/>
        </w:rPr>
        <w:t>other</w:t>
      </w:r>
      <w:r>
        <w:rPr>
          <w:spacing w:val="16"/>
          <w:sz w:val="20"/>
        </w:rPr>
        <w:t> </w:t>
      </w:r>
      <w:r>
        <w:rPr>
          <w:sz w:val="20"/>
        </w:rPr>
        <w:t>grounds</w:t>
      </w:r>
      <w:r>
        <w:rPr>
          <w:spacing w:val="16"/>
          <w:sz w:val="20"/>
        </w:rPr>
        <w:t> </w:t>
      </w:r>
      <w:r>
        <w:rPr>
          <w:rFonts w:ascii="Arial"/>
          <w:i/>
          <w:sz w:val="20"/>
        </w:rPr>
        <w:t>[1989]</w:t>
      </w:r>
      <w:r>
        <w:rPr>
          <w:rFonts w:ascii="Arial"/>
          <w:i/>
          <w:spacing w:val="16"/>
          <w:sz w:val="20"/>
        </w:rPr>
        <w:t> </w:t>
      </w:r>
      <w:r>
        <w:rPr>
          <w:rFonts w:ascii="Arial"/>
          <w:i/>
          <w:spacing w:val="-10"/>
          <w:sz w:val="20"/>
        </w:rPr>
        <w:t>1</w:t>
      </w:r>
    </w:p>
    <w:p>
      <w:pPr>
        <w:spacing w:line="225" w:lineRule="exact" w:before="0"/>
        <w:ind w:left="705" w:right="0" w:firstLine="0"/>
        <w:jc w:val="left"/>
        <w:rPr>
          <w:sz w:val="20"/>
        </w:rPr>
      </w:pPr>
      <w:r>
        <w:rPr>
          <w:rFonts w:ascii="Arial"/>
          <w:i/>
          <w:sz w:val="20"/>
        </w:rPr>
        <w:t>W.L.R. 912 </w:t>
      </w:r>
      <w:r>
        <w:rPr>
          <w:sz w:val="20"/>
        </w:rPr>
        <w:t>(company not yet </w:t>
      </w:r>
      <w:r>
        <w:rPr>
          <w:spacing w:val="-2"/>
          <w:sz w:val="20"/>
        </w:rPr>
        <w:t>formed).</w:t>
      </w:r>
    </w:p>
    <w:p>
      <w:pPr>
        <w:pStyle w:val="BodyText"/>
        <w:spacing w:before="5"/>
      </w:pPr>
    </w:p>
    <w:p>
      <w:pPr>
        <w:tabs>
          <w:tab w:pos="705" w:val="left" w:leader="none"/>
        </w:tabs>
        <w:spacing w:line="227" w:lineRule="exact" w:before="0"/>
        <w:ind w:left="165" w:right="0" w:firstLine="0"/>
        <w:jc w:val="left"/>
        <w:rPr>
          <w:sz w:val="20"/>
        </w:rPr>
      </w:pPr>
      <w:bookmarkStart w:name="_bookmark1253" w:id="1255"/>
      <w:bookmarkEnd w:id="1255"/>
      <w:r>
        <w:rPr/>
      </w:r>
      <w:hyperlink w:history="true" w:anchor="_bookmark1018">
        <w:r>
          <w:rPr>
            <w:color w:val="005DA1"/>
            <w:spacing w:val="-4"/>
            <w:position w:val="5"/>
            <w:sz w:val="14"/>
            <w:u w:val="single" w:color="005DA1"/>
          </w:rPr>
          <w:t>623</w:t>
        </w:r>
      </w:hyperlink>
      <w:r>
        <w:rPr>
          <w:spacing w:val="-4"/>
          <w:position w:val="5"/>
          <w:sz w:val="14"/>
        </w:rPr>
        <w:t>.</w:t>
      </w:r>
      <w:r>
        <w:rPr>
          <w:position w:val="5"/>
          <w:sz w:val="14"/>
        </w:rPr>
        <w:tab/>
      </w:r>
      <w:r>
        <w:rPr>
          <w:sz w:val="20"/>
        </w:rPr>
        <w:t>In</w:t>
      </w:r>
      <w:r>
        <w:rPr>
          <w:spacing w:val="14"/>
          <w:sz w:val="20"/>
        </w:rPr>
        <w:t> </w:t>
      </w:r>
      <w:r>
        <w:rPr>
          <w:rFonts w:ascii="Arial"/>
          <w:i/>
          <w:sz w:val="20"/>
        </w:rPr>
        <w:t>ING</w:t>
      </w:r>
      <w:r>
        <w:rPr>
          <w:rFonts w:ascii="Arial"/>
          <w:i/>
          <w:spacing w:val="14"/>
          <w:sz w:val="20"/>
        </w:rPr>
        <w:t> </w:t>
      </w:r>
      <w:r>
        <w:rPr>
          <w:rFonts w:ascii="Arial"/>
          <w:i/>
          <w:sz w:val="20"/>
        </w:rPr>
        <w:t>Bank</w:t>
      </w:r>
      <w:r>
        <w:rPr>
          <w:rFonts w:ascii="Arial"/>
          <w:i/>
          <w:spacing w:val="14"/>
          <w:sz w:val="20"/>
        </w:rPr>
        <w:t> </w:t>
      </w:r>
      <w:r>
        <w:rPr>
          <w:rFonts w:ascii="Arial"/>
          <w:i/>
          <w:sz w:val="20"/>
        </w:rPr>
        <w:t>NV</w:t>
      </w:r>
      <w:r>
        <w:rPr>
          <w:rFonts w:ascii="Arial"/>
          <w:i/>
          <w:spacing w:val="14"/>
          <w:sz w:val="20"/>
        </w:rPr>
        <w:t> </w:t>
      </w:r>
      <w:r>
        <w:rPr>
          <w:rFonts w:ascii="Arial"/>
          <w:i/>
          <w:sz w:val="20"/>
        </w:rPr>
        <w:t>v</w:t>
      </w:r>
      <w:r>
        <w:rPr>
          <w:rFonts w:ascii="Arial"/>
          <w:i/>
          <w:spacing w:val="14"/>
          <w:sz w:val="20"/>
        </w:rPr>
        <w:t> </w:t>
      </w:r>
      <w:r>
        <w:rPr>
          <w:rFonts w:ascii="Arial"/>
          <w:i/>
          <w:sz w:val="20"/>
        </w:rPr>
        <w:t>Ros</w:t>
      </w:r>
      <w:r>
        <w:rPr>
          <w:rFonts w:ascii="Arial"/>
          <w:i/>
          <w:spacing w:val="14"/>
          <w:sz w:val="20"/>
        </w:rPr>
        <w:t> </w:t>
      </w:r>
      <w:r>
        <w:rPr>
          <w:rFonts w:ascii="Arial"/>
          <w:i/>
          <w:sz w:val="20"/>
        </w:rPr>
        <w:t>Roca</w:t>
      </w:r>
      <w:r>
        <w:rPr>
          <w:rFonts w:ascii="Arial"/>
          <w:i/>
          <w:spacing w:val="14"/>
          <w:sz w:val="20"/>
        </w:rPr>
        <w:t> </w:t>
      </w:r>
      <w:r>
        <w:rPr>
          <w:rFonts w:ascii="Arial"/>
          <w:i/>
          <w:sz w:val="20"/>
        </w:rPr>
        <w:t>SA</w:t>
      </w:r>
      <w:r>
        <w:rPr>
          <w:rFonts w:ascii="Arial"/>
          <w:i/>
          <w:spacing w:val="14"/>
          <w:sz w:val="20"/>
        </w:rPr>
        <w:t> </w:t>
      </w:r>
      <w:r>
        <w:rPr>
          <w:rFonts w:ascii="Arial"/>
          <w:i/>
          <w:sz w:val="20"/>
        </w:rPr>
        <w:t>[2011]</w:t>
      </w:r>
      <w:r>
        <w:rPr>
          <w:rFonts w:ascii="Arial"/>
          <w:i/>
          <w:spacing w:val="14"/>
          <w:sz w:val="20"/>
        </w:rPr>
        <w:t> </w:t>
      </w:r>
      <w:r>
        <w:rPr>
          <w:rFonts w:ascii="Arial"/>
          <w:i/>
          <w:sz w:val="20"/>
        </w:rPr>
        <w:t>EWCA</w:t>
      </w:r>
      <w:r>
        <w:rPr>
          <w:rFonts w:ascii="Arial"/>
          <w:i/>
          <w:spacing w:val="14"/>
          <w:sz w:val="20"/>
        </w:rPr>
        <w:t> </w:t>
      </w:r>
      <w:r>
        <w:rPr>
          <w:rFonts w:ascii="Arial"/>
          <w:i/>
          <w:sz w:val="20"/>
        </w:rPr>
        <w:t>Civ</w:t>
      </w:r>
      <w:r>
        <w:rPr>
          <w:rFonts w:ascii="Arial"/>
          <w:i/>
          <w:spacing w:val="14"/>
          <w:sz w:val="20"/>
        </w:rPr>
        <w:t> </w:t>
      </w:r>
      <w:r>
        <w:rPr>
          <w:rFonts w:ascii="Arial"/>
          <w:i/>
          <w:sz w:val="20"/>
        </w:rPr>
        <w:t>353,</w:t>
      </w:r>
      <w:r>
        <w:rPr>
          <w:rFonts w:ascii="Arial"/>
          <w:i/>
          <w:spacing w:val="14"/>
          <w:sz w:val="20"/>
        </w:rPr>
        <w:t> </w:t>
      </w:r>
      <w:r>
        <w:rPr>
          <w:rFonts w:ascii="Arial"/>
          <w:i/>
          <w:sz w:val="20"/>
        </w:rPr>
        <w:t>[2012]</w:t>
      </w:r>
      <w:r>
        <w:rPr>
          <w:rFonts w:ascii="Arial"/>
          <w:i/>
          <w:spacing w:val="14"/>
          <w:sz w:val="20"/>
        </w:rPr>
        <w:t> </w:t>
      </w:r>
      <w:r>
        <w:rPr>
          <w:rFonts w:ascii="Arial"/>
          <w:i/>
          <w:sz w:val="20"/>
        </w:rPr>
        <w:t>1</w:t>
      </w:r>
      <w:r>
        <w:rPr>
          <w:rFonts w:ascii="Arial"/>
          <w:i/>
          <w:spacing w:val="14"/>
          <w:sz w:val="20"/>
        </w:rPr>
        <w:t> </w:t>
      </w:r>
      <w:r>
        <w:rPr>
          <w:rFonts w:ascii="Arial"/>
          <w:i/>
          <w:sz w:val="20"/>
        </w:rPr>
        <w:t>W.L.R.</w:t>
      </w:r>
      <w:r>
        <w:rPr>
          <w:rFonts w:ascii="Arial"/>
          <w:i/>
          <w:spacing w:val="14"/>
          <w:sz w:val="20"/>
        </w:rPr>
        <w:t> </w:t>
      </w:r>
      <w:r>
        <w:rPr>
          <w:rFonts w:ascii="Arial"/>
          <w:i/>
          <w:sz w:val="20"/>
        </w:rPr>
        <w:t>472</w:t>
      </w:r>
      <w:r>
        <w:rPr>
          <w:rFonts w:ascii="Arial"/>
          <w:i/>
          <w:spacing w:val="14"/>
          <w:sz w:val="20"/>
        </w:rPr>
        <w:t> </w:t>
      </w:r>
      <w:r>
        <w:rPr>
          <w:sz w:val="20"/>
        </w:rPr>
        <w:t>it</w:t>
      </w:r>
      <w:r>
        <w:rPr>
          <w:spacing w:val="14"/>
          <w:sz w:val="20"/>
        </w:rPr>
        <w:t> </w:t>
      </w:r>
      <w:r>
        <w:rPr>
          <w:sz w:val="20"/>
        </w:rPr>
        <w:t>was</w:t>
      </w:r>
      <w:r>
        <w:rPr>
          <w:spacing w:val="14"/>
          <w:sz w:val="20"/>
        </w:rPr>
        <w:t> </w:t>
      </w:r>
      <w:r>
        <w:rPr>
          <w:sz w:val="20"/>
        </w:rPr>
        <w:t>argued</w:t>
      </w:r>
      <w:r>
        <w:rPr>
          <w:spacing w:val="14"/>
          <w:sz w:val="20"/>
        </w:rPr>
        <w:t> </w:t>
      </w:r>
      <w:r>
        <w:rPr>
          <w:spacing w:val="-5"/>
          <w:sz w:val="20"/>
        </w:rPr>
        <w:t>at</w:t>
      </w:r>
    </w:p>
    <w:p>
      <w:pPr>
        <w:pStyle w:val="BodyText"/>
        <w:spacing w:line="235" w:lineRule="auto" w:before="1"/>
        <w:ind w:left="705" w:right="167"/>
        <w:jc w:val="both"/>
      </w:pPr>
      <w:r>
        <w:rPr/>
        <w:t>[63] that “fact” here referred to “present fact”, but Carnwath L.J. said that the “understanding” giving rise to the estoppel could “relate to the factual or legal basis on which a </w:t>
      </w:r>
      <w:r>
        <w:rPr/>
        <w:t>current transaction is proceeding, even if that understanding includes reference to events in the future” (at</w:t>
      </w:r>
      <w:r>
        <w:rPr>
          <w:spacing w:val="-1"/>
        </w:rPr>
        <w:t> </w:t>
      </w:r>
      <w:r>
        <w:rPr/>
        <w:t>[64(i)]).</w:t>
      </w:r>
      <w:r>
        <w:rPr>
          <w:spacing w:val="-1"/>
        </w:rPr>
        <w:t> </w:t>
      </w:r>
      <w:r>
        <w:rPr/>
        <w:t>This</w:t>
      </w:r>
      <w:r>
        <w:rPr>
          <w:spacing w:val="-1"/>
        </w:rPr>
        <w:t> </w:t>
      </w:r>
      <w:r>
        <w:rPr/>
        <w:t>view</w:t>
      </w:r>
      <w:r>
        <w:rPr>
          <w:spacing w:val="-1"/>
        </w:rPr>
        <w:t> </w:t>
      </w:r>
      <w:r>
        <w:rPr/>
        <w:t>is</w:t>
      </w:r>
      <w:r>
        <w:rPr>
          <w:spacing w:val="-1"/>
        </w:rPr>
        <w:t> </w:t>
      </w:r>
      <w:r>
        <w:rPr/>
        <w:t>indirectly</w:t>
      </w:r>
      <w:r>
        <w:rPr>
          <w:spacing w:val="-1"/>
        </w:rPr>
        <w:t> </w:t>
      </w:r>
      <w:r>
        <w:rPr/>
        <w:t>supported</w:t>
      </w:r>
      <w:r>
        <w:rPr>
          <w:spacing w:val="-1"/>
        </w:rPr>
        <w:t> </w:t>
      </w:r>
      <w:r>
        <w:rPr/>
        <w:t>by</w:t>
      </w:r>
      <w:r>
        <w:rPr>
          <w:spacing w:val="-1"/>
        </w:rPr>
        <w:t> </w:t>
      </w:r>
      <w:r>
        <w:rPr/>
        <w:t>Rix</w:t>
      </w:r>
      <w:r>
        <w:rPr>
          <w:spacing w:val="-1"/>
        </w:rPr>
        <w:t> </w:t>
      </w:r>
      <w:r>
        <w:rPr/>
        <w:t>L.J.</w:t>
      </w:r>
      <w:r>
        <w:rPr>
          <w:spacing w:val="-1"/>
        </w:rPr>
        <w:t> </w:t>
      </w:r>
      <w:r>
        <w:rPr/>
        <w:t>who</w:t>
      </w:r>
      <w:r>
        <w:rPr>
          <w:spacing w:val="-1"/>
        </w:rPr>
        <w:t> </w:t>
      </w:r>
      <w:r>
        <w:rPr/>
        <w:t>adopted</w:t>
      </w:r>
      <w:r>
        <w:rPr>
          <w:spacing w:val="-1"/>
        </w:rPr>
        <w:t> </w:t>
      </w:r>
      <w:r>
        <w:rPr/>
        <w:t>Carnwath</w:t>
      </w:r>
      <w:r>
        <w:rPr>
          <w:spacing w:val="-1"/>
        </w:rPr>
        <w:t> </w:t>
      </w:r>
      <w:r>
        <w:rPr/>
        <w:t>L.J.’s</w:t>
      </w:r>
      <w:r>
        <w:rPr>
          <w:spacing w:val="-1"/>
        </w:rPr>
        <w:t> </w:t>
      </w:r>
      <w:r>
        <w:rPr/>
        <w:t>“solution</w:t>
      </w:r>
      <w:r>
        <w:rPr>
          <w:spacing w:val="-1"/>
        </w:rPr>
        <w:t> </w:t>
      </w:r>
      <w:r>
        <w:rPr/>
        <w:t>in terms of estoppel by convention” even though his preference was for the view that the </w:t>
      </w:r>
      <w:r>
        <w:rPr/>
        <w:t>estoppel arose from a “promissory representation” so that it could give rise to a promissory estoppel </w:t>
      </w:r>
      <w:r>
        <w:rPr/>
        <w:t>(at </w:t>
      </w:r>
      <w:r>
        <w:rPr>
          <w:spacing w:val="-2"/>
        </w:rPr>
        <w:t>[85]–[86]).</w:t>
      </w:r>
    </w:p>
    <w:p>
      <w:pPr>
        <w:pStyle w:val="BodyText"/>
        <w:spacing w:before="4"/>
      </w:pPr>
    </w:p>
    <w:p>
      <w:pPr>
        <w:pStyle w:val="BodyText"/>
        <w:tabs>
          <w:tab w:pos="705" w:val="left" w:leader="none"/>
        </w:tabs>
        <w:ind w:left="165"/>
      </w:pPr>
      <w:bookmarkStart w:name="_bookmark1254" w:id="1256"/>
      <w:bookmarkEnd w:id="1256"/>
      <w:r>
        <w:rPr/>
      </w:r>
      <w:hyperlink w:history="true" w:anchor="_bookmark1018">
        <w:r>
          <w:rPr>
            <w:color w:val="005DA1"/>
            <w:spacing w:val="-4"/>
            <w:position w:val="5"/>
            <w:sz w:val="14"/>
            <w:u w:val="single" w:color="005DA1"/>
          </w:rPr>
          <w:t>624</w:t>
        </w:r>
      </w:hyperlink>
      <w:r>
        <w:rPr>
          <w:spacing w:val="-4"/>
          <w:position w:val="5"/>
          <w:sz w:val="14"/>
        </w:rPr>
        <w:t>.</w:t>
      </w:r>
      <w:r>
        <w:rPr>
          <w:position w:val="5"/>
          <w:sz w:val="14"/>
        </w:rPr>
        <w:tab/>
      </w:r>
      <w:r>
        <w:rPr/>
        <w:t>See</w:t>
      </w:r>
      <w:r>
        <w:rPr>
          <w:spacing w:val="-2"/>
        </w:rPr>
        <w:t> </w:t>
      </w:r>
      <w:r>
        <w:rPr/>
        <w:t>below, para.4-</w:t>
      </w:r>
      <w:r>
        <w:rPr>
          <w:spacing w:val="-4"/>
        </w:rPr>
        <w:t>111.</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bookmarkStart w:name="_bookmark1255" w:id="1257"/>
      <w:bookmarkEnd w:id="1257"/>
      <w:r>
        <w:rPr/>
      </w:r>
      <w:hyperlink w:history="true" w:anchor="_bookmark1019">
        <w:r>
          <w:rPr>
            <w:color w:val="005DA1"/>
            <w:spacing w:val="-4"/>
            <w:sz w:val="14"/>
            <w:u w:val="single" w:color="005DA1"/>
          </w:rPr>
          <w:t>625</w:t>
        </w:r>
      </w:hyperlink>
      <w:r>
        <w:rPr>
          <w:spacing w:val="-4"/>
          <w:sz w:val="14"/>
        </w:rPr>
        <w:t>.</w:t>
      </w:r>
    </w:p>
    <w:p>
      <w:pPr>
        <w:spacing w:line="235" w:lineRule="auto" w:before="212"/>
        <w:ind w:left="165" w:right="167" w:firstLine="170"/>
        <w:jc w:val="both"/>
        <w:rPr>
          <w:rFonts w:ascii="Arial" w:hAnsi="Arial"/>
          <w:i/>
          <w:sz w:val="20"/>
        </w:rPr>
      </w:pPr>
      <w:r>
        <w:rPr/>
        <w:br w:type="column"/>
      </w:r>
      <w:r>
        <w:rPr>
          <w:rFonts w:ascii="Arial" w:hAnsi="Arial"/>
          <w:i/>
          <w:sz w:val="20"/>
        </w:rPr>
        <w:t>Republic of India v India Steamship Co (The Indian Endurance) (No.2) [1998] A.C. 878, </w:t>
      </w:r>
      <w:r>
        <w:rPr>
          <w:rFonts w:ascii="Arial" w:hAnsi="Arial"/>
          <w:i/>
          <w:sz w:val="20"/>
        </w:rPr>
        <w:t>913</w:t>
      </w:r>
      <w:r>
        <w:rPr>
          <w:sz w:val="20"/>
        </w:rPr>
        <w:t>; and see </w:t>
      </w:r>
      <w:r>
        <w:rPr>
          <w:rFonts w:ascii="Arial" w:hAnsi="Arial"/>
          <w:i/>
          <w:sz w:val="20"/>
        </w:rPr>
        <w:t>Norwegian American Cruises A/S v Paul Mundy Ltd (The Vistafjord) [1988] 2 Lloyd’s Rep. 343, 351</w:t>
      </w:r>
      <w:r>
        <w:rPr>
          <w:sz w:val="20"/>
        </w:rPr>
        <w:t>; </w:t>
      </w:r>
      <w:r>
        <w:rPr>
          <w:rFonts w:ascii="Arial" w:hAnsi="Arial"/>
          <w:i/>
          <w:sz w:val="20"/>
        </w:rPr>
        <w:t>Shearson Lehman Hutton Inc v Maclaine Watson &amp; Co Ltd [1989] 2 Lloyd’s</w:t>
      </w:r>
      <w:r>
        <w:rPr>
          <w:rFonts w:ascii="Arial" w:hAnsi="Arial"/>
          <w:i/>
          <w:spacing w:val="40"/>
          <w:sz w:val="20"/>
        </w:rPr>
        <w:t> </w:t>
      </w:r>
      <w:r>
        <w:rPr>
          <w:rFonts w:ascii="Arial" w:hAnsi="Arial"/>
          <w:i/>
          <w:sz w:val="20"/>
        </w:rPr>
        <w:t>Rep. 570, 596</w:t>
      </w:r>
      <w:r>
        <w:rPr>
          <w:sz w:val="20"/>
        </w:rPr>
        <w:t>; see also </w:t>
      </w:r>
      <w:r>
        <w:rPr>
          <w:rFonts w:ascii="Arial" w:hAnsi="Arial"/>
          <w:i/>
          <w:sz w:val="20"/>
        </w:rPr>
        <w:t>Blindley Heath Investments v Bass [2014] EWHC 1366 (Ch) </w:t>
      </w:r>
      <w:r>
        <w:rPr>
          <w:sz w:val="20"/>
        </w:rPr>
        <w:t>at [127] to [134], where the requirements of estoppel by convention were satisfied, and para.3-107 of the 31st edition of this book (para.4-108 of this edition) was cited with apparent approval; </w:t>
      </w:r>
      <w:r>
        <w:rPr>
          <w:rFonts w:ascii="Arial" w:hAnsi="Arial"/>
          <w:i/>
          <w:sz w:val="20"/>
        </w:rPr>
        <w:t>Phillip Collins Ltd v Davis [2000] 3 All E.R. 808 </w:t>
      </w:r>
      <w:r>
        <w:rPr>
          <w:sz w:val="20"/>
        </w:rPr>
        <w:t>at 823 (where there was no common assumption or acquiescence): </w:t>
      </w:r>
      <w:r>
        <w:rPr>
          <w:rFonts w:ascii="Arial" w:hAnsi="Arial"/>
          <w:i/>
          <w:sz w:val="20"/>
        </w:rPr>
        <w:t>Thor Navigation Inc v Ingosstrakh Insurance [2005] EWHC 19 (Comm), [2005]</w:t>
      </w:r>
      <w:r>
        <w:rPr>
          <w:rFonts w:ascii="Arial" w:hAnsi="Arial"/>
          <w:i/>
          <w:spacing w:val="40"/>
          <w:sz w:val="20"/>
        </w:rPr>
        <w:t> </w:t>
      </w:r>
      <w:r>
        <w:rPr>
          <w:rFonts w:ascii="Arial" w:hAnsi="Arial"/>
          <w:i/>
          <w:sz w:val="20"/>
        </w:rPr>
        <w:t>1 Lloyd’s Rep. 547 </w:t>
      </w:r>
      <w:r>
        <w:rPr>
          <w:sz w:val="20"/>
        </w:rPr>
        <w:t>at [66], [70]; </w:t>
      </w:r>
      <w:r>
        <w:rPr>
          <w:rFonts w:ascii="Arial" w:hAnsi="Arial"/>
          <w:i/>
          <w:sz w:val="20"/>
        </w:rPr>
        <w:t>Triodos Bank NV v Dobbs [2005] EWCA Civ 630, [2005] 2 Lloyd’s Rep. 588 </w:t>
      </w:r>
      <w:r>
        <w:rPr>
          <w:sz w:val="20"/>
        </w:rPr>
        <w:t>at [2]; </w:t>
      </w:r>
      <w:r>
        <w:rPr>
          <w:rFonts w:ascii="Arial" w:hAnsi="Arial"/>
          <w:i/>
          <w:sz w:val="20"/>
        </w:rPr>
        <w:t>Canmer International Insurance v UK Mutual Assurance [2005] EWHC 1694,</w:t>
      </w:r>
      <w:r>
        <w:rPr>
          <w:rFonts w:ascii="Arial" w:hAnsi="Arial"/>
          <w:i/>
          <w:spacing w:val="-2"/>
          <w:sz w:val="20"/>
        </w:rPr>
        <w:t> </w:t>
      </w:r>
      <w:r>
        <w:rPr>
          <w:rFonts w:ascii="Arial" w:hAnsi="Arial"/>
          <w:i/>
          <w:sz w:val="20"/>
        </w:rPr>
        <w:t>[2005]</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479</w:t>
      </w:r>
      <w:r>
        <w:rPr>
          <w:rFonts w:ascii="Arial" w:hAnsi="Arial"/>
          <w:i/>
          <w:spacing w:val="-2"/>
          <w:sz w:val="20"/>
        </w:rPr>
        <w:t> </w:t>
      </w:r>
      <w:r>
        <w:rPr>
          <w:sz w:val="20"/>
        </w:rPr>
        <w:t>at</w:t>
      </w:r>
      <w:r>
        <w:rPr>
          <w:spacing w:val="-2"/>
          <w:sz w:val="20"/>
        </w:rPr>
        <w:t> </w:t>
      </w:r>
      <w:r>
        <w:rPr>
          <w:sz w:val="20"/>
        </w:rPr>
        <w:t>[41],</w:t>
      </w:r>
      <w:r>
        <w:rPr>
          <w:spacing w:val="-2"/>
          <w:sz w:val="20"/>
        </w:rPr>
        <w:t> </w:t>
      </w:r>
      <w:r>
        <w:rPr>
          <w:sz w:val="20"/>
        </w:rPr>
        <w:t>where</w:t>
      </w:r>
      <w:r>
        <w:rPr>
          <w:spacing w:val="-2"/>
          <w:sz w:val="20"/>
        </w:rPr>
        <w:t> </w:t>
      </w:r>
      <w:r>
        <w:rPr>
          <w:sz w:val="20"/>
        </w:rPr>
        <w:t>there</w:t>
      </w:r>
      <w:r>
        <w:rPr>
          <w:spacing w:val="-2"/>
          <w:sz w:val="20"/>
        </w:rPr>
        <w:t> </w:t>
      </w:r>
      <w:r>
        <w:rPr>
          <w:sz w:val="20"/>
        </w:rPr>
        <w:t>was</w:t>
      </w:r>
      <w:r>
        <w:rPr>
          <w:spacing w:val="-2"/>
          <w:sz w:val="20"/>
        </w:rPr>
        <w:t> </w:t>
      </w:r>
      <w:r>
        <w:rPr>
          <w:sz w:val="20"/>
        </w:rPr>
        <w:t>no</w:t>
      </w:r>
      <w:r>
        <w:rPr>
          <w:spacing w:val="-2"/>
          <w:sz w:val="20"/>
        </w:rPr>
        <w:t> </w:t>
      </w:r>
      <w:r>
        <w:rPr>
          <w:sz w:val="20"/>
        </w:rPr>
        <w:t>common</w:t>
      </w:r>
      <w:r>
        <w:rPr>
          <w:spacing w:val="-2"/>
          <w:sz w:val="20"/>
        </w:rPr>
        <w:t> </w:t>
      </w:r>
      <w:r>
        <w:rPr>
          <w:sz w:val="20"/>
        </w:rPr>
        <w:t>assumption</w:t>
      </w:r>
      <w:r>
        <w:rPr>
          <w:spacing w:val="-2"/>
          <w:sz w:val="20"/>
        </w:rPr>
        <w:t> </w:t>
      </w:r>
      <w:r>
        <w:rPr>
          <w:sz w:val="20"/>
        </w:rPr>
        <w:t>and</w:t>
      </w:r>
      <w:r>
        <w:rPr>
          <w:spacing w:val="-2"/>
          <w:sz w:val="20"/>
        </w:rPr>
        <w:t> </w:t>
      </w:r>
      <w:r>
        <w:rPr>
          <w:sz w:val="20"/>
        </w:rPr>
        <w:t>hence</w:t>
      </w:r>
      <w:r>
        <w:rPr>
          <w:spacing w:val="-2"/>
          <w:sz w:val="20"/>
        </w:rPr>
        <w:t> </w:t>
      </w:r>
      <w:r>
        <w:rPr>
          <w:sz w:val="20"/>
        </w:rPr>
        <w:t>no estoppel by convention; </w:t>
      </w:r>
      <w:r>
        <w:rPr>
          <w:rFonts w:ascii="Arial" w:hAnsi="Arial"/>
          <w:i/>
          <w:sz w:val="20"/>
        </w:rPr>
        <w:t>Tamil Nadu Electricity Board v ST-CMS Electricity Company Private</w:t>
      </w:r>
      <w:r>
        <w:rPr>
          <w:rFonts w:ascii="Arial" w:hAnsi="Arial"/>
          <w:i/>
          <w:spacing w:val="40"/>
          <w:sz w:val="20"/>
        </w:rPr>
        <w:t> </w:t>
      </w:r>
      <w:r>
        <w:rPr>
          <w:rFonts w:ascii="Arial" w:hAnsi="Arial"/>
          <w:i/>
          <w:sz w:val="20"/>
        </w:rPr>
        <w:t>Ltd [2007] EWHC 1713 (Comm), [2007] 2 All E.R. (Comm) 701 </w:t>
      </w:r>
      <w:r>
        <w:rPr>
          <w:sz w:val="20"/>
        </w:rPr>
        <w:t>at [104], where again there was no evidence of the alleged shared assumption (at [115]); </w:t>
      </w:r>
      <w:r>
        <w:rPr>
          <w:rFonts w:ascii="Arial" w:hAnsi="Arial"/>
          <w:i/>
          <w:sz w:val="20"/>
        </w:rPr>
        <w:t>Kosmar Villa Holidays plc v Trustees</w:t>
      </w:r>
      <w:r>
        <w:rPr>
          <w:rFonts w:ascii="Arial" w:hAnsi="Arial"/>
          <w:i/>
          <w:spacing w:val="40"/>
          <w:sz w:val="20"/>
        </w:rPr>
        <w:t> </w:t>
      </w:r>
      <w:r>
        <w:rPr>
          <w:rFonts w:ascii="Arial" w:hAnsi="Arial"/>
          <w:i/>
          <w:sz w:val="20"/>
        </w:rPr>
        <w:t>of Syndicate 1243 [2007] EWHC 458 (Comm), [2007] 2 All E.R. (Comm) 215 </w:t>
      </w:r>
      <w:r>
        <w:rPr>
          <w:sz w:val="20"/>
        </w:rPr>
        <w:t>at [53], where reliance on estoppel by convention failed on the same ground. On appeal this aspect of the decision</w:t>
      </w:r>
      <w:r>
        <w:rPr>
          <w:spacing w:val="11"/>
          <w:sz w:val="20"/>
        </w:rPr>
        <w:t> </w:t>
      </w:r>
      <w:r>
        <w:rPr>
          <w:sz w:val="20"/>
        </w:rPr>
        <w:t>at</w:t>
      </w:r>
      <w:r>
        <w:rPr>
          <w:spacing w:val="12"/>
          <w:sz w:val="20"/>
        </w:rPr>
        <w:t> </w:t>
      </w:r>
      <w:r>
        <w:rPr>
          <w:sz w:val="20"/>
        </w:rPr>
        <w:t>first</w:t>
      </w:r>
      <w:r>
        <w:rPr>
          <w:spacing w:val="12"/>
          <w:sz w:val="20"/>
        </w:rPr>
        <w:t> </w:t>
      </w:r>
      <w:r>
        <w:rPr>
          <w:sz w:val="20"/>
        </w:rPr>
        <w:t>instance</w:t>
      </w:r>
      <w:r>
        <w:rPr>
          <w:spacing w:val="12"/>
          <w:sz w:val="20"/>
        </w:rPr>
        <w:t> </w:t>
      </w:r>
      <w:r>
        <w:rPr>
          <w:sz w:val="20"/>
        </w:rPr>
        <w:t>in</w:t>
      </w:r>
      <w:r>
        <w:rPr>
          <w:spacing w:val="12"/>
          <w:sz w:val="20"/>
        </w:rPr>
        <w:t> </w:t>
      </w:r>
      <w:r>
        <w:rPr>
          <w:sz w:val="20"/>
        </w:rPr>
        <w:t>the</w:t>
      </w:r>
      <w:r>
        <w:rPr>
          <w:spacing w:val="12"/>
          <w:sz w:val="20"/>
        </w:rPr>
        <w:t> </w:t>
      </w:r>
      <w:r>
        <w:rPr>
          <w:rFonts w:ascii="Arial" w:hAnsi="Arial"/>
          <w:i/>
          <w:sz w:val="20"/>
        </w:rPr>
        <w:t>Kosmar</w:t>
      </w:r>
      <w:r>
        <w:rPr>
          <w:rFonts w:ascii="Arial" w:hAnsi="Arial"/>
          <w:i/>
          <w:spacing w:val="12"/>
          <w:sz w:val="20"/>
        </w:rPr>
        <w:t> </w:t>
      </w:r>
      <w:r>
        <w:rPr>
          <w:sz w:val="20"/>
        </w:rPr>
        <w:t>case</w:t>
      </w:r>
      <w:r>
        <w:rPr>
          <w:spacing w:val="12"/>
          <w:sz w:val="20"/>
        </w:rPr>
        <w:t> </w:t>
      </w:r>
      <w:r>
        <w:rPr>
          <w:sz w:val="20"/>
        </w:rPr>
        <w:t>was</w:t>
      </w:r>
      <w:r>
        <w:rPr>
          <w:spacing w:val="12"/>
          <w:sz w:val="20"/>
        </w:rPr>
        <w:t> </w:t>
      </w:r>
      <w:r>
        <w:rPr>
          <w:sz w:val="20"/>
        </w:rPr>
        <w:t>affirmed</w:t>
      </w:r>
      <w:r>
        <w:rPr>
          <w:spacing w:val="12"/>
          <w:sz w:val="20"/>
        </w:rPr>
        <w:t> </w:t>
      </w:r>
      <w:r>
        <w:rPr>
          <w:sz w:val="20"/>
        </w:rPr>
        <w:t>(</w:t>
      </w:r>
      <w:r>
        <w:rPr>
          <w:rFonts w:ascii="Arial" w:hAnsi="Arial"/>
          <w:i/>
          <w:sz w:val="20"/>
        </w:rPr>
        <w:t>[2008]</w:t>
      </w:r>
      <w:r>
        <w:rPr>
          <w:rFonts w:ascii="Arial" w:hAnsi="Arial"/>
          <w:i/>
          <w:spacing w:val="12"/>
          <w:sz w:val="20"/>
        </w:rPr>
        <w:t> </w:t>
      </w:r>
      <w:r>
        <w:rPr>
          <w:rFonts w:ascii="Arial" w:hAnsi="Arial"/>
          <w:i/>
          <w:sz w:val="20"/>
        </w:rPr>
        <w:t>EWCA</w:t>
      </w:r>
      <w:r>
        <w:rPr>
          <w:rFonts w:ascii="Arial" w:hAnsi="Arial"/>
          <w:i/>
          <w:spacing w:val="12"/>
          <w:sz w:val="20"/>
        </w:rPr>
        <w:t> </w:t>
      </w:r>
      <w:r>
        <w:rPr>
          <w:rFonts w:ascii="Arial" w:hAnsi="Arial"/>
          <w:i/>
          <w:sz w:val="20"/>
        </w:rPr>
        <w:t>Civ</w:t>
      </w:r>
      <w:r>
        <w:rPr>
          <w:rFonts w:ascii="Arial" w:hAnsi="Arial"/>
          <w:i/>
          <w:spacing w:val="12"/>
          <w:sz w:val="20"/>
        </w:rPr>
        <w:t> </w:t>
      </w:r>
      <w:r>
        <w:rPr>
          <w:rFonts w:ascii="Arial" w:hAnsi="Arial"/>
          <w:i/>
          <w:sz w:val="20"/>
        </w:rPr>
        <w:t>147,</w:t>
      </w:r>
      <w:r>
        <w:rPr>
          <w:rFonts w:ascii="Arial" w:hAnsi="Arial"/>
          <w:i/>
          <w:spacing w:val="12"/>
          <w:sz w:val="20"/>
        </w:rPr>
        <w:t> </w:t>
      </w:r>
      <w:r>
        <w:rPr>
          <w:rFonts w:ascii="Arial" w:hAnsi="Arial"/>
          <w:i/>
          <w:sz w:val="20"/>
        </w:rPr>
        <w:t>[2008]</w:t>
      </w:r>
      <w:r>
        <w:rPr>
          <w:rFonts w:ascii="Arial" w:hAnsi="Arial"/>
          <w:i/>
          <w:spacing w:val="12"/>
          <w:sz w:val="20"/>
        </w:rPr>
        <w:t> </w:t>
      </w:r>
      <w:r>
        <w:rPr>
          <w:rFonts w:ascii="Arial" w:hAnsi="Arial"/>
          <w:i/>
          <w:sz w:val="20"/>
        </w:rPr>
        <w:t>2</w:t>
      </w:r>
      <w:r>
        <w:rPr>
          <w:rFonts w:ascii="Arial" w:hAnsi="Arial"/>
          <w:i/>
          <w:spacing w:val="12"/>
          <w:sz w:val="20"/>
        </w:rPr>
        <w:t> </w:t>
      </w:r>
      <w:r>
        <w:rPr>
          <w:rFonts w:ascii="Arial" w:hAnsi="Arial"/>
          <w:i/>
          <w:spacing w:val="-5"/>
          <w:sz w:val="20"/>
        </w:rPr>
        <w:t>All</w:t>
      </w:r>
    </w:p>
    <w:p>
      <w:pPr>
        <w:pStyle w:val="BodyText"/>
        <w:spacing w:line="220" w:lineRule="exact"/>
        <w:ind w:left="165"/>
      </w:pPr>
      <w:r>
        <w:rPr/>
        <w:drawing>
          <wp:anchor distT="0" distB="0" distL="0" distR="0" allowOverlap="1" layoutInCell="1" locked="0" behindDoc="0" simplePos="0" relativeHeight="15775232">
            <wp:simplePos x="0" y="0"/>
            <wp:positionH relativeFrom="page">
              <wp:posOffset>1257846</wp:posOffset>
            </wp:positionH>
            <wp:positionV relativeFrom="paragraph">
              <wp:posOffset>-2407327</wp:posOffset>
            </wp:positionV>
            <wp:extent cx="107988" cy="107988"/>
            <wp:effectExtent l="0" t="0" r="0" b="0"/>
            <wp:wrapNone/>
            <wp:docPr id="203" name="Image 203"/>
            <wp:cNvGraphicFramePr>
              <a:graphicFrameLocks/>
            </wp:cNvGraphicFramePr>
            <a:graphic>
              <a:graphicData uri="http://schemas.openxmlformats.org/drawingml/2006/picture">
                <pic:pic>
                  <pic:nvPicPr>
                    <pic:cNvPr id="203" name="Image 203"/>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rPr>
        <w:t>E.R.</w:t>
      </w:r>
      <w:r>
        <w:rPr>
          <w:rFonts w:ascii="Arial"/>
          <w:i/>
          <w:spacing w:val="14"/>
        </w:rPr>
        <w:t> </w:t>
      </w:r>
      <w:r>
        <w:rPr>
          <w:rFonts w:ascii="Arial"/>
          <w:i/>
        </w:rPr>
        <w:t>(Comm)</w:t>
      </w:r>
      <w:r>
        <w:rPr>
          <w:rFonts w:ascii="Arial"/>
          <w:i/>
          <w:spacing w:val="14"/>
        </w:rPr>
        <w:t> </w:t>
      </w:r>
      <w:r>
        <w:rPr>
          <w:rFonts w:ascii="Arial"/>
          <w:i/>
        </w:rPr>
        <w:t>14</w:t>
      </w:r>
      <w:r>
        <w:rPr>
          <w:rFonts w:ascii="Arial"/>
          <w:i/>
          <w:spacing w:val="13"/>
        </w:rPr>
        <w:t> </w:t>
      </w:r>
      <w:r>
        <w:rPr/>
        <w:t>at</w:t>
      </w:r>
      <w:r>
        <w:rPr>
          <w:spacing w:val="14"/>
        </w:rPr>
        <w:t> </w:t>
      </w:r>
      <w:r>
        <w:rPr/>
        <w:t>[85])</w:t>
      </w:r>
      <w:r>
        <w:rPr>
          <w:spacing w:val="14"/>
        </w:rPr>
        <w:t> </w:t>
      </w:r>
      <w:r>
        <w:rPr/>
        <w:t>even</w:t>
      </w:r>
      <w:r>
        <w:rPr>
          <w:spacing w:val="14"/>
        </w:rPr>
        <w:t> </w:t>
      </w:r>
      <w:r>
        <w:rPr/>
        <w:t>though</w:t>
      </w:r>
      <w:r>
        <w:rPr>
          <w:spacing w:val="14"/>
        </w:rPr>
        <w:t> </w:t>
      </w:r>
      <w:r>
        <w:rPr/>
        <w:t>the</w:t>
      </w:r>
      <w:r>
        <w:rPr>
          <w:spacing w:val="14"/>
        </w:rPr>
        <w:t> </w:t>
      </w:r>
      <w:r>
        <w:rPr/>
        <w:t>actual</w:t>
      </w:r>
      <w:r>
        <w:rPr>
          <w:spacing w:val="14"/>
        </w:rPr>
        <w:t> </w:t>
      </w:r>
      <w:r>
        <w:rPr/>
        <w:t>decision</w:t>
      </w:r>
      <w:r>
        <w:rPr>
          <w:spacing w:val="14"/>
        </w:rPr>
        <w:t> </w:t>
      </w:r>
      <w:r>
        <w:rPr/>
        <w:t>was</w:t>
      </w:r>
      <w:r>
        <w:rPr>
          <w:spacing w:val="14"/>
        </w:rPr>
        <w:t> </w:t>
      </w:r>
      <w:r>
        <w:rPr/>
        <w:t>reversed</w:t>
      </w:r>
      <w:r>
        <w:rPr>
          <w:spacing w:val="14"/>
        </w:rPr>
        <w:t> </w:t>
      </w:r>
      <w:r>
        <w:rPr/>
        <w:t>on</w:t>
      </w:r>
      <w:r>
        <w:rPr>
          <w:spacing w:val="14"/>
        </w:rPr>
        <w:t> </w:t>
      </w:r>
      <w:r>
        <w:rPr/>
        <w:t>the</w:t>
      </w:r>
      <w:r>
        <w:rPr>
          <w:spacing w:val="14"/>
        </w:rPr>
        <w:t> </w:t>
      </w:r>
      <w:r>
        <w:rPr/>
        <w:t>ground</w:t>
      </w:r>
      <w:r>
        <w:rPr>
          <w:spacing w:val="14"/>
        </w:rPr>
        <w:t> </w:t>
      </w:r>
      <w:r>
        <w:rPr/>
        <w:t>that</w:t>
      </w:r>
      <w:r>
        <w:rPr>
          <w:spacing w:val="14"/>
        </w:rPr>
        <w:t> </w:t>
      </w:r>
      <w:r>
        <w:rPr>
          <w:spacing w:val="-5"/>
        </w:rPr>
        <w:t>the</w:t>
      </w:r>
    </w:p>
    <w:p>
      <w:pPr>
        <w:pStyle w:val="BodyText"/>
        <w:spacing w:after="0" w:line="220" w:lineRule="exact"/>
        <w:sectPr>
          <w:type w:val="continuous"/>
          <w:pgSz w:w="11900" w:h="16840"/>
          <w:pgMar w:header="971" w:footer="0" w:top="3760" w:bottom="280" w:left="1275" w:right="1275"/>
          <w:cols w:num="2" w:equalWidth="0">
            <w:col w:w="478" w:space="63"/>
            <w:col w:w="8809"/>
          </w:cols>
        </w:sectPr>
      </w:pPr>
    </w:p>
    <w:p>
      <w:pPr>
        <w:pStyle w:val="BodyText"/>
        <w:spacing w:before="24"/>
      </w:pPr>
    </w:p>
    <w:p>
      <w:pPr>
        <w:spacing w:line="235" w:lineRule="auto" w:before="1"/>
        <w:ind w:left="705" w:right="167" w:firstLine="0"/>
        <w:jc w:val="both"/>
        <w:rPr>
          <w:sz w:val="20"/>
        </w:rPr>
      </w:pPr>
      <w:r>
        <w:rPr>
          <w:sz w:val="20"/>
        </w:rPr>
        <w:t>principle of “estoppel by election” (cf. below para.24-003) did not there apply; or, if it did apply, the requirement of an “unequivocal communication” (at [71]) needed to give rise to such </w:t>
      </w:r>
      <w:r>
        <w:rPr>
          <w:sz w:val="20"/>
        </w:rPr>
        <w:t>an estoppel had not been satisfied (at [79]). For other cases in which the requirements of estoppel by convention were discussed but not satisfied (usually for want of the requisite common assumption)</w:t>
      </w:r>
      <w:r>
        <w:rPr>
          <w:spacing w:val="-3"/>
          <w:sz w:val="20"/>
        </w:rPr>
        <w:t> </w:t>
      </w:r>
      <w:r>
        <w:rPr>
          <w:sz w:val="20"/>
        </w:rPr>
        <w:t>see</w:t>
      </w:r>
      <w:r>
        <w:rPr>
          <w:spacing w:val="-3"/>
          <w:sz w:val="20"/>
        </w:rPr>
        <w:t> </w:t>
      </w:r>
      <w:r>
        <w:rPr>
          <w:rFonts w:ascii="Arial" w:hAnsi="Arial"/>
          <w:i/>
          <w:sz w:val="20"/>
        </w:rPr>
        <w:t>Haden</w:t>
      </w:r>
      <w:r>
        <w:rPr>
          <w:rFonts w:ascii="Arial" w:hAnsi="Arial"/>
          <w:i/>
          <w:spacing w:val="-3"/>
          <w:sz w:val="20"/>
        </w:rPr>
        <w:t> </w:t>
      </w:r>
      <w:r>
        <w:rPr>
          <w:rFonts w:ascii="Arial" w:hAnsi="Arial"/>
          <w:i/>
          <w:sz w:val="20"/>
        </w:rPr>
        <w:t>Young</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Laing</w:t>
      </w:r>
      <w:r>
        <w:rPr>
          <w:rFonts w:ascii="Arial" w:hAnsi="Arial"/>
          <w:i/>
          <w:spacing w:val="-3"/>
          <w:sz w:val="20"/>
        </w:rPr>
        <w:t> </w:t>
      </w:r>
      <w:r>
        <w:rPr>
          <w:rFonts w:ascii="Arial" w:hAnsi="Arial"/>
          <w:i/>
          <w:sz w:val="20"/>
        </w:rPr>
        <w:t>O’Rourke</w:t>
      </w:r>
      <w:r>
        <w:rPr>
          <w:rFonts w:ascii="Arial" w:hAnsi="Arial"/>
          <w:i/>
          <w:spacing w:val="-3"/>
          <w:sz w:val="20"/>
        </w:rPr>
        <w:t> </w:t>
      </w:r>
      <w:r>
        <w:rPr>
          <w:rFonts w:ascii="Arial" w:hAnsi="Arial"/>
          <w:i/>
          <w:sz w:val="20"/>
        </w:rPr>
        <w:t>Midlands</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[2008]</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1016</w:t>
      </w:r>
      <w:r>
        <w:rPr>
          <w:rFonts w:ascii="Arial" w:hAnsi="Arial"/>
          <w:i/>
          <w:spacing w:val="-3"/>
          <w:sz w:val="20"/>
        </w:rPr>
        <w:t> </w:t>
      </w:r>
      <w:r>
        <w:rPr>
          <w:rFonts w:ascii="Arial" w:hAnsi="Arial"/>
          <w:i/>
          <w:sz w:val="20"/>
        </w:rPr>
        <w:t>(TCC)</w:t>
      </w:r>
      <w:r>
        <w:rPr>
          <w:rFonts w:ascii="Arial" w:hAnsi="Arial"/>
          <w:i/>
          <w:spacing w:val="-4"/>
          <w:sz w:val="20"/>
        </w:rPr>
        <w:t> </w:t>
      </w:r>
      <w:r>
        <w:rPr>
          <w:sz w:val="20"/>
        </w:rPr>
        <w:t>at [187]–[192];</w:t>
      </w:r>
      <w:r>
        <w:rPr>
          <w:spacing w:val="1"/>
          <w:sz w:val="20"/>
        </w:rPr>
        <w:t> </w:t>
      </w:r>
      <w:r>
        <w:rPr>
          <w:rFonts w:ascii="Arial" w:hAnsi="Arial"/>
          <w:i/>
          <w:sz w:val="20"/>
        </w:rPr>
        <w:t>The</w:t>
      </w:r>
      <w:r>
        <w:rPr>
          <w:rFonts w:ascii="Arial" w:hAnsi="Arial"/>
          <w:i/>
          <w:spacing w:val="1"/>
          <w:sz w:val="20"/>
        </w:rPr>
        <w:t> </w:t>
      </w:r>
      <w:r>
        <w:rPr>
          <w:rFonts w:ascii="Arial" w:hAnsi="Arial"/>
          <w:i/>
          <w:sz w:val="20"/>
        </w:rPr>
        <w:t>W</w:t>
      </w:r>
      <w:r>
        <w:rPr>
          <w:rFonts w:ascii="Arial" w:hAnsi="Arial"/>
          <w:i/>
          <w:spacing w:val="1"/>
          <w:sz w:val="20"/>
        </w:rPr>
        <w:t> </w:t>
      </w:r>
      <w:r>
        <w:rPr>
          <w:rFonts w:ascii="Arial" w:hAnsi="Arial"/>
          <w:i/>
          <w:sz w:val="20"/>
        </w:rPr>
        <w:t>D</w:t>
      </w:r>
      <w:r>
        <w:rPr>
          <w:rFonts w:ascii="Arial" w:hAnsi="Arial"/>
          <w:i/>
          <w:spacing w:val="1"/>
          <w:sz w:val="20"/>
        </w:rPr>
        <w:t> </w:t>
      </w:r>
      <w:r>
        <w:rPr>
          <w:rFonts w:ascii="Arial" w:hAnsi="Arial"/>
          <w:i/>
          <w:sz w:val="20"/>
        </w:rPr>
        <w:t>Fairway</w:t>
      </w:r>
      <w:r>
        <w:rPr>
          <w:rFonts w:ascii="Arial" w:hAnsi="Arial"/>
          <w:i/>
          <w:spacing w:val="1"/>
          <w:sz w:val="20"/>
        </w:rPr>
        <w:t> </w:t>
      </w:r>
      <w:r>
        <w:rPr>
          <w:rFonts w:ascii="Arial" w:hAnsi="Arial"/>
          <w:i/>
          <w:sz w:val="20"/>
        </w:rPr>
        <w:t>(No.3)</w:t>
      </w:r>
      <w:r>
        <w:rPr>
          <w:rFonts w:ascii="Arial" w:hAnsi="Arial"/>
          <w:i/>
          <w:spacing w:val="1"/>
          <w:sz w:val="20"/>
        </w:rPr>
        <w:t> </w:t>
      </w:r>
      <w:r>
        <w:rPr>
          <w:rFonts w:ascii="Arial" w:hAnsi="Arial"/>
          <w:i/>
          <w:sz w:val="20"/>
        </w:rPr>
        <w:t>[2009]</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1782</w:t>
      </w:r>
      <w:r>
        <w:rPr>
          <w:rFonts w:ascii="Arial" w:hAnsi="Arial"/>
          <w:i/>
          <w:spacing w:val="1"/>
          <w:sz w:val="20"/>
        </w:rPr>
        <w:t> </w:t>
      </w:r>
      <w:r>
        <w:rPr>
          <w:rFonts w:ascii="Arial" w:hAnsi="Arial"/>
          <w:i/>
          <w:sz w:val="20"/>
        </w:rPr>
        <w:t>(Admlty),</w:t>
      </w:r>
      <w:r>
        <w:rPr>
          <w:rFonts w:ascii="Arial" w:hAnsi="Arial"/>
          <w:i/>
          <w:spacing w:val="1"/>
          <w:sz w:val="20"/>
        </w:rPr>
        <w:t> </w:t>
      </w:r>
      <w:r>
        <w:rPr>
          <w:rFonts w:ascii="Arial" w:hAnsi="Arial"/>
          <w:i/>
          <w:sz w:val="20"/>
        </w:rPr>
        <w:t>[2009]</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420 </w:t>
      </w:r>
      <w:r>
        <w:rPr>
          <w:spacing w:val="-5"/>
          <w:sz w:val="20"/>
        </w:rPr>
        <w:t>at</w:t>
      </w:r>
    </w:p>
    <w:p>
      <w:pPr>
        <w:spacing w:line="221" w:lineRule="exact" w:before="0"/>
        <w:ind w:left="705" w:right="0" w:firstLine="0"/>
        <w:jc w:val="both"/>
        <w:rPr>
          <w:rFonts w:ascii="Arial"/>
          <w:i/>
          <w:sz w:val="20"/>
        </w:rPr>
      </w:pPr>
      <w:r>
        <w:rPr>
          <w:sz w:val="20"/>
        </w:rPr>
        <w:t>[22];</w:t>
      </w:r>
      <w:r>
        <w:rPr>
          <w:spacing w:val="33"/>
          <w:sz w:val="20"/>
        </w:rPr>
        <w:t> </w:t>
      </w:r>
      <w:r>
        <w:rPr>
          <w:rFonts w:ascii="Arial"/>
          <w:i/>
          <w:sz w:val="20"/>
        </w:rPr>
        <w:t>Republic</w:t>
      </w:r>
      <w:r>
        <w:rPr>
          <w:rFonts w:ascii="Arial"/>
          <w:i/>
          <w:spacing w:val="33"/>
          <w:sz w:val="20"/>
        </w:rPr>
        <w:t> </w:t>
      </w:r>
      <w:r>
        <w:rPr>
          <w:rFonts w:ascii="Arial"/>
          <w:i/>
          <w:sz w:val="20"/>
        </w:rPr>
        <w:t>of</w:t>
      </w:r>
      <w:r>
        <w:rPr>
          <w:rFonts w:ascii="Arial"/>
          <w:i/>
          <w:spacing w:val="33"/>
          <w:sz w:val="20"/>
        </w:rPr>
        <w:t> </w:t>
      </w:r>
      <w:r>
        <w:rPr>
          <w:rFonts w:ascii="Arial"/>
          <w:i/>
          <w:sz w:val="20"/>
        </w:rPr>
        <w:t>Serbia</w:t>
      </w:r>
      <w:r>
        <w:rPr>
          <w:rFonts w:ascii="Arial"/>
          <w:i/>
          <w:spacing w:val="33"/>
          <w:sz w:val="20"/>
        </w:rPr>
        <w:t> </w:t>
      </w:r>
      <w:r>
        <w:rPr>
          <w:rFonts w:ascii="Arial"/>
          <w:i/>
          <w:sz w:val="20"/>
        </w:rPr>
        <w:t>v</w:t>
      </w:r>
      <w:r>
        <w:rPr>
          <w:rFonts w:ascii="Arial"/>
          <w:i/>
          <w:spacing w:val="33"/>
          <w:sz w:val="20"/>
        </w:rPr>
        <w:t> </w:t>
      </w:r>
      <w:r>
        <w:rPr>
          <w:rFonts w:ascii="Arial"/>
          <w:i/>
          <w:sz w:val="20"/>
        </w:rPr>
        <w:t>ImageSut</w:t>
      </w:r>
      <w:r>
        <w:rPr>
          <w:rFonts w:ascii="Arial"/>
          <w:i/>
          <w:spacing w:val="33"/>
          <w:sz w:val="20"/>
        </w:rPr>
        <w:t> </w:t>
      </w:r>
      <w:r>
        <w:rPr>
          <w:rFonts w:ascii="Arial"/>
          <w:i/>
          <w:sz w:val="20"/>
        </w:rPr>
        <w:t>International</w:t>
      </w:r>
      <w:r>
        <w:rPr>
          <w:rFonts w:ascii="Arial"/>
          <w:i/>
          <w:spacing w:val="33"/>
          <w:sz w:val="20"/>
        </w:rPr>
        <w:t> </w:t>
      </w:r>
      <w:r>
        <w:rPr>
          <w:rFonts w:ascii="Arial"/>
          <w:i/>
          <w:sz w:val="20"/>
        </w:rPr>
        <w:t>NV</w:t>
      </w:r>
      <w:r>
        <w:rPr>
          <w:rFonts w:ascii="Arial"/>
          <w:i/>
          <w:spacing w:val="33"/>
          <w:sz w:val="20"/>
        </w:rPr>
        <w:t> </w:t>
      </w:r>
      <w:r>
        <w:rPr>
          <w:rFonts w:ascii="Arial"/>
          <w:i/>
          <w:sz w:val="20"/>
        </w:rPr>
        <w:t>[2009]</w:t>
      </w:r>
      <w:r>
        <w:rPr>
          <w:rFonts w:ascii="Arial"/>
          <w:i/>
          <w:spacing w:val="33"/>
          <w:sz w:val="20"/>
        </w:rPr>
        <w:t> </w:t>
      </w:r>
      <w:r>
        <w:rPr>
          <w:rFonts w:ascii="Arial"/>
          <w:i/>
          <w:sz w:val="20"/>
        </w:rPr>
        <w:t>EWHC</w:t>
      </w:r>
      <w:r>
        <w:rPr>
          <w:rFonts w:ascii="Arial"/>
          <w:i/>
          <w:spacing w:val="33"/>
          <w:sz w:val="20"/>
        </w:rPr>
        <w:t> </w:t>
      </w:r>
      <w:r>
        <w:rPr>
          <w:rFonts w:ascii="Arial"/>
          <w:i/>
          <w:sz w:val="20"/>
        </w:rPr>
        <w:t>2853</w:t>
      </w:r>
      <w:r>
        <w:rPr>
          <w:rFonts w:ascii="Arial"/>
          <w:i/>
          <w:spacing w:val="33"/>
          <w:sz w:val="20"/>
        </w:rPr>
        <w:t> </w:t>
      </w:r>
      <w:r>
        <w:rPr>
          <w:rFonts w:ascii="Arial"/>
          <w:i/>
          <w:sz w:val="20"/>
        </w:rPr>
        <w:t>(Comm),</w:t>
      </w:r>
      <w:r>
        <w:rPr>
          <w:rFonts w:ascii="Arial"/>
          <w:i/>
          <w:spacing w:val="33"/>
          <w:sz w:val="20"/>
        </w:rPr>
        <w:t> </w:t>
      </w:r>
      <w:r>
        <w:rPr>
          <w:rFonts w:ascii="Arial"/>
          <w:i/>
          <w:sz w:val="20"/>
        </w:rPr>
        <w:t>[2010]</w:t>
      </w:r>
      <w:r>
        <w:rPr>
          <w:rFonts w:ascii="Arial"/>
          <w:i/>
          <w:spacing w:val="33"/>
          <w:sz w:val="20"/>
        </w:rPr>
        <w:t> </w:t>
      </w:r>
      <w:r>
        <w:rPr>
          <w:rFonts w:ascii="Arial"/>
          <w:i/>
          <w:spacing w:val="-10"/>
          <w:sz w:val="20"/>
        </w:rPr>
        <w:t>1</w:t>
      </w:r>
    </w:p>
    <w:p>
      <w:pPr>
        <w:spacing w:line="225" w:lineRule="exact" w:before="0"/>
        <w:ind w:left="705" w:right="0" w:firstLine="0"/>
        <w:jc w:val="both"/>
        <w:rPr>
          <w:rFonts w:ascii="Arial" w:hAnsi="Arial"/>
          <w:i/>
          <w:sz w:val="20"/>
        </w:rPr>
      </w:pP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325</w:t>
      </w:r>
      <w:r>
        <w:rPr>
          <w:rFonts w:ascii="Arial" w:hAnsi="Arial"/>
          <w:i/>
          <w:spacing w:val="1"/>
          <w:sz w:val="20"/>
        </w:rPr>
        <w:t> </w:t>
      </w:r>
      <w:r>
        <w:rPr>
          <w:sz w:val="20"/>
        </w:rPr>
        <w:t>at</w:t>
      </w:r>
      <w:r>
        <w:rPr>
          <w:spacing w:val="1"/>
          <w:sz w:val="20"/>
        </w:rPr>
        <w:t> </w:t>
      </w:r>
      <w:r>
        <w:rPr>
          <w:sz w:val="20"/>
        </w:rPr>
        <w:t>[68],</w:t>
      </w:r>
      <w:r>
        <w:rPr>
          <w:spacing w:val="1"/>
          <w:sz w:val="20"/>
        </w:rPr>
        <w:t> </w:t>
      </w:r>
      <w:r>
        <w:rPr>
          <w:sz w:val="20"/>
        </w:rPr>
        <w:t>[69];</w:t>
      </w:r>
      <w:r>
        <w:rPr>
          <w:spacing w:val="1"/>
          <w:sz w:val="20"/>
        </w:rPr>
        <w:t> </w:t>
      </w:r>
      <w:r>
        <w:rPr>
          <w:rFonts w:ascii="Arial" w:hAnsi="Arial"/>
          <w:i/>
          <w:sz w:val="20"/>
        </w:rPr>
        <w:t>Pindell</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Airasia</w:t>
      </w:r>
      <w:r>
        <w:rPr>
          <w:rFonts w:ascii="Arial" w:hAnsi="Arial"/>
          <w:i/>
          <w:spacing w:val="1"/>
          <w:sz w:val="20"/>
        </w:rPr>
        <w:t> </w:t>
      </w:r>
      <w:r>
        <w:rPr>
          <w:rFonts w:ascii="Arial" w:hAnsi="Arial"/>
          <w:i/>
          <w:sz w:val="20"/>
        </w:rPr>
        <w:t>Berhad</w:t>
      </w:r>
      <w:r>
        <w:rPr>
          <w:rFonts w:ascii="Arial" w:hAnsi="Arial"/>
          <w:i/>
          <w:spacing w:val="1"/>
          <w:sz w:val="20"/>
        </w:rPr>
        <w:t> </w:t>
      </w:r>
      <w:r>
        <w:rPr>
          <w:rFonts w:ascii="Arial" w:hAnsi="Arial"/>
          <w:i/>
          <w:sz w:val="20"/>
        </w:rPr>
        <w:t>[2010]</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2516</w:t>
      </w:r>
      <w:r>
        <w:rPr>
          <w:rFonts w:ascii="Arial" w:hAnsi="Arial"/>
          <w:i/>
          <w:spacing w:val="1"/>
          <w:sz w:val="20"/>
        </w:rPr>
        <w:t> </w:t>
      </w:r>
      <w:r>
        <w:rPr>
          <w:rFonts w:ascii="Arial" w:hAnsi="Arial"/>
          <w:i/>
          <w:sz w:val="20"/>
        </w:rPr>
        <w:t>(Comm),</w:t>
      </w:r>
      <w:r>
        <w:rPr>
          <w:rFonts w:ascii="Arial" w:hAnsi="Arial"/>
          <w:i/>
          <w:spacing w:val="1"/>
          <w:sz w:val="20"/>
        </w:rPr>
        <w:t> </w:t>
      </w:r>
      <w:r>
        <w:rPr>
          <w:rFonts w:ascii="Arial" w:hAnsi="Arial"/>
          <w:i/>
          <w:sz w:val="20"/>
        </w:rPr>
        <w:t>[2011]</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pacing w:val="-5"/>
          <w:sz w:val="20"/>
        </w:rPr>
        <w:t>All</w:t>
      </w:r>
    </w:p>
    <w:p>
      <w:pPr>
        <w:spacing w:line="235" w:lineRule="auto" w:before="1"/>
        <w:ind w:left="705" w:right="167" w:firstLine="0"/>
        <w:jc w:val="both"/>
        <w:rPr>
          <w:sz w:val="20"/>
        </w:rPr>
      </w:pPr>
      <w:r>
        <w:rPr>
          <w:rFonts w:ascii="Arial"/>
          <w:i/>
          <w:sz w:val="20"/>
        </w:rPr>
        <w:t>E.R. (Comm) 396 </w:t>
      </w:r>
      <w:r>
        <w:rPr>
          <w:sz w:val="20"/>
        </w:rPr>
        <w:t>at [55]; </w:t>
      </w:r>
      <w:r>
        <w:rPr>
          <w:rFonts w:ascii="Arial"/>
          <w:i/>
          <w:sz w:val="20"/>
        </w:rPr>
        <w:t>Khan v Tyne and Wear Passenger Transport Executive [2015] UKUT 43 </w:t>
      </w:r>
      <w:r>
        <w:rPr>
          <w:sz w:val="20"/>
        </w:rPr>
        <w:t>at [41], where the requirement stated in para.4-110 below was also said not to have been satisfied</w:t>
      </w:r>
      <w:r>
        <w:rPr>
          <w:spacing w:val="33"/>
          <w:sz w:val="20"/>
        </w:rPr>
        <w:t> </w:t>
      </w:r>
      <w:r>
        <w:rPr>
          <w:sz w:val="20"/>
        </w:rPr>
        <w:t>and</w:t>
      </w:r>
      <w:r>
        <w:rPr>
          <w:spacing w:val="33"/>
          <w:sz w:val="20"/>
        </w:rPr>
        <w:t> </w:t>
      </w:r>
      <w:r>
        <w:rPr>
          <w:rFonts w:ascii="Arial"/>
          <w:i/>
          <w:sz w:val="20"/>
        </w:rPr>
        <w:t>Crossco</w:t>
      </w:r>
      <w:r>
        <w:rPr>
          <w:rFonts w:ascii="Arial"/>
          <w:i/>
          <w:spacing w:val="33"/>
          <w:sz w:val="20"/>
        </w:rPr>
        <w:t> </w:t>
      </w:r>
      <w:r>
        <w:rPr>
          <w:rFonts w:ascii="Arial"/>
          <w:i/>
          <w:sz w:val="20"/>
        </w:rPr>
        <w:t>No.4</w:t>
      </w:r>
      <w:r>
        <w:rPr>
          <w:rFonts w:ascii="Arial"/>
          <w:i/>
          <w:spacing w:val="33"/>
          <w:sz w:val="20"/>
        </w:rPr>
        <w:t> </w:t>
      </w:r>
      <w:r>
        <w:rPr>
          <w:rFonts w:ascii="Arial"/>
          <w:i/>
          <w:sz w:val="20"/>
        </w:rPr>
        <w:t>Unlimited</w:t>
      </w:r>
      <w:r>
        <w:rPr>
          <w:rFonts w:ascii="Arial"/>
          <w:i/>
          <w:spacing w:val="33"/>
          <w:sz w:val="20"/>
        </w:rPr>
        <w:t> </w:t>
      </w:r>
      <w:r>
        <w:rPr>
          <w:rFonts w:ascii="Arial"/>
          <w:i/>
          <w:sz w:val="20"/>
        </w:rPr>
        <w:t>v</w:t>
      </w:r>
      <w:r>
        <w:rPr>
          <w:rFonts w:ascii="Arial"/>
          <w:i/>
          <w:spacing w:val="33"/>
          <w:sz w:val="20"/>
        </w:rPr>
        <w:t> </w:t>
      </w:r>
      <w:r>
        <w:rPr>
          <w:rFonts w:ascii="Arial"/>
          <w:i/>
          <w:sz w:val="20"/>
        </w:rPr>
        <w:t>Jolan</w:t>
      </w:r>
      <w:r>
        <w:rPr>
          <w:rFonts w:ascii="Arial"/>
          <w:i/>
          <w:spacing w:val="33"/>
          <w:sz w:val="20"/>
        </w:rPr>
        <w:t> </w:t>
      </w:r>
      <w:r>
        <w:rPr>
          <w:rFonts w:ascii="Arial"/>
          <w:i/>
          <w:sz w:val="20"/>
        </w:rPr>
        <w:t>Ltd</w:t>
      </w:r>
      <w:r>
        <w:rPr>
          <w:rFonts w:ascii="Arial"/>
          <w:i/>
          <w:spacing w:val="33"/>
          <w:sz w:val="20"/>
        </w:rPr>
        <w:t> </w:t>
      </w:r>
      <w:r>
        <w:rPr>
          <w:rFonts w:ascii="Arial"/>
          <w:i/>
          <w:sz w:val="20"/>
        </w:rPr>
        <w:t>[2011]</w:t>
      </w:r>
      <w:r>
        <w:rPr>
          <w:rFonts w:ascii="Arial"/>
          <w:i/>
          <w:spacing w:val="33"/>
          <w:sz w:val="20"/>
        </w:rPr>
        <w:t> </w:t>
      </w:r>
      <w:r>
        <w:rPr>
          <w:rFonts w:ascii="Arial"/>
          <w:i/>
          <w:sz w:val="20"/>
        </w:rPr>
        <w:t>EWHC</w:t>
      </w:r>
      <w:r>
        <w:rPr>
          <w:rFonts w:ascii="Arial"/>
          <w:i/>
          <w:spacing w:val="33"/>
          <w:sz w:val="20"/>
        </w:rPr>
        <w:t> </w:t>
      </w:r>
      <w:r>
        <w:rPr>
          <w:rFonts w:ascii="Arial"/>
          <w:i/>
          <w:sz w:val="20"/>
        </w:rPr>
        <w:t>803</w:t>
      </w:r>
      <w:r>
        <w:rPr>
          <w:sz w:val="20"/>
        </w:rPr>
        <w:t>,</w:t>
      </w:r>
      <w:r>
        <w:rPr>
          <w:spacing w:val="33"/>
          <w:sz w:val="20"/>
        </w:rPr>
        <w:t> </w:t>
      </w:r>
      <w:r>
        <w:rPr>
          <w:sz w:val="20"/>
        </w:rPr>
        <w:t>where</w:t>
      </w:r>
      <w:r>
        <w:rPr>
          <w:spacing w:val="33"/>
          <w:sz w:val="20"/>
        </w:rPr>
        <w:t> </w:t>
      </w:r>
      <w:r>
        <w:rPr>
          <w:sz w:val="20"/>
        </w:rPr>
        <w:t>paras</w:t>
      </w:r>
      <w:r>
        <w:rPr>
          <w:spacing w:val="33"/>
          <w:sz w:val="20"/>
        </w:rPr>
        <w:t> </w:t>
      </w:r>
      <w:r>
        <w:rPr>
          <w:sz w:val="20"/>
        </w:rPr>
        <w:t>3-107</w:t>
      </w:r>
      <w:r>
        <w:rPr>
          <w:spacing w:val="33"/>
          <w:sz w:val="20"/>
        </w:rPr>
        <w:t> </w:t>
      </w:r>
      <w:r>
        <w:rPr>
          <w:sz w:val="20"/>
        </w:rPr>
        <w:t>to 3-114 of the 30th edition of this book (paras 4-108 to 4-115 in this edition) are referred to </w:t>
      </w:r>
      <w:r>
        <w:rPr>
          <w:sz w:val="20"/>
        </w:rPr>
        <w:t>with apparent approval; </w:t>
      </w:r>
      <w:r>
        <w:rPr>
          <w:rFonts w:ascii="Arial"/>
          <w:i/>
          <w:sz w:val="20"/>
        </w:rPr>
        <w:t>Mears Limited v Shoreline Housing Partnership Limited [2015] EWHC 1396 (TCC)</w:t>
      </w:r>
      <w:r>
        <w:rPr>
          <w:sz w:val="20"/>
        </w:rPr>
        <w:t>,</w:t>
      </w:r>
      <w:r>
        <w:rPr>
          <w:spacing w:val="32"/>
          <w:sz w:val="20"/>
        </w:rPr>
        <w:t> </w:t>
      </w:r>
      <w:r>
        <w:rPr>
          <w:sz w:val="20"/>
        </w:rPr>
        <w:t>where</w:t>
      </w:r>
      <w:r>
        <w:rPr>
          <w:spacing w:val="33"/>
          <w:sz w:val="20"/>
        </w:rPr>
        <w:t> </w:t>
      </w:r>
      <w:r>
        <w:rPr>
          <w:sz w:val="20"/>
        </w:rPr>
        <w:t>the</w:t>
      </w:r>
      <w:r>
        <w:rPr>
          <w:spacing w:val="33"/>
          <w:sz w:val="20"/>
        </w:rPr>
        <w:t> </w:t>
      </w:r>
      <w:r>
        <w:rPr>
          <w:sz w:val="20"/>
        </w:rPr>
        <w:t>requirements</w:t>
      </w:r>
      <w:r>
        <w:rPr>
          <w:spacing w:val="33"/>
          <w:sz w:val="20"/>
        </w:rPr>
        <w:t> </w:t>
      </w:r>
      <w:r>
        <w:rPr>
          <w:sz w:val="20"/>
        </w:rPr>
        <w:t>and</w:t>
      </w:r>
      <w:r>
        <w:rPr>
          <w:spacing w:val="33"/>
          <w:sz w:val="20"/>
        </w:rPr>
        <w:t> </w:t>
      </w:r>
      <w:r>
        <w:rPr>
          <w:sz w:val="20"/>
        </w:rPr>
        <w:t>effects</w:t>
      </w:r>
      <w:r>
        <w:rPr>
          <w:spacing w:val="33"/>
          <w:sz w:val="20"/>
        </w:rPr>
        <w:t> </w:t>
      </w:r>
      <w:r>
        <w:rPr>
          <w:sz w:val="20"/>
        </w:rPr>
        <w:t>of</w:t>
      </w:r>
      <w:r>
        <w:rPr>
          <w:spacing w:val="33"/>
          <w:sz w:val="20"/>
        </w:rPr>
        <w:t> </w:t>
      </w:r>
      <w:r>
        <w:rPr>
          <w:sz w:val="20"/>
        </w:rPr>
        <w:t>estoppel</w:t>
      </w:r>
      <w:r>
        <w:rPr>
          <w:spacing w:val="33"/>
          <w:sz w:val="20"/>
        </w:rPr>
        <w:t> </w:t>
      </w:r>
      <w:r>
        <w:rPr>
          <w:sz w:val="20"/>
        </w:rPr>
        <w:t>by</w:t>
      </w:r>
      <w:r>
        <w:rPr>
          <w:spacing w:val="33"/>
          <w:sz w:val="20"/>
        </w:rPr>
        <w:t> </w:t>
      </w:r>
      <w:r>
        <w:rPr>
          <w:sz w:val="20"/>
        </w:rPr>
        <w:t>convention</w:t>
      </w:r>
      <w:r>
        <w:rPr>
          <w:spacing w:val="33"/>
          <w:sz w:val="20"/>
        </w:rPr>
        <w:t> </w:t>
      </w:r>
      <w:r>
        <w:rPr>
          <w:sz w:val="20"/>
        </w:rPr>
        <w:t>are</w:t>
      </w:r>
      <w:r>
        <w:rPr>
          <w:spacing w:val="33"/>
          <w:sz w:val="20"/>
        </w:rPr>
        <w:t> </w:t>
      </w:r>
      <w:r>
        <w:rPr>
          <w:sz w:val="20"/>
        </w:rPr>
        <w:t>fully</w:t>
      </w:r>
      <w:r>
        <w:rPr>
          <w:spacing w:val="33"/>
          <w:sz w:val="20"/>
        </w:rPr>
        <w:t> </w:t>
      </w:r>
      <w:r>
        <w:rPr>
          <w:sz w:val="20"/>
        </w:rPr>
        <w:t>discussed</w:t>
      </w:r>
      <w:r>
        <w:rPr>
          <w:spacing w:val="33"/>
          <w:sz w:val="20"/>
        </w:rPr>
        <w:t> </w:t>
      </w:r>
      <w:r>
        <w:rPr>
          <w:spacing w:val="-5"/>
          <w:sz w:val="20"/>
        </w:rPr>
        <w:t>at</w:t>
      </w:r>
    </w:p>
    <w:p>
      <w:pPr>
        <w:spacing w:line="235" w:lineRule="auto" w:before="0"/>
        <w:ind w:left="705" w:right="167" w:firstLine="0"/>
        <w:jc w:val="both"/>
        <w:rPr>
          <w:sz w:val="20"/>
        </w:rPr>
      </w:pPr>
      <w:r>
        <w:rPr>
          <w:sz w:val="20"/>
        </w:rPr>
        <w:t>[43]–[50] and summarised at [57]. The decision in the </w:t>
      </w:r>
      <w:r>
        <w:rPr>
          <w:rFonts w:ascii="Arial" w:hAnsi="Arial"/>
          <w:i/>
          <w:sz w:val="20"/>
        </w:rPr>
        <w:t>Crossco </w:t>
      </w:r>
      <w:r>
        <w:rPr>
          <w:sz w:val="20"/>
        </w:rPr>
        <w:t>case (above) was affirmed on appeal (</w:t>
      </w:r>
      <w:r>
        <w:rPr>
          <w:rFonts w:ascii="Arial" w:hAnsi="Arial"/>
          <w:i/>
          <w:sz w:val="20"/>
        </w:rPr>
        <w:t>[2011] EWCA Civ 1619, [2012] 2 All E.R. 754</w:t>
      </w:r>
      <w:r>
        <w:rPr>
          <w:sz w:val="20"/>
        </w:rPr>
        <w:t>) without further discussion of the requirements of estoppel by convention. So far as the claim was based on this kind of estoppel, it failed on the findings of fact in the court below: see </w:t>
      </w:r>
      <w:r>
        <w:rPr>
          <w:rFonts w:ascii="Arial" w:hAnsi="Arial"/>
          <w:i/>
          <w:sz w:val="20"/>
        </w:rPr>
        <w:t>[2011] EWCA Civ 1619 </w:t>
      </w:r>
      <w:r>
        <w:rPr>
          <w:sz w:val="20"/>
        </w:rPr>
        <w:t>at [115]; see </w:t>
      </w:r>
      <w:r>
        <w:rPr>
          <w:sz w:val="20"/>
        </w:rPr>
        <w:t>also</w:t>
      </w:r>
      <w:r>
        <w:rPr>
          <w:spacing w:val="40"/>
          <w:sz w:val="20"/>
        </w:rPr>
        <w:t> </w:t>
      </w:r>
      <w:r>
        <w:rPr>
          <w:rFonts w:ascii="Arial" w:hAnsi="Arial"/>
          <w:i/>
          <w:sz w:val="20"/>
        </w:rPr>
        <w:t>F G Wilson (Engineering) Ltd v John Holt &amp; Co (Liverpool) Ltd [2012] EWHC 2477 (Comm), [2012] 2 Lloyd’s Rep. 479</w:t>
      </w:r>
      <w:r>
        <w:rPr>
          <w:sz w:val="20"/>
        </w:rPr>
        <w:t>, where the argument that there was an estoppel by convention was rejected</w:t>
      </w:r>
      <w:r>
        <w:rPr>
          <w:spacing w:val="-1"/>
          <w:sz w:val="20"/>
        </w:rPr>
        <w:t> </w:t>
      </w:r>
      <w:r>
        <w:rPr>
          <w:sz w:val="20"/>
        </w:rPr>
        <w:t>on</w:t>
      </w:r>
      <w:r>
        <w:rPr>
          <w:spacing w:val="-1"/>
          <w:sz w:val="20"/>
        </w:rPr>
        <w:t> </w:t>
      </w:r>
      <w:r>
        <w:rPr>
          <w:sz w:val="20"/>
        </w:rPr>
        <w:t>the</w:t>
      </w:r>
      <w:r>
        <w:rPr>
          <w:spacing w:val="-1"/>
          <w:sz w:val="20"/>
        </w:rPr>
        <w:t> </w:t>
      </w:r>
      <w:r>
        <w:rPr>
          <w:sz w:val="20"/>
        </w:rPr>
        <w:t>facts</w:t>
      </w:r>
      <w:r>
        <w:rPr>
          <w:spacing w:val="-1"/>
          <w:sz w:val="20"/>
        </w:rPr>
        <w:t> </w:t>
      </w:r>
      <w:r>
        <w:rPr>
          <w:sz w:val="20"/>
        </w:rPr>
        <w:t>as</w:t>
      </w:r>
      <w:r>
        <w:rPr>
          <w:spacing w:val="-1"/>
          <w:sz w:val="20"/>
        </w:rPr>
        <w:t> </w:t>
      </w:r>
      <w:r>
        <w:rPr>
          <w:sz w:val="20"/>
        </w:rPr>
        <w:t>there</w:t>
      </w:r>
      <w:r>
        <w:rPr>
          <w:spacing w:val="-1"/>
          <w:sz w:val="20"/>
        </w:rPr>
        <w:t> </w:t>
      </w:r>
      <w:r>
        <w:rPr>
          <w:sz w:val="20"/>
        </w:rPr>
        <w:t>“was</w:t>
      </w:r>
      <w:r>
        <w:rPr>
          <w:spacing w:val="-1"/>
          <w:sz w:val="20"/>
        </w:rPr>
        <w:t> </w:t>
      </w:r>
      <w:r>
        <w:rPr>
          <w:sz w:val="20"/>
        </w:rPr>
        <w:t>no</w:t>
      </w:r>
      <w:r>
        <w:rPr>
          <w:spacing w:val="-1"/>
          <w:sz w:val="20"/>
        </w:rPr>
        <w:t> </w:t>
      </w:r>
      <w:r>
        <w:rPr>
          <w:sz w:val="20"/>
        </w:rPr>
        <w:t>relevant</w:t>
      </w:r>
      <w:r>
        <w:rPr>
          <w:spacing w:val="-1"/>
          <w:sz w:val="20"/>
        </w:rPr>
        <w:t> </w:t>
      </w:r>
      <w:r>
        <w:rPr>
          <w:sz w:val="20"/>
        </w:rPr>
        <w:t>communicated</w:t>
      </w:r>
      <w:r>
        <w:rPr>
          <w:spacing w:val="-1"/>
          <w:sz w:val="20"/>
        </w:rPr>
        <w:t> </w:t>
      </w:r>
      <w:r>
        <w:rPr>
          <w:sz w:val="20"/>
        </w:rPr>
        <w:t>assumption</w:t>
      </w:r>
      <w:r>
        <w:rPr>
          <w:spacing w:val="-1"/>
          <w:sz w:val="20"/>
        </w:rPr>
        <w:t> </w:t>
      </w:r>
      <w:r>
        <w:rPr>
          <w:sz w:val="20"/>
        </w:rPr>
        <w:t>which</w:t>
      </w:r>
      <w:r>
        <w:rPr>
          <w:spacing w:val="-1"/>
          <w:sz w:val="20"/>
        </w:rPr>
        <w:t> </w:t>
      </w:r>
      <w:r>
        <w:rPr>
          <w:sz w:val="20"/>
        </w:rPr>
        <w:t>was</w:t>
      </w:r>
      <w:r>
        <w:rPr>
          <w:spacing w:val="-1"/>
          <w:sz w:val="20"/>
        </w:rPr>
        <w:t> </w:t>
      </w:r>
      <w:r>
        <w:rPr>
          <w:sz w:val="20"/>
        </w:rPr>
        <w:t>shared</w:t>
      </w:r>
      <w:r>
        <w:rPr>
          <w:spacing w:val="-1"/>
          <w:sz w:val="20"/>
        </w:rPr>
        <w:t> </w:t>
      </w:r>
      <w:r>
        <w:rPr>
          <w:sz w:val="20"/>
        </w:rPr>
        <w:t>by [the parties] … or in which [the party alleged to be estopped] … acquiesced” (at [73]); reversed, sub nom. </w:t>
      </w:r>
      <w:r>
        <w:rPr>
          <w:rFonts w:ascii="Arial" w:hAnsi="Arial"/>
          <w:i/>
          <w:sz w:val="20"/>
        </w:rPr>
        <w:t>Caterpillar (NJ) Ltd v John Holt &amp; Co (Liverpool) Ltd [2013] EWCA Civ 1232, [2014] 1 All E.R. 785</w:t>
      </w:r>
      <w:r>
        <w:rPr>
          <w:sz w:val="20"/>
        </w:rPr>
        <w:t>, without further reference to estoppel. </w:t>
      </w:r>
      <w:r>
        <w:rPr>
          <w:rFonts w:ascii="Arial" w:hAnsi="Arial"/>
          <w:i/>
          <w:sz w:val="20"/>
        </w:rPr>
        <w:t>F G Wilson (Engineering) Ltd v John Holt &amp; Co (Liverpool) Ltd [2013] EWCA Civ 1232, [2014] 1 W.L.R. 2365 </w:t>
      </w:r>
      <w:r>
        <w:rPr>
          <w:sz w:val="20"/>
        </w:rPr>
        <w:t>is doubted in </w:t>
      </w:r>
      <w:r>
        <w:rPr>
          <w:rFonts w:ascii="Arial" w:hAnsi="Arial"/>
          <w:i/>
          <w:sz w:val="20"/>
        </w:rPr>
        <w:t>PST Energy 7 Shipping LLC v O W Bunker Malta Ltd (The Res Cogitans) [2016] UKSC 23, [2016] 2 W.L.R. 1193</w:t>
      </w:r>
      <w:r>
        <w:rPr>
          <w:sz w:val="20"/>
        </w:rPr>
        <w:t>, but not on the estoppel point for which it is cited in this footnote. And see Spencer Bower and Turner, </w:t>
      </w:r>
      <w:r>
        <w:rPr>
          <w:rFonts w:ascii="Arial" w:hAnsi="Arial"/>
          <w:i/>
          <w:sz w:val="20"/>
        </w:rPr>
        <w:t>Estoppel by Representation</w:t>
      </w:r>
      <w:r>
        <w:rPr>
          <w:sz w:val="20"/>
        </w:rPr>
        <w:t>, (4th edn) VIII.2.1; Dawson (1989) L.S. 16. The requirements of estoppel by convention are summarised in </w:t>
      </w:r>
      <w:r>
        <w:rPr>
          <w:rFonts w:ascii="Arial" w:hAnsi="Arial"/>
          <w:i/>
          <w:sz w:val="20"/>
        </w:rPr>
        <w:t>Spliethoff’s Bevrachtingskantoor BV v Bank of China [2015] EWHC 999 (Comm), [2015] 2 Lloyd’s Rep. 123 </w:t>
      </w:r>
      <w:r>
        <w:rPr>
          <w:sz w:val="20"/>
        </w:rPr>
        <w:t>at [159], citing “paras.</w:t>
      </w:r>
      <w:r>
        <w:rPr>
          <w:spacing w:val="80"/>
          <w:sz w:val="20"/>
        </w:rPr>
        <w:t> </w:t>
      </w:r>
      <w:r>
        <w:rPr>
          <w:sz w:val="20"/>
        </w:rPr>
        <w:t>3-107 [of the 31st edition] and following” with apparent approval; the corresponding paragraphs in</w:t>
      </w:r>
      <w:r>
        <w:rPr>
          <w:spacing w:val="-2"/>
          <w:sz w:val="20"/>
        </w:rPr>
        <w:t> </w:t>
      </w:r>
      <w:r>
        <w:rPr>
          <w:sz w:val="20"/>
        </w:rPr>
        <w:t>the</w:t>
      </w:r>
      <w:r>
        <w:rPr>
          <w:spacing w:val="-2"/>
          <w:sz w:val="20"/>
        </w:rPr>
        <w:t> </w:t>
      </w:r>
      <w:r>
        <w:rPr>
          <w:sz w:val="20"/>
        </w:rPr>
        <w:t>present,</w:t>
      </w:r>
      <w:r>
        <w:rPr>
          <w:spacing w:val="-2"/>
          <w:sz w:val="20"/>
        </w:rPr>
        <w:t> </w:t>
      </w:r>
      <w:r>
        <w:rPr>
          <w:sz w:val="20"/>
        </w:rPr>
        <w:t>32nd</w:t>
      </w:r>
      <w:r>
        <w:rPr>
          <w:spacing w:val="-2"/>
          <w:sz w:val="20"/>
        </w:rPr>
        <w:t> </w:t>
      </w:r>
      <w:r>
        <w:rPr>
          <w:sz w:val="20"/>
        </w:rPr>
        <w:t>edition</w:t>
      </w:r>
      <w:r>
        <w:rPr>
          <w:spacing w:val="-2"/>
          <w:sz w:val="20"/>
        </w:rPr>
        <w:t> </w:t>
      </w:r>
      <w:r>
        <w:rPr>
          <w:sz w:val="20"/>
        </w:rPr>
        <w:t>are</w:t>
      </w:r>
      <w:r>
        <w:rPr>
          <w:spacing w:val="-2"/>
          <w:sz w:val="20"/>
        </w:rPr>
        <w:t> </w:t>
      </w:r>
      <w:r>
        <w:rPr>
          <w:sz w:val="20"/>
        </w:rPr>
        <w:t>paras</w:t>
      </w:r>
      <w:r>
        <w:rPr>
          <w:spacing w:val="-2"/>
          <w:sz w:val="20"/>
        </w:rPr>
        <w:t> </w:t>
      </w:r>
      <w:r>
        <w:rPr>
          <w:sz w:val="20"/>
        </w:rPr>
        <w:t>4-108</w:t>
      </w:r>
      <w:r>
        <w:rPr>
          <w:spacing w:val="-2"/>
          <w:sz w:val="20"/>
        </w:rPr>
        <w:t> </w:t>
      </w:r>
      <w:r>
        <w:rPr>
          <w:sz w:val="20"/>
        </w:rPr>
        <w:t>et</w:t>
      </w:r>
      <w:r>
        <w:rPr>
          <w:spacing w:val="-2"/>
          <w:sz w:val="20"/>
        </w:rPr>
        <w:t> </w:t>
      </w:r>
      <w:r>
        <w:rPr>
          <w:sz w:val="20"/>
        </w:rPr>
        <w:t>seq.</w:t>
      </w:r>
      <w:r>
        <w:rPr>
          <w:spacing w:val="-2"/>
          <w:sz w:val="20"/>
        </w:rPr>
        <w:t> </w:t>
      </w:r>
      <w:r>
        <w:rPr>
          <w:sz w:val="20"/>
        </w:rPr>
        <w:t>Carr</w:t>
      </w:r>
      <w:r>
        <w:rPr>
          <w:spacing w:val="-2"/>
          <w:sz w:val="20"/>
        </w:rPr>
        <w:t> </w:t>
      </w:r>
      <w:r>
        <w:rPr>
          <w:sz w:val="20"/>
        </w:rPr>
        <w:t>J.</w:t>
      </w:r>
      <w:r>
        <w:rPr>
          <w:spacing w:val="-2"/>
          <w:sz w:val="20"/>
        </w:rPr>
        <w:t> </w:t>
      </w:r>
      <w:r>
        <w:rPr>
          <w:sz w:val="20"/>
        </w:rPr>
        <w:t>would</w:t>
      </w:r>
      <w:r>
        <w:rPr>
          <w:spacing w:val="-2"/>
          <w:sz w:val="20"/>
        </w:rPr>
        <w:t> </w:t>
      </w:r>
      <w:r>
        <w:rPr>
          <w:sz w:val="20"/>
        </w:rPr>
        <w:t>have</w:t>
      </w:r>
      <w:r>
        <w:rPr>
          <w:spacing w:val="-2"/>
          <w:sz w:val="20"/>
        </w:rPr>
        <w:t> </w:t>
      </w:r>
      <w:r>
        <w:rPr>
          <w:sz w:val="20"/>
        </w:rPr>
        <w:t>held</w:t>
      </w:r>
      <w:r>
        <w:rPr>
          <w:spacing w:val="-2"/>
          <w:sz w:val="20"/>
        </w:rPr>
        <w:t> </w:t>
      </w:r>
      <w:r>
        <w:rPr>
          <w:sz w:val="20"/>
        </w:rPr>
        <w:t>those</w:t>
      </w:r>
      <w:r>
        <w:rPr>
          <w:spacing w:val="-2"/>
          <w:sz w:val="20"/>
        </w:rPr>
        <w:t> </w:t>
      </w:r>
      <w:r>
        <w:rPr>
          <w:sz w:val="20"/>
        </w:rPr>
        <w:t>requirements to have been satisfied but it was “strictly unnecessary” (at [154]) to decide the point since his “primary conclusion” (at [170]) was that the facts which the claimant sought to estop the defendant from denying had been established by the evidence (see at [147]–[154]). This was also the position in </w:t>
      </w:r>
      <w:r>
        <w:rPr>
          <w:rFonts w:ascii="Arial" w:hAnsi="Arial"/>
          <w:i/>
          <w:sz w:val="20"/>
        </w:rPr>
        <w:t>Crabbe v Townsend [2016] EWHC 2450 (Ch), [2017] W.T.L.R. 13 </w:t>
      </w:r>
      <w:r>
        <w:rPr>
          <w:sz w:val="20"/>
        </w:rPr>
        <w:t>where an agreement between the Claimant and the Defendant (her brother) was held to have contractual force (see above, para.2-123) and the defendant further argued that the claimant was estopped by convention from enforcing that agreement. The requirements of this form of estoppel were stated at </w:t>
      </w:r>
      <w:r>
        <w:rPr>
          <w:rFonts w:ascii="Arial" w:hAnsi="Arial"/>
          <w:i/>
          <w:sz w:val="20"/>
        </w:rPr>
        <w:t>[2016] EWHC 2450 (Ch) </w:t>
      </w:r>
      <w:r>
        <w:rPr>
          <w:sz w:val="20"/>
        </w:rPr>
        <w:t>at [7] but were held not to have been satisfied on the ground that the parties had not made any “common assumption” (at [18]) and on the further grounds that there had been no reliance on any such assumption (at [19]), nor would it have been</w:t>
      </w:r>
      <w:r>
        <w:rPr>
          <w:spacing w:val="40"/>
          <w:sz w:val="20"/>
        </w:rPr>
        <w:t> </w:t>
      </w:r>
      <w:r>
        <w:rPr>
          <w:sz w:val="20"/>
        </w:rPr>
        <w:t>“unjust or unconscionable” (at [20]) for the Claimant to enforce the agreement, so that the requirement stated in Main Work, Vol.I, para.4-108 at n.621 would also not have been satisfied, since</w:t>
      </w:r>
      <w:r>
        <w:rPr>
          <w:spacing w:val="-1"/>
          <w:sz w:val="20"/>
        </w:rPr>
        <w:t> </w:t>
      </w:r>
      <w:r>
        <w:rPr>
          <w:sz w:val="20"/>
        </w:rPr>
        <w:t>no</w:t>
      </w:r>
      <w:r>
        <w:rPr>
          <w:spacing w:val="-1"/>
          <w:sz w:val="20"/>
        </w:rPr>
        <w:t> </w:t>
      </w:r>
      <w:r>
        <w:rPr>
          <w:sz w:val="20"/>
        </w:rPr>
        <w:t>detriment</w:t>
      </w:r>
      <w:r>
        <w:rPr>
          <w:spacing w:val="-1"/>
          <w:sz w:val="20"/>
        </w:rPr>
        <w:t> </w:t>
      </w:r>
      <w:r>
        <w:rPr>
          <w:sz w:val="20"/>
        </w:rPr>
        <w:t>had</w:t>
      </w:r>
      <w:r>
        <w:rPr>
          <w:spacing w:val="-1"/>
          <w:sz w:val="20"/>
        </w:rPr>
        <w:t> </w:t>
      </w:r>
      <w:r>
        <w:rPr>
          <w:sz w:val="20"/>
        </w:rPr>
        <w:t>been</w:t>
      </w:r>
      <w:r>
        <w:rPr>
          <w:spacing w:val="-1"/>
          <w:sz w:val="20"/>
        </w:rPr>
        <w:t> </w:t>
      </w:r>
      <w:r>
        <w:rPr>
          <w:sz w:val="20"/>
        </w:rPr>
        <w:t>suffered</w:t>
      </w:r>
      <w:r>
        <w:rPr>
          <w:spacing w:val="-1"/>
          <w:sz w:val="20"/>
        </w:rPr>
        <w:t> </w:t>
      </w:r>
      <w:r>
        <w:rPr>
          <w:sz w:val="20"/>
        </w:rPr>
        <w:t>by</w:t>
      </w:r>
      <w:r>
        <w:rPr>
          <w:spacing w:val="-1"/>
          <w:sz w:val="20"/>
        </w:rPr>
        <w:t> </w:t>
      </w:r>
      <w:r>
        <w:rPr>
          <w:sz w:val="20"/>
        </w:rPr>
        <w:t>the</w:t>
      </w:r>
      <w:r>
        <w:rPr>
          <w:spacing w:val="-1"/>
          <w:sz w:val="20"/>
        </w:rPr>
        <w:t> </w:t>
      </w:r>
      <w:r>
        <w:rPr>
          <w:sz w:val="20"/>
        </w:rPr>
        <w:t>defendant</w:t>
      </w:r>
      <w:r>
        <w:rPr>
          <w:spacing w:val="-1"/>
          <w:sz w:val="20"/>
        </w:rPr>
        <w:t> </w:t>
      </w:r>
      <w:r>
        <w:rPr>
          <w:sz w:val="20"/>
        </w:rPr>
        <w:t>nor</w:t>
      </w:r>
      <w:r>
        <w:rPr>
          <w:spacing w:val="-1"/>
          <w:sz w:val="20"/>
        </w:rPr>
        <w:t> </w:t>
      </w:r>
      <w:r>
        <w:rPr>
          <w:sz w:val="20"/>
        </w:rPr>
        <w:t>any</w:t>
      </w:r>
      <w:r>
        <w:rPr>
          <w:spacing w:val="-1"/>
          <w:sz w:val="20"/>
        </w:rPr>
        <w:t> </w:t>
      </w:r>
      <w:r>
        <w:rPr>
          <w:sz w:val="20"/>
        </w:rPr>
        <w:t>benefit</w:t>
      </w:r>
      <w:r>
        <w:rPr>
          <w:spacing w:val="-1"/>
          <w:sz w:val="20"/>
        </w:rPr>
        <w:t> </w:t>
      </w:r>
      <w:r>
        <w:rPr>
          <w:sz w:val="20"/>
        </w:rPr>
        <w:t>obtained</w:t>
      </w:r>
      <w:r>
        <w:rPr>
          <w:spacing w:val="-1"/>
          <w:sz w:val="20"/>
        </w:rPr>
        <w:t> </w:t>
      </w:r>
      <w:r>
        <w:rPr>
          <w:sz w:val="20"/>
        </w:rPr>
        <w:t>by</w:t>
      </w:r>
      <w:r>
        <w:rPr>
          <w:spacing w:val="-1"/>
          <w:sz w:val="20"/>
        </w:rPr>
        <w:t> </w:t>
      </w:r>
      <w:r>
        <w:rPr>
          <w:sz w:val="20"/>
        </w:rPr>
        <w:t>the</w:t>
      </w:r>
      <w:r>
        <w:rPr>
          <w:spacing w:val="-1"/>
          <w:sz w:val="20"/>
        </w:rPr>
        <w:t> </w:t>
      </w:r>
      <w:r>
        <w:rPr>
          <w:sz w:val="20"/>
        </w:rPr>
        <w:t>claimant </w:t>
      </w:r>
      <w:r>
        <w:rPr>
          <w:spacing w:val="-2"/>
          <w:sz w:val="20"/>
        </w:rPr>
        <w:t>(ibid.).</w:t>
      </w:r>
    </w:p>
    <w:p>
      <w:pPr>
        <w:spacing w:line="235" w:lineRule="auto" w:before="225"/>
        <w:ind w:left="705" w:right="168" w:hanging="541"/>
        <w:jc w:val="both"/>
        <w:rPr>
          <w:rFonts w:ascii="Arial" w:hAnsi="Arial"/>
          <w:i/>
          <w:sz w:val="20"/>
        </w:rPr>
      </w:pPr>
      <w:bookmarkStart w:name="_bookmark1256" w:id="1258"/>
      <w:bookmarkEnd w:id="1258"/>
      <w:r>
        <w:rPr/>
      </w:r>
      <w:hyperlink w:history="true" w:anchor="_bookmark1020">
        <w:r>
          <w:rPr>
            <w:color w:val="005DA1"/>
            <w:position w:val="5"/>
            <w:sz w:val="14"/>
            <w:u w:val="single" w:color="005DA1"/>
          </w:rPr>
          <w:t>626</w:t>
        </w:r>
      </w:hyperlink>
      <w:r>
        <w:rPr>
          <w:position w:val="5"/>
          <w:sz w:val="14"/>
        </w:rPr>
        <w:t>.</w:t>
      </w:r>
      <w:r>
        <w:rPr>
          <w:spacing w:val="80"/>
          <w:w w:val="150"/>
          <w:position w:val="5"/>
          <w:sz w:val="14"/>
        </w:rPr>
        <w:t> </w:t>
      </w:r>
      <w:r>
        <w:rPr>
          <w:rFonts w:ascii="Arial" w:hAnsi="Arial"/>
          <w:i/>
          <w:sz w:val="20"/>
        </w:rPr>
        <w:t>Crédit Suisse v Borough Council of Allerdale [1995] 2 Lloyd’s Rep. 315, 367–370 </w:t>
      </w:r>
      <w:r>
        <w:rPr>
          <w:sz w:val="20"/>
        </w:rPr>
        <w:t>(where this requirement was not satisfied); affirmed on other grounds </w:t>
      </w:r>
      <w:r>
        <w:rPr>
          <w:rFonts w:ascii="Arial" w:hAnsi="Arial"/>
          <w:i/>
          <w:sz w:val="20"/>
        </w:rPr>
        <w:t>[1997] Q.B. 362</w:t>
      </w:r>
      <w:r>
        <w:rPr>
          <w:sz w:val="20"/>
        </w:rPr>
        <w:t>; </w:t>
      </w:r>
      <w:r>
        <w:rPr>
          <w:rFonts w:ascii="Arial" w:hAnsi="Arial"/>
          <w:i/>
          <w:sz w:val="20"/>
        </w:rPr>
        <w:t>Gloyne </w:t>
      </w:r>
      <w:r>
        <w:rPr>
          <w:rFonts w:ascii="Arial" w:hAnsi="Arial"/>
          <w:i/>
          <w:sz w:val="20"/>
        </w:rPr>
        <w:t>v</w:t>
      </w:r>
      <w:r>
        <w:rPr>
          <w:rFonts w:ascii="Arial" w:hAnsi="Arial"/>
          <w:i/>
          <w:spacing w:val="40"/>
          <w:sz w:val="20"/>
        </w:rPr>
        <w:t> </w:t>
      </w:r>
      <w:r>
        <w:rPr>
          <w:rFonts w:ascii="Arial" w:hAnsi="Arial"/>
          <w:i/>
          <w:sz w:val="20"/>
        </w:rPr>
        <w:t>Richardson [2001] EWCA Civ 716, [2001] 2 B.C.L.C. 669 </w:t>
      </w:r>
      <w:r>
        <w:rPr>
          <w:sz w:val="20"/>
        </w:rPr>
        <w:t>at [41] (below, para.4-110 at n.644); </w:t>
      </w:r>
      <w:r>
        <w:rPr>
          <w:rFonts w:ascii="Arial" w:hAnsi="Arial"/>
          <w:i/>
          <w:sz w:val="20"/>
        </w:rPr>
        <w:t>Thor Navigation </w:t>
      </w:r>
      <w:r>
        <w:rPr>
          <w:sz w:val="20"/>
        </w:rPr>
        <w:t>case, above n.620 at [66] and </w:t>
      </w:r>
      <w:r>
        <w:rPr>
          <w:rFonts w:ascii="Arial" w:hAnsi="Arial"/>
          <w:i/>
          <w:sz w:val="20"/>
        </w:rPr>
        <w:t>Ease Faith Ltd v Leonis Marine Management [2006]</w:t>
      </w:r>
      <w:r>
        <w:rPr>
          <w:rFonts w:ascii="Arial" w:hAnsi="Arial"/>
          <w:i/>
          <w:spacing w:val="4"/>
          <w:sz w:val="20"/>
        </w:rPr>
        <w:t> </w:t>
      </w:r>
      <w:r>
        <w:rPr>
          <w:rFonts w:ascii="Arial" w:hAnsi="Arial"/>
          <w:i/>
          <w:sz w:val="20"/>
        </w:rPr>
        <w:t>EWHC</w:t>
      </w:r>
      <w:r>
        <w:rPr>
          <w:rFonts w:ascii="Arial" w:hAnsi="Arial"/>
          <w:i/>
          <w:spacing w:val="4"/>
          <w:sz w:val="20"/>
        </w:rPr>
        <w:t> </w:t>
      </w:r>
      <w:r>
        <w:rPr>
          <w:rFonts w:ascii="Arial" w:hAnsi="Arial"/>
          <w:i/>
          <w:sz w:val="20"/>
        </w:rPr>
        <w:t>232</w:t>
      </w:r>
      <w:r>
        <w:rPr>
          <w:rFonts w:ascii="Arial" w:hAnsi="Arial"/>
          <w:i/>
          <w:spacing w:val="4"/>
          <w:sz w:val="20"/>
        </w:rPr>
        <w:t> </w:t>
      </w:r>
      <w:r>
        <w:rPr>
          <w:rFonts w:ascii="Arial" w:hAnsi="Arial"/>
          <w:i/>
          <w:sz w:val="20"/>
        </w:rPr>
        <w:t>(Comm),</w:t>
      </w:r>
      <w:r>
        <w:rPr>
          <w:rFonts w:ascii="Arial" w:hAnsi="Arial"/>
          <w:i/>
          <w:spacing w:val="4"/>
          <w:sz w:val="20"/>
        </w:rPr>
        <w:t> </w:t>
      </w:r>
      <w:r>
        <w:rPr>
          <w:rFonts w:ascii="Arial" w:hAnsi="Arial"/>
          <w:i/>
          <w:sz w:val="20"/>
        </w:rPr>
        <w:t>[2006]</w:t>
      </w:r>
      <w:r>
        <w:rPr>
          <w:rFonts w:ascii="Arial" w:hAnsi="Arial"/>
          <w:i/>
          <w:spacing w:val="4"/>
          <w:sz w:val="20"/>
        </w:rPr>
        <w:t> </w:t>
      </w:r>
      <w:r>
        <w:rPr>
          <w:rFonts w:ascii="Arial" w:hAnsi="Arial"/>
          <w:i/>
          <w:sz w:val="20"/>
        </w:rPr>
        <w:t>1</w:t>
      </w:r>
      <w:r>
        <w:rPr>
          <w:rFonts w:ascii="Arial" w:hAnsi="Arial"/>
          <w:i/>
          <w:spacing w:val="4"/>
          <w:sz w:val="20"/>
        </w:rPr>
        <w:t> </w:t>
      </w:r>
      <w:r>
        <w:rPr>
          <w:rFonts w:ascii="Arial" w:hAnsi="Arial"/>
          <w:i/>
          <w:sz w:val="20"/>
        </w:rPr>
        <w:t>Lloyd’s</w:t>
      </w:r>
      <w:r>
        <w:rPr>
          <w:rFonts w:ascii="Arial" w:hAnsi="Arial"/>
          <w:i/>
          <w:spacing w:val="4"/>
          <w:sz w:val="20"/>
        </w:rPr>
        <w:t> </w:t>
      </w:r>
      <w:r>
        <w:rPr>
          <w:rFonts w:ascii="Arial" w:hAnsi="Arial"/>
          <w:i/>
          <w:sz w:val="20"/>
        </w:rPr>
        <w:t>Rep.</w:t>
      </w:r>
      <w:r>
        <w:rPr>
          <w:rFonts w:ascii="Arial" w:hAnsi="Arial"/>
          <w:i/>
          <w:spacing w:val="4"/>
          <w:sz w:val="20"/>
        </w:rPr>
        <w:t> </w:t>
      </w:r>
      <w:r>
        <w:rPr>
          <w:rFonts w:ascii="Arial" w:hAnsi="Arial"/>
          <w:i/>
          <w:sz w:val="20"/>
        </w:rPr>
        <w:t>673</w:t>
      </w:r>
      <w:r>
        <w:rPr>
          <w:rFonts w:ascii="Arial" w:hAnsi="Arial"/>
          <w:i/>
          <w:spacing w:val="4"/>
          <w:sz w:val="20"/>
        </w:rPr>
        <w:t> </w:t>
      </w:r>
      <w:r>
        <w:rPr>
          <w:sz w:val="20"/>
        </w:rPr>
        <w:t>at</w:t>
      </w:r>
      <w:r>
        <w:rPr>
          <w:spacing w:val="4"/>
          <w:sz w:val="20"/>
        </w:rPr>
        <w:t> </w:t>
      </w:r>
      <w:r>
        <w:rPr>
          <w:sz w:val="20"/>
        </w:rPr>
        <w:t>[171]</w:t>
      </w:r>
      <w:r>
        <w:rPr>
          <w:spacing w:val="4"/>
          <w:sz w:val="20"/>
        </w:rPr>
        <w:t> </w:t>
      </w:r>
      <w:r>
        <w:rPr>
          <w:sz w:val="20"/>
        </w:rPr>
        <w:t>and</w:t>
      </w:r>
      <w:r>
        <w:rPr>
          <w:spacing w:val="4"/>
          <w:sz w:val="20"/>
        </w:rPr>
        <w:t> </w:t>
      </w:r>
      <w:r>
        <w:rPr>
          <w:rFonts w:ascii="Arial" w:hAnsi="Arial"/>
          <w:i/>
          <w:sz w:val="20"/>
        </w:rPr>
        <w:t>Durham</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z w:val="20"/>
        </w:rPr>
        <w:t>BAI</w:t>
      </w:r>
      <w:r>
        <w:rPr>
          <w:rFonts w:ascii="Arial" w:hAnsi="Arial"/>
          <w:i/>
          <w:spacing w:val="4"/>
          <w:sz w:val="20"/>
        </w:rPr>
        <w:t> </w:t>
      </w:r>
      <w:r>
        <w:rPr>
          <w:rFonts w:ascii="Arial" w:hAnsi="Arial"/>
          <w:i/>
          <w:sz w:val="20"/>
        </w:rPr>
        <w:t>(Run</w:t>
      </w:r>
      <w:r>
        <w:rPr>
          <w:rFonts w:ascii="Arial" w:hAnsi="Arial"/>
          <w:i/>
          <w:spacing w:val="4"/>
          <w:sz w:val="20"/>
        </w:rPr>
        <w:t> </w:t>
      </w:r>
      <w:r>
        <w:rPr>
          <w:rFonts w:ascii="Arial" w:hAnsi="Arial"/>
          <w:i/>
          <w:sz w:val="20"/>
        </w:rPr>
        <w:t>Off)</w:t>
      </w:r>
      <w:r>
        <w:rPr>
          <w:rFonts w:ascii="Arial" w:hAnsi="Arial"/>
          <w:i/>
          <w:spacing w:val="4"/>
          <w:sz w:val="20"/>
        </w:rPr>
        <w:t> </w:t>
      </w:r>
      <w:r>
        <w:rPr>
          <w:rFonts w:ascii="Arial" w:hAnsi="Arial"/>
          <w:i/>
          <w:spacing w:val="-5"/>
          <w:sz w:val="20"/>
        </w:rPr>
        <w:t>Ltd</w:t>
      </w:r>
    </w:p>
    <w:p>
      <w:pPr>
        <w:pStyle w:val="BodyText"/>
        <w:spacing w:line="235" w:lineRule="auto"/>
        <w:ind w:left="705" w:right="167"/>
        <w:jc w:val="both"/>
      </w:pPr>
      <w:r>
        <w:rPr>
          <w:rFonts w:ascii="Arial" w:hAnsi="Arial"/>
          <w:i/>
        </w:rPr>
        <w:t>[2008] EWHC 2692 (QB), [2009] 4 All E.R. 26</w:t>
      </w:r>
      <w:r>
        <w:rPr/>
        <w:t>, at [277], [278], where the requirements </w:t>
      </w:r>
      <w:r>
        <w:rPr/>
        <w:t>of estoppel by convention were not satisfied; for the appeals in the </w:t>
      </w:r>
      <w:r>
        <w:rPr>
          <w:rFonts w:ascii="Arial" w:hAnsi="Arial"/>
          <w:i/>
        </w:rPr>
        <w:t>Durham </w:t>
      </w:r>
      <w:r>
        <w:rPr/>
        <w:t>case, see above, para.4-100 n.554. Cf. </w:t>
      </w:r>
      <w:r>
        <w:rPr>
          <w:rFonts w:ascii="Arial" w:hAnsi="Arial"/>
          <w:i/>
        </w:rPr>
        <w:t>Townsend v Persistence Holdings [2013] UKPC 12</w:t>
      </w:r>
      <w:r>
        <w:rPr/>
        <w:t>, where vendors of a property terminated the contract under a term entitling them to do so if a licence requisite for its lawful performance were not granted within 12 months. It was held that acts done by the purchaser in relation to the property did not estop the vendor from terminating, apparently because “what happened was precisely what the contract envisaged would, or at least could, happen” (at [38]).</w:t>
      </w:r>
    </w:p>
    <w:p>
      <w:pPr>
        <w:pStyle w:val="BodyText"/>
        <w:spacing w:after="0" w:line="235" w:lineRule="auto"/>
        <w:jc w:val="both"/>
        <w:sectPr>
          <w:pgSz w:w="11900" w:h="16840"/>
          <w:pgMar w:header="971" w:footer="0" w:top="1160" w:bottom="280" w:left="1275" w:right="1275"/>
        </w:sectPr>
      </w:pPr>
    </w:p>
    <w:p>
      <w:pPr>
        <w:pStyle w:val="BodyText"/>
        <w:spacing w:before="84"/>
      </w:pPr>
    </w:p>
    <w:p>
      <w:pPr>
        <w:spacing w:line="235" w:lineRule="auto" w:before="1"/>
        <w:ind w:left="705" w:right="168" w:hanging="541"/>
        <w:jc w:val="both"/>
        <w:rPr>
          <w:sz w:val="20"/>
        </w:rPr>
      </w:pPr>
      <w:hyperlink w:history="true" w:anchor="_bookmark1021">
        <w:r>
          <w:rPr>
            <w:color w:val="005DA1"/>
            <w:position w:val="5"/>
            <w:sz w:val="14"/>
            <w:u w:val="single" w:color="005DA1"/>
          </w:rPr>
          <w:t>627</w:t>
        </w:r>
      </w:hyperlink>
      <w:r>
        <w:rPr>
          <w:position w:val="5"/>
          <w:sz w:val="14"/>
        </w:rPr>
        <w:t>.</w:t>
      </w:r>
      <w:r>
        <w:rPr>
          <w:spacing w:val="40"/>
          <w:position w:val="5"/>
          <w:sz w:val="14"/>
        </w:rPr>
        <w:t>  </w:t>
      </w:r>
      <w:r>
        <w:rPr>
          <w:rFonts w:ascii="Arial" w:hAnsi="Arial"/>
          <w:i/>
          <w:sz w:val="20"/>
        </w:rPr>
        <w:t>Mears Limited v Shoreline Housing Partnership Limited [2015] EWHC 1396 (TCC) </w:t>
      </w:r>
      <w:r>
        <w:rPr>
          <w:sz w:val="20"/>
        </w:rPr>
        <w:t>at </w:t>
      </w:r>
      <w:r>
        <w:rPr>
          <w:sz w:val="20"/>
        </w:rPr>
        <w:t>[51],</w:t>
      </w:r>
      <w:r>
        <w:rPr>
          <w:spacing w:val="80"/>
          <w:sz w:val="20"/>
        </w:rPr>
        <w:t> </w:t>
      </w:r>
      <w:r>
        <w:rPr>
          <w:sz w:val="20"/>
        </w:rPr>
        <w:t>relying on Robert Goff J. in </w:t>
      </w:r>
      <w:r>
        <w:rPr>
          <w:rFonts w:ascii="Arial" w:hAnsi="Arial"/>
          <w:i/>
          <w:sz w:val="20"/>
        </w:rPr>
        <w:t>Amalgamated Investment and Property Co Ltd v Texas Commerce Bank International Ltd [1982] Q.B. 84 </w:t>
      </w:r>
      <w:r>
        <w:rPr>
          <w:sz w:val="20"/>
        </w:rPr>
        <w:t>at 104 F–G (the reference to p.“34” in para.[44] of the Official Transcript of the </w:t>
      </w:r>
      <w:r>
        <w:rPr>
          <w:rFonts w:ascii="Arial" w:hAnsi="Arial"/>
          <w:i/>
          <w:sz w:val="20"/>
        </w:rPr>
        <w:t>Mears </w:t>
      </w:r>
      <w:r>
        <w:rPr>
          <w:sz w:val="20"/>
        </w:rPr>
        <w:t>case appears to be a misprint).</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5744">
            <wp:simplePos x="0" y="0"/>
            <wp:positionH relativeFrom="page">
              <wp:posOffset>1257846</wp:posOffset>
            </wp:positionH>
            <wp:positionV relativeFrom="paragraph">
              <wp:posOffset>160478</wp:posOffset>
            </wp:positionV>
            <wp:extent cx="107988" cy="107988"/>
            <wp:effectExtent l="0" t="0" r="0" b="0"/>
            <wp:wrapNone/>
            <wp:docPr id="204" name="Image 204"/>
            <wp:cNvGraphicFramePr>
              <a:graphicFrameLocks/>
            </wp:cNvGraphicFramePr>
            <a:graphic>
              <a:graphicData uri="http://schemas.openxmlformats.org/drawingml/2006/picture">
                <pic:pic>
                  <pic:nvPicPr>
                    <pic:cNvPr id="204" name="Image 20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257" w:id="1259"/>
      <w:bookmarkEnd w:id="1259"/>
      <w:r>
        <w:rPr/>
      </w:r>
      <w:hyperlink w:history="true" w:anchor="_bookmark1021">
        <w:r>
          <w:rPr>
            <w:color w:val="005DA1"/>
            <w:spacing w:val="-4"/>
            <w:sz w:val="14"/>
            <w:u w:val="single" w:color="005DA1"/>
          </w:rPr>
          <w:t>628</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Norwegian American Cruises A/S v Paul Mundy Ltd (The Vistafjord) [1988] 2 Lloyd’s </w:t>
      </w:r>
      <w:r>
        <w:rPr>
          <w:rFonts w:ascii="Arial" w:hAnsi="Arial"/>
          <w:i/>
          <w:sz w:val="20"/>
        </w:rPr>
        <w:t>Rep. 343, 352</w:t>
      </w:r>
      <w:r>
        <w:rPr>
          <w:sz w:val="20"/>
        </w:rPr>
        <w:t>; </w:t>
      </w:r>
      <w:r>
        <w:rPr>
          <w:rFonts w:ascii="Arial" w:hAnsi="Arial"/>
          <w:i/>
          <w:sz w:val="20"/>
        </w:rPr>
        <w:t>Hiscox v Outhwaite (No.1) [1992] 1 A.C. 562</w:t>
      </w:r>
      <w:r>
        <w:rPr>
          <w:sz w:val="20"/>
        </w:rPr>
        <w:t>, affirmed on other grounds at 585; </w:t>
      </w:r>
      <w:r>
        <w:rPr>
          <w:rFonts w:ascii="Arial" w:hAnsi="Arial"/>
          <w:i/>
          <w:sz w:val="20"/>
        </w:rPr>
        <w:t>The Indian Endurance (No.2)</w:t>
      </w:r>
      <w:r>
        <w:rPr>
          <w:sz w:val="20"/>
        </w:rPr>
        <w:t>, above, n.620 at 913. For the difficulties of applying estoppel by convention so as to bind members of a company pension scheme, see </w:t>
      </w:r>
      <w:r>
        <w:rPr>
          <w:rFonts w:ascii="Arial" w:hAnsi="Arial"/>
          <w:i/>
          <w:sz w:val="20"/>
        </w:rPr>
        <w:t>Trustee Solutions v Dubery [2006] EWHC 1426 (Ch), [2007] I.C.R. 412</w:t>
      </w:r>
      <w:r>
        <w:rPr>
          <w:sz w:val="20"/>
        </w:rPr>
        <w:t>. They arise mainly from the need to show that “the general body of members” (at [50]) had all put the same interpretation on the scheme and</w:t>
      </w:r>
      <w:r>
        <w:rPr>
          <w:spacing w:val="-3"/>
          <w:sz w:val="20"/>
        </w:rPr>
        <w:t> </w:t>
      </w:r>
      <w:r>
        <w:rPr>
          <w:sz w:val="20"/>
        </w:rPr>
        <w:t>had</w:t>
      </w:r>
      <w:r>
        <w:rPr>
          <w:spacing w:val="-3"/>
          <w:sz w:val="20"/>
        </w:rPr>
        <w:t> </w:t>
      </w:r>
      <w:r>
        <w:rPr>
          <w:sz w:val="20"/>
        </w:rPr>
        <w:t>acted</w:t>
      </w:r>
      <w:r>
        <w:rPr>
          <w:spacing w:val="-3"/>
          <w:sz w:val="20"/>
        </w:rPr>
        <w:t> </w:t>
      </w:r>
      <w:r>
        <w:rPr>
          <w:sz w:val="20"/>
        </w:rPr>
        <w:t>on</w:t>
      </w:r>
      <w:r>
        <w:rPr>
          <w:spacing w:val="-3"/>
          <w:sz w:val="20"/>
        </w:rPr>
        <w:t> </w:t>
      </w:r>
      <w:r>
        <w:rPr>
          <w:sz w:val="20"/>
        </w:rPr>
        <w:t>the</w:t>
      </w:r>
      <w:r>
        <w:rPr>
          <w:spacing w:val="-3"/>
          <w:sz w:val="20"/>
        </w:rPr>
        <w:t> </w:t>
      </w:r>
      <w:r>
        <w:rPr>
          <w:sz w:val="20"/>
        </w:rPr>
        <w:t>assumption.</w:t>
      </w:r>
      <w:r>
        <w:rPr>
          <w:spacing w:val="-3"/>
          <w:sz w:val="20"/>
        </w:rPr>
        <w:t> </w:t>
      </w:r>
      <w:r>
        <w:rPr>
          <w:sz w:val="20"/>
        </w:rPr>
        <w:t>Here</w:t>
      </w:r>
      <w:r>
        <w:rPr>
          <w:spacing w:val="-3"/>
          <w:sz w:val="20"/>
        </w:rPr>
        <w:t> </w:t>
      </w:r>
      <w:r>
        <w:rPr>
          <w:sz w:val="20"/>
        </w:rPr>
        <w:t>“the</w:t>
      </w:r>
      <w:r>
        <w:rPr>
          <w:spacing w:val="-3"/>
          <w:sz w:val="20"/>
        </w:rPr>
        <w:t> </w:t>
      </w:r>
      <w:r>
        <w:rPr>
          <w:sz w:val="20"/>
        </w:rPr>
        <w:t>evidence</w:t>
      </w:r>
      <w:r>
        <w:rPr>
          <w:spacing w:val="-3"/>
          <w:sz w:val="20"/>
        </w:rPr>
        <w:t> </w:t>
      </w:r>
      <w:r>
        <w:rPr>
          <w:sz w:val="20"/>
        </w:rPr>
        <w:t>was</w:t>
      </w:r>
      <w:r>
        <w:rPr>
          <w:spacing w:val="-3"/>
          <w:sz w:val="20"/>
        </w:rPr>
        <w:t> </w:t>
      </w:r>
      <w:r>
        <w:rPr>
          <w:sz w:val="20"/>
        </w:rPr>
        <w:t>simply</w:t>
      </w:r>
      <w:r>
        <w:rPr>
          <w:spacing w:val="-3"/>
          <w:sz w:val="20"/>
        </w:rPr>
        <w:t> </w:t>
      </w:r>
      <w:r>
        <w:rPr>
          <w:sz w:val="20"/>
        </w:rPr>
        <w:t>too</w:t>
      </w:r>
      <w:r>
        <w:rPr>
          <w:spacing w:val="-3"/>
          <w:sz w:val="20"/>
        </w:rPr>
        <w:t> </w:t>
      </w:r>
      <w:r>
        <w:rPr>
          <w:sz w:val="20"/>
        </w:rPr>
        <w:t>exiguous”</w:t>
      </w:r>
      <w:r>
        <w:rPr>
          <w:spacing w:val="-3"/>
          <w:sz w:val="20"/>
        </w:rPr>
        <w:t> </w:t>
      </w:r>
      <w:r>
        <w:rPr>
          <w:sz w:val="20"/>
        </w:rPr>
        <w:t>to</w:t>
      </w:r>
      <w:r>
        <w:rPr>
          <w:spacing w:val="-3"/>
          <w:sz w:val="20"/>
        </w:rPr>
        <w:t> </w:t>
      </w:r>
      <w:r>
        <w:rPr>
          <w:sz w:val="20"/>
        </w:rPr>
        <w:t>support</w:t>
      </w:r>
      <w:r>
        <w:rPr>
          <w:spacing w:val="-3"/>
          <w:sz w:val="20"/>
        </w:rPr>
        <w:t> </w:t>
      </w:r>
      <w:r>
        <w:rPr>
          <w:sz w:val="20"/>
        </w:rPr>
        <w:t>such a</w:t>
      </w:r>
      <w:r>
        <w:rPr>
          <w:spacing w:val="-2"/>
          <w:sz w:val="20"/>
        </w:rPr>
        <w:t> </w:t>
      </w:r>
      <w:r>
        <w:rPr>
          <w:sz w:val="20"/>
        </w:rPr>
        <w:t>conclusion.</w:t>
      </w:r>
      <w:r>
        <w:rPr>
          <w:spacing w:val="-2"/>
          <w:sz w:val="20"/>
        </w:rPr>
        <w:t> </w:t>
      </w:r>
      <w:r>
        <w:rPr>
          <w:sz w:val="20"/>
        </w:rPr>
        <w:t>The</w:t>
      </w:r>
      <w:r>
        <w:rPr>
          <w:spacing w:val="-2"/>
          <w:sz w:val="20"/>
        </w:rPr>
        <w:t> </w:t>
      </w:r>
      <w:r>
        <w:rPr>
          <w:sz w:val="20"/>
        </w:rPr>
        <w:t>decision</w:t>
      </w:r>
      <w:r>
        <w:rPr>
          <w:spacing w:val="-2"/>
          <w:sz w:val="20"/>
        </w:rPr>
        <w:t> </w:t>
      </w:r>
      <w:r>
        <w:rPr>
          <w:sz w:val="20"/>
        </w:rPr>
        <w:t>was</w:t>
      </w:r>
      <w:r>
        <w:rPr>
          <w:spacing w:val="-2"/>
          <w:sz w:val="20"/>
        </w:rPr>
        <w:t> </w:t>
      </w:r>
      <w:r>
        <w:rPr>
          <w:sz w:val="20"/>
        </w:rPr>
        <w:t>reversed</w:t>
      </w:r>
      <w:r>
        <w:rPr>
          <w:spacing w:val="-2"/>
          <w:sz w:val="20"/>
        </w:rPr>
        <w:t> </w:t>
      </w:r>
      <w:r>
        <w:rPr>
          <w:sz w:val="20"/>
        </w:rPr>
        <w:t>on</w:t>
      </w:r>
      <w:r>
        <w:rPr>
          <w:spacing w:val="-2"/>
          <w:sz w:val="20"/>
        </w:rPr>
        <w:t> </w:t>
      </w:r>
      <w:r>
        <w:rPr>
          <w:sz w:val="20"/>
        </w:rPr>
        <w:t>other</w:t>
      </w:r>
      <w:r>
        <w:rPr>
          <w:spacing w:val="-2"/>
          <w:sz w:val="20"/>
        </w:rPr>
        <w:t> </w:t>
      </w:r>
      <w:r>
        <w:rPr>
          <w:sz w:val="20"/>
        </w:rPr>
        <w:t>grounds:</w:t>
      </w:r>
      <w:r>
        <w:rPr>
          <w:spacing w:val="-3"/>
          <w:sz w:val="20"/>
        </w:rPr>
        <w:t> </w:t>
      </w:r>
      <w:r>
        <w:rPr>
          <w:rFonts w:ascii="Arial" w:hAnsi="Arial"/>
          <w:i/>
          <w:sz w:val="20"/>
        </w:rPr>
        <w:t>[2007]</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771,</w:t>
      </w:r>
      <w:r>
        <w:rPr>
          <w:rFonts w:ascii="Arial" w:hAnsi="Arial"/>
          <w:i/>
          <w:spacing w:val="-2"/>
          <w:sz w:val="20"/>
        </w:rPr>
        <w:t> </w:t>
      </w:r>
      <w:r>
        <w:rPr>
          <w:rFonts w:ascii="Arial" w:hAnsi="Arial"/>
          <w:i/>
          <w:sz w:val="20"/>
        </w:rPr>
        <w:t>[2008]</w:t>
      </w:r>
      <w:r>
        <w:rPr>
          <w:rFonts w:ascii="Arial" w:hAnsi="Arial"/>
          <w:i/>
          <w:spacing w:val="-2"/>
          <w:sz w:val="20"/>
        </w:rPr>
        <w:t> </w:t>
      </w:r>
      <w:r>
        <w:rPr>
          <w:rFonts w:ascii="Arial" w:hAnsi="Arial"/>
          <w:i/>
          <w:sz w:val="20"/>
        </w:rPr>
        <w:t>I.C.R. 101</w:t>
      </w:r>
      <w:r>
        <w:rPr>
          <w:sz w:val="20"/>
        </w:rPr>
        <w:t>; there was no appeal on the estoppel point: see </w:t>
      </w:r>
      <w:r>
        <w:rPr>
          <w:rFonts w:ascii="Arial" w:hAnsi="Arial"/>
          <w:i/>
          <w:sz w:val="20"/>
        </w:rPr>
        <w:t>[2007] EWCA Civ 771 </w:t>
      </w:r>
      <w:r>
        <w:rPr>
          <w:sz w:val="20"/>
        </w:rPr>
        <w:t>at [12]. For the requirements of estoppel by convention “arising out of non-contractual dealings, see </w:t>
      </w:r>
      <w:r>
        <w:rPr>
          <w:rFonts w:ascii="Arial" w:hAnsi="Arial"/>
          <w:i/>
          <w:sz w:val="20"/>
        </w:rPr>
        <w:t>Revenue and Customs Commissioners v Benchdollar Ltd [2009] EWHC 1310 (Ch) </w:t>
      </w:r>
      <w:r>
        <w:rPr>
          <w:sz w:val="20"/>
        </w:rPr>
        <w:t>at [52], cited in </w:t>
      </w:r>
      <w:r>
        <w:rPr>
          <w:rFonts w:ascii="Arial" w:hAnsi="Arial"/>
          <w:i/>
          <w:sz w:val="20"/>
        </w:rPr>
        <w:t>Grieveson v Grieveson [2011] EWHC 1367 (Ch) </w:t>
      </w:r>
      <w:r>
        <w:rPr>
          <w:sz w:val="20"/>
        </w:rPr>
        <w:t>at [27]. For discussions of estoppel by convention, see also </w:t>
      </w:r>
      <w:r>
        <w:rPr>
          <w:rFonts w:ascii="Arial" w:hAnsi="Arial"/>
          <w:i/>
          <w:sz w:val="20"/>
        </w:rPr>
        <w:t>Mitchell v Watkinson [2014] EWCA Civ 1472, [2015] L. &amp; T.R. 22 </w:t>
      </w:r>
      <w:r>
        <w:rPr>
          <w:sz w:val="20"/>
        </w:rPr>
        <w:t>at [51], where para.3-107 of the 31st edition (para.4-108 of the present, 32nd, edition) is cited with apparent approval; in that case the defence of estoppel by convention failed for want of a common assumption (at [60]—but the appeal was dismissed on other grounds: at [95]); </w:t>
      </w:r>
      <w:r>
        <w:rPr>
          <w:rFonts w:ascii="Arial" w:hAnsi="Arial"/>
          <w:i/>
          <w:sz w:val="20"/>
        </w:rPr>
        <w:t>Edray Ltd v Canning [2015] EWHC 2744 (Ch)</w:t>
      </w:r>
      <w:r>
        <w:rPr>
          <w:sz w:val="20"/>
        </w:rPr>
        <w:t>, where the two requirements of estoppel by convention stated at notes 620 and 621 (that there must be a common assumption and that it must be unjust to allow the party alleged to be estopped to resile from that assumption (at [38]) were held to have been satisfied (at [48]); and </w:t>
      </w:r>
      <w:r>
        <w:rPr>
          <w:rFonts w:ascii="Arial" w:hAnsi="Arial"/>
          <w:i/>
          <w:sz w:val="20"/>
        </w:rPr>
        <w:t>Roundlistic Ltd v Jones [2016] UKUT 325 </w:t>
      </w:r>
      <w:r>
        <w:rPr>
          <w:sz w:val="20"/>
        </w:rPr>
        <w:t>where the requirements of estoppel are stated at [47] and [48] and no such estoppel was held to have arisen as the parties had not made any “common assumption” (at [50] and [56]). See also </w:t>
      </w:r>
      <w:r>
        <w:rPr>
          <w:rFonts w:ascii="Arial" w:hAnsi="Arial"/>
          <w:i/>
          <w:sz w:val="20"/>
        </w:rPr>
        <w:t>Preedy v Dunne [2016] EWCA Civ 805, [2016] C.P. Rep. 44</w:t>
      </w:r>
      <w:r>
        <w:rPr>
          <w:sz w:val="20"/>
        </w:rPr>
        <w:t>, where, after the claim based on proprietary estoppel had been rejected at first instance, an alternative claim was made on appeal that the facts had given rise to an estoppel by convention. This claim, too, was rejected on</w:t>
      </w:r>
      <w:r>
        <w:rPr>
          <w:spacing w:val="-3"/>
          <w:sz w:val="20"/>
        </w:rPr>
        <w:t> </w:t>
      </w:r>
      <w:r>
        <w:rPr>
          <w:sz w:val="20"/>
        </w:rPr>
        <w:t>the</w:t>
      </w:r>
      <w:r>
        <w:rPr>
          <w:spacing w:val="-3"/>
          <w:sz w:val="20"/>
        </w:rPr>
        <w:t> </w:t>
      </w:r>
      <w:r>
        <w:rPr>
          <w:sz w:val="20"/>
        </w:rPr>
        <w:t>grounds</w:t>
      </w:r>
      <w:r>
        <w:rPr>
          <w:spacing w:val="-3"/>
          <w:sz w:val="20"/>
        </w:rPr>
        <w:t> </w:t>
      </w:r>
      <w:r>
        <w:rPr>
          <w:sz w:val="20"/>
        </w:rPr>
        <w:t>that</w:t>
      </w:r>
      <w:r>
        <w:rPr>
          <w:spacing w:val="-3"/>
          <w:sz w:val="20"/>
        </w:rPr>
        <w:t> </w:t>
      </w:r>
      <w:r>
        <w:rPr>
          <w:sz w:val="20"/>
        </w:rPr>
        <w:t>the</w:t>
      </w:r>
      <w:r>
        <w:rPr>
          <w:spacing w:val="-3"/>
          <w:sz w:val="20"/>
        </w:rPr>
        <w:t> </w:t>
      </w:r>
      <w:r>
        <w:rPr>
          <w:sz w:val="20"/>
        </w:rPr>
        <w:t>parties</w:t>
      </w:r>
      <w:r>
        <w:rPr>
          <w:spacing w:val="-3"/>
          <w:sz w:val="20"/>
        </w:rPr>
        <w:t> </w:t>
      </w:r>
      <w:r>
        <w:rPr>
          <w:sz w:val="20"/>
        </w:rPr>
        <w:t>had</w:t>
      </w:r>
      <w:r>
        <w:rPr>
          <w:spacing w:val="-3"/>
          <w:sz w:val="20"/>
        </w:rPr>
        <w:t> </w:t>
      </w:r>
      <w:r>
        <w:rPr>
          <w:sz w:val="20"/>
        </w:rPr>
        <w:t>not</w:t>
      </w:r>
      <w:r>
        <w:rPr>
          <w:spacing w:val="-3"/>
          <w:sz w:val="20"/>
        </w:rPr>
        <w:t> </w:t>
      </w:r>
      <w:r>
        <w:rPr>
          <w:sz w:val="20"/>
        </w:rPr>
        <w:t>made</w:t>
      </w:r>
      <w:r>
        <w:rPr>
          <w:spacing w:val="-3"/>
          <w:sz w:val="20"/>
        </w:rPr>
        <w:t> </w:t>
      </w:r>
      <w:r>
        <w:rPr>
          <w:sz w:val="20"/>
        </w:rPr>
        <w:t>any</w:t>
      </w:r>
      <w:r>
        <w:rPr>
          <w:spacing w:val="-3"/>
          <w:sz w:val="20"/>
        </w:rPr>
        <w:t> </w:t>
      </w:r>
      <w:r>
        <w:rPr>
          <w:sz w:val="20"/>
        </w:rPr>
        <w:t>“common</w:t>
      </w:r>
      <w:r>
        <w:rPr>
          <w:spacing w:val="-3"/>
          <w:sz w:val="20"/>
        </w:rPr>
        <w:t> </w:t>
      </w:r>
      <w:r>
        <w:rPr>
          <w:sz w:val="20"/>
        </w:rPr>
        <w:t>assumption”</w:t>
      </w:r>
      <w:r>
        <w:rPr>
          <w:spacing w:val="-3"/>
          <w:sz w:val="20"/>
        </w:rPr>
        <w:t> </w:t>
      </w:r>
      <w:r>
        <w:rPr>
          <w:sz w:val="20"/>
        </w:rPr>
        <w:t>(</w:t>
      </w:r>
      <w:r>
        <w:rPr>
          <w:rFonts w:ascii="Arial" w:hAnsi="Arial"/>
          <w:i/>
          <w:sz w:val="20"/>
        </w:rPr>
        <w:t>[2016]</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805 </w:t>
      </w:r>
      <w:r>
        <w:rPr>
          <w:sz w:val="20"/>
        </w:rPr>
        <w:t>at [64]) and that, even if there had been such an assumption, there had been no reliance on it by the party claiming the benefit of the estoppel (ibid.).</w:t>
      </w:r>
    </w:p>
    <w:p>
      <w:pPr>
        <w:spacing w:after="0" w:line="235" w:lineRule="auto"/>
        <w:jc w:val="both"/>
        <w:rPr>
          <w:sz w:val="20"/>
        </w:rPr>
        <w:sectPr>
          <w:type w:val="continuous"/>
          <w:pgSz w:w="11900" w:h="16840"/>
          <w:pgMar w:header="971" w:footer="0" w:top="3760" w:bottom="280" w:left="1275" w:right="1275"/>
          <w:cols w:num="2" w:equalWidth="0">
            <w:col w:w="478" w:space="63"/>
            <w:col w:w="8809"/>
          </w:cols>
        </w:sectPr>
      </w:pPr>
    </w:p>
    <w:p>
      <w:pPr>
        <w:pStyle w:val="BodyText"/>
        <w:tabs>
          <w:tab w:pos="705" w:val="left" w:leader="none"/>
        </w:tabs>
        <w:spacing w:before="226"/>
        <w:ind w:left="165"/>
      </w:pPr>
      <w:bookmarkStart w:name="_bookmark1258" w:id="1260"/>
      <w:bookmarkEnd w:id="1260"/>
      <w:r>
        <w:rPr/>
      </w:r>
      <w:hyperlink w:history="true" w:anchor="_bookmark1022">
        <w:r>
          <w:rPr>
            <w:color w:val="005DA1"/>
            <w:spacing w:val="-4"/>
            <w:position w:val="5"/>
            <w:sz w:val="14"/>
            <w:u w:val="single" w:color="005DA1"/>
          </w:rPr>
          <w:t>629</w:t>
        </w:r>
      </w:hyperlink>
      <w:r>
        <w:rPr>
          <w:spacing w:val="-4"/>
          <w:position w:val="5"/>
          <w:sz w:val="14"/>
        </w:rPr>
        <w:t>.</w:t>
      </w:r>
      <w:r>
        <w:rPr>
          <w:position w:val="5"/>
          <w:sz w:val="14"/>
        </w:rPr>
        <w:tab/>
      </w:r>
      <w:r>
        <w:rPr/>
        <w:t>cf. the discussion of the distinction between various kinds of estoppel in para.4-104, </w:t>
      </w:r>
      <w:r>
        <w:rPr>
          <w:spacing w:val="-2"/>
        </w:rPr>
        <w:t>above;</w:t>
      </w:r>
    </w:p>
    <w:p>
      <w:pPr>
        <w:pStyle w:val="BodyText"/>
        <w:spacing w:before="8"/>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6256">
            <wp:simplePos x="0" y="0"/>
            <wp:positionH relativeFrom="page">
              <wp:posOffset>1257846</wp:posOffset>
            </wp:positionH>
            <wp:positionV relativeFrom="paragraph">
              <wp:posOffset>160711</wp:posOffset>
            </wp:positionV>
            <wp:extent cx="107988" cy="107988"/>
            <wp:effectExtent l="0" t="0" r="0" b="0"/>
            <wp:wrapNone/>
            <wp:docPr id="205" name="Image 205"/>
            <wp:cNvGraphicFramePr>
              <a:graphicFrameLocks/>
            </wp:cNvGraphicFramePr>
            <a:graphic>
              <a:graphicData uri="http://schemas.openxmlformats.org/drawingml/2006/picture">
                <pic:pic>
                  <pic:nvPicPr>
                    <pic:cNvPr id="205" name="Image 20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259" w:id="1261"/>
      <w:bookmarkEnd w:id="1261"/>
      <w:r>
        <w:rPr/>
      </w:r>
      <w:hyperlink w:history="true" w:anchor="_bookmark1023">
        <w:r>
          <w:rPr>
            <w:color w:val="005DA1"/>
            <w:spacing w:val="-4"/>
            <w:sz w:val="14"/>
            <w:u w:val="single" w:color="005DA1"/>
          </w:rPr>
          <w:t>630</w:t>
        </w:r>
      </w:hyperlink>
      <w:r>
        <w:rPr>
          <w:spacing w:val="-4"/>
          <w:sz w:val="14"/>
        </w:rPr>
        <w:t>.</w:t>
      </w:r>
    </w:p>
    <w:p>
      <w:pPr>
        <w:spacing w:line="235" w:lineRule="auto" w:before="213"/>
        <w:ind w:left="165" w:right="167" w:firstLine="170"/>
        <w:jc w:val="both"/>
        <w:rPr>
          <w:sz w:val="20"/>
        </w:rPr>
      </w:pPr>
      <w:r>
        <w:rPr/>
        <w:br w:type="column"/>
      </w:r>
      <w:r>
        <w:rPr>
          <w:rFonts w:ascii="Arial" w:hAnsi="Arial"/>
          <w:i/>
          <w:sz w:val="20"/>
        </w:rPr>
        <w:t>Amalgamated Investment &amp; Property Co Ltd v Texas Commerce International Bank </w:t>
      </w:r>
      <w:r>
        <w:rPr>
          <w:rFonts w:ascii="Arial" w:hAnsi="Arial"/>
          <w:i/>
          <w:sz w:val="20"/>
        </w:rPr>
        <w:t>Ltd</w:t>
      </w:r>
      <w:r>
        <w:rPr>
          <w:rFonts w:ascii="Arial" w:hAnsi="Arial"/>
          <w:i/>
          <w:spacing w:val="40"/>
          <w:sz w:val="20"/>
        </w:rPr>
        <w:t> </w:t>
      </w:r>
      <w:r>
        <w:rPr>
          <w:rFonts w:ascii="Arial" w:hAnsi="Arial"/>
          <w:i/>
          <w:sz w:val="20"/>
        </w:rPr>
        <w:t>[1982] Q.B. 84, 131–132 </w:t>
      </w:r>
      <w:r>
        <w:rPr>
          <w:sz w:val="20"/>
        </w:rPr>
        <w:t>below, para.4-109; </w:t>
      </w:r>
      <w:r>
        <w:rPr>
          <w:rFonts w:ascii="Arial" w:hAnsi="Arial"/>
          <w:i/>
          <w:sz w:val="20"/>
        </w:rPr>
        <w:t>Republic of Serbia v ImageSat International NV [2008] EWHC 2853 (Comm), [2010] 1 Lloyd’s Rep. 235 </w:t>
      </w:r>
      <w:r>
        <w:rPr>
          <w:sz w:val="20"/>
        </w:rPr>
        <w:t>at [71]: “no requirement of an unequivocal </w:t>
      </w:r>
      <w:r>
        <w:rPr>
          <w:rFonts w:ascii="Arial" w:hAnsi="Arial"/>
          <w:i/>
          <w:sz w:val="20"/>
        </w:rPr>
        <w:t>representation </w:t>
      </w:r>
      <w:r>
        <w:rPr>
          <w:sz w:val="20"/>
        </w:rPr>
        <w:t>” (italics supplied), as opposed to an “unambiguous and unequivocal” </w:t>
      </w:r>
      <w:r>
        <w:rPr>
          <w:rFonts w:ascii="Arial" w:hAnsi="Arial"/>
          <w:i/>
          <w:sz w:val="20"/>
        </w:rPr>
        <w:t>assumption </w:t>
      </w:r>
      <w:r>
        <w:rPr>
          <w:sz w:val="20"/>
        </w:rPr>
        <w:t>(below at n.625); </w:t>
      </w:r>
      <w:r>
        <w:rPr>
          <w:rFonts w:ascii="Arial" w:hAnsi="Arial"/>
          <w:i/>
          <w:sz w:val="20"/>
        </w:rPr>
        <w:t>Dixon v Blindley Heath Investments Ltd [2015] EWCA Civ 1023, [2017] 3 W.L.R. 166 </w:t>
      </w:r>
      <w:r>
        <w:rPr>
          <w:sz w:val="20"/>
        </w:rPr>
        <w:t>at [73] (“not founded on a unilateral representation”); </w:t>
      </w:r>
      <w:r>
        <w:rPr>
          <w:rFonts w:ascii="Arial" w:hAnsi="Arial"/>
          <w:i/>
          <w:sz w:val="20"/>
        </w:rPr>
        <w:t>Monde Petroleum SA v WesternZagros Ltd [2016] EWHC 1472 (Comm), [2016] 2 Lloyd’s Rep. 229 </w:t>
      </w:r>
      <w:r>
        <w:rPr>
          <w:sz w:val="20"/>
        </w:rPr>
        <w:t>at [227] (“does not depend on any representation or promise”); </w:t>
      </w:r>
      <w:r>
        <w:rPr>
          <w:rFonts w:ascii="Arial" w:hAnsi="Arial"/>
          <w:i/>
          <w:sz w:val="20"/>
        </w:rPr>
        <w:t>Process Components Ltd v Kason Kek-Gardner Ltd [2016] EWHC 2198 (Ch) </w:t>
      </w:r>
      <w:r>
        <w:rPr>
          <w:sz w:val="20"/>
        </w:rPr>
        <w:t>at [116], [117], distinguishing between estoppel by convention and estoppel by representation (in this case the requirements of both these forms of estoppel were satisfied: see at [135]). See also </w:t>
      </w:r>
      <w:r>
        <w:rPr>
          <w:rFonts w:ascii="Arial" w:hAnsi="Arial"/>
          <w:i/>
          <w:sz w:val="20"/>
        </w:rPr>
        <w:t>Costain Ltd v Tarmac Holdings Ltd [2017] EWHC 319 (TCC), [2017] 1 Lloyd’s Rep. 331 </w:t>
      </w:r>
      <w:r>
        <w:rPr>
          <w:sz w:val="20"/>
        </w:rPr>
        <w:t>at [101], where the statement that “Estoppel by convention depends on a shared assumption, not a representation … ” forms part of Coulson J.’s discussion of the “ingredients of estoppel by convention”. In that case the attempt to invoke estoppel by convention failed on the ground that there was no “common understanding” (at [111]), no “sharp practice” (at [113]) by the party alleged to be estopped, nor any detriment suffered by the other party (at [118]) so that it would not be unconscionable for the former party to act inconsistently with any assumption, had it been made (see Main Work, Vol.I, para.4-108 at n.421).</w:t>
      </w:r>
    </w:p>
    <w:p>
      <w:pPr>
        <w:spacing w:after="0" w:line="235" w:lineRule="auto"/>
        <w:jc w:val="both"/>
        <w:rPr>
          <w:sz w:val="20"/>
        </w:rPr>
        <w:sectPr>
          <w:type w:val="continuous"/>
          <w:pgSz w:w="11900" w:h="16840"/>
          <w:pgMar w:header="971" w:footer="0" w:top="3760" w:bottom="280" w:left="1275" w:right="1275"/>
          <w:cols w:num="2" w:equalWidth="0">
            <w:col w:w="478" w:space="63"/>
            <w:col w:w="8809"/>
          </w:cols>
        </w:sectPr>
      </w:pPr>
    </w:p>
    <w:p>
      <w:pPr>
        <w:pStyle w:val="BodyText"/>
        <w:spacing w:before="2"/>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6768">
            <wp:simplePos x="0" y="0"/>
            <wp:positionH relativeFrom="page">
              <wp:posOffset>1257846</wp:posOffset>
            </wp:positionH>
            <wp:positionV relativeFrom="paragraph">
              <wp:posOffset>160568</wp:posOffset>
            </wp:positionV>
            <wp:extent cx="107988" cy="107988"/>
            <wp:effectExtent l="0" t="0" r="0" b="0"/>
            <wp:wrapNone/>
            <wp:docPr id="206" name="Image 206"/>
            <wp:cNvGraphicFramePr>
              <a:graphicFrameLocks/>
            </wp:cNvGraphicFramePr>
            <a:graphic>
              <a:graphicData uri="http://schemas.openxmlformats.org/drawingml/2006/picture">
                <pic:pic>
                  <pic:nvPicPr>
                    <pic:cNvPr id="206" name="Image 20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260" w:id="1262"/>
      <w:bookmarkEnd w:id="1262"/>
      <w:r>
        <w:rPr/>
      </w:r>
      <w:hyperlink w:history="true" w:anchor="_bookmark1024">
        <w:r>
          <w:rPr>
            <w:color w:val="005DA1"/>
            <w:spacing w:val="-4"/>
            <w:sz w:val="14"/>
            <w:u w:val="single" w:color="005DA1"/>
          </w:rPr>
          <w:t>631</w:t>
        </w:r>
      </w:hyperlink>
      <w:r>
        <w:rPr>
          <w:spacing w:val="-4"/>
          <w:sz w:val="14"/>
        </w:rPr>
        <w:t>.</w:t>
      </w:r>
    </w:p>
    <w:p>
      <w:pPr>
        <w:spacing w:line="235" w:lineRule="auto" w:before="212"/>
        <w:ind w:left="165" w:right="167" w:firstLine="170"/>
        <w:jc w:val="both"/>
        <w:rPr>
          <w:sz w:val="20"/>
        </w:rPr>
      </w:pPr>
      <w:r>
        <w:rPr/>
        <w:br w:type="column"/>
      </w:r>
      <w:r>
        <w:rPr>
          <w:sz w:val="20"/>
        </w:rPr>
        <w:t>The passage running from Main Work, Vol.I, para.4-108 after n.619 to n.624a is quoted </w:t>
      </w:r>
      <w:r>
        <w:rPr>
          <w:sz w:val="20"/>
        </w:rPr>
        <w:t>with apparent approval by the Court of Appeal in </w:t>
      </w:r>
      <w:r>
        <w:rPr>
          <w:rFonts w:ascii="Arial"/>
          <w:i/>
          <w:sz w:val="20"/>
        </w:rPr>
        <w:t>Dixon v Blindley Heath Investments Ltd [2015] EWCA</w:t>
      </w:r>
      <w:r>
        <w:rPr>
          <w:rFonts w:ascii="Arial"/>
          <w:i/>
          <w:spacing w:val="28"/>
          <w:sz w:val="20"/>
        </w:rPr>
        <w:t> </w:t>
      </w:r>
      <w:r>
        <w:rPr>
          <w:rFonts w:ascii="Arial"/>
          <w:i/>
          <w:sz w:val="20"/>
        </w:rPr>
        <w:t>Civ</w:t>
      </w:r>
      <w:r>
        <w:rPr>
          <w:rFonts w:ascii="Arial"/>
          <w:i/>
          <w:spacing w:val="28"/>
          <w:sz w:val="20"/>
        </w:rPr>
        <w:t> </w:t>
      </w:r>
      <w:r>
        <w:rPr>
          <w:rFonts w:ascii="Arial"/>
          <w:i/>
          <w:sz w:val="20"/>
        </w:rPr>
        <w:t>1023,</w:t>
      </w:r>
      <w:r>
        <w:rPr>
          <w:rFonts w:ascii="Arial"/>
          <w:i/>
          <w:spacing w:val="28"/>
          <w:sz w:val="20"/>
        </w:rPr>
        <w:t> </w:t>
      </w:r>
      <w:r>
        <w:rPr>
          <w:rFonts w:ascii="Arial"/>
          <w:i/>
          <w:sz w:val="20"/>
        </w:rPr>
        <w:t>[2017]</w:t>
      </w:r>
      <w:r>
        <w:rPr>
          <w:rFonts w:ascii="Arial"/>
          <w:i/>
          <w:spacing w:val="28"/>
          <w:sz w:val="20"/>
        </w:rPr>
        <w:t> </w:t>
      </w:r>
      <w:r>
        <w:rPr>
          <w:rFonts w:ascii="Arial"/>
          <w:i/>
          <w:sz w:val="20"/>
        </w:rPr>
        <w:t>3</w:t>
      </w:r>
      <w:r>
        <w:rPr>
          <w:rFonts w:ascii="Arial"/>
          <w:i/>
          <w:spacing w:val="28"/>
          <w:sz w:val="20"/>
        </w:rPr>
        <w:t> </w:t>
      </w:r>
      <w:r>
        <w:rPr>
          <w:rFonts w:ascii="Arial"/>
          <w:i/>
          <w:sz w:val="20"/>
        </w:rPr>
        <w:t>W.L.R.</w:t>
      </w:r>
      <w:r>
        <w:rPr>
          <w:rFonts w:ascii="Arial"/>
          <w:i/>
          <w:spacing w:val="28"/>
          <w:sz w:val="20"/>
        </w:rPr>
        <w:t> </w:t>
      </w:r>
      <w:r>
        <w:rPr>
          <w:rFonts w:ascii="Arial"/>
          <w:i/>
          <w:sz w:val="20"/>
        </w:rPr>
        <w:t>166</w:t>
      </w:r>
      <w:r>
        <w:rPr>
          <w:rFonts w:ascii="Arial"/>
          <w:i/>
          <w:spacing w:val="28"/>
          <w:sz w:val="20"/>
        </w:rPr>
        <w:t> </w:t>
      </w:r>
      <w:r>
        <w:rPr>
          <w:sz w:val="20"/>
        </w:rPr>
        <w:t>at</w:t>
      </w:r>
      <w:r>
        <w:rPr>
          <w:spacing w:val="28"/>
          <w:sz w:val="20"/>
        </w:rPr>
        <w:t> </w:t>
      </w:r>
      <w:r>
        <w:rPr>
          <w:sz w:val="20"/>
        </w:rPr>
        <w:t>[74]</w:t>
      </w:r>
      <w:r>
        <w:rPr>
          <w:spacing w:val="28"/>
          <w:sz w:val="20"/>
        </w:rPr>
        <w:t> </w:t>
      </w:r>
      <w:r>
        <w:rPr>
          <w:sz w:val="20"/>
        </w:rPr>
        <w:t>quoting</w:t>
      </w:r>
      <w:r>
        <w:rPr>
          <w:spacing w:val="28"/>
          <w:sz w:val="20"/>
        </w:rPr>
        <w:t> </w:t>
      </w:r>
      <w:r>
        <w:rPr>
          <w:sz w:val="20"/>
        </w:rPr>
        <w:t>from</w:t>
      </w:r>
      <w:r>
        <w:rPr>
          <w:spacing w:val="28"/>
          <w:sz w:val="20"/>
        </w:rPr>
        <w:t> </w:t>
      </w:r>
      <w:r>
        <w:rPr>
          <w:sz w:val="20"/>
        </w:rPr>
        <w:t>the</w:t>
      </w:r>
      <w:r>
        <w:rPr>
          <w:spacing w:val="28"/>
          <w:sz w:val="20"/>
        </w:rPr>
        <w:t> </w:t>
      </w:r>
      <w:r>
        <w:rPr>
          <w:sz w:val="20"/>
        </w:rPr>
        <w:t>judgment</w:t>
      </w:r>
      <w:r>
        <w:rPr>
          <w:spacing w:val="28"/>
          <w:sz w:val="20"/>
        </w:rPr>
        <w:t> </w:t>
      </w:r>
      <w:r>
        <w:rPr>
          <w:sz w:val="20"/>
        </w:rPr>
        <w:t>of</w:t>
      </w:r>
      <w:r>
        <w:rPr>
          <w:spacing w:val="28"/>
          <w:sz w:val="20"/>
        </w:rPr>
        <w:t> </w:t>
      </w:r>
      <w:r>
        <w:rPr>
          <w:sz w:val="20"/>
        </w:rPr>
        <w:t>the</w:t>
      </w:r>
      <w:r>
        <w:rPr>
          <w:spacing w:val="28"/>
          <w:sz w:val="20"/>
        </w:rPr>
        <w:t> </w:t>
      </w:r>
      <w:r>
        <w:rPr>
          <w:sz w:val="20"/>
        </w:rPr>
        <w:t>Court</w:t>
      </w:r>
      <w:r>
        <w:rPr>
          <w:spacing w:val="28"/>
          <w:sz w:val="20"/>
        </w:rPr>
        <w:t> </w:t>
      </w:r>
      <w:r>
        <w:rPr>
          <w:spacing w:val="-2"/>
          <w:sz w:val="20"/>
        </w:rPr>
        <w:t>below</w:t>
      </w:r>
    </w:p>
    <w:p>
      <w:pPr>
        <w:spacing w:after="0" w:line="235" w:lineRule="auto"/>
        <w:jc w:val="both"/>
        <w:rPr>
          <w:sz w:val="20"/>
        </w:rPr>
        <w:sectPr>
          <w:type w:val="continuous"/>
          <w:pgSz w:w="11900" w:h="16840"/>
          <w:pgMar w:header="971" w:footer="0" w:top="3760" w:bottom="280" w:left="1275" w:right="1275"/>
          <w:cols w:num="2" w:equalWidth="0">
            <w:col w:w="478" w:space="63"/>
            <w:col w:w="8809"/>
          </w:cols>
        </w:sectPr>
      </w:pPr>
    </w:p>
    <w:p>
      <w:pPr>
        <w:pStyle w:val="BodyText"/>
        <w:spacing w:before="24"/>
      </w:pPr>
    </w:p>
    <w:p>
      <w:pPr>
        <w:pStyle w:val="BodyText"/>
        <w:spacing w:line="235" w:lineRule="auto" w:before="1"/>
        <w:ind w:left="705" w:right="167"/>
        <w:jc w:val="both"/>
      </w:pPr>
      <w:r>
        <w:rPr>
          <w:rFonts w:ascii="Arial" w:hAnsi="Arial"/>
          <w:i/>
        </w:rPr>
        <w:t>[2014] EWHC 1366 (Ch)</w:t>
      </w:r>
      <w:r>
        <w:rPr/>
        <w:t>, where the quotation was taken from para.3-107 of the 31st edition of the Main Work. In the</w:t>
      </w:r>
      <w:r>
        <w:rPr>
          <w:spacing w:val="-1"/>
        </w:rPr>
        <w:t> </w:t>
      </w:r>
      <w:r>
        <w:rPr>
          <w:rFonts w:ascii="Arial" w:hAnsi="Arial"/>
          <w:i/>
        </w:rPr>
        <w:t>Dixon</w:t>
      </w:r>
      <w:r>
        <w:rPr>
          <w:rFonts w:ascii="Arial" w:hAnsi="Arial"/>
          <w:i/>
          <w:spacing w:val="-1"/>
        </w:rPr>
        <w:t> </w:t>
      </w:r>
      <w:r>
        <w:rPr/>
        <w:t>case, it was further held that such an estoppel was not “confined </w:t>
      </w:r>
      <w:r>
        <w:rPr/>
        <w:t>to cases of mistake” but could extend to cases in which the common assumption of the parties</w:t>
      </w:r>
      <w:r>
        <w:rPr>
          <w:spacing w:val="40"/>
        </w:rPr>
        <w:t> </w:t>
      </w:r>
      <w:r>
        <w:rPr/>
        <w:t>had arisen simply because they had forgotten the true facts” since “a mistaken recollection</w:t>
      </w:r>
      <w:r>
        <w:rPr>
          <w:spacing w:val="40"/>
        </w:rPr>
        <w:t> </w:t>
      </w:r>
      <w:r>
        <w:rPr/>
        <w:t>[was] not … legally different from a state of forgetfulness” (at [79]). In this case the erroneous common assumption of parties to a share transfer arose because they had forgotten that valid rights of pre-emption existed in relation to the shares.</w:t>
      </w:r>
    </w:p>
    <w:p>
      <w:pPr>
        <w:pStyle w:val="BodyText"/>
        <w:spacing w:before="7"/>
      </w:pPr>
    </w:p>
    <w:p>
      <w:pPr>
        <w:spacing w:line="235" w:lineRule="auto" w:before="0"/>
        <w:ind w:left="705" w:right="167" w:hanging="541"/>
        <w:jc w:val="both"/>
        <w:rPr>
          <w:rFonts w:ascii="Arial" w:hAnsi="Arial"/>
          <w:i/>
          <w:sz w:val="20"/>
        </w:rPr>
      </w:pPr>
      <w:bookmarkStart w:name="_bookmark1261" w:id="1263"/>
      <w:bookmarkEnd w:id="1263"/>
      <w:r>
        <w:rPr/>
      </w:r>
      <w:hyperlink w:history="true" w:anchor="_bookmark1025">
        <w:r>
          <w:rPr>
            <w:color w:val="005DA1"/>
            <w:position w:val="5"/>
            <w:sz w:val="14"/>
            <w:u w:val="single" w:color="005DA1"/>
          </w:rPr>
          <w:t>632</w:t>
        </w:r>
      </w:hyperlink>
      <w:r>
        <w:rPr>
          <w:position w:val="5"/>
          <w:sz w:val="14"/>
        </w:rPr>
        <w:t>.</w:t>
      </w:r>
      <w:r>
        <w:rPr>
          <w:spacing w:val="40"/>
          <w:position w:val="5"/>
          <w:sz w:val="14"/>
        </w:rPr>
        <w:t>  </w:t>
      </w:r>
      <w:r>
        <w:rPr>
          <w:rFonts w:ascii="Arial" w:hAnsi="Arial"/>
          <w:i/>
          <w:sz w:val="20"/>
        </w:rPr>
        <w:t>Smithkline Beecham plc v Apotex Europe Ltd [2006] EWCA Civ 658, [2007] Ch. 71 </w:t>
      </w:r>
      <w:r>
        <w:rPr>
          <w:sz w:val="20"/>
        </w:rPr>
        <w:t>at [102], where this point was “not disputed” and the concession was evidently approved by the Court;</w:t>
      </w:r>
      <w:r>
        <w:rPr>
          <w:spacing w:val="40"/>
          <w:sz w:val="20"/>
        </w:rPr>
        <w:t> </w:t>
      </w:r>
      <w:r>
        <w:rPr>
          <w:sz w:val="20"/>
        </w:rPr>
        <w:t>cf. </w:t>
      </w:r>
      <w:r>
        <w:rPr>
          <w:rFonts w:ascii="Arial" w:hAnsi="Arial"/>
          <w:i/>
          <w:sz w:val="20"/>
        </w:rPr>
        <w:t>Commercial Union Assurance plc v Sun Alliance Group plc [1992] 1 Lloyd’s Rep. 474, 481 </w:t>
      </w:r>
      <w:r>
        <w:rPr>
          <w:sz w:val="20"/>
        </w:rPr>
        <w:t>where the argument based on estoppel by convention failed as the evidence did not </w:t>
      </w:r>
      <w:r>
        <w:rPr>
          <w:sz w:val="20"/>
        </w:rPr>
        <w:t>“clearly</w:t>
      </w:r>
      <w:r>
        <w:rPr>
          <w:spacing w:val="40"/>
          <w:sz w:val="20"/>
        </w:rPr>
        <w:t> </w:t>
      </w:r>
      <w:r>
        <w:rPr>
          <w:sz w:val="20"/>
        </w:rPr>
        <w:t>and unequivocally establish the agreement of the parties … on the conventional interpretation.” A passage from </w:t>
      </w:r>
      <w:r>
        <w:rPr>
          <w:rFonts w:ascii="Arial" w:hAnsi="Arial"/>
          <w:i/>
          <w:sz w:val="20"/>
        </w:rPr>
        <w:t>Troop v Gibson [1986] 1 E.G.L.R. 1 </w:t>
      </w:r>
      <w:r>
        <w:rPr>
          <w:sz w:val="20"/>
        </w:rPr>
        <w:t>cited in </w:t>
      </w:r>
      <w:r>
        <w:rPr>
          <w:rFonts w:ascii="Arial" w:hAnsi="Arial"/>
          <w:i/>
          <w:sz w:val="20"/>
        </w:rPr>
        <w:t>Baird Textile Holdings Ltd v Marks &amp; Spencer plc [2001] EWCA 274, [2002] 1 All E.R. (Comm) 734 </w:t>
      </w:r>
      <w:r>
        <w:rPr>
          <w:sz w:val="20"/>
        </w:rPr>
        <w:t>at [84] must be read as</w:t>
      </w:r>
      <w:r>
        <w:rPr>
          <w:spacing w:val="40"/>
          <w:sz w:val="20"/>
        </w:rPr>
        <w:t> </w:t>
      </w:r>
      <w:r>
        <w:rPr>
          <w:sz w:val="20"/>
        </w:rPr>
        <w:t>denying the requirement of a representation rather than the quality of clarity of the common assumption: see the reference there to “sufficient clarity and certainty of the common assumption”; cf. ibid., at [38]; cf. the </w:t>
      </w:r>
      <w:r>
        <w:rPr>
          <w:rFonts w:ascii="Arial" w:hAnsi="Arial"/>
          <w:i/>
          <w:sz w:val="20"/>
        </w:rPr>
        <w:t>Republic of Serbia </w:t>
      </w:r>
      <w:r>
        <w:rPr>
          <w:sz w:val="20"/>
        </w:rPr>
        <w:t>case, above n.624, at [71] (“clarity and certainty necessary for a conventional agreement”) and [81] (“with clarity”). The present requirement</w:t>
      </w:r>
      <w:r>
        <w:rPr>
          <w:spacing w:val="30"/>
          <w:sz w:val="20"/>
        </w:rPr>
        <w:t> </w:t>
      </w:r>
      <w:r>
        <w:rPr>
          <w:sz w:val="20"/>
        </w:rPr>
        <w:t>was</w:t>
      </w:r>
      <w:r>
        <w:rPr>
          <w:spacing w:val="30"/>
          <w:sz w:val="20"/>
        </w:rPr>
        <w:t> </w:t>
      </w:r>
      <w:r>
        <w:rPr>
          <w:sz w:val="20"/>
        </w:rPr>
        <w:t>doubted</w:t>
      </w:r>
      <w:r>
        <w:rPr>
          <w:spacing w:val="30"/>
          <w:sz w:val="20"/>
        </w:rPr>
        <w:t> </w:t>
      </w:r>
      <w:r>
        <w:rPr>
          <w:sz w:val="20"/>
        </w:rPr>
        <w:t>in</w:t>
      </w:r>
      <w:r>
        <w:rPr>
          <w:spacing w:val="30"/>
          <w:sz w:val="20"/>
        </w:rPr>
        <w:t> </w:t>
      </w:r>
      <w:r>
        <w:rPr>
          <w:rFonts w:ascii="Arial" w:hAnsi="Arial"/>
          <w:i/>
          <w:sz w:val="20"/>
        </w:rPr>
        <w:t>ING</w:t>
      </w:r>
      <w:r>
        <w:rPr>
          <w:rFonts w:ascii="Arial" w:hAnsi="Arial"/>
          <w:i/>
          <w:spacing w:val="30"/>
          <w:sz w:val="20"/>
        </w:rPr>
        <w:t> </w:t>
      </w:r>
      <w:r>
        <w:rPr>
          <w:rFonts w:ascii="Arial" w:hAnsi="Arial"/>
          <w:i/>
          <w:sz w:val="20"/>
        </w:rPr>
        <w:t>Bank</w:t>
      </w:r>
      <w:r>
        <w:rPr>
          <w:rFonts w:ascii="Arial" w:hAnsi="Arial"/>
          <w:i/>
          <w:spacing w:val="30"/>
          <w:sz w:val="20"/>
        </w:rPr>
        <w:t> </w:t>
      </w:r>
      <w:r>
        <w:rPr>
          <w:rFonts w:ascii="Arial" w:hAnsi="Arial"/>
          <w:i/>
          <w:sz w:val="20"/>
        </w:rPr>
        <w:t>NV</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Ros</w:t>
      </w:r>
      <w:r>
        <w:rPr>
          <w:rFonts w:ascii="Arial" w:hAnsi="Arial"/>
          <w:i/>
          <w:spacing w:val="30"/>
          <w:sz w:val="20"/>
        </w:rPr>
        <w:t> </w:t>
      </w:r>
      <w:r>
        <w:rPr>
          <w:rFonts w:ascii="Arial" w:hAnsi="Arial"/>
          <w:i/>
          <w:sz w:val="20"/>
        </w:rPr>
        <w:t>Roca</w:t>
      </w:r>
      <w:r>
        <w:rPr>
          <w:rFonts w:ascii="Arial" w:hAnsi="Arial"/>
          <w:i/>
          <w:spacing w:val="30"/>
          <w:sz w:val="20"/>
        </w:rPr>
        <w:t> </w:t>
      </w:r>
      <w:r>
        <w:rPr>
          <w:rFonts w:ascii="Arial" w:hAnsi="Arial"/>
          <w:i/>
          <w:sz w:val="20"/>
        </w:rPr>
        <w:t>SA</w:t>
      </w:r>
      <w:r>
        <w:rPr>
          <w:rFonts w:ascii="Arial" w:hAnsi="Arial"/>
          <w:i/>
          <w:spacing w:val="30"/>
          <w:sz w:val="20"/>
        </w:rPr>
        <w:t> </w:t>
      </w:r>
      <w:r>
        <w:rPr>
          <w:rFonts w:ascii="Arial" w:hAnsi="Arial"/>
          <w:i/>
          <w:sz w:val="20"/>
        </w:rPr>
        <w:t>[2011]</w:t>
      </w:r>
      <w:r>
        <w:rPr>
          <w:rFonts w:ascii="Arial" w:hAnsi="Arial"/>
          <w:i/>
          <w:spacing w:val="30"/>
          <w:sz w:val="20"/>
        </w:rPr>
        <w:t> </w:t>
      </w:r>
      <w:r>
        <w:rPr>
          <w:rFonts w:ascii="Arial" w:hAnsi="Arial"/>
          <w:i/>
          <w:sz w:val="20"/>
        </w:rPr>
        <w:t>EWCA</w:t>
      </w:r>
      <w:r>
        <w:rPr>
          <w:rFonts w:ascii="Arial" w:hAnsi="Arial"/>
          <w:i/>
          <w:spacing w:val="30"/>
          <w:sz w:val="20"/>
        </w:rPr>
        <w:t> </w:t>
      </w:r>
      <w:r>
        <w:rPr>
          <w:rFonts w:ascii="Arial" w:hAnsi="Arial"/>
          <w:i/>
          <w:sz w:val="20"/>
        </w:rPr>
        <w:t>Civ</w:t>
      </w:r>
      <w:r>
        <w:rPr>
          <w:rFonts w:ascii="Arial" w:hAnsi="Arial"/>
          <w:i/>
          <w:spacing w:val="30"/>
          <w:sz w:val="20"/>
        </w:rPr>
        <w:t> </w:t>
      </w:r>
      <w:r>
        <w:rPr>
          <w:rFonts w:ascii="Arial" w:hAnsi="Arial"/>
          <w:i/>
          <w:sz w:val="20"/>
        </w:rPr>
        <w:t>353,</w:t>
      </w:r>
      <w:r>
        <w:rPr>
          <w:rFonts w:ascii="Arial" w:hAnsi="Arial"/>
          <w:i/>
          <w:spacing w:val="30"/>
          <w:sz w:val="20"/>
        </w:rPr>
        <w:t> </w:t>
      </w:r>
      <w:r>
        <w:rPr>
          <w:rFonts w:ascii="Arial" w:hAnsi="Arial"/>
          <w:i/>
          <w:sz w:val="20"/>
        </w:rPr>
        <w:t>[2012]</w:t>
      </w:r>
      <w:r>
        <w:rPr>
          <w:rFonts w:ascii="Arial" w:hAnsi="Arial"/>
          <w:i/>
          <w:spacing w:val="30"/>
          <w:sz w:val="20"/>
        </w:rPr>
        <w:t> </w:t>
      </w:r>
      <w:r>
        <w:rPr>
          <w:rFonts w:ascii="Arial" w:hAnsi="Arial"/>
          <w:i/>
          <w:spacing w:val="-10"/>
          <w:sz w:val="20"/>
        </w:rPr>
        <w:t>1</w:t>
      </w:r>
    </w:p>
    <w:p>
      <w:pPr>
        <w:pStyle w:val="BodyText"/>
        <w:spacing w:line="235" w:lineRule="auto"/>
        <w:ind w:left="705" w:right="168"/>
        <w:jc w:val="both"/>
      </w:pPr>
      <w:r>
        <w:rPr>
          <w:rFonts w:ascii="Arial"/>
          <w:i/>
        </w:rPr>
        <w:t>W.L.R. 472 </w:t>
      </w:r>
      <w:r>
        <w:rPr/>
        <w:t>at [64(iii)] but, as only one of the authorities cited in this note (viz. </w:t>
      </w:r>
      <w:r>
        <w:rPr>
          <w:rFonts w:ascii="Arial"/>
          <w:i/>
        </w:rPr>
        <w:t>Troop v </w:t>
      </w:r>
      <w:r>
        <w:rPr>
          <w:rFonts w:ascii="Arial"/>
          <w:i/>
        </w:rPr>
        <w:t>Gibson</w:t>
      </w:r>
      <w:r>
        <w:rPr/>
        <w:t>) was, in this context, drawn to the attention of the Court of Appeal in the </w:t>
      </w:r>
      <w:r>
        <w:rPr>
          <w:rFonts w:ascii="Arial"/>
          <w:i/>
        </w:rPr>
        <w:t>ING </w:t>
      </w:r>
      <w:r>
        <w:rPr/>
        <w:t>case, the doubt there expressed may call for further consideration.</w:t>
      </w:r>
    </w:p>
    <w:p>
      <w:pPr>
        <w:pStyle w:val="BodyText"/>
        <w:spacing w:before="4"/>
      </w:pPr>
    </w:p>
    <w:p>
      <w:pPr>
        <w:pStyle w:val="BodyText"/>
        <w:spacing w:line="235" w:lineRule="auto"/>
        <w:ind w:left="705" w:right="167" w:hanging="541"/>
        <w:jc w:val="both"/>
      </w:pPr>
      <w:bookmarkStart w:name="_bookmark1262" w:id="1264"/>
      <w:bookmarkEnd w:id="1264"/>
      <w:r>
        <w:rPr/>
      </w:r>
      <w:hyperlink w:history="true" w:anchor="_bookmark1026">
        <w:r>
          <w:rPr>
            <w:color w:val="005DA1"/>
            <w:position w:val="5"/>
            <w:sz w:val="14"/>
            <w:u w:val="single" w:color="005DA1"/>
          </w:rPr>
          <w:t>633</w:t>
        </w:r>
      </w:hyperlink>
      <w:r>
        <w:rPr>
          <w:position w:val="5"/>
          <w:sz w:val="14"/>
        </w:rPr>
        <w:t>.</w:t>
      </w:r>
      <w:r>
        <w:rPr>
          <w:spacing w:val="80"/>
          <w:position w:val="5"/>
          <w:sz w:val="14"/>
        </w:rPr>
        <w:t>  </w:t>
      </w:r>
      <w:r>
        <w:rPr/>
        <w:t>See </w:t>
      </w:r>
      <w:r>
        <w:rPr>
          <w:rFonts w:ascii="Arial" w:hAnsi="Arial"/>
          <w:i/>
        </w:rPr>
        <w:t>Menolly Investments 3 SARL v Cemp SARL [2009] EWHC 516 (Ch), 125 Con. L.R. 75 </w:t>
      </w:r>
      <w:r>
        <w:rPr/>
        <w:t>where the estoppel was said to have been based on the fact that the party allegedly estopped had “represented … that practical completion [of building works] had been achieved” (at [153(g)]) or on both parties having “conducted themselves on a common understanding </w:t>
      </w:r>
      <w:r>
        <w:rPr/>
        <w:t>or convention” to that effect (at [153h]); see also [184], where “[154]” seems to be a misprint for “[153]”. The further reference to “promissory” estoppel at [154] is puzzling since, insofar as the estoppel was based on a representation, that representation (as quoted above) was one of existing fact rather than one amounting to a promise (see above, para.4-104). The further point that the estoppel was said to arise from failure to perform “a duty to speak out” (at [184]) can be explained that the case fell within one of the “exceptional circumstances” in which estoppel by representation can arise from non-disclosure, as opposed to a positive representation (below, </w:t>
      </w:r>
      <w:r>
        <w:rPr>
          <w:spacing w:val="-2"/>
        </w:rPr>
        <w:t>para.7-103).</w:t>
      </w:r>
    </w:p>
    <w:p>
      <w:pPr>
        <w:pStyle w:val="BodyText"/>
        <w:spacing w:before="2"/>
      </w:pPr>
    </w:p>
    <w:p>
      <w:pPr>
        <w:tabs>
          <w:tab w:pos="705" w:val="left" w:leader="none"/>
        </w:tabs>
        <w:spacing w:before="0"/>
        <w:ind w:left="165" w:right="0" w:firstLine="0"/>
        <w:jc w:val="left"/>
        <w:rPr>
          <w:sz w:val="20"/>
        </w:rPr>
      </w:pPr>
      <w:bookmarkStart w:name="_bookmark1263" w:id="1265"/>
      <w:bookmarkEnd w:id="1265"/>
      <w:r>
        <w:rPr/>
      </w:r>
      <w:hyperlink w:history="true" w:anchor="_bookmark1027">
        <w:r>
          <w:rPr>
            <w:color w:val="005DA1"/>
            <w:spacing w:val="-4"/>
            <w:position w:val="5"/>
            <w:sz w:val="14"/>
            <w:u w:val="single" w:color="005DA1"/>
          </w:rPr>
          <w:t>634</w:t>
        </w:r>
      </w:hyperlink>
      <w:r>
        <w:rPr>
          <w:spacing w:val="-4"/>
          <w:position w:val="5"/>
          <w:sz w:val="14"/>
        </w:rPr>
        <w:t>.</w:t>
      </w:r>
      <w:r>
        <w:rPr>
          <w:position w:val="5"/>
          <w:sz w:val="14"/>
        </w:rPr>
        <w:tab/>
      </w:r>
      <w:r>
        <w:rPr>
          <w:rFonts w:ascii="Arial"/>
          <w:i/>
          <w:sz w:val="20"/>
        </w:rPr>
        <w:t>Colchester BC v Smith [1992] Ch. 421, </w:t>
      </w:r>
      <w:r>
        <w:rPr>
          <w:rFonts w:ascii="Arial"/>
          <w:i/>
          <w:spacing w:val="-4"/>
          <w:sz w:val="20"/>
        </w:rPr>
        <w:t>434</w:t>
      </w:r>
      <w:r>
        <w:rPr>
          <w:spacing w:val="-4"/>
          <w:sz w:val="20"/>
        </w:rPr>
        <w:t>.</w:t>
      </w:r>
    </w:p>
    <w:p>
      <w:pPr>
        <w:pStyle w:val="BodyText"/>
        <w:spacing w:before="5"/>
      </w:pPr>
    </w:p>
    <w:p>
      <w:pPr>
        <w:pStyle w:val="BodyText"/>
        <w:tabs>
          <w:tab w:pos="705" w:val="left" w:leader="none"/>
        </w:tabs>
        <w:ind w:left="165"/>
      </w:pPr>
      <w:bookmarkStart w:name="_bookmark1264" w:id="1266"/>
      <w:bookmarkEnd w:id="1266"/>
      <w:r>
        <w:rPr/>
      </w:r>
      <w:hyperlink w:history="true" w:anchor="_bookmark1028">
        <w:r>
          <w:rPr>
            <w:color w:val="005DA1"/>
            <w:spacing w:val="-4"/>
            <w:position w:val="5"/>
            <w:sz w:val="14"/>
            <w:u w:val="single" w:color="005DA1"/>
          </w:rPr>
          <w:t>635</w:t>
        </w:r>
      </w:hyperlink>
      <w:r>
        <w:rPr>
          <w:spacing w:val="-4"/>
          <w:position w:val="5"/>
          <w:sz w:val="14"/>
        </w:rPr>
        <w:t>.</w:t>
      </w:r>
      <w:r>
        <w:rPr>
          <w:position w:val="5"/>
          <w:sz w:val="14"/>
        </w:rPr>
        <w:tab/>
      </w:r>
      <w:r>
        <w:rPr/>
        <w:t>Above,</w:t>
      </w:r>
      <w:r>
        <w:rPr>
          <w:spacing w:val="-2"/>
        </w:rPr>
        <w:t> </w:t>
      </w:r>
      <w:r>
        <w:rPr/>
        <w:t>paras 4-048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1265" w:id="1267"/>
      <w:bookmarkEnd w:id="1267"/>
      <w:r>
        <w:rPr/>
      </w:r>
      <w:hyperlink w:history="true" w:anchor="_bookmark1028">
        <w:r>
          <w:rPr>
            <w:color w:val="005DA1"/>
            <w:spacing w:val="-4"/>
            <w:position w:val="5"/>
            <w:sz w:val="14"/>
            <w:u w:val="single" w:color="005DA1"/>
          </w:rPr>
          <w:t>636</w:t>
        </w:r>
      </w:hyperlink>
      <w:r>
        <w:rPr>
          <w:spacing w:val="-4"/>
          <w:position w:val="5"/>
          <w:sz w:val="14"/>
        </w:rPr>
        <w:t>.</w:t>
      </w:r>
      <w:r>
        <w:rPr>
          <w:position w:val="5"/>
          <w:sz w:val="14"/>
        </w:rPr>
        <w:tab/>
      </w:r>
      <w:r>
        <w:rPr>
          <w:rFonts w:ascii="Arial"/>
          <w:i/>
          <w:sz w:val="20"/>
        </w:rPr>
        <w:t>Colchester</w:t>
      </w:r>
      <w:r>
        <w:rPr>
          <w:rFonts w:ascii="Arial"/>
          <w:i/>
          <w:spacing w:val="-1"/>
          <w:sz w:val="20"/>
        </w:rPr>
        <w:t> </w:t>
      </w:r>
      <w:r>
        <w:rPr>
          <w:rFonts w:ascii="Arial"/>
          <w:i/>
          <w:sz w:val="20"/>
        </w:rPr>
        <w:t>BC v Smith</w:t>
      </w:r>
      <w:r>
        <w:rPr>
          <w:sz w:val="20"/>
        </w:rPr>
        <w:t>, above, at </w:t>
      </w:r>
      <w:r>
        <w:rPr>
          <w:spacing w:val="-4"/>
          <w:sz w:val="20"/>
        </w:rPr>
        <w:t>435.</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7280">
            <wp:simplePos x="0" y="0"/>
            <wp:positionH relativeFrom="page">
              <wp:posOffset>1257846</wp:posOffset>
            </wp:positionH>
            <wp:positionV relativeFrom="paragraph">
              <wp:posOffset>160307</wp:posOffset>
            </wp:positionV>
            <wp:extent cx="107988" cy="107988"/>
            <wp:effectExtent l="0" t="0" r="0" b="0"/>
            <wp:wrapNone/>
            <wp:docPr id="207" name="Image 207"/>
            <wp:cNvGraphicFramePr>
              <a:graphicFrameLocks/>
            </wp:cNvGraphicFramePr>
            <a:graphic>
              <a:graphicData uri="http://schemas.openxmlformats.org/drawingml/2006/picture">
                <pic:pic>
                  <pic:nvPicPr>
                    <pic:cNvPr id="207" name="Image 20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266" w:id="1268"/>
      <w:bookmarkEnd w:id="1268"/>
      <w:r>
        <w:rPr/>
      </w:r>
      <w:hyperlink w:history="true" w:anchor="_bookmark1029">
        <w:r>
          <w:rPr>
            <w:color w:val="005DA1"/>
            <w:spacing w:val="-4"/>
            <w:sz w:val="14"/>
            <w:u w:val="single" w:color="005DA1"/>
          </w:rPr>
          <w:t>637</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Briggs v Gleeds (Head Office) [2014] EWHC 1178 (Ch), [2015] 1 All E.R. 553 </w:t>
      </w:r>
      <w:r>
        <w:rPr>
          <w:sz w:val="20"/>
        </w:rPr>
        <w:t>at [179]. </w:t>
      </w:r>
      <w:r>
        <w:rPr>
          <w:sz w:val="20"/>
        </w:rPr>
        <w:t>Cf. </w:t>
      </w:r>
      <w:r>
        <w:rPr>
          <w:rFonts w:ascii="Arial" w:hAnsi="Arial"/>
          <w:i/>
          <w:sz w:val="20"/>
        </w:rPr>
        <w:t>Finmoon Ltd v Baltic Reefers Management Ltd [2012] EWHC 920 (Comm), [2012] 2 Lloyd’s Rep. 388 </w:t>
      </w:r>
      <w:r>
        <w:rPr>
          <w:sz w:val="20"/>
        </w:rPr>
        <w:t>where, as a “contract by conduct” had come into existence (see above, para.2-029) it was “not necessary to determine” an issue relating to estoppel by convention: see at [21], [37]. In </w:t>
      </w:r>
      <w:r>
        <w:rPr>
          <w:rFonts w:ascii="Arial" w:hAnsi="Arial"/>
          <w:i/>
          <w:sz w:val="20"/>
        </w:rPr>
        <w:t>Dixon v Blindley Heath Investments Ltd [2015] EWCA Civ 1023, [2017] 3 W.L.R. 166 </w:t>
      </w:r>
      <w:r>
        <w:rPr>
          <w:sz w:val="20"/>
        </w:rPr>
        <w:t>the Court of Appeal did “not think that there must be expression of accord” and that the common assumption could be “inferred from conduct, or even silence … ” (at [92]), though this view did not dispense with the requirement, discussed in Main Work, Vol.I, para.4-110, that “something must be shown to have ‘crossed the line’ to manifest an assent to the assumption” (at [92]). “Silence”, could it seems, only satisfy this requirement in cases where the party alleged to be estopped was under a “duty to speak”, as, for example in </w:t>
      </w:r>
      <w:r>
        <w:rPr>
          <w:rFonts w:ascii="Arial" w:hAnsi="Arial"/>
          <w:i/>
          <w:sz w:val="20"/>
        </w:rPr>
        <w:t>Process Components Ltd v Kason Kek-Gardner Ltd [2016] EWHC 2198 (Ch) </w:t>
      </w:r>
      <w:r>
        <w:rPr>
          <w:sz w:val="20"/>
        </w:rPr>
        <w:t>: see at [129]-[132].</w:t>
      </w:r>
    </w:p>
    <w:p>
      <w:pPr>
        <w:spacing w:after="0" w:line="235" w:lineRule="auto"/>
        <w:jc w:val="both"/>
        <w:rPr>
          <w:sz w:val="20"/>
        </w:rPr>
        <w:sectPr>
          <w:type w:val="continuous"/>
          <w:pgSz w:w="11900" w:h="16840"/>
          <w:pgMar w:header="971" w:footer="0" w:top="3760" w:bottom="280" w:left="1275" w:right="1275"/>
          <w:cols w:num="2" w:equalWidth="0">
            <w:col w:w="478" w:space="63"/>
            <w:col w:w="8809"/>
          </w:cols>
        </w:sectPr>
      </w:pPr>
    </w:p>
    <w:p>
      <w:pPr>
        <w:pStyle w:val="BodyText"/>
        <w:spacing w:before="5"/>
      </w:pPr>
    </w:p>
    <w:p>
      <w:pPr>
        <w:spacing w:line="235" w:lineRule="auto" w:before="0"/>
        <w:ind w:left="705" w:right="167" w:hanging="541"/>
        <w:jc w:val="both"/>
        <w:rPr>
          <w:sz w:val="20"/>
        </w:rPr>
      </w:pPr>
      <w:bookmarkStart w:name="_bookmark1267" w:id="1269"/>
      <w:bookmarkEnd w:id="1269"/>
      <w:r>
        <w:rPr/>
      </w:r>
      <w:hyperlink w:history="true" w:anchor="_bookmark1030">
        <w:r>
          <w:rPr>
            <w:color w:val="005DA1"/>
            <w:position w:val="5"/>
            <w:sz w:val="14"/>
            <w:u w:val="single" w:color="005DA1"/>
          </w:rPr>
          <w:t>638</w:t>
        </w:r>
      </w:hyperlink>
      <w:r>
        <w:rPr>
          <w:position w:val="5"/>
          <w:sz w:val="14"/>
        </w:rPr>
        <w:t>.</w:t>
      </w:r>
      <w:r>
        <w:rPr>
          <w:spacing w:val="40"/>
          <w:position w:val="5"/>
          <w:sz w:val="14"/>
        </w:rPr>
        <w:t>  </w:t>
      </w:r>
      <w:r>
        <w:rPr>
          <w:rFonts w:ascii="Arial" w:hAnsi="Arial"/>
          <w:i/>
          <w:sz w:val="20"/>
        </w:rPr>
        <w:t>[1982] Q.B. 84</w:t>
      </w:r>
      <w:r>
        <w:rPr>
          <w:sz w:val="20"/>
        </w:rPr>
        <w:t>. See also </w:t>
      </w:r>
      <w:r>
        <w:rPr>
          <w:rFonts w:ascii="Arial" w:hAnsi="Arial"/>
          <w:i/>
          <w:sz w:val="20"/>
        </w:rPr>
        <w:t>Astilleros Canarios SA v Cape Hatteras Shipping Co SA [1982] 1 Lloyd’s Rep. 518, 527</w:t>
      </w:r>
      <w:r>
        <w:rPr>
          <w:sz w:val="20"/>
        </w:rPr>
        <w:t>; </w:t>
      </w:r>
      <w:r>
        <w:rPr>
          <w:rFonts w:ascii="Arial" w:hAnsi="Arial"/>
          <w:i/>
          <w:sz w:val="20"/>
        </w:rPr>
        <w:t>Mears Limited v Shoreline Housing Partnership Limited [2015] EWHC 1396 (TCC) </w:t>
      </w:r>
      <w:r>
        <w:rPr>
          <w:sz w:val="20"/>
        </w:rPr>
        <w:t>at [51].</w:t>
      </w:r>
    </w:p>
    <w:p>
      <w:pPr>
        <w:spacing w:after="0" w:line="235" w:lineRule="auto"/>
        <w:jc w:val="both"/>
        <w:rPr>
          <w:sz w:val="20"/>
        </w:rPr>
        <w:sectPr>
          <w:type w:val="continuous"/>
          <w:pgSz w:w="11900" w:h="16840"/>
          <w:pgMar w:header="971" w:footer="0" w:top="3760" w:bottom="280" w:left="1275" w:right="1275"/>
        </w:sectPr>
      </w:pPr>
    </w:p>
    <w:p>
      <w:pPr>
        <w:pStyle w:val="BodyText"/>
        <w:spacing w:before="84"/>
      </w:pPr>
    </w:p>
    <w:p>
      <w:pPr>
        <w:tabs>
          <w:tab w:pos="705" w:val="left" w:leader="none"/>
        </w:tabs>
        <w:spacing w:line="235" w:lineRule="auto" w:before="1"/>
        <w:ind w:left="705" w:right="168" w:hanging="541"/>
        <w:jc w:val="left"/>
        <w:rPr>
          <w:sz w:val="20"/>
        </w:rPr>
      </w:pPr>
      <w:hyperlink w:history="true" w:anchor="_bookmark1031">
        <w:r>
          <w:rPr>
            <w:color w:val="005DA1"/>
            <w:spacing w:val="-4"/>
            <w:position w:val="5"/>
            <w:sz w:val="14"/>
            <w:u w:val="single" w:color="005DA1"/>
          </w:rPr>
          <w:t>639</w:t>
        </w:r>
      </w:hyperlink>
      <w:r>
        <w:rPr>
          <w:spacing w:val="-4"/>
          <w:position w:val="5"/>
          <w:sz w:val="14"/>
        </w:rPr>
        <w:t>.</w:t>
      </w:r>
      <w:r>
        <w:rPr>
          <w:position w:val="5"/>
          <w:sz w:val="14"/>
        </w:rPr>
        <w:tab/>
      </w:r>
      <w:r>
        <w:rPr>
          <w:sz w:val="20"/>
        </w:rPr>
        <w:t>cf.</w:t>
      </w:r>
      <w:r>
        <w:rPr>
          <w:spacing w:val="27"/>
          <w:sz w:val="20"/>
        </w:rPr>
        <w:t> </w:t>
      </w:r>
      <w:r>
        <w:rPr>
          <w:sz w:val="20"/>
        </w:rPr>
        <w:t>on</w:t>
      </w:r>
      <w:r>
        <w:rPr>
          <w:spacing w:val="27"/>
          <w:sz w:val="20"/>
        </w:rPr>
        <w:t> </w:t>
      </w:r>
      <w:r>
        <w:rPr>
          <w:sz w:val="20"/>
        </w:rPr>
        <w:t>the</w:t>
      </w:r>
      <w:r>
        <w:rPr>
          <w:spacing w:val="27"/>
          <w:sz w:val="20"/>
        </w:rPr>
        <w:t> </w:t>
      </w:r>
      <w:r>
        <w:rPr>
          <w:sz w:val="20"/>
        </w:rPr>
        <w:t>issue</w:t>
      </w:r>
      <w:r>
        <w:rPr>
          <w:spacing w:val="27"/>
          <w:sz w:val="20"/>
        </w:rPr>
        <w:t> </w:t>
      </w:r>
      <w:r>
        <w:rPr>
          <w:sz w:val="20"/>
        </w:rPr>
        <w:t>of</w:t>
      </w:r>
      <w:r>
        <w:rPr>
          <w:spacing w:val="27"/>
          <w:sz w:val="20"/>
        </w:rPr>
        <w:t> </w:t>
      </w:r>
      <w:r>
        <w:rPr>
          <w:sz w:val="20"/>
        </w:rPr>
        <w:t>construction,</w:t>
      </w:r>
      <w:r>
        <w:rPr>
          <w:spacing w:val="26"/>
          <w:sz w:val="20"/>
        </w:rPr>
        <w:t> </w:t>
      </w:r>
      <w:r>
        <w:rPr>
          <w:rFonts w:ascii="Arial"/>
          <w:i/>
          <w:sz w:val="20"/>
        </w:rPr>
        <w:t>TCB</w:t>
      </w:r>
      <w:r>
        <w:rPr>
          <w:rFonts w:ascii="Arial"/>
          <w:i/>
          <w:spacing w:val="27"/>
          <w:sz w:val="20"/>
        </w:rPr>
        <w:t> </w:t>
      </w:r>
      <w:r>
        <w:rPr>
          <w:rFonts w:ascii="Arial"/>
          <w:i/>
          <w:sz w:val="20"/>
        </w:rPr>
        <w:t>Ltd</w:t>
      </w:r>
      <w:r>
        <w:rPr>
          <w:rFonts w:ascii="Arial"/>
          <w:i/>
          <w:spacing w:val="27"/>
          <w:sz w:val="20"/>
        </w:rPr>
        <w:t> </w:t>
      </w:r>
      <w:r>
        <w:rPr>
          <w:rFonts w:ascii="Arial"/>
          <w:i/>
          <w:sz w:val="20"/>
        </w:rPr>
        <w:t>v</w:t>
      </w:r>
      <w:r>
        <w:rPr>
          <w:rFonts w:ascii="Arial"/>
          <w:i/>
          <w:spacing w:val="27"/>
          <w:sz w:val="20"/>
        </w:rPr>
        <w:t> </w:t>
      </w:r>
      <w:r>
        <w:rPr>
          <w:rFonts w:ascii="Arial"/>
          <w:i/>
          <w:sz w:val="20"/>
        </w:rPr>
        <w:t>Gray</w:t>
      </w:r>
      <w:r>
        <w:rPr>
          <w:rFonts w:ascii="Arial"/>
          <w:i/>
          <w:spacing w:val="27"/>
          <w:sz w:val="20"/>
        </w:rPr>
        <w:t> </w:t>
      </w:r>
      <w:r>
        <w:rPr>
          <w:rFonts w:ascii="Arial"/>
          <w:i/>
          <w:sz w:val="20"/>
        </w:rPr>
        <w:t>[1987]</w:t>
      </w:r>
      <w:r>
        <w:rPr>
          <w:rFonts w:ascii="Arial"/>
          <w:i/>
          <w:spacing w:val="27"/>
          <w:sz w:val="20"/>
        </w:rPr>
        <w:t> </w:t>
      </w:r>
      <w:r>
        <w:rPr>
          <w:rFonts w:ascii="Arial"/>
          <w:i/>
          <w:sz w:val="20"/>
        </w:rPr>
        <w:t>Ch.</w:t>
      </w:r>
      <w:r>
        <w:rPr>
          <w:rFonts w:ascii="Arial"/>
          <w:i/>
          <w:spacing w:val="27"/>
          <w:sz w:val="20"/>
        </w:rPr>
        <w:t> </w:t>
      </w:r>
      <w:r>
        <w:rPr>
          <w:rFonts w:ascii="Arial"/>
          <w:i/>
          <w:sz w:val="20"/>
        </w:rPr>
        <w:t>458</w:t>
      </w:r>
      <w:r>
        <w:rPr>
          <w:sz w:val="20"/>
        </w:rPr>
        <w:t>;</w:t>
      </w:r>
      <w:r>
        <w:rPr>
          <w:spacing w:val="27"/>
          <w:sz w:val="20"/>
        </w:rPr>
        <w:t> </w:t>
      </w:r>
      <w:r>
        <w:rPr>
          <w:rFonts w:ascii="Arial"/>
          <w:i/>
          <w:sz w:val="20"/>
        </w:rPr>
        <w:t>Bank</w:t>
      </w:r>
      <w:r>
        <w:rPr>
          <w:rFonts w:ascii="Arial"/>
          <w:i/>
          <w:spacing w:val="27"/>
          <w:sz w:val="20"/>
        </w:rPr>
        <w:t> </w:t>
      </w:r>
      <w:r>
        <w:rPr>
          <w:rFonts w:ascii="Arial"/>
          <w:i/>
          <w:sz w:val="20"/>
        </w:rPr>
        <w:t>of</w:t>
      </w:r>
      <w:r>
        <w:rPr>
          <w:rFonts w:ascii="Arial"/>
          <w:i/>
          <w:spacing w:val="27"/>
          <w:sz w:val="20"/>
        </w:rPr>
        <w:t> </w:t>
      </w:r>
      <w:r>
        <w:rPr>
          <w:rFonts w:ascii="Arial"/>
          <w:i/>
          <w:sz w:val="20"/>
        </w:rPr>
        <w:t>Scotland</w:t>
      </w:r>
      <w:r>
        <w:rPr>
          <w:rFonts w:ascii="Arial"/>
          <w:i/>
          <w:spacing w:val="27"/>
          <w:sz w:val="20"/>
        </w:rPr>
        <w:t> </w:t>
      </w:r>
      <w:r>
        <w:rPr>
          <w:rFonts w:ascii="Arial"/>
          <w:i/>
          <w:sz w:val="20"/>
        </w:rPr>
        <w:t>v</w:t>
      </w:r>
      <w:r>
        <w:rPr>
          <w:rFonts w:ascii="Arial"/>
          <w:i/>
          <w:spacing w:val="27"/>
          <w:sz w:val="20"/>
        </w:rPr>
        <w:t> </w:t>
      </w:r>
      <w:r>
        <w:rPr>
          <w:rFonts w:ascii="Arial"/>
          <w:i/>
          <w:sz w:val="20"/>
        </w:rPr>
        <w:t>Wright [1990] B.C.C. 663</w:t>
      </w:r>
      <w:r>
        <w:rPr>
          <w:sz w:val="20"/>
        </w:rPr>
        <w:t>.</w:t>
      </w:r>
    </w:p>
    <w:p>
      <w:pPr>
        <w:pStyle w:val="BodyText"/>
        <w:spacing w:before="9"/>
      </w:pPr>
    </w:p>
    <w:p>
      <w:pPr>
        <w:spacing w:line="235" w:lineRule="auto" w:before="0"/>
        <w:ind w:left="705" w:right="167" w:hanging="541"/>
        <w:jc w:val="both"/>
        <w:rPr>
          <w:sz w:val="20"/>
        </w:rPr>
      </w:pPr>
      <w:bookmarkStart w:name="_bookmark1268" w:id="1270"/>
      <w:bookmarkEnd w:id="1270"/>
      <w:r>
        <w:rPr/>
      </w:r>
      <w:hyperlink w:history="true" w:anchor="_bookmark1032">
        <w:r>
          <w:rPr>
            <w:color w:val="005DA1"/>
            <w:position w:val="5"/>
            <w:sz w:val="14"/>
            <w:u w:val="single" w:color="005DA1"/>
          </w:rPr>
          <w:t>640</w:t>
        </w:r>
      </w:hyperlink>
      <w:r>
        <w:rPr>
          <w:position w:val="5"/>
          <w:sz w:val="14"/>
        </w:rPr>
        <w:t>.</w:t>
      </w:r>
      <w:r>
        <w:rPr>
          <w:spacing w:val="80"/>
          <w:position w:val="5"/>
          <w:sz w:val="14"/>
        </w:rPr>
        <w:t>  </w:t>
      </w:r>
      <w:r>
        <w:rPr>
          <w:sz w:val="20"/>
        </w:rPr>
        <w:t>Contrast </w:t>
      </w:r>
      <w:r>
        <w:rPr>
          <w:rFonts w:ascii="Arial" w:hAnsi="Arial"/>
          <w:i/>
          <w:sz w:val="20"/>
        </w:rPr>
        <w:t>Crédit Suisse v Allerdale BC [1996] 2 Lloyd’s Rep. 315, 367</w:t>
      </w:r>
      <w:r>
        <w:rPr>
          <w:sz w:val="20"/>
        </w:rPr>
        <w:t>, where this requirement was not satisfied as the conduct of the party alleged to be estopped had not “influenced the mind” of the other party; the decision was affirmed on other grounds </w:t>
      </w:r>
      <w:r>
        <w:rPr>
          <w:rFonts w:ascii="Arial" w:hAnsi="Arial"/>
          <w:i/>
          <w:sz w:val="20"/>
        </w:rPr>
        <w:t>[1997] Q.B. 362</w:t>
      </w:r>
      <w:r>
        <w:rPr>
          <w:sz w:val="20"/>
        </w:rPr>
        <w:t>.</w:t>
      </w:r>
    </w:p>
    <w:p>
      <w:pPr>
        <w:pStyle w:val="BodyText"/>
        <w:spacing w:before="9"/>
      </w:pPr>
    </w:p>
    <w:p>
      <w:pPr>
        <w:pStyle w:val="BodyText"/>
        <w:spacing w:line="235" w:lineRule="auto"/>
        <w:ind w:left="705" w:right="167" w:hanging="541"/>
        <w:jc w:val="both"/>
      </w:pPr>
      <w:bookmarkStart w:name="_bookmark1269" w:id="1271"/>
      <w:bookmarkEnd w:id="1271"/>
      <w:r>
        <w:rPr/>
      </w:r>
      <w:hyperlink w:history="true" w:anchor="_bookmark1033">
        <w:r>
          <w:rPr>
            <w:color w:val="005DA1"/>
            <w:position w:val="5"/>
            <w:sz w:val="14"/>
            <w:u w:val="single" w:color="005DA1"/>
          </w:rPr>
          <w:t>641</w:t>
        </w:r>
      </w:hyperlink>
      <w:r>
        <w:rPr>
          <w:position w:val="5"/>
          <w:sz w:val="14"/>
        </w:rPr>
        <w:t>.</w:t>
      </w:r>
      <w:r>
        <w:rPr>
          <w:spacing w:val="80"/>
          <w:position w:val="5"/>
          <w:sz w:val="14"/>
        </w:rPr>
        <w:t>  </w:t>
      </w:r>
      <w:r>
        <w:rPr/>
        <w:t>A</w:t>
      </w:r>
      <w:r>
        <w:rPr>
          <w:spacing w:val="14"/>
        </w:rPr>
        <w:t> </w:t>
      </w:r>
      <w:r>
        <w:rPr/>
        <w:t>dictum</w:t>
      </w:r>
      <w:r>
        <w:rPr>
          <w:spacing w:val="14"/>
        </w:rPr>
        <w:t> </w:t>
      </w:r>
      <w:r>
        <w:rPr/>
        <w:t>in</w:t>
      </w:r>
      <w:r>
        <w:rPr>
          <w:spacing w:val="14"/>
        </w:rPr>
        <w:t> </w:t>
      </w:r>
      <w:r>
        <w:rPr/>
        <w:t>the</w:t>
      </w:r>
      <w:r>
        <w:rPr>
          <w:spacing w:val="14"/>
        </w:rPr>
        <w:t> </w:t>
      </w:r>
      <w:r>
        <w:rPr>
          <w:rFonts w:ascii="Arial" w:hAnsi="Arial"/>
          <w:i/>
        </w:rPr>
        <w:t>Crédit</w:t>
      </w:r>
      <w:r>
        <w:rPr>
          <w:rFonts w:ascii="Arial" w:hAnsi="Arial"/>
          <w:i/>
          <w:spacing w:val="14"/>
        </w:rPr>
        <w:t> </w:t>
      </w:r>
      <w:r>
        <w:rPr>
          <w:rFonts w:ascii="Arial" w:hAnsi="Arial"/>
          <w:i/>
        </w:rPr>
        <w:t>Suisse</w:t>
      </w:r>
      <w:r>
        <w:rPr>
          <w:rFonts w:ascii="Arial" w:hAnsi="Arial"/>
          <w:i/>
          <w:spacing w:val="14"/>
        </w:rPr>
        <w:t> </w:t>
      </w:r>
      <w:r>
        <w:rPr/>
        <w:t>case,</w:t>
      </w:r>
      <w:r>
        <w:rPr>
          <w:spacing w:val="14"/>
        </w:rPr>
        <w:t> </w:t>
      </w:r>
      <w:r>
        <w:rPr/>
        <w:t>above</w:t>
      </w:r>
      <w:r>
        <w:rPr>
          <w:spacing w:val="14"/>
        </w:rPr>
        <w:t> </w:t>
      </w:r>
      <w:r>
        <w:rPr/>
        <w:t>n.633</w:t>
      </w:r>
      <w:r>
        <w:rPr>
          <w:spacing w:val="14"/>
        </w:rPr>
        <w:t> </w:t>
      </w:r>
      <w:r>
        <w:rPr/>
        <w:t>at</w:t>
      </w:r>
      <w:r>
        <w:rPr>
          <w:spacing w:val="14"/>
        </w:rPr>
        <w:t> </w:t>
      </w:r>
      <w:r>
        <w:rPr/>
        <w:t>367</w:t>
      </w:r>
      <w:r>
        <w:rPr>
          <w:spacing w:val="14"/>
        </w:rPr>
        <w:t> </w:t>
      </w:r>
      <w:r>
        <w:rPr/>
        <w:t>which</w:t>
      </w:r>
      <w:r>
        <w:rPr>
          <w:spacing w:val="14"/>
        </w:rPr>
        <w:t> </w:t>
      </w:r>
      <w:r>
        <w:rPr/>
        <w:t>appears</w:t>
      </w:r>
      <w:r>
        <w:rPr>
          <w:spacing w:val="14"/>
        </w:rPr>
        <w:t> </w:t>
      </w:r>
      <w:r>
        <w:rPr/>
        <w:t>to</w:t>
      </w:r>
      <w:r>
        <w:rPr>
          <w:spacing w:val="14"/>
        </w:rPr>
        <w:t> </w:t>
      </w:r>
      <w:r>
        <w:rPr/>
        <w:t>treat</w:t>
      </w:r>
      <w:r>
        <w:rPr>
          <w:spacing w:val="14"/>
        </w:rPr>
        <w:t> </w:t>
      </w:r>
      <w:r>
        <w:rPr/>
        <w:t>representation as a requirement of estoppel by convention is, with respect, inconsistent with the treatment of that doctrine in the </w:t>
      </w:r>
      <w:r>
        <w:rPr>
          <w:rFonts w:ascii="Arial" w:hAnsi="Arial"/>
          <w:i/>
        </w:rPr>
        <w:t>Amalgamated Investment </w:t>
      </w:r>
      <w:r>
        <w:rPr/>
        <w:t>case.</w:t>
      </w:r>
    </w:p>
    <w:p>
      <w:pPr>
        <w:pStyle w:val="BodyText"/>
        <w:spacing w:before="9"/>
      </w:pPr>
    </w:p>
    <w:p>
      <w:pPr>
        <w:spacing w:line="235" w:lineRule="auto" w:before="0"/>
        <w:ind w:left="705" w:right="167" w:hanging="541"/>
        <w:jc w:val="both"/>
        <w:rPr>
          <w:sz w:val="20"/>
        </w:rPr>
      </w:pPr>
      <w:bookmarkStart w:name="_bookmark1270" w:id="1272"/>
      <w:bookmarkEnd w:id="1272"/>
      <w:r>
        <w:rPr/>
      </w:r>
      <w:hyperlink w:history="true" w:anchor="_bookmark1034">
        <w:r>
          <w:rPr>
            <w:color w:val="005DA1"/>
            <w:position w:val="5"/>
            <w:sz w:val="14"/>
            <w:u w:val="single" w:color="005DA1"/>
          </w:rPr>
          <w:t>642</w:t>
        </w:r>
      </w:hyperlink>
      <w:r>
        <w:rPr>
          <w:position w:val="5"/>
          <w:sz w:val="14"/>
        </w:rPr>
        <w:t>.</w:t>
      </w:r>
      <w:r>
        <w:rPr>
          <w:spacing w:val="40"/>
          <w:position w:val="5"/>
          <w:sz w:val="14"/>
        </w:rPr>
        <w:t>  </w:t>
      </w:r>
      <w:r>
        <w:rPr>
          <w:sz w:val="20"/>
        </w:rPr>
        <w:t>cf. </w:t>
      </w:r>
      <w:r>
        <w:rPr>
          <w:rFonts w:ascii="Arial" w:hAnsi="Arial"/>
          <w:i/>
          <w:sz w:val="20"/>
        </w:rPr>
        <w:t>Government of Swaziland Central Transport Administration v Leila Maritime Co Ltd </w:t>
      </w:r>
      <w:r>
        <w:rPr>
          <w:rFonts w:ascii="Arial" w:hAnsi="Arial"/>
          <w:i/>
          <w:sz w:val="20"/>
        </w:rPr>
        <w:t>(The</w:t>
      </w:r>
      <w:r>
        <w:rPr>
          <w:rFonts w:ascii="Arial" w:hAnsi="Arial"/>
          <w:i/>
          <w:spacing w:val="40"/>
          <w:sz w:val="20"/>
        </w:rPr>
        <w:t> </w:t>
      </w:r>
      <w:r>
        <w:rPr>
          <w:rFonts w:ascii="Arial" w:hAnsi="Arial"/>
          <w:i/>
          <w:sz w:val="20"/>
        </w:rPr>
        <w:t>Leila) [1985] 2 Lloyd’s Rep. 172</w:t>
      </w:r>
      <w:r>
        <w:rPr>
          <w:sz w:val="20"/>
        </w:rPr>
        <w:t>; as to which see below, n.641; </w:t>
      </w:r>
      <w:r>
        <w:rPr>
          <w:rFonts w:ascii="Arial" w:hAnsi="Arial"/>
          <w:i/>
          <w:sz w:val="20"/>
        </w:rPr>
        <w:t>Thornton Springer v NEM Insurance Co Ltd [2000] 2 All E.R. 489 </w:t>
      </w:r>
      <w:r>
        <w:rPr>
          <w:sz w:val="20"/>
        </w:rPr>
        <w:t>at 516–518.</w:t>
      </w:r>
    </w:p>
    <w:p>
      <w:pPr>
        <w:pStyle w:val="BodyText"/>
        <w:spacing w:before="8"/>
      </w:pPr>
    </w:p>
    <w:p>
      <w:pPr>
        <w:spacing w:line="235" w:lineRule="auto" w:before="1"/>
        <w:ind w:left="705" w:right="167" w:hanging="541"/>
        <w:jc w:val="both"/>
        <w:rPr>
          <w:sz w:val="20"/>
        </w:rPr>
      </w:pPr>
      <w:bookmarkStart w:name="_bookmark1271" w:id="1273"/>
      <w:bookmarkEnd w:id="1273"/>
      <w:r>
        <w:rPr/>
      </w:r>
      <w:hyperlink w:history="true" w:anchor="_bookmark1034">
        <w:r>
          <w:rPr>
            <w:color w:val="005DA1"/>
            <w:position w:val="5"/>
            <w:sz w:val="14"/>
            <w:u w:val="single" w:color="005DA1"/>
          </w:rPr>
          <w:t>643</w:t>
        </w:r>
      </w:hyperlink>
      <w:r>
        <w:rPr>
          <w:position w:val="5"/>
          <w:sz w:val="14"/>
        </w:rPr>
        <w:t>.</w:t>
      </w:r>
      <w:r>
        <w:rPr>
          <w:spacing w:val="80"/>
          <w:position w:val="5"/>
          <w:sz w:val="14"/>
        </w:rPr>
        <w:t>  </w:t>
      </w:r>
      <w:r>
        <w:rPr>
          <w:rFonts w:ascii="Arial" w:hAnsi="Arial"/>
          <w:i/>
          <w:sz w:val="20"/>
        </w:rPr>
        <w:t>Norwegian American Cruises A/S v Paul Mundy Ltd (The Vistafjord) [1988] 2 Lloyd’s Rep. 343</w:t>
      </w:r>
      <w:r>
        <w:rPr>
          <w:sz w:val="20"/>
        </w:rPr>
        <w:t>. cf. also </w:t>
      </w:r>
      <w:r>
        <w:rPr>
          <w:rFonts w:ascii="Arial" w:hAnsi="Arial"/>
          <w:i/>
          <w:sz w:val="20"/>
        </w:rPr>
        <w:t>Kenneth Allison Ltd v A. E. Limehouse &amp; Co [1992] 2 A.C. 105, 127 </w:t>
      </w:r>
      <w:r>
        <w:rPr>
          <w:sz w:val="20"/>
        </w:rPr>
        <w:t>per Lord Goff. </w:t>
      </w:r>
      <w:r>
        <w:rPr>
          <w:sz w:val="20"/>
        </w:rPr>
        <w:t>The other members of the House of Lords took the view that there was an actual agreement (to accept service of a writ) which was legally effective even though the requirements of the Rules of the Supreme Court (with regard to personal service) had not been complied with.</w:t>
      </w:r>
    </w:p>
    <w:p>
      <w:pPr>
        <w:pStyle w:val="BodyText"/>
        <w:spacing w:before="4"/>
      </w:pPr>
    </w:p>
    <w:p>
      <w:pPr>
        <w:tabs>
          <w:tab w:pos="705" w:val="left" w:leader="none"/>
        </w:tabs>
        <w:spacing w:before="0"/>
        <w:ind w:left="165" w:right="0" w:firstLine="0"/>
        <w:jc w:val="left"/>
        <w:rPr>
          <w:sz w:val="20"/>
        </w:rPr>
      </w:pPr>
      <w:bookmarkStart w:name="_bookmark1272" w:id="1274"/>
      <w:bookmarkEnd w:id="1274"/>
      <w:r>
        <w:rPr/>
      </w:r>
      <w:hyperlink w:history="true" w:anchor="_bookmark1035">
        <w:r>
          <w:rPr>
            <w:color w:val="005DA1"/>
            <w:spacing w:val="-4"/>
            <w:position w:val="5"/>
            <w:sz w:val="14"/>
            <w:u w:val="single" w:color="005DA1"/>
          </w:rPr>
          <w:t>644</w:t>
        </w:r>
      </w:hyperlink>
      <w:r>
        <w:rPr>
          <w:spacing w:val="-4"/>
          <w:position w:val="5"/>
          <w:sz w:val="14"/>
        </w:rPr>
        <w:t>.</w:t>
      </w:r>
      <w:r>
        <w:rPr>
          <w:position w:val="5"/>
          <w:sz w:val="14"/>
        </w:rPr>
        <w:tab/>
      </w:r>
      <w:r>
        <w:rPr>
          <w:rFonts w:ascii="Arial"/>
          <w:i/>
          <w:sz w:val="20"/>
        </w:rPr>
        <w:t>[2011] EWCA Civ 353, [2012] 1 W.L.R. </w:t>
      </w:r>
      <w:r>
        <w:rPr>
          <w:rFonts w:ascii="Arial"/>
          <w:i/>
          <w:spacing w:val="-4"/>
          <w:sz w:val="20"/>
        </w:rPr>
        <w:t>472</w:t>
      </w:r>
      <w:r>
        <w:rPr>
          <w:spacing w:val="-4"/>
          <w:sz w:val="20"/>
        </w:rPr>
        <w:t>.</w:t>
      </w:r>
    </w:p>
    <w:p>
      <w:pPr>
        <w:pStyle w:val="BodyText"/>
        <w:spacing w:before="9"/>
      </w:pPr>
    </w:p>
    <w:p>
      <w:pPr>
        <w:spacing w:line="235" w:lineRule="auto" w:before="0"/>
        <w:ind w:left="705" w:right="167" w:hanging="541"/>
        <w:jc w:val="both"/>
        <w:rPr>
          <w:rFonts w:ascii="Arial" w:hAnsi="Arial"/>
          <w:i/>
          <w:sz w:val="20"/>
        </w:rPr>
      </w:pPr>
      <w:bookmarkStart w:name="_bookmark1273" w:id="1275"/>
      <w:bookmarkEnd w:id="1275"/>
      <w:r>
        <w:rPr/>
      </w:r>
      <w:hyperlink w:history="true" w:anchor="_bookmark1036">
        <w:r>
          <w:rPr>
            <w:color w:val="005DA1"/>
            <w:position w:val="5"/>
            <w:sz w:val="14"/>
            <w:u w:val="single" w:color="005DA1"/>
          </w:rPr>
          <w:t>645</w:t>
        </w:r>
      </w:hyperlink>
      <w:r>
        <w:rPr>
          <w:position w:val="5"/>
          <w:sz w:val="14"/>
        </w:rPr>
        <w:t>.</w:t>
      </w:r>
      <w:r>
        <w:rPr>
          <w:spacing w:val="80"/>
          <w:position w:val="5"/>
          <w:sz w:val="14"/>
        </w:rPr>
        <w:t> </w:t>
      </w:r>
      <w:r>
        <w:rPr>
          <w:rFonts w:ascii="Arial" w:hAnsi="Arial"/>
          <w:i/>
          <w:sz w:val="20"/>
        </w:rPr>
        <w:t>Empresa Lineas Maritimas Argentinas v The Oceanus Mutual Underwriting </w:t>
      </w:r>
      <w:r>
        <w:rPr>
          <w:rFonts w:ascii="Arial" w:hAnsi="Arial"/>
          <w:i/>
          <w:sz w:val="20"/>
        </w:rPr>
        <w:t>Association (Bermuda) Ltd [1984] 2 Lloyd’s Rep. 517 </w:t>
      </w:r>
      <w:r>
        <w:rPr>
          <w:sz w:val="20"/>
        </w:rPr>
        <w:t>(where neither of these requirements was satisfied); </w:t>
      </w:r>
      <w:r>
        <w:rPr>
          <w:rFonts w:ascii="Arial" w:hAnsi="Arial"/>
          <w:i/>
          <w:sz w:val="20"/>
        </w:rPr>
        <w:t>Astilleros Canarios SA v Cape Hatteras Shipping Co SA [1982] 1 Lloyd’s Rep. 518, 527</w:t>
      </w:r>
      <w:r>
        <w:rPr>
          <w:sz w:val="20"/>
        </w:rPr>
        <w:t>; </w:t>
      </w:r>
      <w:r>
        <w:rPr>
          <w:rFonts w:ascii="Arial" w:hAnsi="Arial"/>
          <w:i/>
          <w:sz w:val="20"/>
        </w:rPr>
        <w:t>Heinrich Hanno &amp; Co B.V. v Fairlight Shipping Co (The Kostas K.) [1985] 1 Lloyd’s Rep. 231, 237</w:t>
      </w:r>
      <w:r>
        <w:rPr>
          <w:sz w:val="20"/>
        </w:rPr>
        <w:t>; </w:t>
      </w:r>
      <w:r>
        <w:rPr>
          <w:rFonts w:ascii="Arial" w:hAnsi="Arial"/>
          <w:i/>
          <w:sz w:val="20"/>
        </w:rPr>
        <w:t>The Vistafjord</w:t>
      </w:r>
      <w:r>
        <w:rPr>
          <w:sz w:val="20"/>
        </w:rPr>
        <w:t>, above para.4-109 n.636; </w:t>
      </w:r>
      <w:r>
        <w:rPr>
          <w:rFonts w:ascii="Arial" w:hAnsi="Arial"/>
          <w:i/>
          <w:sz w:val="20"/>
        </w:rPr>
        <w:t>Thor Navigation Inc v Ingosstrakh Insurance [2005]</w:t>
      </w:r>
      <w:r>
        <w:rPr>
          <w:rFonts w:ascii="Arial" w:hAnsi="Arial"/>
          <w:i/>
          <w:spacing w:val="56"/>
          <w:sz w:val="20"/>
        </w:rPr>
        <w:t> </w:t>
      </w:r>
      <w:r>
        <w:rPr>
          <w:rFonts w:ascii="Arial" w:hAnsi="Arial"/>
          <w:i/>
          <w:sz w:val="20"/>
        </w:rPr>
        <w:t>EWHC</w:t>
      </w:r>
      <w:r>
        <w:rPr>
          <w:rFonts w:ascii="Arial" w:hAnsi="Arial"/>
          <w:i/>
          <w:spacing w:val="58"/>
          <w:sz w:val="20"/>
        </w:rPr>
        <w:t> </w:t>
      </w:r>
      <w:r>
        <w:rPr>
          <w:rFonts w:ascii="Arial" w:hAnsi="Arial"/>
          <w:i/>
          <w:sz w:val="20"/>
        </w:rPr>
        <w:t>19</w:t>
      </w:r>
      <w:r>
        <w:rPr>
          <w:rFonts w:ascii="Arial" w:hAnsi="Arial"/>
          <w:i/>
          <w:spacing w:val="58"/>
          <w:sz w:val="20"/>
        </w:rPr>
        <w:t> </w:t>
      </w:r>
      <w:r>
        <w:rPr>
          <w:rFonts w:ascii="Arial" w:hAnsi="Arial"/>
          <w:i/>
          <w:sz w:val="20"/>
        </w:rPr>
        <w:t>(Comm),</w:t>
      </w:r>
      <w:r>
        <w:rPr>
          <w:rFonts w:ascii="Arial" w:hAnsi="Arial"/>
          <w:i/>
          <w:spacing w:val="58"/>
          <w:sz w:val="20"/>
        </w:rPr>
        <w:t> </w:t>
      </w:r>
      <w:r>
        <w:rPr>
          <w:rFonts w:ascii="Arial" w:hAnsi="Arial"/>
          <w:i/>
          <w:sz w:val="20"/>
        </w:rPr>
        <w:t>[2005]</w:t>
      </w:r>
      <w:r>
        <w:rPr>
          <w:rFonts w:ascii="Arial" w:hAnsi="Arial"/>
          <w:i/>
          <w:spacing w:val="58"/>
          <w:sz w:val="20"/>
        </w:rPr>
        <w:t> </w:t>
      </w:r>
      <w:r>
        <w:rPr>
          <w:rFonts w:ascii="Arial" w:hAnsi="Arial"/>
          <w:i/>
          <w:sz w:val="20"/>
        </w:rPr>
        <w:t>1</w:t>
      </w:r>
      <w:r>
        <w:rPr>
          <w:rFonts w:ascii="Arial" w:hAnsi="Arial"/>
          <w:i/>
          <w:spacing w:val="58"/>
          <w:sz w:val="20"/>
        </w:rPr>
        <w:t> </w:t>
      </w:r>
      <w:r>
        <w:rPr>
          <w:rFonts w:ascii="Arial" w:hAnsi="Arial"/>
          <w:i/>
          <w:sz w:val="20"/>
        </w:rPr>
        <w:t>Lloyd’s</w:t>
      </w:r>
      <w:r>
        <w:rPr>
          <w:rFonts w:ascii="Arial" w:hAnsi="Arial"/>
          <w:i/>
          <w:spacing w:val="58"/>
          <w:sz w:val="20"/>
        </w:rPr>
        <w:t> </w:t>
      </w:r>
      <w:r>
        <w:rPr>
          <w:rFonts w:ascii="Arial" w:hAnsi="Arial"/>
          <w:i/>
          <w:sz w:val="20"/>
        </w:rPr>
        <w:t>Rep.</w:t>
      </w:r>
      <w:r>
        <w:rPr>
          <w:rFonts w:ascii="Arial" w:hAnsi="Arial"/>
          <w:i/>
          <w:spacing w:val="58"/>
          <w:sz w:val="20"/>
        </w:rPr>
        <w:t> </w:t>
      </w:r>
      <w:r>
        <w:rPr>
          <w:rFonts w:ascii="Arial" w:hAnsi="Arial"/>
          <w:i/>
          <w:sz w:val="20"/>
        </w:rPr>
        <w:t>547</w:t>
      </w:r>
      <w:r>
        <w:rPr>
          <w:rFonts w:ascii="Arial" w:hAnsi="Arial"/>
          <w:i/>
          <w:spacing w:val="57"/>
          <w:sz w:val="20"/>
        </w:rPr>
        <w:t> </w:t>
      </w:r>
      <w:r>
        <w:rPr>
          <w:sz w:val="20"/>
        </w:rPr>
        <w:t>at</w:t>
      </w:r>
      <w:r>
        <w:rPr>
          <w:spacing w:val="58"/>
          <w:sz w:val="20"/>
        </w:rPr>
        <w:t> </w:t>
      </w:r>
      <w:r>
        <w:rPr>
          <w:sz w:val="20"/>
        </w:rPr>
        <w:t>[66];</w:t>
      </w:r>
      <w:r>
        <w:rPr>
          <w:spacing w:val="58"/>
          <w:sz w:val="20"/>
        </w:rPr>
        <w:t> </w:t>
      </w:r>
      <w:r>
        <w:rPr>
          <w:rFonts w:ascii="Arial" w:hAnsi="Arial"/>
          <w:i/>
          <w:sz w:val="20"/>
        </w:rPr>
        <w:t>Fortisbank</w:t>
      </w:r>
      <w:r>
        <w:rPr>
          <w:rFonts w:ascii="Arial" w:hAnsi="Arial"/>
          <w:i/>
          <w:spacing w:val="58"/>
          <w:sz w:val="20"/>
        </w:rPr>
        <w:t> </w:t>
      </w:r>
      <w:r>
        <w:rPr>
          <w:rFonts w:ascii="Arial" w:hAnsi="Arial"/>
          <w:i/>
          <w:sz w:val="20"/>
        </w:rPr>
        <w:t>SA</w:t>
      </w:r>
      <w:r>
        <w:rPr>
          <w:rFonts w:ascii="Arial" w:hAnsi="Arial"/>
          <w:i/>
          <w:spacing w:val="58"/>
          <w:sz w:val="20"/>
        </w:rPr>
        <w:t> </w:t>
      </w:r>
      <w:r>
        <w:rPr>
          <w:rFonts w:ascii="Arial" w:hAnsi="Arial"/>
          <w:i/>
          <w:sz w:val="20"/>
        </w:rPr>
        <w:t>v</w:t>
      </w:r>
      <w:r>
        <w:rPr>
          <w:rFonts w:ascii="Arial" w:hAnsi="Arial"/>
          <w:i/>
          <w:spacing w:val="58"/>
          <w:sz w:val="20"/>
        </w:rPr>
        <w:t> </w:t>
      </w:r>
      <w:r>
        <w:rPr>
          <w:rFonts w:ascii="Arial" w:hAnsi="Arial"/>
          <w:i/>
          <w:spacing w:val="-2"/>
          <w:sz w:val="20"/>
        </w:rPr>
        <w:t>Trenwick</w:t>
      </w:r>
    </w:p>
    <w:p>
      <w:pPr>
        <w:spacing w:line="235" w:lineRule="auto" w:before="0"/>
        <w:ind w:left="705" w:right="167" w:firstLine="0"/>
        <w:jc w:val="both"/>
        <w:rPr>
          <w:sz w:val="20"/>
        </w:rPr>
      </w:pPr>
      <w:r>
        <w:rPr>
          <w:rFonts w:ascii="Arial" w:hAnsi="Arial"/>
          <w:i/>
          <w:sz w:val="20"/>
        </w:rPr>
        <w:t>International [2005] EWHC 339, [2005] Lloyd’s Rep. I.R. 464 </w:t>
      </w:r>
      <w:r>
        <w:rPr>
          <w:sz w:val="20"/>
        </w:rPr>
        <w:t>at [43], where the </w:t>
      </w:r>
      <w:r>
        <w:rPr>
          <w:sz w:val="20"/>
        </w:rPr>
        <w:t>present requirement was not satisfied; </w:t>
      </w:r>
      <w:r>
        <w:rPr>
          <w:rFonts w:ascii="Arial" w:hAnsi="Arial"/>
          <w:i/>
          <w:sz w:val="20"/>
        </w:rPr>
        <w:t>Tamil Nadu Electricity Board v ST-CMS Electricity Company Private Ltd [2007] EWHC 1713 (Comm), [2007] 2 All E.R. (Comm) 701 </w:t>
      </w:r>
      <w:r>
        <w:rPr>
          <w:sz w:val="20"/>
        </w:rPr>
        <w:t>at [125], where again this requirement was not satisfied; </w:t>
      </w:r>
      <w:r>
        <w:rPr>
          <w:rFonts w:ascii="Arial" w:hAnsi="Arial"/>
          <w:i/>
          <w:sz w:val="20"/>
        </w:rPr>
        <w:t>Bear Stearns plc v Forum Global Equities Ltd [2007] EWHC 1576 </w:t>
      </w:r>
      <w:r>
        <w:rPr>
          <w:sz w:val="20"/>
        </w:rPr>
        <w:t>at [192], where again the present requirement was not satisfied but the actual decision was that the communications between the parties had given rise to a contract: see above, para.2-121; </w:t>
      </w:r>
      <w:r>
        <w:rPr>
          <w:rFonts w:ascii="Arial" w:hAnsi="Arial"/>
          <w:i/>
          <w:sz w:val="20"/>
        </w:rPr>
        <w:t>Briggs v Gleeds (Head Office) [2014] EWHC 1178 (Ch), [2015] 1 All E.R. 533 </w:t>
      </w:r>
      <w:r>
        <w:rPr>
          <w:sz w:val="20"/>
        </w:rPr>
        <w:t>at [209], where this requirement was not satisfied: see at [185].</w:t>
      </w:r>
    </w:p>
    <w:p>
      <w:pPr>
        <w:pStyle w:val="BodyText"/>
        <w:spacing w:before="4"/>
      </w:pPr>
    </w:p>
    <w:p>
      <w:pPr>
        <w:spacing w:line="235" w:lineRule="auto" w:before="0"/>
        <w:ind w:left="705" w:right="167" w:hanging="541"/>
        <w:jc w:val="both"/>
        <w:rPr>
          <w:sz w:val="20"/>
        </w:rPr>
      </w:pPr>
      <w:bookmarkStart w:name="_bookmark1274" w:id="1276"/>
      <w:bookmarkEnd w:id="1276"/>
      <w:r>
        <w:rPr/>
      </w:r>
      <w:hyperlink w:history="true" w:anchor="_bookmark1037">
        <w:r>
          <w:rPr>
            <w:color w:val="005DA1"/>
            <w:position w:val="5"/>
            <w:sz w:val="14"/>
            <w:u w:val="single" w:color="005DA1"/>
          </w:rPr>
          <w:t>646</w:t>
        </w:r>
      </w:hyperlink>
      <w:r>
        <w:rPr>
          <w:position w:val="5"/>
          <w:sz w:val="14"/>
        </w:rPr>
        <w:t>.</w:t>
      </w:r>
      <w:r>
        <w:rPr>
          <w:spacing w:val="80"/>
          <w:w w:val="150"/>
          <w:position w:val="5"/>
          <w:sz w:val="14"/>
        </w:rPr>
        <w:t> </w:t>
      </w:r>
      <w:r>
        <w:rPr>
          <w:rFonts w:ascii="Arial" w:hAnsi="Arial"/>
          <w:i/>
          <w:sz w:val="20"/>
        </w:rPr>
        <w:t>Compania Portorafti Commerciale SA v Ultramar Panama Inc (The Captain Gregos) </w:t>
      </w:r>
      <w:r>
        <w:rPr>
          <w:rFonts w:ascii="Arial" w:hAnsi="Arial"/>
          <w:i/>
          <w:sz w:val="20"/>
        </w:rPr>
        <w:t>(No.2)</w:t>
      </w:r>
      <w:r>
        <w:rPr>
          <w:rFonts w:ascii="Arial" w:hAnsi="Arial"/>
          <w:i/>
          <w:spacing w:val="40"/>
          <w:sz w:val="20"/>
        </w:rPr>
        <w:t> </w:t>
      </w:r>
      <w:r>
        <w:rPr>
          <w:rFonts w:ascii="Arial" w:hAnsi="Arial"/>
          <w:i/>
          <w:sz w:val="20"/>
        </w:rPr>
        <w:t>[1990] 2 Lloyd’s Rep. 395, 405</w:t>
      </w:r>
      <w:r>
        <w:rPr>
          <w:sz w:val="20"/>
        </w:rPr>
        <w:t>, following </w:t>
      </w:r>
      <w:r>
        <w:rPr>
          <w:rFonts w:ascii="Arial" w:hAnsi="Arial"/>
          <w:i/>
          <w:sz w:val="20"/>
        </w:rPr>
        <w:t>K. Lokumal &amp; Sons (London) Ltd v Lotte Shipping Co Pty Ltd (The August P. Leonhardt) [1985] 2 Lloyd’s Rep. 28, 35</w:t>
      </w:r>
      <w:r>
        <w:rPr>
          <w:sz w:val="20"/>
        </w:rPr>
        <w:t>; </w:t>
      </w:r>
      <w:r>
        <w:rPr>
          <w:rFonts w:ascii="Arial" w:hAnsi="Arial"/>
          <w:i/>
          <w:sz w:val="20"/>
        </w:rPr>
        <w:t>Hiscox v Outhwaite (No.3) [1991]</w:t>
      </w:r>
      <w:r>
        <w:rPr>
          <w:rFonts w:ascii="Arial" w:hAnsi="Arial"/>
          <w:i/>
          <w:spacing w:val="55"/>
          <w:sz w:val="20"/>
        </w:rPr>
        <w:t> </w:t>
      </w:r>
      <w:r>
        <w:rPr>
          <w:rFonts w:ascii="Arial" w:hAnsi="Arial"/>
          <w:i/>
          <w:sz w:val="20"/>
        </w:rPr>
        <w:t>2</w:t>
      </w:r>
      <w:r>
        <w:rPr>
          <w:rFonts w:ascii="Arial" w:hAnsi="Arial"/>
          <w:i/>
          <w:spacing w:val="55"/>
          <w:sz w:val="20"/>
        </w:rPr>
        <w:t> </w:t>
      </w:r>
      <w:r>
        <w:rPr>
          <w:rFonts w:ascii="Arial" w:hAnsi="Arial"/>
          <w:i/>
          <w:sz w:val="20"/>
        </w:rPr>
        <w:t>Lloyd’s</w:t>
      </w:r>
      <w:r>
        <w:rPr>
          <w:rFonts w:ascii="Arial" w:hAnsi="Arial"/>
          <w:i/>
          <w:spacing w:val="56"/>
          <w:sz w:val="20"/>
        </w:rPr>
        <w:t> </w:t>
      </w:r>
      <w:r>
        <w:rPr>
          <w:rFonts w:ascii="Arial" w:hAnsi="Arial"/>
          <w:i/>
          <w:sz w:val="20"/>
        </w:rPr>
        <w:t>Rep.</w:t>
      </w:r>
      <w:r>
        <w:rPr>
          <w:rFonts w:ascii="Arial" w:hAnsi="Arial"/>
          <w:i/>
          <w:spacing w:val="55"/>
          <w:sz w:val="20"/>
        </w:rPr>
        <w:t> </w:t>
      </w:r>
      <w:r>
        <w:rPr>
          <w:rFonts w:ascii="Arial" w:hAnsi="Arial"/>
          <w:i/>
          <w:sz w:val="20"/>
        </w:rPr>
        <w:t>524,</w:t>
      </w:r>
      <w:r>
        <w:rPr>
          <w:rFonts w:ascii="Arial" w:hAnsi="Arial"/>
          <w:i/>
          <w:spacing w:val="56"/>
          <w:sz w:val="20"/>
        </w:rPr>
        <w:t> </w:t>
      </w:r>
      <w:r>
        <w:rPr>
          <w:rFonts w:ascii="Arial" w:hAnsi="Arial"/>
          <w:i/>
          <w:sz w:val="20"/>
        </w:rPr>
        <w:t>533</w:t>
      </w:r>
      <w:r>
        <w:rPr>
          <w:sz w:val="20"/>
        </w:rPr>
        <w:t>;</w:t>
      </w:r>
      <w:r>
        <w:rPr>
          <w:spacing w:val="55"/>
          <w:sz w:val="20"/>
        </w:rPr>
        <w:t> </w:t>
      </w:r>
      <w:r>
        <w:rPr>
          <w:rFonts w:ascii="Arial" w:hAnsi="Arial"/>
          <w:i/>
          <w:sz w:val="20"/>
        </w:rPr>
        <w:t>The</w:t>
      </w:r>
      <w:r>
        <w:rPr>
          <w:rFonts w:ascii="Arial" w:hAnsi="Arial"/>
          <w:i/>
          <w:spacing w:val="55"/>
          <w:sz w:val="20"/>
        </w:rPr>
        <w:t> </w:t>
      </w:r>
      <w:r>
        <w:rPr>
          <w:rFonts w:ascii="Arial" w:hAnsi="Arial"/>
          <w:i/>
          <w:sz w:val="20"/>
        </w:rPr>
        <w:t>Indian</w:t>
      </w:r>
      <w:r>
        <w:rPr>
          <w:rFonts w:ascii="Arial" w:hAnsi="Arial"/>
          <w:i/>
          <w:spacing w:val="56"/>
          <w:sz w:val="20"/>
        </w:rPr>
        <w:t> </w:t>
      </w:r>
      <w:r>
        <w:rPr>
          <w:rFonts w:ascii="Arial" w:hAnsi="Arial"/>
          <w:i/>
          <w:sz w:val="20"/>
        </w:rPr>
        <w:t>Endurance</w:t>
      </w:r>
      <w:r>
        <w:rPr>
          <w:sz w:val="20"/>
        </w:rPr>
        <w:t>,</w:t>
      </w:r>
      <w:r>
        <w:rPr>
          <w:spacing w:val="55"/>
          <w:sz w:val="20"/>
        </w:rPr>
        <w:t> </w:t>
      </w:r>
      <w:r>
        <w:rPr>
          <w:sz w:val="20"/>
        </w:rPr>
        <w:t>above</w:t>
      </w:r>
      <w:r>
        <w:rPr>
          <w:spacing w:val="56"/>
          <w:sz w:val="20"/>
        </w:rPr>
        <w:t> </w:t>
      </w:r>
      <w:r>
        <w:rPr>
          <w:sz w:val="20"/>
        </w:rPr>
        <w:t>para.4-108</w:t>
      </w:r>
      <w:r>
        <w:rPr>
          <w:spacing w:val="55"/>
          <w:sz w:val="20"/>
        </w:rPr>
        <w:t> </w:t>
      </w:r>
      <w:r>
        <w:rPr>
          <w:sz w:val="20"/>
        </w:rPr>
        <w:t>n.620,</w:t>
      </w:r>
      <w:r>
        <w:rPr>
          <w:spacing w:val="55"/>
          <w:sz w:val="20"/>
        </w:rPr>
        <w:t> </w:t>
      </w:r>
      <w:r>
        <w:rPr>
          <w:sz w:val="20"/>
        </w:rPr>
        <w:t>at</w:t>
      </w:r>
      <w:r>
        <w:rPr>
          <w:spacing w:val="56"/>
          <w:sz w:val="20"/>
        </w:rPr>
        <w:t> </w:t>
      </w:r>
      <w:r>
        <w:rPr>
          <w:spacing w:val="-4"/>
          <w:sz w:val="20"/>
        </w:rPr>
        <w:t>913;</w:t>
      </w:r>
    </w:p>
    <w:p>
      <w:pPr>
        <w:spacing w:line="222" w:lineRule="exact" w:before="0"/>
        <w:ind w:left="705" w:right="0" w:firstLine="0"/>
        <w:jc w:val="both"/>
        <w:rPr>
          <w:rFonts w:ascii="Arial" w:hAnsi="Arial"/>
          <w:i/>
          <w:sz w:val="20"/>
        </w:rPr>
      </w:pPr>
      <w:r>
        <w:rPr>
          <w:rFonts w:ascii="Arial" w:hAnsi="Arial"/>
          <w:i/>
          <w:sz w:val="20"/>
        </w:rPr>
        <w:t>Republic</w:t>
      </w:r>
      <w:r>
        <w:rPr>
          <w:rFonts w:ascii="Arial" w:hAnsi="Arial"/>
          <w:i/>
          <w:spacing w:val="8"/>
          <w:sz w:val="20"/>
        </w:rPr>
        <w:t> </w:t>
      </w:r>
      <w:r>
        <w:rPr>
          <w:rFonts w:ascii="Arial" w:hAnsi="Arial"/>
          <w:i/>
          <w:sz w:val="20"/>
        </w:rPr>
        <w:t>of</w:t>
      </w:r>
      <w:r>
        <w:rPr>
          <w:rFonts w:ascii="Arial" w:hAnsi="Arial"/>
          <w:i/>
          <w:spacing w:val="8"/>
          <w:sz w:val="20"/>
        </w:rPr>
        <w:t> </w:t>
      </w:r>
      <w:r>
        <w:rPr>
          <w:rFonts w:ascii="Arial" w:hAnsi="Arial"/>
          <w:i/>
          <w:sz w:val="20"/>
        </w:rPr>
        <w:t>Serbia</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ImageSat</w:t>
      </w:r>
      <w:r>
        <w:rPr>
          <w:rFonts w:ascii="Arial" w:hAnsi="Arial"/>
          <w:i/>
          <w:spacing w:val="8"/>
          <w:sz w:val="20"/>
        </w:rPr>
        <w:t> </w:t>
      </w:r>
      <w:r>
        <w:rPr>
          <w:rFonts w:ascii="Arial" w:hAnsi="Arial"/>
          <w:i/>
          <w:sz w:val="20"/>
        </w:rPr>
        <w:t>International</w:t>
      </w:r>
      <w:r>
        <w:rPr>
          <w:rFonts w:ascii="Arial" w:hAnsi="Arial"/>
          <w:i/>
          <w:spacing w:val="8"/>
          <w:sz w:val="20"/>
        </w:rPr>
        <w:t> </w:t>
      </w:r>
      <w:r>
        <w:rPr>
          <w:rFonts w:ascii="Arial" w:hAnsi="Arial"/>
          <w:i/>
          <w:sz w:val="20"/>
        </w:rPr>
        <w:t>NV</w:t>
      </w:r>
      <w:r>
        <w:rPr>
          <w:rFonts w:ascii="Arial" w:hAnsi="Arial"/>
          <w:i/>
          <w:spacing w:val="8"/>
          <w:sz w:val="20"/>
        </w:rPr>
        <w:t> </w:t>
      </w:r>
      <w:r>
        <w:rPr>
          <w:rFonts w:ascii="Arial" w:hAnsi="Arial"/>
          <w:i/>
          <w:sz w:val="20"/>
        </w:rPr>
        <w:t>[2009]</w:t>
      </w:r>
      <w:r>
        <w:rPr>
          <w:rFonts w:ascii="Arial" w:hAnsi="Arial"/>
          <w:i/>
          <w:spacing w:val="8"/>
          <w:sz w:val="20"/>
        </w:rPr>
        <w:t> </w:t>
      </w:r>
      <w:r>
        <w:rPr>
          <w:rFonts w:ascii="Arial" w:hAnsi="Arial"/>
          <w:i/>
          <w:sz w:val="20"/>
        </w:rPr>
        <w:t>EWHC</w:t>
      </w:r>
      <w:r>
        <w:rPr>
          <w:rFonts w:ascii="Arial" w:hAnsi="Arial"/>
          <w:i/>
          <w:spacing w:val="8"/>
          <w:sz w:val="20"/>
        </w:rPr>
        <w:t> </w:t>
      </w:r>
      <w:r>
        <w:rPr>
          <w:rFonts w:ascii="Arial" w:hAnsi="Arial"/>
          <w:i/>
          <w:sz w:val="20"/>
        </w:rPr>
        <w:t>2853,</w:t>
      </w:r>
      <w:r>
        <w:rPr>
          <w:rFonts w:ascii="Arial" w:hAnsi="Arial"/>
          <w:i/>
          <w:spacing w:val="8"/>
          <w:sz w:val="20"/>
        </w:rPr>
        <w:t> </w:t>
      </w:r>
      <w:r>
        <w:rPr>
          <w:rFonts w:ascii="Arial" w:hAnsi="Arial"/>
          <w:i/>
          <w:sz w:val="20"/>
        </w:rPr>
        <w:t>[2010]</w:t>
      </w:r>
      <w:r>
        <w:rPr>
          <w:rFonts w:ascii="Arial" w:hAnsi="Arial"/>
          <w:i/>
          <w:spacing w:val="8"/>
          <w:sz w:val="20"/>
        </w:rPr>
        <w:t> </w:t>
      </w:r>
      <w:r>
        <w:rPr>
          <w:rFonts w:ascii="Arial" w:hAnsi="Arial"/>
          <w:i/>
          <w:sz w:val="20"/>
        </w:rPr>
        <w:t>1</w:t>
      </w:r>
      <w:r>
        <w:rPr>
          <w:rFonts w:ascii="Arial" w:hAnsi="Arial"/>
          <w:i/>
          <w:spacing w:val="8"/>
          <w:sz w:val="20"/>
        </w:rPr>
        <w:t> </w:t>
      </w:r>
      <w:r>
        <w:rPr>
          <w:rFonts w:ascii="Arial" w:hAnsi="Arial"/>
          <w:i/>
          <w:sz w:val="20"/>
        </w:rPr>
        <w:t>Lloyd’s</w:t>
      </w:r>
      <w:r>
        <w:rPr>
          <w:rFonts w:ascii="Arial" w:hAnsi="Arial"/>
          <w:i/>
          <w:spacing w:val="8"/>
          <w:sz w:val="20"/>
        </w:rPr>
        <w:t> </w:t>
      </w:r>
      <w:r>
        <w:rPr>
          <w:rFonts w:ascii="Arial" w:hAnsi="Arial"/>
          <w:i/>
          <w:sz w:val="20"/>
        </w:rPr>
        <w:t>Rep.</w:t>
      </w:r>
      <w:r>
        <w:rPr>
          <w:rFonts w:ascii="Arial" w:hAnsi="Arial"/>
          <w:i/>
          <w:spacing w:val="8"/>
          <w:sz w:val="20"/>
        </w:rPr>
        <w:t> </w:t>
      </w:r>
      <w:r>
        <w:rPr>
          <w:rFonts w:ascii="Arial" w:hAnsi="Arial"/>
          <w:i/>
          <w:spacing w:val="-5"/>
          <w:sz w:val="20"/>
        </w:rPr>
        <w:t>325</w:t>
      </w:r>
    </w:p>
    <w:p>
      <w:pPr>
        <w:pStyle w:val="BodyText"/>
        <w:spacing w:line="227" w:lineRule="exact"/>
        <w:ind w:left="705"/>
        <w:jc w:val="both"/>
      </w:pPr>
      <w:r>
        <w:rPr/>
        <w:t>at </w:t>
      </w:r>
      <w:r>
        <w:rPr>
          <w:spacing w:val="-2"/>
        </w:rPr>
        <w:t>[69].</w:t>
      </w:r>
    </w:p>
    <w:p>
      <w:pPr>
        <w:pStyle w:val="BodyText"/>
        <w:spacing w:before="9"/>
      </w:pPr>
    </w:p>
    <w:p>
      <w:pPr>
        <w:spacing w:line="235" w:lineRule="auto" w:before="0"/>
        <w:ind w:left="705" w:right="168" w:hanging="541"/>
        <w:jc w:val="both"/>
        <w:rPr>
          <w:sz w:val="20"/>
        </w:rPr>
      </w:pPr>
      <w:bookmarkStart w:name="_bookmark1275" w:id="1277"/>
      <w:bookmarkEnd w:id="1277"/>
      <w:r>
        <w:rPr/>
      </w:r>
      <w:hyperlink w:history="true" w:anchor="_bookmark1038">
        <w:r>
          <w:rPr>
            <w:color w:val="005DA1"/>
            <w:position w:val="5"/>
            <w:sz w:val="14"/>
            <w:u w:val="single" w:color="005DA1"/>
          </w:rPr>
          <w:t>647</w:t>
        </w:r>
      </w:hyperlink>
      <w:r>
        <w:rPr>
          <w:position w:val="5"/>
          <w:sz w:val="14"/>
        </w:rPr>
        <w:t>.</w:t>
      </w:r>
      <w:r>
        <w:rPr>
          <w:spacing w:val="40"/>
          <w:position w:val="5"/>
          <w:sz w:val="14"/>
        </w:rPr>
        <w:t>  </w:t>
      </w:r>
      <w:r>
        <w:rPr>
          <w:sz w:val="20"/>
        </w:rPr>
        <w:t>As in </w:t>
      </w:r>
      <w:r>
        <w:rPr>
          <w:rFonts w:ascii="Arial" w:hAnsi="Arial"/>
          <w:i/>
          <w:sz w:val="20"/>
        </w:rPr>
        <w:t>The Vistafjord [1988] 2 Lloyd’s Rep. 343, 351 </w:t>
      </w:r>
      <w:r>
        <w:rPr>
          <w:sz w:val="20"/>
        </w:rPr>
        <w:t>(“very clear conduct crossing the line … of which the other party was fully cognisant”). An even stricter requirement was stated in </w:t>
      </w:r>
      <w:r>
        <w:rPr>
          <w:rFonts w:ascii="Arial" w:hAnsi="Arial"/>
          <w:i/>
          <w:sz w:val="20"/>
        </w:rPr>
        <w:t>Bank Leumi</w:t>
      </w:r>
      <w:r>
        <w:rPr>
          <w:rFonts w:ascii="Arial" w:hAnsi="Arial"/>
          <w:i/>
          <w:spacing w:val="-1"/>
          <w:sz w:val="20"/>
        </w:rPr>
        <w:t> </w:t>
      </w:r>
      <w:r>
        <w:rPr>
          <w:rFonts w:ascii="Arial" w:hAnsi="Arial"/>
          <w:i/>
          <w:sz w:val="20"/>
        </w:rPr>
        <w:t>(UK)</w:t>
      </w:r>
      <w:r>
        <w:rPr>
          <w:rFonts w:ascii="Arial" w:hAnsi="Arial"/>
          <w:i/>
          <w:spacing w:val="-1"/>
          <w:sz w:val="20"/>
        </w:rPr>
        <w:t> </w:t>
      </w:r>
      <w:r>
        <w:rPr>
          <w:rFonts w:ascii="Arial" w:hAnsi="Arial"/>
          <w:i/>
          <w:sz w:val="20"/>
        </w:rPr>
        <w:t>plc</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Phillip</w:t>
      </w:r>
      <w:r>
        <w:rPr>
          <w:rFonts w:ascii="Arial" w:hAnsi="Arial"/>
          <w:i/>
          <w:spacing w:val="-1"/>
          <w:sz w:val="20"/>
        </w:rPr>
        <w:t> </w:t>
      </w:r>
      <w:r>
        <w:rPr>
          <w:rFonts w:ascii="Arial" w:hAnsi="Arial"/>
          <w:i/>
          <w:sz w:val="20"/>
        </w:rPr>
        <w:t>Robert</w:t>
      </w:r>
      <w:r>
        <w:rPr>
          <w:rFonts w:ascii="Arial" w:hAnsi="Arial"/>
          <w:i/>
          <w:spacing w:val="-1"/>
          <w:sz w:val="20"/>
        </w:rPr>
        <w:t> </w:t>
      </w:r>
      <w:r>
        <w:rPr>
          <w:rFonts w:ascii="Arial" w:hAnsi="Arial"/>
          <w:i/>
          <w:sz w:val="20"/>
        </w:rPr>
        <w:t>Akrill</w:t>
      </w:r>
      <w:r>
        <w:rPr>
          <w:rFonts w:ascii="Arial" w:hAnsi="Arial"/>
          <w:i/>
          <w:spacing w:val="-1"/>
          <w:sz w:val="20"/>
        </w:rPr>
        <w:t> </w:t>
      </w:r>
      <w:r>
        <w:rPr>
          <w:rFonts w:ascii="Arial" w:hAnsi="Arial"/>
          <w:i/>
          <w:sz w:val="20"/>
        </w:rPr>
        <w:t>[2014]</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909</w:t>
      </w:r>
      <w:r>
        <w:rPr>
          <w:sz w:val="20"/>
        </w:rPr>
        <w:t>,</w:t>
      </w:r>
      <w:r>
        <w:rPr>
          <w:spacing w:val="-1"/>
          <w:sz w:val="20"/>
        </w:rPr>
        <w:t> </w:t>
      </w:r>
      <w:r>
        <w:rPr>
          <w:sz w:val="20"/>
        </w:rPr>
        <w:t>where</w:t>
      </w:r>
      <w:r>
        <w:rPr>
          <w:spacing w:val="-1"/>
          <w:sz w:val="20"/>
        </w:rPr>
        <w:t> </w:t>
      </w:r>
      <w:r>
        <w:rPr>
          <w:sz w:val="20"/>
        </w:rPr>
        <w:t>it</w:t>
      </w:r>
      <w:r>
        <w:rPr>
          <w:spacing w:val="-1"/>
          <w:sz w:val="20"/>
        </w:rPr>
        <w:t> </w:t>
      </w:r>
      <w:r>
        <w:rPr>
          <w:sz w:val="20"/>
        </w:rPr>
        <w:t>was</w:t>
      </w:r>
      <w:r>
        <w:rPr>
          <w:spacing w:val="-1"/>
          <w:sz w:val="20"/>
        </w:rPr>
        <w:t> </w:t>
      </w:r>
      <w:r>
        <w:rPr>
          <w:sz w:val="20"/>
        </w:rPr>
        <w:t>said</w:t>
      </w:r>
      <w:r>
        <w:rPr>
          <w:spacing w:val="-1"/>
          <w:sz w:val="20"/>
        </w:rPr>
        <w:t> </w:t>
      </w:r>
      <w:r>
        <w:rPr>
          <w:sz w:val="20"/>
        </w:rPr>
        <w:t>that</w:t>
      </w:r>
      <w:r>
        <w:rPr>
          <w:spacing w:val="-1"/>
          <w:sz w:val="20"/>
        </w:rPr>
        <w:t> </w:t>
      </w:r>
      <w:r>
        <w:rPr>
          <w:sz w:val="20"/>
        </w:rPr>
        <w:t>there</w:t>
      </w:r>
      <w:r>
        <w:rPr>
          <w:spacing w:val="-1"/>
          <w:sz w:val="20"/>
        </w:rPr>
        <w:t> </w:t>
      </w:r>
      <w:r>
        <w:rPr>
          <w:sz w:val="20"/>
        </w:rPr>
        <w:t>was</w:t>
      </w:r>
      <w:r>
        <w:rPr>
          <w:spacing w:val="-1"/>
          <w:sz w:val="20"/>
        </w:rPr>
        <w:t> </w:t>
      </w:r>
      <w:r>
        <w:rPr>
          <w:sz w:val="20"/>
        </w:rPr>
        <w:t>no estoppel by convention because the assumption in question had not been “ </w:t>
      </w:r>
      <w:r>
        <w:rPr>
          <w:rFonts w:ascii="Arial" w:hAnsi="Arial"/>
          <w:i/>
          <w:sz w:val="20"/>
        </w:rPr>
        <w:t>expressly </w:t>
      </w:r>
      <w:r>
        <w:rPr>
          <w:sz w:val="20"/>
        </w:rPr>
        <w:t>communicated” (at [55], italics supplied) between the parties.</w:t>
      </w:r>
    </w:p>
    <w:p>
      <w:pPr>
        <w:pStyle w:val="BodyText"/>
        <w:spacing w:before="8"/>
      </w:pPr>
    </w:p>
    <w:p>
      <w:pPr>
        <w:spacing w:line="235" w:lineRule="auto" w:before="0"/>
        <w:ind w:left="705" w:right="167" w:hanging="541"/>
        <w:jc w:val="both"/>
        <w:rPr>
          <w:sz w:val="20"/>
        </w:rPr>
      </w:pPr>
      <w:bookmarkStart w:name="_bookmark1276" w:id="1278"/>
      <w:bookmarkEnd w:id="1278"/>
      <w:r>
        <w:rPr/>
      </w:r>
      <w:hyperlink w:history="true" w:anchor="_bookmark1039">
        <w:r>
          <w:rPr>
            <w:color w:val="005DA1"/>
            <w:position w:val="5"/>
            <w:sz w:val="14"/>
            <w:u w:val="single" w:color="005DA1"/>
          </w:rPr>
          <w:t>648</w:t>
        </w:r>
      </w:hyperlink>
      <w:r>
        <w:rPr>
          <w:position w:val="5"/>
          <w:sz w:val="14"/>
        </w:rPr>
        <w:t>.</w:t>
      </w:r>
      <w:r>
        <w:rPr>
          <w:spacing w:val="80"/>
          <w:position w:val="5"/>
          <w:sz w:val="14"/>
        </w:rPr>
        <w:t>  </w:t>
      </w:r>
      <w:r>
        <w:rPr>
          <w:rFonts w:ascii="Arial" w:hAnsi="Arial"/>
          <w:i/>
          <w:sz w:val="20"/>
        </w:rPr>
        <w:t>K. Lokumal &amp; Sons (London) Ltd v Lotte Shipping Co Pty Ltd (The August P. Leonhardt) </w:t>
      </w:r>
      <w:r>
        <w:rPr>
          <w:rFonts w:ascii="Arial" w:hAnsi="Arial"/>
          <w:i/>
          <w:sz w:val="20"/>
        </w:rPr>
        <w:t>[1985] 2 Lloyd’s Rep. 28, reversing [1984] 1 Lloyd’s Rep. 332</w:t>
      </w:r>
      <w:r>
        <w:rPr>
          <w:sz w:val="20"/>
        </w:rPr>
        <w:t>, which had been followed in </w:t>
      </w:r>
      <w:r>
        <w:rPr>
          <w:rFonts w:ascii="Arial" w:hAnsi="Arial"/>
          <w:i/>
          <w:sz w:val="20"/>
        </w:rPr>
        <w:t>The Leila</w:t>
      </w:r>
      <w:r>
        <w:rPr>
          <w:sz w:val="20"/>
        </w:rPr>
        <w:t>, above n.635. The present status of </w:t>
      </w:r>
      <w:r>
        <w:rPr>
          <w:rFonts w:ascii="Arial" w:hAnsi="Arial"/>
          <w:i/>
          <w:sz w:val="20"/>
        </w:rPr>
        <w:t>The Leila </w:t>
      </w:r>
      <w:r>
        <w:rPr>
          <w:sz w:val="20"/>
        </w:rPr>
        <w:t>therefore remains in some doubt but the two</w:t>
      </w:r>
      <w:r>
        <w:rPr>
          <w:spacing w:val="40"/>
          <w:sz w:val="20"/>
        </w:rPr>
        <w:t> </w:t>
      </w:r>
      <w:r>
        <w:rPr>
          <w:sz w:val="20"/>
        </w:rPr>
        <w:t>cases can be reconciled on the ground that in </w:t>
      </w:r>
      <w:r>
        <w:rPr>
          <w:rFonts w:ascii="Arial" w:hAnsi="Arial"/>
          <w:i/>
          <w:sz w:val="20"/>
        </w:rPr>
        <w:t>The Leila </w:t>
      </w:r>
      <w:r>
        <w:rPr>
          <w:sz w:val="20"/>
        </w:rPr>
        <w:t>there was, while in </w:t>
      </w:r>
      <w:r>
        <w:rPr>
          <w:rFonts w:ascii="Arial" w:hAnsi="Arial"/>
          <w:i/>
          <w:sz w:val="20"/>
        </w:rPr>
        <w:t>The August P. Leonhardt</w:t>
      </w:r>
      <w:r>
        <w:rPr>
          <w:rFonts w:ascii="Arial" w:hAnsi="Arial"/>
          <w:i/>
          <w:spacing w:val="-1"/>
          <w:sz w:val="20"/>
        </w:rPr>
        <w:t> </w:t>
      </w:r>
      <w:r>
        <w:rPr>
          <w:sz w:val="20"/>
        </w:rPr>
        <w:t>there</w:t>
      </w:r>
      <w:r>
        <w:rPr>
          <w:spacing w:val="-1"/>
          <w:sz w:val="20"/>
        </w:rPr>
        <w:t> </w:t>
      </w:r>
      <w:r>
        <w:rPr>
          <w:sz w:val="20"/>
        </w:rPr>
        <w:t>was</w:t>
      </w:r>
      <w:r>
        <w:rPr>
          <w:spacing w:val="-1"/>
          <w:sz w:val="20"/>
        </w:rPr>
        <w:t> </w:t>
      </w:r>
      <w:r>
        <w:rPr>
          <w:sz w:val="20"/>
        </w:rPr>
        <w:t>not,</w:t>
      </w:r>
      <w:r>
        <w:rPr>
          <w:spacing w:val="-1"/>
          <w:sz w:val="20"/>
        </w:rPr>
        <w:t> </w:t>
      </w:r>
      <w:r>
        <w:rPr>
          <w:sz w:val="20"/>
        </w:rPr>
        <w:t>conduct</w:t>
      </w:r>
      <w:r>
        <w:rPr>
          <w:spacing w:val="-1"/>
          <w:sz w:val="20"/>
        </w:rPr>
        <w:t> </w:t>
      </w:r>
      <w:r>
        <w:rPr>
          <w:sz w:val="20"/>
        </w:rPr>
        <w:t>by</w:t>
      </w:r>
      <w:r>
        <w:rPr>
          <w:spacing w:val="-1"/>
          <w:sz w:val="20"/>
        </w:rPr>
        <w:t> </w:t>
      </w:r>
      <w:r>
        <w:rPr>
          <w:sz w:val="20"/>
        </w:rPr>
        <w:t>the</w:t>
      </w:r>
      <w:r>
        <w:rPr>
          <w:spacing w:val="-1"/>
          <w:sz w:val="20"/>
        </w:rPr>
        <w:t> </w:t>
      </w:r>
      <w:r>
        <w:rPr>
          <w:sz w:val="20"/>
        </w:rPr>
        <w:t>party</w:t>
      </w:r>
      <w:r>
        <w:rPr>
          <w:spacing w:val="-1"/>
          <w:sz w:val="20"/>
        </w:rPr>
        <w:t> </w:t>
      </w:r>
      <w:r>
        <w:rPr>
          <w:sz w:val="20"/>
        </w:rPr>
        <w:t>alleged</w:t>
      </w:r>
      <w:r>
        <w:rPr>
          <w:spacing w:val="-1"/>
          <w:sz w:val="20"/>
        </w:rPr>
        <w:t> </w:t>
      </w:r>
      <w:r>
        <w:rPr>
          <w:sz w:val="20"/>
        </w:rPr>
        <w:t>to</w:t>
      </w:r>
      <w:r>
        <w:rPr>
          <w:spacing w:val="-1"/>
          <w:sz w:val="20"/>
        </w:rPr>
        <w:t> </w:t>
      </w:r>
      <w:r>
        <w:rPr>
          <w:sz w:val="20"/>
        </w:rPr>
        <w:t>be</w:t>
      </w:r>
      <w:r>
        <w:rPr>
          <w:spacing w:val="-1"/>
          <w:sz w:val="20"/>
        </w:rPr>
        <w:t> </w:t>
      </w:r>
      <w:r>
        <w:rPr>
          <w:sz w:val="20"/>
        </w:rPr>
        <w:t>estopped</w:t>
      </w:r>
      <w:r>
        <w:rPr>
          <w:spacing w:val="-1"/>
          <w:sz w:val="20"/>
        </w:rPr>
        <w:t> </w:t>
      </w:r>
      <w:r>
        <w:rPr>
          <w:sz w:val="20"/>
        </w:rPr>
        <w:t>from</w:t>
      </w:r>
      <w:r>
        <w:rPr>
          <w:spacing w:val="-1"/>
          <w:sz w:val="20"/>
        </w:rPr>
        <w:t> </w:t>
      </w:r>
      <w:r>
        <w:rPr>
          <w:sz w:val="20"/>
        </w:rPr>
        <w:t>which</w:t>
      </w:r>
      <w:r>
        <w:rPr>
          <w:spacing w:val="-1"/>
          <w:sz w:val="20"/>
        </w:rPr>
        <w:t> </w:t>
      </w:r>
      <w:r>
        <w:rPr>
          <w:sz w:val="20"/>
        </w:rPr>
        <w:t>acquiescence in the other party’s mistaken belief could be inferred.</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1277" w:id="1279"/>
      <w:bookmarkEnd w:id="1279"/>
      <w:r>
        <w:rPr/>
      </w:r>
      <w:hyperlink w:history="true" w:anchor="_bookmark1040">
        <w:r>
          <w:rPr>
            <w:color w:val="005DA1"/>
            <w:spacing w:val="-4"/>
            <w:position w:val="5"/>
            <w:sz w:val="14"/>
            <w:u w:val="single" w:color="005DA1"/>
          </w:rPr>
          <w:t>649</w:t>
        </w:r>
      </w:hyperlink>
      <w:r>
        <w:rPr>
          <w:spacing w:val="-4"/>
          <w:position w:val="5"/>
          <w:sz w:val="14"/>
        </w:rPr>
        <w:t>.</w:t>
      </w:r>
      <w:r>
        <w:rPr>
          <w:position w:val="5"/>
          <w:sz w:val="14"/>
        </w:rPr>
        <w:tab/>
      </w:r>
      <w:r>
        <w:rPr>
          <w:rFonts w:ascii="Arial"/>
          <w:i/>
          <w:sz w:val="20"/>
        </w:rPr>
        <w:t>HIH</w:t>
      </w:r>
      <w:r>
        <w:rPr>
          <w:rFonts w:ascii="Arial"/>
          <w:i/>
          <w:spacing w:val="5"/>
          <w:sz w:val="20"/>
        </w:rPr>
        <w:t> </w:t>
      </w:r>
      <w:r>
        <w:rPr>
          <w:rFonts w:ascii="Arial"/>
          <w:i/>
          <w:sz w:val="20"/>
        </w:rPr>
        <w:t>Casualty</w:t>
      </w:r>
      <w:r>
        <w:rPr>
          <w:rFonts w:ascii="Arial"/>
          <w:i/>
          <w:spacing w:val="5"/>
          <w:sz w:val="20"/>
        </w:rPr>
        <w:t> </w:t>
      </w:r>
      <w:r>
        <w:rPr>
          <w:rFonts w:ascii="Arial"/>
          <w:i/>
          <w:sz w:val="20"/>
        </w:rPr>
        <w:t>&amp;</w:t>
      </w:r>
      <w:r>
        <w:rPr>
          <w:rFonts w:ascii="Arial"/>
          <w:i/>
          <w:spacing w:val="5"/>
          <w:sz w:val="20"/>
        </w:rPr>
        <w:t> </w:t>
      </w:r>
      <w:r>
        <w:rPr>
          <w:rFonts w:ascii="Arial"/>
          <w:i/>
          <w:sz w:val="20"/>
        </w:rPr>
        <w:t>General</w:t>
      </w:r>
      <w:r>
        <w:rPr>
          <w:rFonts w:ascii="Arial"/>
          <w:i/>
          <w:spacing w:val="5"/>
          <w:sz w:val="20"/>
        </w:rPr>
        <w:t> </w:t>
      </w:r>
      <w:r>
        <w:rPr>
          <w:rFonts w:ascii="Arial"/>
          <w:i/>
          <w:sz w:val="20"/>
        </w:rPr>
        <w:t>Insurance</w:t>
      </w:r>
      <w:r>
        <w:rPr>
          <w:rFonts w:ascii="Arial"/>
          <w:i/>
          <w:spacing w:val="5"/>
          <w:sz w:val="20"/>
        </w:rPr>
        <w:t> </w:t>
      </w:r>
      <w:r>
        <w:rPr>
          <w:rFonts w:ascii="Arial"/>
          <w:i/>
          <w:sz w:val="20"/>
        </w:rPr>
        <w:t>v</w:t>
      </w:r>
      <w:r>
        <w:rPr>
          <w:rFonts w:ascii="Arial"/>
          <w:i/>
          <w:spacing w:val="5"/>
          <w:sz w:val="20"/>
        </w:rPr>
        <w:t> </w:t>
      </w:r>
      <w:r>
        <w:rPr>
          <w:rFonts w:ascii="Arial"/>
          <w:i/>
          <w:sz w:val="20"/>
        </w:rPr>
        <w:t>Axa</w:t>
      </w:r>
      <w:r>
        <w:rPr>
          <w:rFonts w:ascii="Arial"/>
          <w:i/>
          <w:spacing w:val="5"/>
          <w:sz w:val="20"/>
        </w:rPr>
        <w:t> </w:t>
      </w:r>
      <w:r>
        <w:rPr>
          <w:rFonts w:ascii="Arial"/>
          <w:i/>
          <w:sz w:val="20"/>
        </w:rPr>
        <w:t>Corporate</w:t>
      </w:r>
      <w:r>
        <w:rPr>
          <w:rFonts w:ascii="Arial"/>
          <w:i/>
          <w:spacing w:val="5"/>
          <w:sz w:val="20"/>
        </w:rPr>
        <w:t> </w:t>
      </w:r>
      <w:r>
        <w:rPr>
          <w:rFonts w:ascii="Arial"/>
          <w:i/>
          <w:sz w:val="20"/>
        </w:rPr>
        <w:t>Solutions</w:t>
      </w:r>
      <w:r>
        <w:rPr>
          <w:rFonts w:ascii="Arial"/>
          <w:i/>
          <w:spacing w:val="5"/>
          <w:sz w:val="20"/>
        </w:rPr>
        <w:t> </w:t>
      </w:r>
      <w:r>
        <w:rPr>
          <w:rFonts w:ascii="Arial"/>
          <w:i/>
          <w:sz w:val="20"/>
        </w:rPr>
        <w:t>[2002]</w:t>
      </w:r>
      <w:r>
        <w:rPr>
          <w:rFonts w:ascii="Arial"/>
          <w:i/>
          <w:spacing w:val="5"/>
          <w:sz w:val="20"/>
        </w:rPr>
        <w:t> </w:t>
      </w:r>
      <w:r>
        <w:rPr>
          <w:rFonts w:ascii="Arial"/>
          <w:i/>
          <w:sz w:val="20"/>
        </w:rPr>
        <w:t>EWCA</w:t>
      </w:r>
      <w:r>
        <w:rPr>
          <w:rFonts w:ascii="Arial"/>
          <w:i/>
          <w:spacing w:val="5"/>
          <w:sz w:val="20"/>
        </w:rPr>
        <w:t> </w:t>
      </w:r>
      <w:r>
        <w:rPr>
          <w:rFonts w:ascii="Arial"/>
          <w:i/>
          <w:sz w:val="20"/>
        </w:rPr>
        <w:t>Civ</w:t>
      </w:r>
      <w:r>
        <w:rPr>
          <w:rFonts w:ascii="Arial"/>
          <w:i/>
          <w:spacing w:val="5"/>
          <w:sz w:val="20"/>
        </w:rPr>
        <w:t> </w:t>
      </w:r>
      <w:r>
        <w:rPr>
          <w:rFonts w:ascii="Arial"/>
          <w:i/>
          <w:sz w:val="20"/>
        </w:rPr>
        <w:t>1253;</w:t>
      </w:r>
      <w:r>
        <w:rPr>
          <w:rFonts w:ascii="Arial"/>
          <w:i/>
          <w:spacing w:val="5"/>
          <w:sz w:val="20"/>
        </w:rPr>
        <w:t> </w:t>
      </w:r>
      <w:r>
        <w:rPr>
          <w:rFonts w:ascii="Arial"/>
          <w:i/>
          <w:sz w:val="20"/>
        </w:rPr>
        <w:t>[2002]</w:t>
      </w:r>
      <w:r>
        <w:rPr>
          <w:rFonts w:ascii="Arial"/>
          <w:i/>
          <w:spacing w:val="5"/>
          <w:sz w:val="20"/>
        </w:rPr>
        <w:t> </w:t>
      </w:r>
      <w:r>
        <w:rPr>
          <w:rFonts w:ascii="Arial"/>
          <w:i/>
          <w:spacing w:val="-10"/>
          <w:sz w:val="20"/>
        </w:rPr>
        <w:t>2</w:t>
      </w:r>
    </w:p>
    <w:p>
      <w:pPr>
        <w:spacing w:line="227" w:lineRule="exact" w:before="0"/>
        <w:ind w:left="705" w:right="0" w:firstLine="0"/>
        <w:jc w:val="left"/>
        <w:rPr>
          <w:sz w:val="20"/>
        </w:rPr>
      </w:pPr>
      <w:r>
        <w:rPr>
          <w:rFonts w:ascii="Arial"/>
          <w:i/>
          <w:sz w:val="20"/>
        </w:rPr>
        <w:t>All E.R. (Comm) 1053</w:t>
      </w:r>
      <w:r>
        <w:rPr>
          <w:rFonts w:ascii="Arial"/>
          <w:i/>
          <w:spacing w:val="-1"/>
          <w:sz w:val="20"/>
        </w:rPr>
        <w:t> </w:t>
      </w:r>
      <w:r>
        <w:rPr>
          <w:sz w:val="20"/>
        </w:rPr>
        <w:t>at </w:t>
      </w:r>
      <w:r>
        <w:rPr>
          <w:spacing w:val="-2"/>
          <w:sz w:val="20"/>
        </w:rPr>
        <w:t>[32].</w:t>
      </w:r>
    </w:p>
    <w:p>
      <w:pPr>
        <w:spacing w:after="0" w:line="227" w:lineRule="exact"/>
        <w:jc w:val="left"/>
        <w:rPr>
          <w:sz w:val="20"/>
        </w:rPr>
        <w:sectPr>
          <w:pgSz w:w="11900" w:h="16840"/>
          <w:pgMar w:header="971" w:footer="0" w:top="1160" w:bottom="280" w:left="1275" w:right="1275"/>
        </w:sectPr>
      </w:pPr>
    </w:p>
    <w:p>
      <w:pPr>
        <w:pStyle w:val="BodyText"/>
        <w:spacing w:before="84"/>
      </w:pPr>
    </w:p>
    <w:p>
      <w:pPr>
        <w:pStyle w:val="BodyText"/>
        <w:spacing w:line="235" w:lineRule="auto" w:before="1"/>
        <w:ind w:left="705" w:right="167" w:hanging="541"/>
        <w:jc w:val="both"/>
      </w:pPr>
      <w:hyperlink w:history="true" w:anchor="_bookmark1041">
        <w:r>
          <w:rPr>
            <w:color w:val="005DA1"/>
            <w:position w:val="5"/>
            <w:sz w:val="14"/>
            <w:u w:val="single" w:color="005DA1"/>
          </w:rPr>
          <w:t>650</w:t>
        </w:r>
      </w:hyperlink>
      <w:r>
        <w:rPr>
          <w:position w:val="5"/>
          <w:sz w:val="14"/>
        </w:rPr>
        <w:t>.</w:t>
      </w:r>
      <w:r>
        <w:rPr>
          <w:spacing w:val="80"/>
          <w:w w:val="150"/>
          <w:position w:val="5"/>
          <w:sz w:val="14"/>
        </w:rPr>
        <w:t> </w:t>
      </w:r>
      <w:r>
        <w:rPr>
          <w:rFonts w:ascii="Arial" w:hAnsi="Arial"/>
          <w:i/>
        </w:rPr>
        <w:t>Blankley v Central Manchester etc. NHS Trust [2014] EWHC 168 (QB), [2014] 2 All E.R. 1104 </w:t>
      </w:r>
      <w:r>
        <w:rPr/>
        <w:t>where the actual decision was that the state of facts which the defendant was alleged to </w:t>
      </w:r>
      <w:r>
        <w:rPr/>
        <w:t>be estopped from denying actually existed (at [59]). But it was also said (at [60]) that, if that had</w:t>
      </w:r>
      <w:r>
        <w:rPr>
          <w:spacing w:val="40"/>
        </w:rPr>
        <w:t> </w:t>
      </w:r>
      <w:r>
        <w:rPr/>
        <w:t>not</w:t>
      </w:r>
      <w:r>
        <w:rPr>
          <w:spacing w:val="-1"/>
        </w:rPr>
        <w:t> </w:t>
      </w:r>
      <w:r>
        <w:rPr/>
        <w:t>been</w:t>
      </w:r>
      <w:r>
        <w:rPr>
          <w:spacing w:val="-1"/>
        </w:rPr>
        <w:t> </w:t>
      </w:r>
      <w:r>
        <w:rPr/>
        <w:t>the</w:t>
      </w:r>
      <w:r>
        <w:rPr>
          <w:spacing w:val="-1"/>
        </w:rPr>
        <w:t> </w:t>
      </w:r>
      <w:r>
        <w:rPr/>
        <w:t>case,</w:t>
      </w:r>
      <w:r>
        <w:rPr>
          <w:spacing w:val="-1"/>
        </w:rPr>
        <w:t> </w:t>
      </w:r>
      <w:r>
        <w:rPr/>
        <w:t>the</w:t>
      </w:r>
      <w:r>
        <w:rPr>
          <w:spacing w:val="-1"/>
        </w:rPr>
        <w:t> </w:t>
      </w:r>
      <w:r>
        <w:rPr/>
        <w:t>alleged</w:t>
      </w:r>
      <w:r>
        <w:rPr>
          <w:spacing w:val="-1"/>
        </w:rPr>
        <w:t> </w:t>
      </w:r>
      <w:r>
        <w:rPr/>
        <w:t>estoppel</w:t>
      </w:r>
      <w:r>
        <w:rPr>
          <w:spacing w:val="-1"/>
        </w:rPr>
        <w:t> </w:t>
      </w:r>
      <w:r>
        <w:rPr/>
        <w:t>would</w:t>
      </w:r>
      <w:r>
        <w:rPr>
          <w:spacing w:val="-1"/>
        </w:rPr>
        <w:t> </w:t>
      </w:r>
      <w:r>
        <w:rPr/>
        <w:t>not</w:t>
      </w:r>
      <w:r>
        <w:rPr>
          <w:spacing w:val="-1"/>
        </w:rPr>
        <w:t> </w:t>
      </w:r>
      <w:r>
        <w:rPr/>
        <w:t>have</w:t>
      </w:r>
      <w:r>
        <w:rPr>
          <w:spacing w:val="-1"/>
        </w:rPr>
        <w:t> </w:t>
      </w:r>
      <w:r>
        <w:rPr/>
        <w:t>arisen</w:t>
      </w:r>
      <w:r>
        <w:rPr>
          <w:spacing w:val="-1"/>
        </w:rPr>
        <w:t> </w:t>
      </w:r>
      <w:r>
        <w:rPr/>
        <w:t>since</w:t>
      </w:r>
      <w:r>
        <w:rPr>
          <w:spacing w:val="-1"/>
        </w:rPr>
        <w:t> </w:t>
      </w:r>
      <w:r>
        <w:rPr/>
        <w:t>no</w:t>
      </w:r>
      <w:r>
        <w:rPr>
          <w:spacing w:val="-1"/>
        </w:rPr>
        <w:t> </w:t>
      </w:r>
      <w:r>
        <w:rPr/>
        <w:t>inference</w:t>
      </w:r>
      <w:r>
        <w:rPr>
          <w:spacing w:val="-1"/>
        </w:rPr>
        <w:t> </w:t>
      </w:r>
      <w:r>
        <w:rPr/>
        <w:t>of</w:t>
      </w:r>
      <w:r>
        <w:rPr>
          <w:spacing w:val="-1"/>
        </w:rPr>
        <w:t> </w:t>
      </w:r>
      <w:r>
        <w:rPr/>
        <w:t>any</w:t>
      </w:r>
      <w:r>
        <w:rPr>
          <w:spacing w:val="-1"/>
        </w:rPr>
        <w:t> </w:t>
      </w:r>
      <w:r>
        <w:rPr/>
        <w:t>shared assumption by, or communication from, the defendant could be drawn from the latter’s conduct as this conduct was more readily explicable on other grounds.</w:t>
      </w:r>
    </w:p>
    <w:p>
      <w:pPr>
        <w:pStyle w:val="BodyText"/>
        <w:spacing w:before="3"/>
      </w:pPr>
    </w:p>
    <w:p>
      <w:pPr>
        <w:tabs>
          <w:tab w:pos="705" w:val="left" w:leader="none"/>
        </w:tabs>
        <w:spacing w:before="1"/>
        <w:ind w:left="165" w:right="0" w:firstLine="0"/>
        <w:jc w:val="left"/>
        <w:rPr>
          <w:sz w:val="20"/>
        </w:rPr>
      </w:pPr>
      <w:bookmarkStart w:name="_bookmark1278" w:id="1280"/>
      <w:bookmarkEnd w:id="1280"/>
      <w:r>
        <w:rPr/>
      </w:r>
      <w:hyperlink w:history="true" w:anchor="_bookmark1042">
        <w:r>
          <w:rPr>
            <w:color w:val="005DA1"/>
            <w:spacing w:val="-4"/>
            <w:position w:val="5"/>
            <w:sz w:val="14"/>
            <w:u w:val="single" w:color="005DA1"/>
          </w:rPr>
          <w:t>651</w:t>
        </w:r>
      </w:hyperlink>
      <w:r>
        <w:rPr>
          <w:spacing w:val="-4"/>
          <w:position w:val="5"/>
          <w:sz w:val="14"/>
        </w:rPr>
        <w:t>.</w:t>
      </w:r>
      <w:r>
        <w:rPr>
          <w:position w:val="5"/>
          <w:sz w:val="14"/>
        </w:rPr>
        <w:tab/>
      </w:r>
      <w:r>
        <w:rPr>
          <w:rFonts w:ascii="Arial"/>
          <w:i/>
          <w:sz w:val="20"/>
        </w:rPr>
        <w:t>Gloyne v Richardson [2001] EWCA Civ 716; [2001] 2 B.C.L.C. 669</w:t>
      </w:r>
      <w:r>
        <w:rPr>
          <w:rFonts w:ascii="Arial"/>
          <w:i/>
          <w:spacing w:val="-1"/>
          <w:sz w:val="20"/>
        </w:rPr>
        <w:t> </w:t>
      </w:r>
      <w:r>
        <w:rPr>
          <w:sz w:val="20"/>
        </w:rPr>
        <w:t>at </w:t>
      </w:r>
      <w:r>
        <w:rPr>
          <w:spacing w:val="-2"/>
          <w:sz w:val="20"/>
        </w:rPr>
        <w:t>[41].</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bookmarkStart w:name="_bookmark1279" w:id="1281"/>
      <w:bookmarkEnd w:id="1281"/>
      <w:r>
        <w:rPr/>
      </w:r>
      <w:hyperlink w:history="true" w:anchor="_bookmark1043">
        <w:r>
          <w:rPr>
            <w:color w:val="005DA1"/>
            <w:spacing w:val="-4"/>
            <w:sz w:val="14"/>
            <w:u w:val="single" w:color="005DA1"/>
          </w:rPr>
          <w:t>652</w:t>
        </w:r>
      </w:hyperlink>
      <w:r>
        <w:rPr>
          <w:spacing w:val="-4"/>
          <w:sz w:val="14"/>
        </w:rPr>
        <w:t>.</w:t>
      </w:r>
    </w:p>
    <w:p>
      <w:pPr>
        <w:spacing w:line="235" w:lineRule="auto" w:before="212"/>
        <w:ind w:left="165" w:right="167" w:firstLine="170"/>
        <w:jc w:val="both"/>
        <w:rPr>
          <w:rFonts w:ascii="Arial" w:hAnsi="Arial"/>
          <w:i/>
          <w:sz w:val="20"/>
        </w:rPr>
      </w:pPr>
      <w:r>
        <w:rPr/>
        <w:br w:type="column"/>
      </w:r>
      <w:r>
        <w:rPr>
          <w:rFonts w:ascii="Arial" w:hAnsi="Arial"/>
          <w:i/>
          <w:sz w:val="20"/>
        </w:rPr>
        <w:t>Amalgamated Investment case [1982] 2 Q.B. 84 </w:t>
      </w:r>
      <w:r>
        <w:rPr>
          <w:sz w:val="20"/>
        </w:rPr>
        <w:t>at 122, 126; </w:t>
      </w:r>
      <w:r>
        <w:rPr>
          <w:rFonts w:ascii="Arial" w:hAnsi="Arial"/>
          <w:i/>
          <w:sz w:val="20"/>
        </w:rPr>
        <w:t>The Vistafjord [1988] 2 </w:t>
      </w:r>
      <w:r>
        <w:rPr>
          <w:rFonts w:ascii="Arial" w:hAnsi="Arial"/>
          <w:i/>
          <w:sz w:val="20"/>
        </w:rPr>
        <w:t>Lloyd’s Rep. 343 </w:t>
      </w:r>
      <w:r>
        <w:rPr>
          <w:sz w:val="20"/>
        </w:rPr>
        <w:t>at 351; </w:t>
      </w:r>
      <w:r>
        <w:rPr>
          <w:rFonts w:ascii="Arial" w:hAnsi="Arial"/>
          <w:i/>
          <w:sz w:val="20"/>
        </w:rPr>
        <w:t>Shearson Lehman Hutton Inc v Maclaine Watson &amp; Co Ltd [1989] 2 Lloyd’s Rep.</w:t>
      </w:r>
      <w:r>
        <w:rPr>
          <w:rFonts w:ascii="Arial" w:hAnsi="Arial"/>
          <w:i/>
          <w:spacing w:val="3"/>
          <w:sz w:val="20"/>
        </w:rPr>
        <w:t> </w:t>
      </w:r>
      <w:r>
        <w:rPr>
          <w:rFonts w:ascii="Arial" w:hAnsi="Arial"/>
          <w:i/>
          <w:sz w:val="20"/>
        </w:rPr>
        <w:t>570</w:t>
      </w:r>
      <w:r>
        <w:rPr>
          <w:rFonts w:ascii="Arial" w:hAnsi="Arial"/>
          <w:i/>
          <w:spacing w:val="3"/>
          <w:sz w:val="20"/>
        </w:rPr>
        <w:t> </w:t>
      </w:r>
      <w:r>
        <w:rPr>
          <w:sz w:val="20"/>
        </w:rPr>
        <w:t>at</w:t>
      </w:r>
      <w:r>
        <w:rPr>
          <w:spacing w:val="3"/>
          <w:sz w:val="20"/>
        </w:rPr>
        <w:t> </w:t>
      </w:r>
      <w:r>
        <w:rPr>
          <w:sz w:val="20"/>
        </w:rPr>
        <w:t>596;</w:t>
      </w:r>
      <w:r>
        <w:rPr>
          <w:spacing w:val="3"/>
          <w:sz w:val="20"/>
        </w:rPr>
        <w:t> </w:t>
      </w:r>
      <w:r>
        <w:rPr>
          <w:rFonts w:ascii="Arial" w:hAnsi="Arial"/>
          <w:i/>
          <w:sz w:val="20"/>
        </w:rPr>
        <w:t>Republic</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India</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India</w:t>
      </w:r>
      <w:r>
        <w:rPr>
          <w:rFonts w:ascii="Arial" w:hAnsi="Arial"/>
          <w:i/>
          <w:spacing w:val="3"/>
          <w:sz w:val="20"/>
        </w:rPr>
        <w:t> </w:t>
      </w:r>
      <w:r>
        <w:rPr>
          <w:rFonts w:ascii="Arial" w:hAnsi="Arial"/>
          <w:i/>
          <w:sz w:val="20"/>
        </w:rPr>
        <w:t>Steamship</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(The</w:t>
      </w:r>
      <w:r>
        <w:rPr>
          <w:rFonts w:ascii="Arial" w:hAnsi="Arial"/>
          <w:i/>
          <w:spacing w:val="3"/>
          <w:sz w:val="20"/>
        </w:rPr>
        <w:t> </w:t>
      </w:r>
      <w:r>
        <w:rPr>
          <w:rFonts w:ascii="Arial" w:hAnsi="Arial"/>
          <w:i/>
          <w:sz w:val="20"/>
        </w:rPr>
        <w:t>Indian</w:t>
      </w:r>
      <w:r>
        <w:rPr>
          <w:rFonts w:ascii="Arial" w:hAnsi="Arial"/>
          <w:i/>
          <w:spacing w:val="3"/>
          <w:sz w:val="20"/>
        </w:rPr>
        <w:t> </w:t>
      </w:r>
      <w:r>
        <w:rPr>
          <w:rFonts w:ascii="Arial" w:hAnsi="Arial"/>
          <w:i/>
          <w:sz w:val="20"/>
        </w:rPr>
        <w:t>Endurance)</w:t>
      </w:r>
      <w:r>
        <w:rPr>
          <w:rFonts w:ascii="Arial" w:hAnsi="Arial"/>
          <w:i/>
          <w:spacing w:val="3"/>
          <w:sz w:val="20"/>
        </w:rPr>
        <w:t> </w:t>
      </w:r>
      <w:r>
        <w:rPr>
          <w:rFonts w:ascii="Arial" w:hAnsi="Arial"/>
          <w:i/>
          <w:sz w:val="20"/>
        </w:rPr>
        <w:t>(No.2)</w:t>
      </w:r>
      <w:r>
        <w:rPr>
          <w:rFonts w:ascii="Arial" w:hAnsi="Arial"/>
          <w:i/>
          <w:spacing w:val="3"/>
          <w:sz w:val="20"/>
        </w:rPr>
        <w:t> </w:t>
      </w:r>
      <w:r>
        <w:rPr>
          <w:rFonts w:ascii="Arial" w:hAnsi="Arial"/>
          <w:i/>
          <w:spacing w:val="-2"/>
          <w:sz w:val="20"/>
        </w:rPr>
        <w:t>[1998]</w:t>
      </w:r>
    </w:p>
    <w:p>
      <w:pPr>
        <w:spacing w:line="235" w:lineRule="auto" w:before="0"/>
        <w:ind w:left="165" w:right="167" w:firstLine="0"/>
        <w:jc w:val="both"/>
        <w:rPr>
          <w:rFonts w:ascii="Arial"/>
          <w:i/>
          <w:sz w:val="20"/>
        </w:rPr>
      </w:pPr>
      <w:r>
        <w:rPr>
          <w:rFonts w:ascii="Arial"/>
          <w:i/>
          <w:sz w:val="20"/>
        </w:rPr>
        <w:drawing>
          <wp:anchor distT="0" distB="0" distL="0" distR="0" allowOverlap="1" layoutInCell="1" locked="0" behindDoc="0" simplePos="0" relativeHeight="15777792">
            <wp:simplePos x="0" y="0"/>
            <wp:positionH relativeFrom="page">
              <wp:posOffset>1257846</wp:posOffset>
            </wp:positionH>
            <wp:positionV relativeFrom="paragraph">
              <wp:posOffset>-403316</wp:posOffset>
            </wp:positionV>
            <wp:extent cx="107988" cy="107988"/>
            <wp:effectExtent l="0" t="0" r="0" b="0"/>
            <wp:wrapNone/>
            <wp:docPr id="208" name="Image 208"/>
            <wp:cNvGraphicFramePr>
              <a:graphicFrameLocks/>
            </wp:cNvGraphicFramePr>
            <a:graphic>
              <a:graphicData uri="http://schemas.openxmlformats.org/drawingml/2006/picture">
                <pic:pic>
                  <pic:nvPicPr>
                    <pic:cNvPr id="208" name="Image 208"/>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A.C. 878 </w:t>
      </w:r>
      <w:r>
        <w:rPr>
          <w:sz w:val="20"/>
        </w:rPr>
        <w:t>at 913; </w:t>
      </w:r>
      <w:r>
        <w:rPr>
          <w:rFonts w:ascii="Arial"/>
          <w:i/>
          <w:sz w:val="20"/>
        </w:rPr>
        <w:t>Mears Limited v Shoreline Housing Partnership Limited [2015] EWHC </w:t>
      </w:r>
      <w:r>
        <w:rPr>
          <w:rFonts w:ascii="Arial"/>
          <w:i/>
          <w:sz w:val="20"/>
        </w:rPr>
        <w:t>1396 (TCC)</w:t>
      </w:r>
      <w:r>
        <w:rPr>
          <w:rFonts w:ascii="Arial"/>
          <w:i/>
          <w:spacing w:val="27"/>
          <w:sz w:val="20"/>
        </w:rPr>
        <w:t> </w:t>
      </w:r>
      <w:r>
        <w:rPr>
          <w:sz w:val="20"/>
        </w:rPr>
        <w:t>at</w:t>
      </w:r>
      <w:r>
        <w:rPr>
          <w:spacing w:val="27"/>
          <w:sz w:val="20"/>
        </w:rPr>
        <w:t> </w:t>
      </w:r>
      <w:r>
        <w:rPr>
          <w:sz w:val="20"/>
        </w:rPr>
        <w:t>[51].</w:t>
      </w:r>
      <w:r>
        <w:rPr>
          <w:spacing w:val="27"/>
          <w:sz w:val="20"/>
        </w:rPr>
        <w:t> </w:t>
      </w:r>
      <w:r>
        <w:rPr>
          <w:sz w:val="20"/>
        </w:rPr>
        <w:t>Cf.</w:t>
      </w:r>
      <w:r>
        <w:rPr>
          <w:spacing w:val="27"/>
          <w:sz w:val="20"/>
        </w:rPr>
        <w:t> </w:t>
      </w:r>
      <w:r>
        <w:rPr>
          <w:rFonts w:ascii="Arial"/>
          <w:i/>
          <w:sz w:val="20"/>
        </w:rPr>
        <w:t>NRAM</w:t>
      </w:r>
      <w:r>
        <w:rPr>
          <w:rFonts w:ascii="Arial"/>
          <w:i/>
          <w:spacing w:val="27"/>
          <w:sz w:val="20"/>
        </w:rPr>
        <w:t> </w:t>
      </w:r>
      <w:r>
        <w:rPr>
          <w:rFonts w:ascii="Arial"/>
          <w:i/>
          <w:sz w:val="20"/>
        </w:rPr>
        <w:t>v</w:t>
      </w:r>
      <w:r>
        <w:rPr>
          <w:rFonts w:ascii="Arial"/>
          <w:i/>
          <w:spacing w:val="27"/>
          <w:sz w:val="20"/>
        </w:rPr>
        <w:t> </w:t>
      </w:r>
      <w:r>
        <w:rPr>
          <w:rFonts w:ascii="Arial"/>
          <w:i/>
          <w:sz w:val="20"/>
        </w:rPr>
        <w:t>McAdam</w:t>
      </w:r>
      <w:r>
        <w:rPr>
          <w:rFonts w:ascii="Arial"/>
          <w:i/>
          <w:spacing w:val="27"/>
          <w:sz w:val="20"/>
        </w:rPr>
        <w:t> </w:t>
      </w:r>
      <w:r>
        <w:rPr>
          <w:rFonts w:ascii="Arial"/>
          <w:i/>
          <w:sz w:val="20"/>
        </w:rPr>
        <w:t>[2014]</w:t>
      </w:r>
      <w:r>
        <w:rPr>
          <w:rFonts w:ascii="Arial"/>
          <w:i/>
          <w:spacing w:val="27"/>
          <w:sz w:val="20"/>
        </w:rPr>
        <w:t> </w:t>
      </w:r>
      <w:r>
        <w:rPr>
          <w:rFonts w:ascii="Arial"/>
          <w:i/>
          <w:sz w:val="20"/>
        </w:rPr>
        <w:t>EWHC</w:t>
      </w:r>
      <w:r>
        <w:rPr>
          <w:rFonts w:ascii="Arial"/>
          <w:i/>
          <w:spacing w:val="27"/>
          <w:sz w:val="20"/>
        </w:rPr>
        <w:t> </w:t>
      </w:r>
      <w:r>
        <w:rPr>
          <w:rFonts w:ascii="Arial"/>
          <w:i/>
          <w:sz w:val="20"/>
        </w:rPr>
        <w:t>4174</w:t>
      </w:r>
      <w:r>
        <w:rPr>
          <w:rFonts w:ascii="Arial"/>
          <w:i/>
          <w:spacing w:val="27"/>
          <w:sz w:val="20"/>
        </w:rPr>
        <w:t> </w:t>
      </w:r>
      <w:r>
        <w:rPr>
          <w:rFonts w:ascii="Arial"/>
          <w:i/>
          <w:sz w:val="20"/>
        </w:rPr>
        <w:t>(Comm),</w:t>
      </w:r>
      <w:r>
        <w:rPr>
          <w:rFonts w:ascii="Arial"/>
          <w:i/>
          <w:spacing w:val="27"/>
          <w:sz w:val="20"/>
        </w:rPr>
        <w:t> </w:t>
      </w:r>
      <w:r>
        <w:rPr>
          <w:rFonts w:ascii="Arial"/>
          <w:i/>
          <w:sz w:val="20"/>
        </w:rPr>
        <w:t>[2015]</w:t>
      </w:r>
      <w:r>
        <w:rPr>
          <w:rFonts w:ascii="Arial"/>
          <w:i/>
          <w:spacing w:val="27"/>
          <w:sz w:val="20"/>
        </w:rPr>
        <w:t> </w:t>
      </w:r>
      <w:r>
        <w:rPr>
          <w:rFonts w:ascii="Arial"/>
          <w:i/>
          <w:sz w:val="20"/>
        </w:rPr>
        <w:t>1</w:t>
      </w:r>
      <w:r>
        <w:rPr>
          <w:rFonts w:ascii="Arial"/>
          <w:i/>
          <w:spacing w:val="27"/>
          <w:sz w:val="20"/>
        </w:rPr>
        <w:t> </w:t>
      </w:r>
      <w:r>
        <w:rPr>
          <w:rFonts w:ascii="Arial"/>
          <w:i/>
          <w:sz w:val="20"/>
        </w:rPr>
        <w:t>All</w:t>
      </w:r>
      <w:r>
        <w:rPr>
          <w:rFonts w:ascii="Arial"/>
          <w:i/>
          <w:spacing w:val="27"/>
          <w:sz w:val="20"/>
        </w:rPr>
        <w:t> </w:t>
      </w:r>
      <w:r>
        <w:rPr>
          <w:rFonts w:ascii="Arial"/>
          <w:i/>
          <w:sz w:val="20"/>
        </w:rPr>
        <w:t>E.R.</w:t>
      </w:r>
      <w:r>
        <w:rPr>
          <w:rFonts w:ascii="Arial"/>
          <w:i/>
          <w:spacing w:val="27"/>
          <w:sz w:val="20"/>
        </w:rPr>
        <w:t> </w:t>
      </w:r>
      <w:r>
        <w:rPr>
          <w:rFonts w:ascii="Arial"/>
          <w:i/>
          <w:spacing w:val="-2"/>
          <w:sz w:val="20"/>
        </w:rPr>
        <w:t>(Comm)</w:t>
      </w:r>
    </w:p>
    <w:p>
      <w:pPr>
        <w:spacing w:line="223" w:lineRule="exact" w:before="0"/>
        <w:ind w:left="165" w:right="0" w:firstLine="0"/>
        <w:jc w:val="left"/>
        <w:rPr>
          <w:rFonts w:ascii="Arial"/>
          <w:i/>
          <w:sz w:val="20"/>
        </w:rPr>
      </w:pPr>
      <w:r>
        <w:rPr>
          <w:rFonts w:ascii="Arial"/>
          <w:i/>
          <w:sz w:val="20"/>
        </w:rPr>
        <w:t>1239</w:t>
      </w:r>
      <w:r>
        <w:rPr>
          <w:rFonts w:ascii="Arial"/>
          <w:i/>
          <w:spacing w:val="1"/>
          <w:sz w:val="20"/>
        </w:rPr>
        <w:t> </w:t>
      </w:r>
      <w:r>
        <w:rPr>
          <w:sz w:val="20"/>
        </w:rPr>
        <w:t>at</w:t>
      </w:r>
      <w:r>
        <w:rPr>
          <w:spacing w:val="2"/>
          <w:sz w:val="20"/>
        </w:rPr>
        <w:t> </w:t>
      </w:r>
      <w:r>
        <w:rPr>
          <w:sz w:val="20"/>
        </w:rPr>
        <w:t>[29]</w:t>
      </w:r>
      <w:r>
        <w:rPr>
          <w:spacing w:val="2"/>
          <w:sz w:val="20"/>
        </w:rPr>
        <w:t> </w:t>
      </w:r>
      <w:r>
        <w:rPr>
          <w:sz w:val="20"/>
        </w:rPr>
        <w:t>and</w:t>
      </w:r>
      <w:r>
        <w:rPr>
          <w:spacing w:val="1"/>
          <w:sz w:val="20"/>
        </w:rPr>
        <w:t> </w:t>
      </w:r>
      <w:r>
        <w:rPr>
          <w:rFonts w:ascii="Arial"/>
          <w:i/>
          <w:sz w:val="20"/>
        </w:rPr>
        <w:t>[2015]</w:t>
      </w:r>
      <w:r>
        <w:rPr>
          <w:rFonts w:ascii="Arial"/>
          <w:i/>
          <w:spacing w:val="2"/>
          <w:sz w:val="20"/>
        </w:rPr>
        <w:t> </w:t>
      </w:r>
      <w:r>
        <w:rPr>
          <w:rFonts w:ascii="Arial"/>
          <w:i/>
          <w:sz w:val="20"/>
        </w:rPr>
        <w:t>EWCA</w:t>
      </w:r>
      <w:r>
        <w:rPr>
          <w:rFonts w:ascii="Arial"/>
          <w:i/>
          <w:spacing w:val="2"/>
          <w:sz w:val="20"/>
        </w:rPr>
        <w:t> </w:t>
      </w:r>
      <w:r>
        <w:rPr>
          <w:rFonts w:ascii="Arial"/>
          <w:i/>
          <w:sz w:val="20"/>
        </w:rPr>
        <w:t>Civ</w:t>
      </w:r>
      <w:r>
        <w:rPr>
          <w:rFonts w:ascii="Arial"/>
          <w:i/>
          <w:spacing w:val="2"/>
          <w:sz w:val="20"/>
        </w:rPr>
        <w:t> </w:t>
      </w:r>
      <w:r>
        <w:rPr>
          <w:rFonts w:ascii="Arial"/>
          <w:i/>
          <w:sz w:val="20"/>
        </w:rPr>
        <w:t>751,</w:t>
      </w:r>
      <w:r>
        <w:rPr>
          <w:rFonts w:ascii="Arial"/>
          <w:i/>
          <w:spacing w:val="2"/>
          <w:sz w:val="20"/>
        </w:rPr>
        <w:t> </w:t>
      </w:r>
      <w:r>
        <w:rPr>
          <w:rFonts w:ascii="Arial"/>
          <w:i/>
          <w:sz w:val="20"/>
        </w:rPr>
        <w:t>[2016]</w:t>
      </w:r>
      <w:r>
        <w:rPr>
          <w:rFonts w:ascii="Arial"/>
          <w:i/>
          <w:spacing w:val="2"/>
          <w:sz w:val="20"/>
        </w:rPr>
        <w:t> </w:t>
      </w:r>
      <w:r>
        <w:rPr>
          <w:rFonts w:ascii="Arial"/>
          <w:i/>
          <w:sz w:val="20"/>
        </w:rPr>
        <w:t>2</w:t>
      </w:r>
      <w:r>
        <w:rPr>
          <w:rFonts w:ascii="Arial"/>
          <w:i/>
          <w:spacing w:val="2"/>
          <w:sz w:val="20"/>
        </w:rPr>
        <w:t> </w:t>
      </w:r>
      <w:r>
        <w:rPr>
          <w:rFonts w:ascii="Arial"/>
          <w:i/>
          <w:sz w:val="20"/>
        </w:rPr>
        <w:t>All</w:t>
      </w:r>
      <w:r>
        <w:rPr>
          <w:rFonts w:ascii="Arial"/>
          <w:i/>
          <w:spacing w:val="2"/>
          <w:sz w:val="20"/>
        </w:rPr>
        <w:t> </w:t>
      </w:r>
      <w:r>
        <w:rPr>
          <w:rFonts w:ascii="Arial"/>
          <w:i/>
          <w:sz w:val="20"/>
        </w:rPr>
        <w:t>E.R.</w:t>
      </w:r>
      <w:r>
        <w:rPr>
          <w:rFonts w:ascii="Arial"/>
          <w:i/>
          <w:spacing w:val="2"/>
          <w:sz w:val="20"/>
        </w:rPr>
        <w:t> </w:t>
      </w:r>
      <w:r>
        <w:rPr>
          <w:rFonts w:ascii="Arial"/>
          <w:i/>
          <w:sz w:val="20"/>
        </w:rPr>
        <w:t>(Comm)</w:t>
      </w:r>
      <w:r>
        <w:rPr>
          <w:rFonts w:ascii="Arial"/>
          <w:i/>
          <w:spacing w:val="2"/>
          <w:sz w:val="20"/>
        </w:rPr>
        <w:t> </w:t>
      </w:r>
      <w:r>
        <w:rPr>
          <w:rFonts w:ascii="Arial"/>
          <w:i/>
          <w:sz w:val="20"/>
        </w:rPr>
        <w:t>333</w:t>
      </w:r>
      <w:r>
        <w:rPr>
          <w:rFonts w:ascii="Arial"/>
          <w:i/>
          <w:spacing w:val="1"/>
          <w:sz w:val="20"/>
        </w:rPr>
        <w:t> </w:t>
      </w:r>
      <w:r>
        <w:rPr>
          <w:sz w:val="20"/>
        </w:rPr>
        <w:t>at</w:t>
      </w:r>
      <w:r>
        <w:rPr>
          <w:spacing w:val="2"/>
          <w:sz w:val="20"/>
        </w:rPr>
        <w:t> </w:t>
      </w:r>
      <w:r>
        <w:rPr>
          <w:sz w:val="20"/>
        </w:rPr>
        <w:t>[43]</w:t>
      </w:r>
      <w:r>
        <w:rPr>
          <w:spacing w:val="2"/>
          <w:sz w:val="20"/>
        </w:rPr>
        <w:t> </w:t>
      </w:r>
      <w:r>
        <w:rPr>
          <w:sz w:val="20"/>
        </w:rPr>
        <w:t>and</w:t>
      </w:r>
      <w:r>
        <w:rPr>
          <w:spacing w:val="1"/>
          <w:sz w:val="20"/>
        </w:rPr>
        <w:t> </w:t>
      </w:r>
      <w:r>
        <w:rPr>
          <w:rFonts w:ascii="Arial"/>
          <w:i/>
          <w:sz w:val="20"/>
        </w:rPr>
        <w:t>[2015]</w:t>
      </w:r>
      <w:r>
        <w:rPr>
          <w:rFonts w:ascii="Arial"/>
          <w:i/>
          <w:spacing w:val="2"/>
          <w:sz w:val="20"/>
        </w:rPr>
        <w:t> </w:t>
      </w:r>
      <w:r>
        <w:rPr>
          <w:rFonts w:ascii="Arial"/>
          <w:i/>
          <w:spacing w:val="-4"/>
          <w:sz w:val="20"/>
        </w:rPr>
        <w:t>EWCA</w:t>
      </w:r>
    </w:p>
    <w:p>
      <w:pPr>
        <w:spacing w:line="225" w:lineRule="exact" w:before="0"/>
        <w:ind w:left="165" w:right="0" w:firstLine="0"/>
        <w:jc w:val="left"/>
        <w:rPr>
          <w:rFonts w:ascii="Arial"/>
          <w:i/>
          <w:sz w:val="20"/>
        </w:rPr>
      </w:pPr>
      <w:r>
        <w:rPr>
          <w:rFonts w:ascii="Arial"/>
          <w:i/>
          <w:sz w:val="20"/>
        </w:rPr>
        <w:t>Civ</w:t>
      </w:r>
      <w:r>
        <w:rPr>
          <w:rFonts w:ascii="Arial"/>
          <w:i/>
          <w:spacing w:val="16"/>
          <w:sz w:val="20"/>
        </w:rPr>
        <w:t> </w:t>
      </w:r>
      <w:r>
        <w:rPr>
          <w:rFonts w:ascii="Arial"/>
          <w:i/>
          <w:sz w:val="20"/>
        </w:rPr>
        <w:t>751,</w:t>
      </w:r>
      <w:r>
        <w:rPr>
          <w:rFonts w:ascii="Arial"/>
          <w:i/>
          <w:spacing w:val="16"/>
          <w:sz w:val="20"/>
        </w:rPr>
        <w:t> </w:t>
      </w:r>
      <w:r>
        <w:rPr>
          <w:rFonts w:ascii="Arial"/>
          <w:i/>
          <w:sz w:val="20"/>
        </w:rPr>
        <w:t>[2016]</w:t>
      </w:r>
      <w:r>
        <w:rPr>
          <w:rFonts w:ascii="Arial"/>
          <w:i/>
          <w:spacing w:val="16"/>
          <w:sz w:val="20"/>
        </w:rPr>
        <w:t> </w:t>
      </w:r>
      <w:r>
        <w:rPr>
          <w:rFonts w:ascii="Arial"/>
          <w:i/>
          <w:sz w:val="20"/>
        </w:rPr>
        <w:t>2</w:t>
      </w:r>
      <w:r>
        <w:rPr>
          <w:rFonts w:ascii="Arial"/>
          <w:i/>
          <w:spacing w:val="16"/>
          <w:sz w:val="20"/>
        </w:rPr>
        <w:t> </w:t>
      </w:r>
      <w:r>
        <w:rPr>
          <w:rFonts w:ascii="Arial"/>
          <w:i/>
          <w:sz w:val="20"/>
        </w:rPr>
        <w:t>All</w:t>
      </w:r>
      <w:r>
        <w:rPr>
          <w:rFonts w:ascii="Arial"/>
          <w:i/>
          <w:spacing w:val="16"/>
          <w:sz w:val="20"/>
        </w:rPr>
        <w:t> </w:t>
      </w:r>
      <w:r>
        <w:rPr>
          <w:rFonts w:ascii="Arial"/>
          <w:i/>
          <w:sz w:val="20"/>
        </w:rPr>
        <w:t>E.R.</w:t>
      </w:r>
      <w:r>
        <w:rPr>
          <w:rFonts w:ascii="Arial"/>
          <w:i/>
          <w:spacing w:val="16"/>
          <w:sz w:val="20"/>
        </w:rPr>
        <w:t> </w:t>
      </w:r>
      <w:r>
        <w:rPr>
          <w:rFonts w:ascii="Arial"/>
          <w:i/>
          <w:sz w:val="20"/>
        </w:rPr>
        <w:t>(Comm)</w:t>
      </w:r>
      <w:r>
        <w:rPr>
          <w:rFonts w:ascii="Arial"/>
          <w:i/>
          <w:spacing w:val="16"/>
          <w:sz w:val="20"/>
        </w:rPr>
        <w:t> </w:t>
      </w:r>
      <w:r>
        <w:rPr>
          <w:rFonts w:ascii="Arial"/>
          <w:i/>
          <w:sz w:val="20"/>
        </w:rPr>
        <w:t>333</w:t>
      </w:r>
      <w:r>
        <w:rPr>
          <w:rFonts w:ascii="Arial"/>
          <w:i/>
          <w:spacing w:val="15"/>
          <w:sz w:val="20"/>
        </w:rPr>
        <w:t> </w:t>
      </w:r>
      <w:r>
        <w:rPr>
          <w:sz w:val="20"/>
        </w:rPr>
        <w:t>at</w:t>
      </w:r>
      <w:r>
        <w:rPr>
          <w:spacing w:val="16"/>
          <w:sz w:val="20"/>
        </w:rPr>
        <w:t> </w:t>
      </w:r>
      <w:r>
        <w:rPr>
          <w:sz w:val="20"/>
        </w:rPr>
        <w:t>[43];</w:t>
      </w:r>
      <w:r>
        <w:rPr>
          <w:spacing w:val="16"/>
          <w:sz w:val="20"/>
        </w:rPr>
        <w:t> </w:t>
      </w:r>
      <w:r>
        <w:rPr>
          <w:rFonts w:ascii="Arial"/>
          <w:i/>
          <w:sz w:val="20"/>
        </w:rPr>
        <w:t>Dixon</w:t>
      </w:r>
      <w:r>
        <w:rPr>
          <w:rFonts w:ascii="Arial"/>
          <w:i/>
          <w:spacing w:val="16"/>
          <w:sz w:val="20"/>
        </w:rPr>
        <w:t> </w:t>
      </w:r>
      <w:r>
        <w:rPr>
          <w:rFonts w:ascii="Arial"/>
          <w:i/>
          <w:sz w:val="20"/>
        </w:rPr>
        <w:t>v</w:t>
      </w:r>
      <w:r>
        <w:rPr>
          <w:rFonts w:ascii="Arial"/>
          <w:i/>
          <w:spacing w:val="16"/>
          <w:sz w:val="20"/>
        </w:rPr>
        <w:t> </w:t>
      </w:r>
      <w:r>
        <w:rPr>
          <w:rFonts w:ascii="Arial"/>
          <w:i/>
          <w:sz w:val="20"/>
        </w:rPr>
        <w:t>Blindley</w:t>
      </w:r>
      <w:r>
        <w:rPr>
          <w:rFonts w:ascii="Arial"/>
          <w:i/>
          <w:spacing w:val="16"/>
          <w:sz w:val="20"/>
        </w:rPr>
        <w:t> </w:t>
      </w:r>
      <w:r>
        <w:rPr>
          <w:rFonts w:ascii="Arial"/>
          <w:i/>
          <w:sz w:val="20"/>
        </w:rPr>
        <w:t>Heath</w:t>
      </w:r>
      <w:r>
        <w:rPr>
          <w:rFonts w:ascii="Arial"/>
          <w:i/>
          <w:spacing w:val="16"/>
          <w:sz w:val="20"/>
        </w:rPr>
        <w:t> </w:t>
      </w:r>
      <w:r>
        <w:rPr>
          <w:rFonts w:ascii="Arial"/>
          <w:i/>
          <w:sz w:val="20"/>
        </w:rPr>
        <w:t>Investments</w:t>
      </w:r>
      <w:r>
        <w:rPr>
          <w:rFonts w:ascii="Arial"/>
          <w:i/>
          <w:spacing w:val="16"/>
          <w:sz w:val="20"/>
        </w:rPr>
        <w:t> </w:t>
      </w:r>
      <w:r>
        <w:rPr>
          <w:rFonts w:ascii="Arial"/>
          <w:i/>
          <w:sz w:val="20"/>
        </w:rPr>
        <w:t>Ltd</w:t>
      </w:r>
      <w:r>
        <w:rPr>
          <w:rFonts w:ascii="Arial"/>
          <w:i/>
          <w:spacing w:val="16"/>
          <w:sz w:val="20"/>
        </w:rPr>
        <w:t> </w:t>
      </w:r>
      <w:r>
        <w:rPr>
          <w:rFonts w:ascii="Arial"/>
          <w:i/>
          <w:spacing w:val="-2"/>
          <w:sz w:val="20"/>
        </w:rPr>
        <w:t>[2015]</w:t>
      </w:r>
    </w:p>
    <w:p>
      <w:pPr>
        <w:spacing w:line="227" w:lineRule="exact" w:before="0"/>
        <w:ind w:left="165" w:right="0" w:firstLine="0"/>
        <w:jc w:val="left"/>
        <w:rPr>
          <w:sz w:val="20"/>
        </w:rPr>
      </w:pPr>
      <w:r>
        <w:rPr>
          <w:rFonts w:ascii="Arial"/>
          <w:i/>
          <w:sz w:val="20"/>
        </w:rPr>
        <w:t>EWCA Civ 1023, [2017] 3 W.L.R. 166</w:t>
      </w:r>
      <w:r>
        <w:rPr>
          <w:rFonts w:ascii="Arial"/>
          <w:i/>
          <w:spacing w:val="-1"/>
          <w:sz w:val="20"/>
        </w:rPr>
        <w:t> </w:t>
      </w:r>
      <w:r>
        <w:rPr>
          <w:sz w:val="20"/>
        </w:rPr>
        <w:t>at </w:t>
      </w:r>
      <w:r>
        <w:rPr>
          <w:spacing w:val="-2"/>
          <w:sz w:val="20"/>
        </w:rPr>
        <w:t>[73].</w:t>
      </w:r>
    </w:p>
    <w:p>
      <w:pPr>
        <w:spacing w:after="0" w:line="227" w:lineRule="exact"/>
        <w:jc w:val="left"/>
        <w:rPr>
          <w:sz w:val="20"/>
        </w:rPr>
        <w:sectPr>
          <w:type w:val="continuous"/>
          <w:pgSz w:w="11900" w:h="16840"/>
          <w:pgMar w:header="971" w:footer="0" w:top="3760" w:bottom="280" w:left="1275" w:right="1275"/>
          <w:cols w:num="2" w:equalWidth="0">
            <w:col w:w="478" w:space="63"/>
            <w:col w:w="8809"/>
          </w:cols>
        </w:sectPr>
      </w:pPr>
    </w:p>
    <w:p>
      <w:pPr>
        <w:pStyle w:val="BodyText"/>
        <w:spacing w:before="8"/>
      </w:pPr>
    </w:p>
    <w:p>
      <w:pPr>
        <w:spacing w:line="235" w:lineRule="auto" w:before="0"/>
        <w:ind w:left="705" w:right="167" w:hanging="541"/>
        <w:jc w:val="both"/>
        <w:rPr>
          <w:sz w:val="20"/>
        </w:rPr>
      </w:pPr>
      <w:bookmarkStart w:name="_bookmark1280" w:id="1282"/>
      <w:bookmarkEnd w:id="1282"/>
      <w:r>
        <w:rPr/>
      </w:r>
      <w:hyperlink w:history="true" w:anchor="_bookmark1044">
        <w:r>
          <w:rPr>
            <w:color w:val="005DA1"/>
            <w:position w:val="5"/>
            <w:sz w:val="14"/>
            <w:u w:val="single" w:color="005DA1"/>
          </w:rPr>
          <w:t>653</w:t>
        </w:r>
      </w:hyperlink>
      <w:r>
        <w:rPr>
          <w:position w:val="5"/>
          <w:sz w:val="14"/>
        </w:rPr>
        <w:t>.</w:t>
      </w:r>
      <w:r>
        <w:rPr>
          <w:spacing w:val="40"/>
          <w:position w:val="5"/>
          <w:sz w:val="14"/>
        </w:rPr>
        <w:t>  </w:t>
      </w:r>
      <w:r>
        <w:rPr>
          <w:sz w:val="20"/>
        </w:rPr>
        <w:t>See </w:t>
      </w:r>
      <w:r>
        <w:rPr>
          <w:rFonts w:ascii="Arial" w:hAnsi="Arial"/>
          <w:i/>
          <w:sz w:val="20"/>
        </w:rPr>
        <w:t>Charterbrook Ltd v Persimmon Homes Ltd [2009] UKHL 38, [2009] 1 A.C. 1101 </w:t>
      </w:r>
      <w:r>
        <w:rPr>
          <w:sz w:val="20"/>
        </w:rPr>
        <w:t>at [47] (“some common assumption, which may include an assumption that words will bear a </w:t>
      </w:r>
      <w:r>
        <w:rPr>
          <w:sz w:val="20"/>
        </w:rPr>
        <w:t>certain meaning”). Such an assumption could also be called one of “private rights” and hence of fact: below, para.7-016.</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281" w:id="1283"/>
      <w:bookmarkEnd w:id="1283"/>
      <w:r>
        <w:rPr/>
      </w:r>
      <w:hyperlink w:history="true" w:anchor="_bookmark1044">
        <w:r>
          <w:rPr>
            <w:color w:val="005DA1"/>
            <w:spacing w:val="-4"/>
            <w:position w:val="5"/>
            <w:sz w:val="14"/>
            <w:u w:val="single" w:color="005DA1"/>
          </w:rPr>
          <w:t>654</w:t>
        </w:r>
      </w:hyperlink>
      <w:r>
        <w:rPr>
          <w:spacing w:val="-4"/>
          <w:position w:val="5"/>
          <w:sz w:val="14"/>
        </w:rPr>
        <w:t>.</w:t>
      </w:r>
      <w:r>
        <w:rPr>
          <w:position w:val="5"/>
          <w:sz w:val="14"/>
        </w:rPr>
        <w:tab/>
      </w:r>
      <w:r>
        <w:rPr>
          <w:sz w:val="20"/>
        </w:rPr>
        <w:t>e.g.</w:t>
      </w:r>
      <w:r>
        <w:rPr>
          <w:spacing w:val="32"/>
          <w:sz w:val="20"/>
        </w:rPr>
        <w:t> </w:t>
      </w:r>
      <w:r>
        <w:rPr>
          <w:rFonts w:ascii="Arial"/>
          <w:i/>
          <w:sz w:val="20"/>
        </w:rPr>
        <w:t>Carmichael</w:t>
      </w:r>
      <w:r>
        <w:rPr>
          <w:rFonts w:ascii="Arial"/>
          <w:i/>
          <w:spacing w:val="32"/>
          <w:sz w:val="20"/>
        </w:rPr>
        <w:t> </w:t>
      </w:r>
      <w:r>
        <w:rPr>
          <w:rFonts w:ascii="Arial"/>
          <w:i/>
          <w:sz w:val="20"/>
        </w:rPr>
        <w:t>v</w:t>
      </w:r>
      <w:r>
        <w:rPr>
          <w:rFonts w:ascii="Arial"/>
          <w:i/>
          <w:spacing w:val="32"/>
          <w:sz w:val="20"/>
        </w:rPr>
        <w:t> </w:t>
      </w:r>
      <w:r>
        <w:rPr>
          <w:rFonts w:ascii="Arial"/>
          <w:i/>
          <w:sz w:val="20"/>
        </w:rPr>
        <w:t>National</w:t>
      </w:r>
      <w:r>
        <w:rPr>
          <w:rFonts w:ascii="Arial"/>
          <w:i/>
          <w:spacing w:val="32"/>
          <w:sz w:val="20"/>
        </w:rPr>
        <w:t> </w:t>
      </w:r>
      <w:r>
        <w:rPr>
          <w:rFonts w:ascii="Arial"/>
          <w:i/>
          <w:sz w:val="20"/>
        </w:rPr>
        <w:t>Power</w:t>
      </w:r>
      <w:r>
        <w:rPr>
          <w:rFonts w:ascii="Arial"/>
          <w:i/>
          <w:spacing w:val="32"/>
          <w:sz w:val="20"/>
        </w:rPr>
        <w:t> </w:t>
      </w:r>
      <w:r>
        <w:rPr>
          <w:rFonts w:ascii="Arial"/>
          <w:i/>
          <w:sz w:val="20"/>
        </w:rPr>
        <w:t>plc</w:t>
      </w:r>
      <w:r>
        <w:rPr>
          <w:rFonts w:ascii="Arial"/>
          <w:i/>
          <w:spacing w:val="32"/>
          <w:sz w:val="20"/>
        </w:rPr>
        <w:t> </w:t>
      </w:r>
      <w:r>
        <w:rPr>
          <w:rFonts w:ascii="Arial"/>
          <w:i/>
          <w:sz w:val="20"/>
        </w:rPr>
        <w:t>[1992]</w:t>
      </w:r>
      <w:r>
        <w:rPr>
          <w:rFonts w:ascii="Arial"/>
          <w:i/>
          <w:spacing w:val="32"/>
          <w:sz w:val="20"/>
        </w:rPr>
        <w:t> </w:t>
      </w:r>
      <w:r>
        <w:rPr>
          <w:rFonts w:ascii="Arial"/>
          <w:i/>
          <w:sz w:val="20"/>
        </w:rPr>
        <w:t>1</w:t>
      </w:r>
      <w:r>
        <w:rPr>
          <w:rFonts w:ascii="Arial"/>
          <w:i/>
          <w:spacing w:val="32"/>
          <w:sz w:val="20"/>
        </w:rPr>
        <w:t> </w:t>
      </w:r>
      <w:r>
        <w:rPr>
          <w:rFonts w:ascii="Arial"/>
          <w:i/>
          <w:sz w:val="20"/>
        </w:rPr>
        <w:t>W.L.R.</w:t>
      </w:r>
      <w:r>
        <w:rPr>
          <w:rFonts w:ascii="Arial"/>
          <w:i/>
          <w:spacing w:val="32"/>
          <w:sz w:val="20"/>
        </w:rPr>
        <w:t> </w:t>
      </w:r>
      <w:r>
        <w:rPr>
          <w:rFonts w:ascii="Arial"/>
          <w:i/>
          <w:sz w:val="20"/>
        </w:rPr>
        <w:t>2042</w:t>
      </w:r>
      <w:r>
        <w:rPr>
          <w:rFonts w:ascii="Arial"/>
          <w:i/>
          <w:spacing w:val="31"/>
          <w:sz w:val="20"/>
        </w:rPr>
        <w:t> </w:t>
      </w:r>
      <w:r>
        <w:rPr>
          <w:sz w:val="20"/>
        </w:rPr>
        <w:t>at</w:t>
      </w:r>
      <w:r>
        <w:rPr>
          <w:spacing w:val="32"/>
          <w:sz w:val="20"/>
        </w:rPr>
        <w:t> </w:t>
      </w:r>
      <w:r>
        <w:rPr>
          <w:sz w:val="20"/>
        </w:rPr>
        <w:t>2049;</w:t>
      </w:r>
      <w:r>
        <w:rPr>
          <w:spacing w:val="32"/>
          <w:sz w:val="20"/>
        </w:rPr>
        <w:t> </w:t>
      </w:r>
      <w:r>
        <w:rPr>
          <w:rFonts w:ascii="Arial"/>
          <w:i/>
          <w:sz w:val="20"/>
        </w:rPr>
        <w:t>Hay</w:t>
      </w:r>
      <w:r>
        <w:rPr>
          <w:rFonts w:ascii="Arial"/>
          <w:i/>
          <w:spacing w:val="32"/>
          <w:sz w:val="20"/>
        </w:rPr>
        <w:t> </w:t>
      </w:r>
      <w:r>
        <w:rPr>
          <w:rFonts w:ascii="Arial"/>
          <w:i/>
          <w:sz w:val="20"/>
        </w:rPr>
        <w:t>v</w:t>
      </w:r>
      <w:r>
        <w:rPr>
          <w:rFonts w:ascii="Arial"/>
          <w:i/>
          <w:spacing w:val="32"/>
          <w:sz w:val="20"/>
        </w:rPr>
        <w:t> </w:t>
      </w:r>
      <w:r>
        <w:rPr>
          <w:rFonts w:ascii="Arial"/>
          <w:i/>
          <w:sz w:val="20"/>
        </w:rPr>
        <w:t>Gilgrove</w:t>
      </w:r>
      <w:r>
        <w:rPr>
          <w:rFonts w:ascii="Arial"/>
          <w:i/>
          <w:spacing w:val="32"/>
          <w:sz w:val="20"/>
        </w:rPr>
        <w:t> </w:t>
      </w:r>
      <w:r>
        <w:rPr>
          <w:rFonts w:ascii="Arial"/>
          <w:i/>
          <w:spacing w:val="-2"/>
          <w:sz w:val="20"/>
        </w:rPr>
        <w:t>[2013]</w:t>
      </w:r>
    </w:p>
    <w:p>
      <w:pPr>
        <w:spacing w:line="227" w:lineRule="exact" w:before="0"/>
        <w:ind w:left="705" w:right="0" w:firstLine="0"/>
        <w:jc w:val="left"/>
        <w:rPr>
          <w:sz w:val="20"/>
        </w:rPr>
      </w:pPr>
      <w:r>
        <w:rPr>
          <w:rFonts w:ascii="Arial"/>
          <w:i/>
          <w:sz w:val="20"/>
        </w:rPr>
        <w:t>EWCA Civ 412, [2013] I.C.R. 1139</w:t>
      </w:r>
      <w:r>
        <w:rPr>
          <w:rFonts w:ascii="Arial"/>
          <w:i/>
          <w:spacing w:val="-1"/>
          <w:sz w:val="20"/>
        </w:rPr>
        <w:t> </w:t>
      </w:r>
      <w:r>
        <w:rPr>
          <w:sz w:val="20"/>
        </w:rPr>
        <w:t>at [24], </w:t>
      </w:r>
      <w:r>
        <w:rPr>
          <w:spacing w:val="-2"/>
          <w:sz w:val="20"/>
        </w:rPr>
        <w:t>[29].</w:t>
      </w:r>
    </w:p>
    <w:p>
      <w:pPr>
        <w:pStyle w:val="BodyText"/>
        <w:spacing w:before="8"/>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8304">
            <wp:simplePos x="0" y="0"/>
            <wp:positionH relativeFrom="page">
              <wp:posOffset>1257846</wp:posOffset>
            </wp:positionH>
            <wp:positionV relativeFrom="paragraph">
              <wp:posOffset>160765</wp:posOffset>
            </wp:positionV>
            <wp:extent cx="107988" cy="107988"/>
            <wp:effectExtent l="0" t="0" r="0" b="0"/>
            <wp:wrapNone/>
            <wp:docPr id="209" name="Image 209"/>
            <wp:cNvGraphicFramePr>
              <a:graphicFrameLocks/>
            </wp:cNvGraphicFramePr>
            <a:graphic>
              <a:graphicData uri="http://schemas.openxmlformats.org/drawingml/2006/picture">
                <pic:pic>
                  <pic:nvPicPr>
                    <pic:cNvPr id="209" name="Image 20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282" w:id="1284"/>
      <w:bookmarkEnd w:id="1284"/>
      <w:r>
        <w:rPr/>
      </w:r>
      <w:hyperlink w:history="true" w:anchor="_bookmark1045">
        <w:r>
          <w:rPr>
            <w:color w:val="005DA1"/>
            <w:spacing w:val="-4"/>
            <w:sz w:val="14"/>
            <w:u w:val="single" w:color="005DA1"/>
          </w:rPr>
          <w:t>655</w:t>
        </w:r>
      </w:hyperlink>
      <w:r>
        <w:rPr>
          <w:spacing w:val="-4"/>
          <w:sz w:val="14"/>
        </w:rPr>
        <w:t>.</w:t>
      </w:r>
    </w:p>
    <w:p>
      <w:pPr>
        <w:spacing w:line="235" w:lineRule="auto" w:before="213"/>
        <w:ind w:left="165" w:right="167" w:firstLine="170"/>
        <w:jc w:val="both"/>
        <w:rPr>
          <w:sz w:val="20"/>
        </w:rPr>
      </w:pPr>
      <w:r>
        <w:rPr/>
        <w:br w:type="column"/>
      </w:r>
      <w:r>
        <w:rPr>
          <w:sz w:val="20"/>
        </w:rPr>
        <w:t>For a recent case in which estoppel by convention arose from a shared mistaken </w:t>
      </w:r>
      <w:r>
        <w:rPr>
          <w:sz w:val="20"/>
        </w:rPr>
        <w:t>assumption as to the true construction of a contract, see </w:t>
      </w:r>
      <w:r>
        <w:rPr>
          <w:rFonts w:ascii="Arial"/>
          <w:i/>
          <w:sz w:val="20"/>
        </w:rPr>
        <w:t>Zvi Construction Co LLC v Notre Dame University (USA) in England [2016] EWHC 1924 (TCC), [2016] B.L.R. 604 </w:t>
      </w:r>
      <w:r>
        <w:rPr>
          <w:sz w:val="20"/>
        </w:rPr>
        <w:t>at [64]. For earlier cases in which a shared assumption as to the construction of the contract gave rise to an estoppel by convention, see Main Work, Vol.I, para.4-109.</w:t>
      </w:r>
    </w:p>
    <w:p>
      <w:pPr>
        <w:spacing w:after="0" w:line="235" w:lineRule="auto"/>
        <w:jc w:val="both"/>
        <w:rPr>
          <w:sz w:val="20"/>
        </w:rPr>
        <w:sectPr>
          <w:type w:val="continuous"/>
          <w:pgSz w:w="11900" w:h="16840"/>
          <w:pgMar w:header="971" w:footer="0" w:top="3760" w:bottom="280" w:left="1275" w:right="1275"/>
          <w:cols w:num="2" w:equalWidth="0">
            <w:col w:w="478" w:space="63"/>
            <w:col w:w="8809"/>
          </w:cols>
        </w:sectPr>
      </w:pPr>
    </w:p>
    <w:p>
      <w:pPr>
        <w:pStyle w:val="BodyText"/>
        <w:spacing w:before="4"/>
      </w:pPr>
    </w:p>
    <w:p>
      <w:pPr>
        <w:tabs>
          <w:tab w:pos="705" w:val="left" w:leader="none"/>
        </w:tabs>
        <w:spacing w:before="0"/>
        <w:ind w:left="165" w:right="0" w:firstLine="0"/>
        <w:jc w:val="left"/>
        <w:rPr>
          <w:sz w:val="20"/>
        </w:rPr>
      </w:pPr>
      <w:bookmarkStart w:name="_bookmark1283" w:id="1285"/>
      <w:bookmarkEnd w:id="1285"/>
      <w:r>
        <w:rPr/>
      </w:r>
      <w:hyperlink w:history="true" w:anchor="_bookmark1046">
        <w:r>
          <w:rPr>
            <w:color w:val="005DA1"/>
            <w:spacing w:val="-4"/>
            <w:position w:val="5"/>
            <w:sz w:val="14"/>
            <w:u w:val="single" w:color="005DA1"/>
          </w:rPr>
          <w:t>656</w:t>
        </w:r>
      </w:hyperlink>
      <w:r>
        <w:rPr>
          <w:spacing w:val="-4"/>
          <w:position w:val="5"/>
          <w:sz w:val="14"/>
        </w:rPr>
        <w:t>.</w:t>
      </w:r>
      <w:r>
        <w:rPr>
          <w:position w:val="5"/>
          <w:sz w:val="14"/>
        </w:rPr>
        <w:tab/>
      </w:r>
      <w:r>
        <w:rPr>
          <w:rFonts w:ascii="Arial"/>
          <w:i/>
          <w:sz w:val="20"/>
        </w:rPr>
        <w:t>[2002] 2 A.C. </w:t>
      </w:r>
      <w:r>
        <w:rPr>
          <w:rFonts w:ascii="Arial"/>
          <w:i/>
          <w:spacing w:val="-5"/>
          <w:sz w:val="20"/>
        </w:rPr>
        <w:t>1</w:t>
      </w:r>
      <w:r>
        <w:rPr>
          <w:spacing w:val="-5"/>
          <w:sz w:val="20"/>
        </w:rPr>
        <w:t>.</w:t>
      </w:r>
    </w:p>
    <w:p>
      <w:pPr>
        <w:pStyle w:val="BodyText"/>
        <w:spacing w:before="9"/>
      </w:pPr>
    </w:p>
    <w:p>
      <w:pPr>
        <w:pStyle w:val="BodyText"/>
        <w:spacing w:line="235" w:lineRule="auto"/>
        <w:ind w:left="705" w:right="167" w:hanging="541"/>
        <w:jc w:val="both"/>
      </w:pPr>
      <w:bookmarkStart w:name="_bookmark1284" w:id="1286"/>
      <w:bookmarkEnd w:id="1286"/>
      <w:r>
        <w:rPr/>
      </w:r>
      <w:hyperlink w:history="true" w:anchor="_bookmark1047">
        <w:r>
          <w:rPr>
            <w:color w:val="005DA1"/>
            <w:position w:val="5"/>
            <w:sz w:val="14"/>
            <w:u w:val="single" w:color="005DA1"/>
          </w:rPr>
          <w:t>657</w:t>
        </w:r>
      </w:hyperlink>
      <w:r>
        <w:rPr>
          <w:position w:val="5"/>
          <w:sz w:val="14"/>
        </w:rPr>
        <w:t>.</w:t>
      </w:r>
      <w:r>
        <w:rPr>
          <w:spacing w:val="40"/>
          <w:position w:val="5"/>
          <w:sz w:val="14"/>
        </w:rPr>
        <w:t>  </w:t>
      </w:r>
      <w:r>
        <w:rPr/>
        <w:t>See</w:t>
      </w:r>
      <w:r>
        <w:rPr>
          <w:spacing w:val="39"/>
        </w:rPr>
        <w:t> </w:t>
      </w:r>
      <w:r>
        <w:rPr/>
        <w:t>ibid.,</w:t>
      </w:r>
      <w:r>
        <w:rPr>
          <w:spacing w:val="39"/>
        </w:rPr>
        <w:t> </w:t>
      </w:r>
      <w:r>
        <w:rPr/>
        <w:t>at</w:t>
      </w:r>
      <w:r>
        <w:rPr>
          <w:spacing w:val="39"/>
        </w:rPr>
        <w:t> </w:t>
      </w:r>
      <w:r>
        <w:rPr/>
        <w:t>p.34</w:t>
      </w:r>
      <w:r>
        <w:rPr>
          <w:spacing w:val="39"/>
        </w:rPr>
        <w:t> </w:t>
      </w:r>
      <w:r>
        <w:rPr/>
        <w:t>for</w:t>
      </w:r>
      <w:r>
        <w:rPr>
          <w:spacing w:val="39"/>
        </w:rPr>
        <w:t> </w:t>
      </w:r>
      <w:r>
        <w:rPr/>
        <w:t>an</w:t>
      </w:r>
      <w:r>
        <w:rPr>
          <w:spacing w:val="39"/>
        </w:rPr>
        <w:t> </w:t>
      </w:r>
      <w:r>
        <w:rPr/>
        <w:t>alternative</w:t>
      </w:r>
      <w:r>
        <w:rPr>
          <w:spacing w:val="39"/>
        </w:rPr>
        <w:t> </w:t>
      </w:r>
      <w:r>
        <w:rPr/>
        <w:t>ground</w:t>
      </w:r>
      <w:r>
        <w:rPr>
          <w:spacing w:val="39"/>
        </w:rPr>
        <w:t> </w:t>
      </w:r>
      <w:r>
        <w:rPr/>
        <w:t>for</w:t>
      </w:r>
      <w:r>
        <w:rPr>
          <w:spacing w:val="39"/>
        </w:rPr>
        <w:t> </w:t>
      </w:r>
      <w:r>
        <w:rPr/>
        <w:t>Lord</w:t>
      </w:r>
      <w:r>
        <w:rPr>
          <w:spacing w:val="39"/>
        </w:rPr>
        <w:t> </w:t>
      </w:r>
      <w:r>
        <w:rPr/>
        <w:t>Bingham’s</w:t>
      </w:r>
      <w:r>
        <w:rPr>
          <w:spacing w:val="39"/>
        </w:rPr>
        <w:t> </w:t>
      </w:r>
      <w:r>
        <w:rPr/>
        <w:t>decision.</w:t>
      </w:r>
      <w:r>
        <w:rPr>
          <w:spacing w:val="39"/>
        </w:rPr>
        <w:t> </w:t>
      </w:r>
      <w:r>
        <w:rPr/>
        <w:t>Lords</w:t>
      </w:r>
      <w:r>
        <w:rPr>
          <w:spacing w:val="39"/>
        </w:rPr>
        <w:t> </w:t>
      </w:r>
      <w:r>
        <w:rPr/>
        <w:t>Cooke</w:t>
      </w:r>
      <w:r>
        <w:rPr>
          <w:spacing w:val="39"/>
        </w:rPr>
        <w:t> </w:t>
      </w:r>
      <w:r>
        <w:rPr/>
        <w:t>and Hutton agreed with Lord Bingham on the “abuse of process” point but without referring to estoppel by convention.</w:t>
      </w:r>
    </w:p>
    <w:p>
      <w:pPr>
        <w:pStyle w:val="BodyText"/>
        <w:spacing w:before="5"/>
      </w:pPr>
    </w:p>
    <w:p>
      <w:pPr>
        <w:tabs>
          <w:tab w:pos="705" w:val="left" w:leader="none"/>
        </w:tabs>
        <w:spacing w:before="0"/>
        <w:ind w:left="165" w:right="0" w:firstLine="0"/>
        <w:jc w:val="left"/>
        <w:rPr>
          <w:sz w:val="20"/>
        </w:rPr>
      </w:pPr>
      <w:bookmarkStart w:name="_bookmark1285" w:id="1287"/>
      <w:bookmarkEnd w:id="1287"/>
      <w:r>
        <w:rPr/>
      </w:r>
      <w:hyperlink w:history="true" w:anchor="_bookmark1048">
        <w:r>
          <w:rPr>
            <w:color w:val="005DA1"/>
            <w:spacing w:val="-4"/>
            <w:position w:val="5"/>
            <w:sz w:val="14"/>
            <w:u w:val="single" w:color="005DA1"/>
          </w:rPr>
          <w:t>658</w:t>
        </w:r>
      </w:hyperlink>
      <w:r>
        <w:rPr>
          <w:spacing w:val="-4"/>
          <w:position w:val="5"/>
          <w:sz w:val="14"/>
        </w:rPr>
        <w:t>.</w:t>
      </w:r>
      <w:r>
        <w:rPr>
          <w:position w:val="5"/>
          <w:sz w:val="14"/>
        </w:rPr>
        <w:tab/>
      </w:r>
      <w:r>
        <w:rPr>
          <w:sz w:val="20"/>
        </w:rPr>
        <w:t>ibid., at </w:t>
      </w:r>
      <w:r>
        <w:rPr>
          <w:spacing w:val="-2"/>
          <w:sz w:val="20"/>
        </w:rPr>
        <w:t>p.40.</w:t>
      </w:r>
    </w:p>
    <w:p>
      <w:pPr>
        <w:pStyle w:val="BodyText"/>
        <w:spacing w:before="5"/>
      </w:pPr>
    </w:p>
    <w:p>
      <w:pPr>
        <w:tabs>
          <w:tab w:pos="705" w:val="left" w:leader="none"/>
        </w:tabs>
        <w:spacing w:before="0"/>
        <w:ind w:left="165" w:right="0" w:firstLine="0"/>
        <w:jc w:val="left"/>
        <w:rPr>
          <w:sz w:val="20"/>
        </w:rPr>
      </w:pPr>
      <w:bookmarkStart w:name="_bookmark1286" w:id="1288"/>
      <w:bookmarkEnd w:id="1288"/>
      <w:r>
        <w:rPr/>
      </w:r>
      <w:hyperlink w:history="true" w:anchor="_bookmark1049">
        <w:r>
          <w:rPr>
            <w:color w:val="005DA1"/>
            <w:spacing w:val="-4"/>
            <w:position w:val="5"/>
            <w:sz w:val="14"/>
            <w:u w:val="single" w:color="005DA1"/>
          </w:rPr>
          <w:t>659</w:t>
        </w:r>
      </w:hyperlink>
      <w:r>
        <w:rPr>
          <w:spacing w:val="-4"/>
          <w:position w:val="5"/>
          <w:sz w:val="14"/>
        </w:rPr>
        <w:t>.</w:t>
      </w:r>
      <w:r>
        <w:rPr>
          <w:position w:val="5"/>
          <w:sz w:val="14"/>
        </w:rPr>
        <w:tab/>
      </w:r>
      <w:r>
        <w:rPr>
          <w:sz w:val="20"/>
        </w:rPr>
        <w:t>ibid., at </w:t>
      </w:r>
      <w:r>
        <w:rPr>
          <w:spacing w:val="-2"/>
          <w:sz w:val="20"/>
        </w:rPr>
        <w:t>p.61.</w:t>
      </w:r>
    </w:p>
    <w:p>
      <w:pPr>
        <w:pStyle w:val="BodyText"/>
        <w:spacing w:before="5"/>
      </w:pPr>
    </w:p>
    <w:p>
      <w:pPr>
        <w:tabs>
          <w:tab w:pos="705" w:val="left" w:leader="none"/>
        </w:tabs>
        <w:spacing w:before="0"/>
        <w:ind w:left="165" w:right="0" w:firstLine="0"/>
        <w:jc w:val="left"/>
        <w:rPr>
          <w:sz w:val="20"/>
        </w:rPr>
      </w:pPr>
      <w:bookmarkStart w:name="_bookmark1287" w:id="1289"/>
      <w:bookmarkEnd w:id="1289"/>
      <w:r>
        <w:rPr/>
      </w:r>
      <w:hyperlink w:history="true" w:anchor="_bookmark1050">
        <w:r>
          <w:rPr>
            <w:color w:val="005DA1"/>
            <w:spacing w:val="-4"/>
            <w:position w:val="5"/>
            <w:sz w:val="14"/>
            <w:u w:val="single" w:color="005DA1"/>
          </w:rPr>
          <w:t>660</w:t>
        </w:r>
      </w:hyperlink>
      <w:r>
        <w:rPr>
          <w:spacing w:val="-4"/>
          <w:position w:val="5"/>
          <w:sz w:val="14"/>
        </w:rPr>
        <w:t>.</w:t>
      </w:r>
      <w:r>
        <w:rPr>
          <w:position w:val="5"/>
          <w:sz w:val="14"/>
        </w:rPr>
        <w:tab/>
      </w:r>
      <w:r>
        <w:rPr>
          <w:sz w:val="20"/>
        </w:rPr>
        <w:t>Above, nn.645, </w:t>
      </w:r>
      <w:r>
        <w:rPr>
          <w:spacing w:val="-4"/>
          <w:sz w:val="20"/>
        </w:rPr>
        <w:t>646.</w:t>
      </w:r>
    </w:p>
    <w:p>
      <w:pPr>
        <w:pStyle w:val="BodyText"/>
        <w:spacing w:before="5"/>
      </w:pPr>
    </w:p>
    <w:p>
      <w:pPr>
        <w:pStyle w:val="BodyText"/>
        <w:tabs>
          <w:tab w:pos="705" w:val="left" w:leader="none"/>
        </w:tabs>
        <w:ind w:left="165"/>
      </w:pPr>
      <w:bookmarkStart w:name="_bookmark1288" w:id="1290"/>
      <w:bookmarkEnd w:id="1290"/>
      <w:r>
        <w:rPr/>
      </w:r>
      <w:hyperlink w:history="true" w:anchor="_bookmark1051">
        <w:r>
          <w:rPr>
            <w:color w:val="005DA1"/>
            <w:spacing w:val="-4"/>
            <w:position w:val="5"/>
            <w:sz w:val="14"/>
            <w:u w:val="single" w:color="005DA1"/>
          </w:rPr>
          <w:t>661</w:t>
        </w:r>
      </w:hyperlink>
      <w:r>
        <w:rPr>
          <w:spacing w:val="-4"/>
          <w:position w:val="5"/>
          <w:sz w:val="14"/>
        </w:rPr>
        <w:t>.</w:t>
      </w:r>
      <w:r>
        <w:rPr>
          <w:position w:val="5"/>
          <w:sz w:val="14"/>
        </w:rPr>
        <w:tab/>
      </w:r>
      <w:r>
        <w:rPr/>
        <w:t>Below,</w:t>
      </w:r>
      <w:r>
        <w:rPr>
          <w:spacing w:val="-2"/>
        </w:rPr>
        <w:t> </w:t>
      </w:r>
      <w:r>
        <w:rPr/>
        <w:t>para.6-042, 29-</w:t>
      </w:r>
      <w:r>
        <w:rPr>
          <w:spacing w:val="-4"/>
        </w:rPr>
        <w:t>046.</w:t>
      </w:r>
    </w:p>
    <w:p>
      <w:pPr>
        <w:pStyle w:val="BodyText"/>
        <w:spacing w:before="9"/>
      </w:pPr>
    </w:p>
    <w:p>
      <w:pPr>
        <w:tabs>
          <w:tab w:pos="705" w:val="left" w:leader="none"/>
        </w:tabs>
        <w:spacing w:line="235" w:lineRule="auto" w:before="0"/>
        <w:ind w:left="705" w:right="167" w:hanging="541"/>
        <w:jc w:val="left"/>
        <w:rPr>
          <w:rFonts w:ascii="Arial"/>
          <w:i/>
          <w:sz w:val="20"/>
        </w:rPr>
      </w:pPr>
      <w:bookmarkStart w:name="_bookmark1289" w:id="1291"/>
      <w:bookmarkEnd w:id="1291"/>
      <w:r>
        <w:rPr/>
      </w:r>
      <w:hyperlink w:history="true" w:anchor="_bookmark1052">
        <w:r>
          <w:rPr>
            <w:color w:val="005DA1"/>
            <w:spacing w:val="-4"/>
            <w:position w:val="5"/>
            <w:sz w:val="14"/>
            <w:u w:val="single" w:color="005DA1"/>
          </w:rPr>
          <w:t>662</w:t>
        </w:r>
      </w:hyperlink>
      <w:r>
        <w:rPr>
          <w:spacing w:val="-4"/>
          <w:position w:val="5"/>
          <w:sz w:val="14"/>
        </w:rPr>
        <w:t>.</w:t>
      </w:r>
      <w:r>
        <w:rPr>
          <w:position w:val="5"/>
          <w:sz w:val="14"/>
        </w:rPr>
        <w:tab/>
      </w:r>
      <w:r>
        <w:rPr>
          <w:sz w:val="20"/>
        </w:rPr>
        <w:t>Below</w:t>
      </w:r>
      <w:r>
        <w:rPr>
          <w:spacing w:val="18"/>
          <w:sz w:val="20"/>
        </w:rPr>
        <w:t> </w:t>
      </w:r>
      <w:r>
        <w:rPr>
          <w:sz w:val="20"/>
        </w:rPr>
        <w:t>para.4-115.</w:t>
      </w:r>
      <w:r>
        <w:rPr>
          <w:spacing w:val="18"/>
          <w:sz w:val="20"/>
        </w:rPr>
        <w:t> </w:t>
      </w:r>
      <w:r>
        <w:rPr>
          <w:sz w:val="20"/>
        </w:rPr>
        <w:t>For</w:t>
      </w:r>
      <w:r>
        <w:rPr>
          <w:spacing w:val="18"/>
          <w:sz w:val="20"/>
        </w:rPr>
        <w:t> </w:t>
      </w:r>
      <w:r>
        <w:rPr>
          <w:sz w:val="20"/>
        </w:rPr>
        <w:t>other</w:t>
      </w:r>
      <w:r>
        <w:rPr>
          <w:spacing w:val="18"/>
          <w:sz w:val="20"/>
        </w:rPr>
        <w:t> </w:t>
      </w:r>
      <w:r>
        <w:rPr>
          <w:sz w:val="20"/>
        </w:rPr>
        <w:t>limits</w:t>
      </w:r>
      <w:r>
        <w:rPr>
          <w:spacing w:val="18"/>
          <w:sz w:val="20"/>
        </w:rPr>
        <w:t> </w:t>
      </w:r>
      <w:r>
        <w:rPr>
          <w:sz w:val="20"/>
        </w:rPr>
        <w:t>to</w:t>
      </w:r>
      <w:r>
        <w:rPr>
          <w:spacing w:val="18"/>
          <w:sz w:val="20"/>
        </w:rPr>
        <w:t> </w:t>
      </w:r>
      <w:r>
        <w:rPr>
          <w:sz w:val="20"/>
        </w:rPr>
        <w:t>the</w:t>
      </w:r>
      <w:r>
        <w:rPr>
          <w:spacing w:val="18"/>
          <w:sz w:val="20"/>
        </w:rPr>
        <w:t> </w:t>
      </w:r>
      <w:r>
        <w:rPr>
          <w:sz w:val="20"/>
        </w:rPr>
        <w:t>principle</w:t>
      </w:r>
      <w:r>
        <w:rPr>
          <w:spacing w:val="18"/>
          <w:sz w:val="20"/>
        </w:rPr>
        <w:t> </w:t>
      </w:r>
      <w:r>
        <w:rPr>
          <w:sz w:val="20"/>
        </w:rPr>
        <w:t>that</w:t>
      </w:r>
      <w:r>
        <w:rPr>
          <w:spacing w:val="18"/>
          <w:sz w:val="20"/>
        </w:rPr>
        <w:t> </w:t>
      </w:r>
      <w:r>
        <w:rPr>
          <w:sz w:val="20"/>
        </w:rPr>
        <w:t>an</w:t>
      </w:r>
      <w:r>
        <w:rPr>
          <w:spacing w:val="18"/>
          <w:sz w:val="20"/>
        </w:rPr>
        <w:t> </w:t>
      </w:r>
      <w:r>
        <w:rPr>
          <w:sz w:val="20"/>
        </w:rPr>
        <w:t>assumption</w:t>
      </w:r>
      <w:r>
        <w:rPr>
          <w:spacing w:val="18"/>
          <w:sz w:val="20"/>
        </w:rPr>
        <w:t> </w:t>
      </w:r>
      <w:r>
        <w:rPr>
          <w:sz w:val="20"/>
        </w:rPr>
        <w:t>of</w:t>
      </w:r>
      <w:r>
        <w:rPr>
          <w:spacing w:val="18"/>
          <w:sz w:val="20"/>
        </w:rPr>
        <w:t> </w:t>
      </w:r>
      <w:r>
        <w:rPr>
          <w:sz w:val="20"/>
        </w:rPr>
        <w:t>law</w:t>
      </w:r>
      <w:r>
        <w:rPr>
          <w:spacing w:val="18"/>
          <w:sz w:val="20"/>
        </w:rPr>
        <w:t> </w:t>
      </w:r>
      <w:r>
        <w:rPr>
          <w:sz w:val="20"/>
        </w:rPr>
        <w:t>may</w:t>
      </w:r>
      <w:r>
        <w:rPr>
          <w:spacing w:val="18"/>
          <w:sz w:val="20"/>
        </w:rPr>
        <w:t> </w:t>
      </w:r>
      <w:r>
        <w:rPr>
          <w:sz w:val="20"/>
        </w:rPr>
        <w:t>give</w:t>
      </w:r>
      <w:r>
        <w:rPr>
          <w:spacing w:val="18"/>
          <w:sz w:val="20"/>
        </w:rPr>
        <w:t> </w:t>
      </w:r>
      <w:r>
        <w:rPr>
          <w:sz w:val="20"/>
        </w:rPr>
        <w:t>rise</w:t>
      </w:r>
      <w:r>
        <w:rPr>
          <w:spacing w:val="18"/>
          <w:sz w:val="20"/>
        </w:rPr>
        <w:t> </w:t>
      </w:r>
      <w:r>
        <w:rPr>
          <w:sz w:val="20"/>
        </w:rPr>
        <w:t>to estoppel</w:t>
      </w:r>
      <w:r>
        <w:rPr>
          <w:spacing w:val="7"/>
          <w:sz w:val="20"/>
        </w:rPr>
        <w:t> </w:t>
      </w:r>
      <w:r>
        <w:rPr>
          <w:sz w:val="20"/>
        </w:rPr>
        <w:t>by</w:t>
      </w:r>
      <w:r>
        <w:rPr>
          <w:spacing w:val="7"/>
          <w:sz w:val="20"/>
        </w:rPr>
        <w:t> </w:t>
      </w:r>
      <w:r>
        <w:rPr>
          <w:sz w:val="20"/>
        </w:rPr>
        <w:t>convention,</w:t>
      </w:r>
      <w:r>
        <w:rPr>
          <w:spacing w:val="7"/>
          <w:sz w:val="20"/>
        </w:rPr>
        <w:t> </w:t>
      </w:r>
      <w:r>
        <w:rPr>
          <w:sz w:val="20"/>
        </w:rPr>
        <w:t>see</w:t>
      </w:r>
      <w:r>
        <w:rPr>
          <w:spacing w:val="6"/>
          <w:sz w:val="20"/>
        </w:rPr>
        <w:t> </w:t>
      </w:r>
      <w:r>
        <w:rPr>
          <w:rFonts w:ascii="Arial"/>
          <w:i/>
          <w:sz w:val="20"/>
        </w:rPr>
        <w:t>Durham</w:t>
      </w:r>
      <w:r>
        <w:rPr>
          <w:rFonts w:ascii="Arial"/>
          <w:i/>
          <w:spacing w:val="7"/>
          <w:sz w:val="20"/>
        </w:rPr>
        <w:t> </w:t>
      </w:r>
      <w:r>
        <w:rPr>
          <w:rFonts w:ascii="Arial"/>
          <w:i/>
          <w:sz w:val="20"/>
        </w:rPr>
        <w:t>v</w:t>
      </w:r>
      <w:r>
        <w:rPr>
          <w:rFonts w:ascii="Arial"/>
          <w:i/>
          <w:spacing w:val="7"/>
          <w:sz w:val="20"/>
        </w:rPr>
        <w:t> </w:t>
      </w:r>
      <w:r>
        <w:rPr>
          <w:rFonts w:ascii="Arial"/>
          <w:i/>
          <w:sz w:val="20"/>
        </w:rPr>
        <w:t>BAI</w:t>
      </w:r>
      <w:r>
        <w:rPr>
          <w:rFonts w:ascii="Arial"/>
          <w:i/>
          <w:spacing w:val="7"/>
          <w:sz w:val="20"/>
        </w:rPr>
        <w:t> </w:t>
      </w:r>
      <w:r>
        <w:rPr>
          <w:rFonts w:ascii="Arial"/>
          <w:i/>
          <w:sz w:val="20"/>
        </w:rPr>
        <w:t>(Run</w:t>
      </w:r>
      <w:r>
        <w:rPr>
          <w:rFonts w:ascii="Arial"/>
          <w:i/>
          <w:spacing w:val="7"/>
          <w:sz w:val="20"/>
        </w:rPr>
        <w:t> </w:t>
      </w:r>
      <w:r>
        <w:rPr>
          <w:rFonts w:ascii="Arial"/>
          <w:i/>
          <w:sz w:val="20"/>
        </w:rPr>
        <w:t>Off)</w:t>
      </w:r>
      <w:r>
        <w:rPr>
          <w:rFonts w:ascii="Arial"/>
          <w:i/>
          <w:spacing w:val="7"/>
          <w:sz w:val="20"/>
        </w:rPr>
        <w:t> </w:t>
      </w:r>
      <w:r>
        <w:rPr>
          <w:rFonts w:ascii="Arial"/>
          <w:i/>
          <w:sz w:val="20"/>
        </w:rPr>
        <w:t>Ltd</w:t>
      </w:r>
      <w:r>
        <w:rPr>
          <w:rFonts w:ascii="Arial"/>
          <w:i/>
          <w:spacing w:val="7"/>
          <w:sz w:val="20"/>
        </w:rPr>
        <w:t> </w:t>
      </w:r>
      <w:r>
        <w:rPr>
          <w:rFonts w:ascii="Arial"/>
          <w:i/>
          <w:sz w:val="20"/>
        </w:rPr>
        <w:t>[2008]</w:t>
      </w:r>
      <w:r>
        <w:rPr>
          <w:rFonts w:ascii="Arial"/>
          <w:i/>
          <w:spacing w:val="7"/>
          <w:sz w:val="20"/>
        </w:rPr>
        <w:t> </w:t>
      </w:r>
      <w:r>
        <w:rPr>
          <w:rFonts w:ascii="Arial"/>
          <w:i/>
          <w:sz w:val="20"/>
        </w:rPr>
        <w:t>EWHC</w:t>
      </w:r>
      <w:r>
        <w:rPr>
          <w:rFonts w:ascii="Arial"/>
          <w:i/>
          <w:spacing w:val="7"/>
          <w:sz w:val="20"/>
        </w:rPr>
        <w:t> </w:t>
      </w:r>
      <w:r>
        <w:rPr>
          <w:rFonts w:ascii="Arial"/>
          <w:i/>
          <w:sz w:val="20"/>
        </w:rPr>
        <w:t>2692</w:t>
      </w:r>
      <w:r>
        <w:rPr>
          <w:rFonts w:ascii="Arial"/>
          <w:i/>
          <w:spacing w:val="7"/>
          <w:sz w:val="20"/>
        </w:rPr>
        <w:t> </w:t>
      </w:r>
      <w:r>
        <w:rPr>
          <w:rFonts w:ascii="Arial"/>
          <w:i/>
          <w:sz w:val="20"/>
        </w:rPr>
        <w:t>(QB),</w:t>
      </w:r>
      <w:r>
        <w:rPr>
          <w:rFonts w:ascii="Arial"/>
          <w:i/>
          <w:spacing w:val="7"/>
          <w:sz w:val="20"/>
        </w:rPr>
        <w:t> </w:t>
      </w:r>
      <w:r>
        <w:rPr>
          <w:rFonts w:ascii="Arial"/>
          <w:i/>
          <w:sz w:val="20"/>
        </w:rPr>
        <w:t>[2009]</w:t>
      </w:r>
      <w:r>
        <w:rPr>
          <w:rFonts w:ascii="Arial"/>
          <w:i/>
          <w:spacing w:val="7"/>
          <w:sz w:val="20"/>
        </w:rPr>
        <w:t> </w:t>
      </w:r>
      <w:r>
        <w:rPr>
          <w:rFonts w:ascii="Arial"/>
          <w:i/>
          <w:sz w:val="20"/>
        </w:rPr>
        <w:t>2</w:t>
      </w:r>
      <w:r>
        <w:rPr>
          <w:rFonts w:ascii="Arial"/>
          <w:i/>
          <w:spacing w:val="7"/>
          <w:sz w:val="20"/>
        </w:rPr>
        <w:t> </w:t>
      </w:r>
      <w:r>
        <w:rPr>
          <w:rFonts w:ascii="Arial"/>
          <w:i/>
          <w:spacing w:val="-5"/>
          <w:sz w:val="20"/>
        </w:rPr>
        <w:t>All</w:t>
      </w:r>
    </w:p>
    <w:p>
      <w:pPr>
        <w:pStyle w:val="BodyText"/>
        <w:spacing w:line="225" w:lineRule="exact"/>
        <w:ind w:left="705"/>
      </w:pPr>
      <w:r>
        <w:rPr>
          <w:rFonts w:ascii="Arial"/>
          <w:i/>
        </w:rPr>
        <w:t>E.R. 26 </w:t>
      </w:r>
      <w:r>
        <w:rPr/>
        <w:t>at [268]; for the appeals in this case, see above, para.4-100 </w:t>
      </w:r>
      <w:r>
        <w:rPr>
          <w:spacing w:val="-2"/>
        </w:rPr>
        <w:t>n.554.</w:t>
      </w:r>
    </w:p>
    <w:p>
      <w:pPr>
        <w:pStyle w:val="BodyText"/>
        <w:spacing w:before="5"/>
      </w:pPr>
    </w:p>
    <w:p>
      <w:pPr>
        <w:tabs>
          <w:tab w:pos="705" w:val="left" w:leader="none"/>
        </w:tabs>
        <w:spacing w:before="0"/>
        <w:ind w:left="165" w:right="0" w:firstLine="0"/>
        <w:jc w:val="left"/>
        <w:rPr>
          <w:sz w:val="20"/>
        </w:rPr>
      </w:pPr>
      <w:bookmarkStart w:name="_bookmark1290" w:id="1292"/>
      <w:bookmarkEnd w:id="1292"/>
      <w:r>
        <w:rPr/>
      </w:r>
      <w:hyperlink w:history="true" w:anchor="_bookmark1053">
        <w:r>
          <w:rPr>
            <w:color w:val="005DA1"/>
            <w:spacing w:val="-4"/>
            <w:position w:val="5"/>
            <w:sz w:val="14"/>
            <w:u w:val="single" w:color="005DA1"/>
          </w:rPr>
          <w:t>663</w:t>
        </w:r>
      </w:hyperlink>
      <w:r>
        <w:rPr>
          <w:spacing w:val="-4"/>
          <w:position w:val="5"/>
          <w:sz w:val="14"/>
        </w:rPr>
        <w:t>.</w:t>
      </w:r>
      <w:r>
        <w:rPr>
          <w:position w:val="5"/>
          <w:sz w:val="14"/>
        </w:rPr>
        <w:tab/>
      </w:r>
      <w:r>
        <w:rPr>
          <w:rFonts w:ascii="Arial"/>
          <w:i/>
          <w:sz w:val="20"/>
        </w:rPr>
        <w:t>Amalgamated Investment &amp; Property case [1982] Q.B. 84, 126, </w:t>
      </w:r>
      <w:r>
        <w:rPr>
          <w:rFonts w:ascii="Arial"/>
          <w:i/>
          <w:spacing w:val="-4"/>
          <w:sz w:val="20"/>
        </w:rPr>
        <w:t>130</w:t>
      </w:r>
      <w:r>
        <w:rPr>
          <w:spacing w:val="-4"/>
          <w:sz w:val="20"/>
        </w:rPr>
        <w:t>.</w:t>
      </w:r>
    </w:p>
    <w:p>
      <w:pPr>
        <w:pStyle w:val="BodyText"/>
        <w:spacing w:before="5"/>
      </w:pPr>
    </w:p>
    <w:p>
      <w:pPr>
        <w:pStyle w:val="BodyText"/>
        <w:tabs>
          <w:tab w:pos="705" w:val="left" w:leader="none"/>
        </w:tabs>
        <w:ind w:left="165"/>
      </w:pPr>
      <w:bookmarkStart w:name="_bookmark1291" w:id="1293"/>
      <w:bookmarkEnd w:id="1293"/>
      <w:r>
        <w:rPr/>
      </w:r>
      <w:hyperlink w:history="true" w:anchor="_bookmark1054">
        <w:r>
          <w:rPr>
            <w:color w:val="005DA1"/>
            <w:spacing w:val="-4"/>
            <w:position w:val="5"/>
            <w:sz w:val="14"/>
            <w:u w:val="single" w:color="005DA1"/>
          </w:rPr>
          <w:t>664</w:t>
        </w:r>
      </w:hyperlink>
      <w:r>
        <w:rPr>
          <w:spacing w:val="-4"/>
          <w:position w:val="5"/>
          <w:sz w:val="14"/>
        </w:rPr>
        <w:t>.</w:t>
      </w:r>
      <w:r>
        <w:rPr>
          <w:position w:val="5"/>
          <w:sz w:val="14"/>
        </w:rPr>
        <w:tab/>
      </w:r>
      <w:r>
        <w:rPr/>
        <w:t>Such an assumption is one of fact (and not as to the future): below, para.7-</w:t>
      </w:r>
      <w:r>
        <w:rPr>
          <w:spacing w:val="-4"/>
        </w:rPr>
        <w:t>015.</w:t>
      </w:r>
    </w:p>
    <w:p>
      <w:pPr>
        <w:pStyle w:val="BodyText"/>
        <w:spacing w:before="5"/>
      </w:pPr>
    </w:p>
    <w:p>
      <w:pPr>
        <w:tabs>
          <w:tab w:pos="705" w:val="left" w:leader="none"/>
        </w:tabs>
        <w:spacing w:before="0"/>
        <w:ind w:left="165" w:right="0" w:firstLine="0"/>
        <w:jc w:val="left"/>
        <w:rPr>
          <w:sz w:val="20"/>
        </w:rPr>
      </w:pPr>
      <w:bookmarkStart w:name="_bookmark1292" w:id="1294"/>
      <w:bookmarkEnd w:id="1294"/>
      <w:r>
        <w:rPr/>
      </w:r>
      <w:hyperlink w:history="true" w:anchor="_bookmark1055">
        <w:r>
          <w:rPr>
            <w:color w:val="005DA1"/>
            <w:spacing w:val="-4"/>
            <w:position w:val="5"/>
            <w:sz w:val="14"/>
            <w:u w:val="single" w:color="005DA1"/>
          </w:rPr>
          <w:t>665</w:t>
        </w:r>
      </w:hyperlink>
      <w:r>
        <w:rPr>
          <w:spacing w:val="-4"/>
          <w:position w:val="5"/>
          <w:sz w:val="14"/>
        </w:rPr>
        <w:t>.</w:t>
      </w:r>
      <w:r>
        <w:rPr>
          <w:position w:val="5"/>
          <w:sz w:val="14"/>
        </w:rPr>
        <w:tab/>
      </w:r>
      <w:r>
        <w:rPr>
          <w:rFonts w:ascii="Arial"/>
          <w:i/>
          <w:sz w:val="20"/>
        </w:rPr>
        <w:t>[1982]</w:t>
      </w:r>
      <w:r>
        <w:rPr>
          <w:rFonts w:ascii="Arial"/>
          <w:i/>
          <w:spacing w:val="-1"/>
          <w:sz w:val="20"/>
        </w:rPr>
        <w:t> </w:t>
      </w:r>
      <w:r>
        <w:rPr>
          <w:rFonts w:ascii="Arial"/>
          <w:i/>
          <w:sz w:val="20"/>
        </w:rPr>
        <w:t>Q.B. 84</w:t>
      </w:r>
      <w:r>
        <w:rPr>
          <w:sz w:val="20"/>
        </w:rPr>
        <w:t>; above, para.4-</w:t>
      </w:r>
      <w:r>
        <w:rPr>
          <w:spacing w:val="-4"/>
          <w:sz w:val="20"/>
        </w:rPr>
        <w:t>109.</w:t>
      </w:r>
    </w:p>
    <w:p>
      <w:pPr>
        <w:pStyle w:val="BodyText"/>
        <w:spacing w:before="5"/>
      </w:pPr>
    </w:p>
    <w:p>
      <w:pPr>
        <w:tabs>
          <w:tab w:pos="705" w:val="left" w:leader="none"/>
        </w:tabs>
        <w:spacing w:before="0"/>
        <w:ind w:left="165" w:right="0" w:firstLine="0"/>
        <w:jc w:val="left"/>
        <w:rPr>
          <w:sz w:val="20"/>
        </w:rPr>
      </w:pPr>
      <w:bookmarkStart w:name="_bookmark1293" w:id="1295"/>
      <w:bookmarkEnd w:id="1295"/>
      <w:r>
        <w:rPr/>
      </w:r>
      <w:hyperlink w:history="true" w:anchor="_bookmark1056">
        <w:r>
          <w:rPr>
            <w:color w:val="005DA1"/>
            <w:spacing w:val="-4"/>
            <w:position w:val="5"/>
            <w:sz w:val="14"/>
            <w:u w:val="single" w:color="005DA1"/>
          </w:rPr>
          <w:t>666</w:t>
        </w:r>
      </w:hyperlink>
      <w:r>
        <w:rPr>
          <w:spacing w:val="-4"/>
          <w:position w:val="5"/>
          <w:sz w:val="14"/>
        </w:rPr>
        <w:t>.</w:t>
      </w:r>
      <w:r>
        <w:rPr>
          <w:position w:val="5"/>
          <w:sz w:val="14"/>
        </w:rPr>
        <w:tab/>
      </w:r>
      <w:r>
        <w:rPr>
          <w:sz w:val="20"/>
        </w:rPr>
        <w:t>Above, para.4-</w:t>
      </w:r>
      <w:r>
        <w:rPr>
          <w:spacing w:val="-4"/>
          <w:sz w:val="20"/>
        </w:rPr>
        <w:t>104.</w:t>
      </w:r>
    </w:p>
    <w:p>
      <w:pPr>
        <w:pStyle w:val="BodyText"/>
        <w:spacing w:before="5"/>
      </w:pPr>
    </w:p>
    <w:p>
      <w:pPr>
        <w:pStyle w:val="BodyText"/>
        <w:tabs>
          <w:tab w:pos="705" w:val="left" w:leader="none"/>
        </w:tabs>
        <w:ind w:left="165"/>
      </w:pPr>
      <w:bookmarkStart w:name="_bookmark1294" w:id="1296"/>
      <w:bookmarkEnd w:id="1296"/>
      <w:r>
        <w:rPr/>
      </w:r>
      <w:hyperlink w:history="true" w:anchor="_bookmark1057">
        <w:r>
          <w:rPr>
            <w:color w:val="005DA1"/>
            <w:spacing w:val="-4"/>
            <w:position w:val="5"/>
            <w:sz w:val="14"/>
            <w:u w:val="single" w:color="005DA1"/>
          </w:rPr>
          <w:t>667</w:t>
        </w:r>
      </w:hyperlink>
      <w:r>
        <w:rPr>
          <w:spacing w:val="-4"/>
          <w:position w:val="5"/>
          <w:sz w:val="14"/>
        </w:rPr>
        <w:t>.</w:t>
      </w:r>
      <w:r>
        <w:rPr>
          <w:position w:val="5"/>
          <w:sz w:val="14"/>
        </w:rPr>
        <w:tab/>
      </w:r>
      <w:r>
        <w:rPr/>
        <w:t>In</w:t>
      </w:r>
      <w:r>
        <w:rPr>
          <w:spacing w:val="59"/>
        </w:rPr>
        <w:t> </w:t>
      </w:r>
      <w:r>
        <w:rPr/>
        <w:t>this</w:t>
      </w:r>
      <w:r>
        <w:rPr>
          <w:spacing w:val="59"/>
        </w:rPr>
        <w:t> </w:t>
      </w:r>
      <w:r>
        <w:rPr/>
        <w:t>respect</w:t>
      </w:r>
      <w:r>
        <w:rPr>
          <w:spacing w:val="59"/>
        </w:rPr>
        <w:t> </w:t>
      </w:r>
      <w:r>
        <w:rPr/>
        <w:t>its</w:t>
      </w:r>
      <w:r>
        <w:rPr>
          <w:spacing w:val="59"/>
        </w:rPr>
        <w:t> </w:t>
      </w:r>
      <w:r>
        <w:rPr/>
        <w:t>legal</w:t>
      </w:r>
      <w:r>
        <w:rPr>
          <w:spacing w:val="59"/>
        </w:rPr>
        <w:t> </w:t>
      </w:r>
      <w:r>
        <w:rPr/>
        <w:t>nature</w:t>
      </w:r>
      <w:r>
        <w:rPr>
          <w:spacing w:val="59"/>
        </w:rPr>
        <w:t> </w:t>
      </w:r>
      <w:r>
        <w:rPr/>
        <w:t>resembles</w:t>
      </w:r>
      <w:r>
        <w:rPr>
          <w:spacing w:val="59"/>
        </w:rPr>
        <w:t> </w:t>
      </w:r>
      <w:r>
        <w:rPr/>
        <w:t>that</w:t>
      </w:r>
      <w:r>
        <w:rPr>
          <w:spacing w:val="59"/>
        </w:rPr>
        <w:t> </w:t>
      </w:r>
      <w:r>
        <w:rPr/>
        <w:t>of</w:t>
      </w:r>
      <w:r>
        <w:rPr>
          <w:spacing w:val="59"/>
        </w:rPr>
        <w:t> </w:t>
      </w:r>
      <w:r>
        <w:rPr/>
        <w:t>estoppel</w:t>
      </w:r>
      <w:r>
        <w:rPr>
          <w:spacing w:val="59"/>
        </w:rPr>
        <w:t> </w:t>
      </w:r>
      <w:r>
        <w:rPr/>
        <w:t>by</w:t>
      </w:r>
      <w:r>
        <w:rPr>
          <w:spacing w:val="59"/>
        </w:rPr>
        <w:t> </w:t>
      </w:r>
      <w:r>
        <w:rPr/>
        <w:t>representation:</w:t>
      </w:r>
      <w:r>
        <w:rPr>
          <w:spacing w:val="59"/>
        </w:rPr>
        <w:t> </w:t>
      </w:r>
      <w:r>
        <w:rPr/>
        <w:t>see</w:t>
      </w:r>
      <w:r>
        <w:rPr>
          <w:spacing w:val="59"/>
        </w:rPr>
        <w:t> </w:t>
      </w:r>
      <w:r>
        <w:rPr>
          <w:spacing w:val="-2"/>
        </w:rPr>
        <w:t>above,</w:t>
      </w:r>
    </w:p>
    <w:p>
      <w:pPr>
        <w:pStyle w:val="BodyText"/>
        <w:spacing w:after="0"/>
        <w:sectPr>
          <w:type w:val="continuous"/>
          <w:pgSz w:w="11900" w:h="16840"/>
          <w:pgMar w:header="971" w:footer="0" w:top="3760" w:bottom="280" w:left="1275" w:right="1275"/>
        </w:sectPr>
      </w:pPr>
    </w:p>
    <w:p>
      <w:pPr>
        <w:pStyle w:val="BodyText"/>
        <w:spacing w:before="81"/>
      </w:pPr>
    </w:p>
    <w:p>
      <w:pPr>
        <w:pStyle w:val="BodyText"/>
        <w:ind w:left="705"/>
      </w:pPr>
      <w:r>
        <w:rPr/>
        <w:t>para.4-</w:t>
      </w:r>
      <w:r>
        <w:rPr>
          <w:spacing w:val="-4"/>
        </w:rPr>
        <w:t>104.</w:t>
      </w:r>
    </w:p>
    <w:p>
      <w:pPr>
        <w:pStyle w:val="BodyText"/>
        <w:spacing w:before="9"/>
      </w:pPr>
    </w:p>
    <w:p>
      <w:pPr>
        <w:spacing w:line="235" w:lineRule="auto" w:before="0"/>
        <w:ind w:left="705" w:right="167" w:hanging="541"/>
        <w:jc w:val="both"/>
        <w:rPr>
          <w:sz w:val="20"/>
        </w:rPr>
      </w:pPr>
      <w:bookmarkStart w:name="_bookmark1295" w:id="1297"/>
      <w:bookmarkEnd w:id="1297"/>
      <w:r>
        <w:rPr/>
      </w:r>
      <w:hyperlink w:history="true" w:anchor="_bookmark1058">
        <w:r>
          <w:rPr>
            <w:color w:val="005DA1"/>
            <w:position w:val="5"/>
            <w:sz w:val="14"/>
            <w:u w:val="single" w:color="005DA1"/>
          </w:rPr>
          <w:t>668</w:t>
        </w:r>
      </w:hyperlink>
      <w:r>
        <w:rPr>
          <w:position w:val="5"/>
          <w:sz w:val="14"/>
        </w:rPr>
        <w:t>.</w:t>
      </w:r>
      <w:r>
        <w:rPr>
          <w:spacing w:val="80"/>
          <w:position w:val="5"/>
          <w:sz w:val="14"/>
        </w:rPr>
        <w:t> </w:t>
      </w:r>
      <w:r>
        <w:rPr>
          <w:rFonts w:ascii="Arial" w:hAnsi="Arial"/>
          <w:i/>
          <w:sz w:val="20"/>
        </w:rPr>
        <w:t>The Vistafjord [1988] 2 Lloyd’s Rep. 343, 351 </w:t>
      </w:r>
      <w:r>
        <w:rPr>
          <w:sz w:val="20"/>
        </w:rPr>
        <w:t>(“not dependent on contract but on common assumption”). For this reason the citation in </w:t>
      </w:r>
      <w:r>
        <w:rPr>
          <w:rFonts w:ascii="Arial" w:hAnsi="Arial"/>
          <w:i/>
          <w:sz w:val="20"/>
        </w:rPr>
        <w:t>Williams v Roffey Bros &amp; Nicholls (Contractors) Ltd [1991] 1 Q.B. 1</w:t>
      </w:r>
      <w:r>
        <w:rPr>
          <w:sz w:val="20"/>
        </w:rPr>
        <w:t>, 17–18 of the </w:t>
      </w:r>
      <w:r>
        <w:rPr>
          <w:rFonts w:ascii="Arial" w:hAnsi="Arial"/>
          <w:i/>
          <w:sz w:val="20"/>
        </w:rPr>
        <w:t>Amalgamated Investment &amp; Property </w:t>
      </w:r>
      <w:r>
        <w:rPr>
          <w:sz w:val="20"/>
        </w:rPr>
        <w:t>case (above, para.4-109) seems, with respect, to be of doubtful relevance. In the </w:t>
      </w:r>
      <w:r>
        <w:rPr>
          <w:rFonts w:ascii="Arial" w:hAnsi="Arial"/>
          <w:i/>
          <w:sz w:val="20"/>
        </w:rPr>
        <w:t>Williams </w:t>
      </w:r>
      <w:r>
        <w:rPr>
          <w:sz w:val="20"/>
        </w:rPr>
        <w:t>case there was no doubt that the</w:t>
      </w:r>
      <w:r>
        <w:rPr>
          <w:spacing w:val="-3"/>
          <w:sz w:val="20"/>
        </w:rPr>
        <w:t> </w:t>
      </w:r>
      <w:r>
        <w:rPr>
          <w:sz w:val="20"/>
        </w:rPr>
        <w:t>promise</w:t>
      </w:r>
      <w:r>
        <w:rPr>
          <w:spacing w:val="-3"/>
          <w:sz w:val="20"/>
        </w:rPr>
        <w:t> </w:t>
      </w:r>
      <w:r>
        <w:rPr>
          <w:sz w:val="20"/>
        </w:rPr>
        <w:t>had</w:t>
      </w:r>
      <w:r>
        <w:rPr>
          <w:spacing w:val="-3"/>
          <w:sz w:val="20"/>
        </w:rPr>
        <w:t> </w:t>
      </w:r>
      <w:r>
        <w:rPr>
          <w:sz w:val="20"/>
        </w:rPr>
        <w:t>been</w:t>
      </w:r>
      <w:r>
        <w:rPr>
          <w:spacing w:val="-3"/>
          <w:sz w:val="20"/>
        </w:rPr>
        <w:t> </w:t>
      </w:r>
      <w:r>
        <w:rPr>
          <w:sz w:val="20"/>
        </w:rPr>
        <w:t>made;</w:t>
      </w:r>
      <w:r>
        <w:rPr>
          <w:spacing w:val="-3"/>
          <w:sz w:val="20"/>
        </w:rPr>
        <w:t> </w:t>
      </w:r>
      <w:r>
        <w:rPr>
          <w:sz w:val="20"/>
        </w:rPr>
        <w:t>and</w:t>
      </w:r>
      <w:r>
        <w:rPr>
          <w:spacing w:val="-3"/>
          <w:sz w:val="20"/>
        </w:rPr>
        <w:t> </w:t>
      </w:r>
      <w:r>
        <w:rPr>
          <w:sz w:val="20"/>
        </w:rPr>
        <w:t>the</w:t>
      </w:r>
      <w:r>
        <w:rPr>
          <w:spacing w:val="-3"/>
          <w:sz w:val="20"/>
        </w:rPr>
        <w:t> </w:t>
      </w:r>
      <w:r>
        <w:rPr>
          <w:sz w:val="20"/>
        </w:rPr>
        <w:t>actual</w:t>
      </w:r>
      <w:r>
        <w:rPr>
          <w:spacing w:val="-3"/>
          <w:sz w:val="20"/>
        </w:rPr>
        <w:t> </w:t>
      </w:r>
      <w:r>
        <w:rPr>
          <w:sz w:val="20"/>
        </w:rPr>
        <w:t>decision</w:t>
      </w:r>
      <w:r>
        <w:rPr>
          <w:spacing w:val="-3"/>
          <w:sz w:val="20"/>
        </w:rPr>
        <w:t> </w:t>
      </w:r>
      <w:r>
        <w:rPr>
          <w:sz w:val="20"/>
        </w:rPr>
        <w:t>was</w:t>
      </w:r>
      <w:r>
        <w:rPr>
          <w:spacing w:val="-3"/>
          <w:sz w:val="20"/>
        </w:rPr>
        <w:t> </w:t>
      </w:r>
      <w:r>
        <w:rPr>
          <w:sz w:val="20"/>
        </w:rPr>
        <w:t>that</w:t>
      </w:r>
      <w:r>
        <w:rPr>
          <w:spacing w:val="-3"/>
          <w:sz w:val="20"/>
        </w:rPr>
        <w:t> </w:t>
      </w:r>
      <w:r>
        <w:rPr>
          <w:sz w:val="20"/>
        </w:rPr>
        <w:t>it</w:t>
      </w:r>
      <w:r>
        <w:rPr>
          <w:spacing w:val="-3"/>
          <w:sz w:val="20"/>
        </w:rPr>
        <w:t> </w:t>
      </w:r>
      <w:r>
        <w:rPr>
          <w:sz w:val="20"/>
        </w:rPr>
        <w:t>was</w:t>
      </w:r>
      <w:r>
        <w:rPr>
          <w:spacing w:val="-3"/>
          <w:sz w:val="20"/>
        </w:rPr>
        <w:t> </w:t>
      </w:r>
      <w:r>
        <w:rPr>
          <w:sz w:val="20"/>
        </w:rPr>
        <w:t>supported</w:t>
      </w:r>
      <w:r>
        <w:rPr>
          <w:spacing w:val="-3"/>
          <w:sz w:val="20"/>
        </w:rPr>
        <w:t> </w:t>
      </w:r>
      <w:r>
        <w:rPr>
          <w:sz w:val="20"/>
        </w:rPr>
        <w:t>by</w:t>
      </w:r>
      <w:r>
        <w:rPr>
          <w:spacing w:val="-3"/>
          <w:sz w:val="20"/>
        </w:rPr>
        <w:t> </w:t>
      </w:r>
      <w:r>
        <w:rPr>
          <w:sz w:val="20"/>
        </w:rPr>
        <w:t>consideration and thus binding contractually: above, para.4-069.</w:t>
      </w:r>
    </w:p>
    <w:p>
      <w:pPr>
        <w:pStyle w:val="BodyText"/>
        <w:spacing w:before="4"/>
      </w:pPr>
    </w:p>
    <w:p>
      <w:pPr>
        <w:tabs>
          <w:tab w:pos="705" w:val="left" w:leader="none"/>
        </w:tabs>
        <w:spacing w:before="0"/>
        <w:ind w:left="165" w:right="0" w:firstLine="0"/>
        <w:jc w:val="left"/>
        <w:rPr>
          <w:sz w:val="20"/>
        </w:rPr>
      </w:pPr>
      <w:bookmarkStart w:name="_bookmark1296" w:id="1298"/>
      <w:bookmarkEnd w:id="1298"/>
      <w:r>
        <w:rPr/>
      </w:r>
      <w:hyperlink w:history="true" w:anchor="_bookmark1059">
        <w:r>
          <w:rPr>
            <w:color w:val="005DA1"/>
            <w:spacing w:val="-4"/>
            <w:position w:val="5"/>
            <w:sz w:val="14"/>
            <w:u w:val="single" w:color="005DA1"/>
          </w:rPr>
          <w:t>669</w:t>
        </w:r>
      </w:hyperlink>
      <w:r>
        <w:rPr>
          <w:spacing w:val="-4"/>
          <w:position w:val="5"/>
          <w:sz w:val="14"/>
        </w:rPr>
        <w:t>.</w:t>
      </w:r>
      <w:r>
        <w:rPr>
          <w:position w:val="5"/>
          <w:sz w:val="14"/>
        </w:rPr>
        <w:tab/>
      </w:r>
      <w:r>
        <w:rPr>
          <w:sz w:val="20"/>
        </w:rPr>
        <w:t>This</w:t>
      </w:r>
      <w:r>
        <w:rPr>
          <w:spacing w:val="-1"/>
          <w:sz w:val="20"/>
        </w:rPr>
        <w:t> </w:t>
      </w:r>
      <w:r>
        <w:rPr>
          <w:sz w:val="20"/>
        </w:rPr>
        <w:t>was also true in</w:t>
      </w:r>
      <w:r>
        <w:rPr>
          <w:spacing w:val="-1"/>
          <w:sz w:val="20"/>
        </w:rPr>
        <w:t> </w:t>
      </w:r>
      <w:r>
        <w:rPr>
          <w:rFonts w:ascii="Arial"/>
          <w:i/>
          <w:sz w:val="20"/>
        </w:rPr>
        <w:t>The Vistafjord</w:t>
      </w:r>
      <w:r>
        <w:rPr>
          <w:sz w:val="20"/>
        </w:rPr>
        <w:t>, above, n.660 and para.4-</w:t>
      </w:r>
      <w:r>
        <w:rPr>
          <w:spacing w:val="-4"/>
          <w:sz w:val="20"/>
        </w:rPr>
        <w:t>109.</w:t>
      </w:r>
    </w:p>
    <w:p>
      <w:pPr>
        <w:pStyle w:val="BodyText"/>
        <w:spacing w:before="8"/>
      </w:pPr>
    </w:p>
    <w:p>
      <w:pPr>
        <w:pStyle w:val="BodyText"/>
        <w:tabs>
          <w:tab w:pos="705" w:val="left" w:leader="none"/>
        </w:tabs>
        <w:spacing w:line="235" w:lineRule="auto" w:before="1"/>
        <w:ind w:left="705" w:right="168" w:hanging="541"/>
      </w:pPr>
      <w:bookmarkStart w:name="_bookmark1297" w:id="1299"/>
      <w:bookmarkEnd w:id="1299"/>
      <w:r>
        <w:rPr/>
      </w:r>
      <w:hyperlink w:history="true" w:anchor="_bookmark1060">
        <w:r>
          <w:rPr>
            <w:color w:val="005DA1"/>
            <w:spacing w:val="-4"/>
            <w:position w:val="5"/>
            <w:sz w:val="14"/>
            <w:u w:val="single" w:color="005DA1"/>
          </w:rPr>
          <w:t>670</w:t>
        </w:r>
      </w:hyperlink>
      <w:r>
        <w:rPr>
          <w:spacing w:val="-4"/>
          <w:position w:val="5"/>
          <w:sz w:val="14"/>
        </w:rPr>
        <w:t>.</w:t>
      </w:r>
      <w:r>
        <w:rPr>
          <w:position w:val="5"/>
          <w:sz w:val="14"/>
        </w:rPr>
        <w:tab/>
      </w:r>
      <w:r>
        <w:rPr/>
        <w:t>It is enough for consideration to move from the promisee (the X bank); it need not move to </w:t>
      </w:r>
      <w:r>
        <w:rPr/>
        <w:t>the hypothetical promisor (A): above paras 4-037 et seq.</w:t>
      </w:r>
    </w:p>
    <w:p>
      <w:pPr>
        <w:pStyle w:val="BodyText"/>
        <w:spacing w:before="5"/>
      </w:pPr>
    </w:p>
    <w:p>
      <w:pPr>
        <w:tabs>
          <w:tab w:pos="705" w:val="left" w:leader="none"/>
        </w:tabs>
        <w:spacing w:before="0"/>
        <w:ind w:left="165" w:right="0" w:firstLine="0"/>
        <w:jc w:val="left"/>
        <w:rPr>
          <w:sz w:val="20"/>
        </w:rPr>
      </w:pPr>
      <w:bookmarkStart w:name="_bookmark1298" w:id="1300"/>
      <w:bookmarkEnd w:id="1300"/>
      <w:r>
        <w:rPr/>
      </w:r>
      <w:hyperlink w:history="true" w:anchor="_bookmark1061">
        <w:r>
          <w:rPr>
            <w:color w:val="005DA1"/>
            <w:spacing w:val="-4"/>
            <w:position w:val="5"/>
            <w:sz w:val="14"/>
            <w:u w:val="single" w:color="005DA1"/>
          </w:rPr>
          <w:t>671</w:t>
        </w:r>
      </w:hyperlink>
      <w:r>
        <w:rPr>
          <w:spacing w:val="-4"/>
          <w:position w:val="5"/>
          <w:sz w:val="14"/>
        </w:rPr>
        <w:t>.</w:t>
      </w:r>
      <w:r>
        <w:rPr>
          <w:position w:val="5"/>
          <w:sz w:val="14"/>
        </w:rPr>
        <w:tab/>
      </w:r>
      <w:r>
        <w:rPr>
          <w:sz w:val="20"/>
        </w:rPr>
        <w:t>e.g. (apparently)</w:t>
      </w:r>
      <w:r>
        <w:rPr>
          <w:spacing w:val="-1"/>
          <w:sz w:val="20"/>
        </w:rPr>
        <w:t> </w:t>
      </w:r>
      <w:r>
        <w:rPr>
          <w:rFonts w:ascii="Arial"/>
          <w:i/>
          <w:sz w:val="20"/>
        </w:rPr>
        <w:t>Troop v Gibson [1986] 1 E.G.L.R. </w:t>
      </w:r>
      <w:r>
        <w:rPr>
          <w:rFonts w:ascii="Arial"/>
          <w:i/>
          <w:spacing w:val="-5"/>
          <w:sz w:val="20"/>
        </w:rPr>
        <w:t>1</w:t>
      </w:r>
      <w:r>
        <w:rPr>
          <w:spacing w:val="-5"/>
          <w:sz w:val="20"/>
        </w:rPr>
        <w:t>.</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8816">
            <wp:simplePos x="0" y="0"/>
            <wp:positionH relativeFrom="page">
              <wp:posOffset>1257846</wp:posOffset>
            </wp:positionH>
            <wp:positionV relativeFrom="paragraph">
              <wp:posOffset>160232</wp:posOffset>
            </wp:positionV>
            <wp:extent cx="107988" cy="107988"/>
            <wp:effectExtent l="0" t="0" r="0" b="0"/>
            <wp:wrapNone/>
            <wp:docPr id="210" name="Image 210"/>
            <wp:cNvGraphicFramePr>
              <a:graphicFrameLocks/>
            </wp:cNvGraphicFramePr>
            <a:graphic>
              <a:graphicData uri="http://schemas.openxmlformats.org/drawingml/2006/picture">
                <pic:pic>
                  <pic:nvPicPr>
                    <pic:cNvPr id="210" name="Image 21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299" w:id="1301"/>
      <w:bookmarkEnd w:id="1301"/>
      <w:r>
        <w:rPr/>
      </w:r>
      <w:hyperlink w:history="true" w:anchor="_bookmark1062">
        <w:r>
          <w:rPr>
            <w:color w:val="005DA1"/>
            <w:spacing w:val="-4"/>
            <w:sz w:val="14"/>
            <w:u w:val="single" w:color="005DA1"/>
          </w:rPr>
          <w:t>672</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Hiscox</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Outhwaite</w:t>
      </w:r>
      <w:r>
        <w:rPr>
          <w:rFonts w:ascii="Arial" w:hAnsi="Arial"/>
          <w:i/>
          <w:spacing w:val="-1"/>
          <w:sz w:val="20"/>
        </w:rPr>
        <w:t> </w:t>
      </w:r>
      <w:r>
        <w:rPr>
          <w:rFonts w:ascii="Arial" w:hAnsi="Arial"/>
          <w:i/>
          <w:sz w:val="20"/>
        </w:rPr>
        <w:t>[1992]</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562</w:t>
      </w:r>
      <w:r>
        <w:rPr>
          <w:rFonts w:ascii="Arial" w:hAnsi="Arial"/>
          <w:i/>
          <w:spacing w:val="-2"/>
          <w:sz w:val="20"/>
        </w:rPr>
        <w:t> </w:t>
      </w:r>
      <w:r>
        <w:rPr>
          <w:sz w:val="20"/>
        </w:rPr>
        <w:t>at</w:t>
      </w:r>
      <w:r>
        <w:rPr>
          <w:spacing w:val="-1"/>
          <w:sz w:val="20"/>
        </w:rPr>
        <w:t> </w:t>
      </w:r>
      <w:r>
        <w:rPr>
          <w:sz w:val="20"/>
        </w:rPr>
        <w:t>575,</w:t>
      </w:r>
      <w:r>
        <w:rPr>
          <w:spacing w:val="-1"/>
          <w:sz w:val="20"/>
        </w:rPr>
        <w:t> </w:t>
      </w:r>
      <w:r>
        <w:rPr>
          <w:sz w:val="20"/>
        </w:rPr>
        <w:t>per</w:t>
      </w:r>
      <w:r>
        <w:rPr>
          <w:spacing w:val="-1"/>
          <w:sz w:val="20"/>
        </w:rPr>
        <w:t> </w:t>
      </w:r>
      <w:r>
        <w:rPr>
          <w:sz w:val="20"/>
        </w:rPr>
        <w:t>Lord</w:t>
      </w:r>
      <w:r>
        <w:rPr>
          <w:spacing w:val="-1"/>
          <w:sz w:val="20"/>
        </w:rPr>
        <w:t> </w:t>
      </w:r>
      <w:r>
        <w:rPr>
          <w:sz w:val="20"/>
        </w:rPr>
        <w:t>Donaldson,</w:t>
      </w:r>
      <w:r>
        <w:rPr>
          <w:spacing w:val="-1"/>
          <w:sz w:val="20"/>
        </w:rPr>
        <w:t> </w:t>
      </w:r>
      <w:r>
        <w:rPr>
          <w:sz w:val="20"/>
        </w:rPr>
        <w:t>M.R.</w:t>
      </w:r>
      <w:r>
        <w:rPr>
          <w:spacing w:val="-1"/>
          <w:sz w:val="20"/>
        </w:rPr>
        <w:t> </w:t>
      </w:r>
      <w:r>
        <w:rPr>
          <w:sz w:val="20"/>
        </w:rPr>
        <w:t>(affirmed</w:t>
      </w:r>
      <w:r>
        <w:rPr>
          <w:spacing w:val="-1"/>
          <w:sz w:val="20"/>
        </w:rPr>
        <w:t> </w:t>
      </w:r>
      <w:r>
        <w:rPr>
          <w:sz w:val="20"/>
        </w:rPr>
        <w:t>ibid.</w:t>
      </w:r>
      <w:r>
        <w:rPr>
          <w:spacing w:val="-1"/>
          <w:sz w:val="20"/>
        </w:rPr>
        <w:t> </w:t>
      </w:r>
      <w:r>
        <w:rPr>
          <w:sz w:val="20"/>
        </w:rPr>
        <w:t>p.585</w:t>
      </w:r>
      <w:r>
        <w:rPr>
          <w:spacing w:val="-1"/>
          <w:sz w:val="20"/>
        </w:rPr>
        <w:t> </w:t>
      </w:r>
      <w:r>
        <w:rPr>
          <w:sz w:val="20"/>
        </w:rPr>
        <w:t>on other grounds); </w:t>
      </w:r>
      <w:r>
        <w:rPr>
          <w:rFonts w:ascii="Arial" w:hAnsi="Arial"/>
          <w:i/>
          <w:sz w:val="20"/>
        </w:rPr>
        <w:t>Phillip Collins Ltd v Davis [2000] 3 All E.R. 808 </w:t>
      </w:r>
      <w:r>
        <w:rPr>
          <w:sz w:val="20"/>
        </w:rPr>
        <w:t>at 823. </w:t>
      </w:r>
      <w:r>
        <w:rPr>
          <w:rFonts w:ascii="Arial" w:hAnsi="Arial"/>
          <w:i/>
          <w:sz w:val="20"/>
        </w:rPr>
        <w:t>Tamil Nadu Electricity Board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ST-CMS</w:t>
      </w:r>
      <w:r>
        <w:rPr>
          <w:rFonts w:ascii="Arial" w:hAnsi="Arial"/>
          <w:i/>
          <w:spacing w:val="-2"/>
          <w:sz w:val="20"/>
        </w:rPr>
        <w:t> </w:t>
      </w:r>
      <w:r>
        <w:rPr>
          <w:rFonts w:ascii="Arial" w:hAnsi="Arial"/>
          <w:i/>
          <w:sz w:val="20"/>
        </w:rPr>
        <w:t>Electricity</w:t>
      </w:r>
      <w:r>
        <w:rPr>
          <w:rFonts w:ascii="Arial" w:hAnsi="Arial"/>
          <w:i/>
          <w:spacing w:val="-2"/>
          <w:sz w:val="20"/>
        </w:rPr>
        <w:t> </w:t>
      </w:r>
      <w:r>
        <w:rPr>
          <w:rFonts w:ascii="Arial" w:hAnsi="Arial"/>
          <w:i/>
          <w:sz w:val="20"/>
        </w:rPr>
        <w:t>Company</w:t>
      </w:r>
      <w:r>
        <w:rPr>
          <w:rFonts w:ascii="Arial" w:hAnsi="Arial"/>
          <w:i/>
          <w:spacing w:val="-2"/>
          <w:sz w:val="20"/>
        </w:rPr>
        <w:t> </w:t>
      </w:r>
      <w:r>
        <w:rPr>
          <w:rFonts w:ascii="Arial" w:hAnsi="Arial"/>
          <w:i/>
          <w:sz w:val="20"/>
        </w:rPr>
        <w:t>Private</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[2007]</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1713</w:t>
      </w:r>
      <w:r>
        <w:rPr>
          <w:rFonts w:ascii="Arial" w:hAnsi="Arial"/>
          <w:i/>
          <w:spacing w:val="-2"/>
          <w:sz w:val="20"/>
        </w:rPr>
        <w:t> </w:t>
      </w:r>
      <w:r>
        <w:rPr>
          <w:rFonts w:ascii="Arial" w:hAnsi="Arial"/>
          <w:i/>
          <w:sz w:val="20"/>
        </w:rPr>
        <w:t>(Comm),</w:t>
      </w:r>
      <w:r>
        <w:rPr>
          <w:rFonts w:ascii="Arial" w:hAnsi="Arial"/>
          <w:i/>
          <w:spacing w:val="-2"/>
          <w:sz w:val="20"/>
        </w:rPr>
        <w:t> </w:t>
      </w:r>
      <w:r>
        <w:rPr>
          <w:rFonts w:ascii="Arial" w:hAnsi="Arial"/>
          <w:i/>
          <w:sz w:val="20"/>
        </w:rPr>
        <w:t>[2007]</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All</w:t>
      </w:r>
      <w:r>
        <w:rPr>
          <w:rFonts w:ascii="Arial" w:hAnsi="Arial"/>
          <w:i/>
          <w:spacing w:val="-2"/>
          <w:sz w:val="20"/>
        </w:rPr>
        <w:t> </w:t>
      </w:r>
      <w:r>
        <w:rPr>
          <w:rFonts w:ascii="Arial" w:hAnsi="Arial"/>
          <w:i/>
          <w:sz w:val="20"/>
        </w:rPr>
        <w:t>E.R. (Comm) 701 </w:t>
      </w:r>
      <w:r>
        <w:rPr>
          <w:sz w:val="20"/>
        </w:rPr>
        <w:t>at [105], [128]; </w:t>
      </w:r>
      <w:r>
        <w:rPr>
          <w:rFonts w:ascii="Arial" w:hAnsi="Arial"/>
          <w:i/>
          <w:sz w:val="20"/>
        </w:rPr>
        <w:t>Zvi Construction Co LLC v Notre Dame University (USA) in</w:t>
      </w:r>
      <w:r>
        <w:rPr>
          <w:rFonts w:ascii="Arial" w:hAnsi="Arial"/>
          <w:i/>
          <w:spacing w:val="40"/>
          <w:sz w:val="20"/>
        </w:rPr>
        <w:t> </w:t>
      </w:r>
      <w:r>
        <w:rPr>
          <w:rFonts w:ascii="Arial" w:hAnsi="Arial"/>
          <w:i/>
          <w:sz w:val="20"/>
        </w:rPr>
        <w:t>England [2016] EWHC 1924, [2016] B.L.R. 604 </w:t>
      </w:r>
      <w:r>
        <w:rPr>
          <w:sz w:val="20"/>
        </w:rPr>
        <w:t>where it was said (at [64]) that the estoppel which operated in relation to the dispute before the Court did not apply to any future disputes, presumably because by the time they arose the truth would have been revealed in the instant proceedings. But where the common assumption was that intellectual property was vested in one of the parties sharing that assumption it was held that the other party was “permanently</w:t>
      </w:r>
      <w:r>
        <w:rPr>
          <w:spacing w:val="40"/>
          <w:sz w:val="20"/>
        </w:rPr>
        <w:t> </w:t>
      </w:r>
      <w:r>
        <w:rPr>
          <w:sz w:val="20"/>
        </w:rPr>
        <w:t>(like a tenant or bailee) estopped from denying” that the property was so vested and that a licence</w:t>
      </w:r>
      <w:r>
        <w:rPr>
          <w:spacing w:val="40"/>
          <w:sz w:val="20"/>
        </w:rPr>
        <w:t> </w:t>
      </w:r>
      <w:r>
        <w:rPr>
          <w:sz w:val="20"/>
        </w:rPr>
        <w:t>agreement</w:t>
      </w:r>
      <w:r>
        <w:rPr>
          <w:spacing w:val="40"/>
          <w:sz w:val="20"/>
        </w:rPr>
        <w:t> </w:t>
      </w:r>
      <w:r>
        <w:rPr>
          <w:sz w:val="20"/>
        </w:rPr>
        <w:t>relating</w:t>
      </w:r>
      <w:r>
        <w:rPr>
          <w:spacing w:val="40"/>
          <w:sz w:val="20"/>
        </w:rPr>
        <w:t> </w:t>
      </w:r>
      <w:r>
        <w:rPr>
          <w:sz w:val="20"/>
        </w:rPr>
        <w:t>to</w:t>
      </w:r>
      <w:r>
        <w:rPr>
          <w:spacing w:val="40"/>
          <w:sz w:val="20"/>
        </w:rPr>
        <w:t> </w:t>
      </w:r>
      <w:r>
        <w:rPr>
          <w:sz w:val="20"/>
        </w:rPr>
        <w:t>it</w:t>
      </w:r>
      <w:r>
        <w:rPr>
          <w:spacing w:val="40"/>
          <w:sz w:val="20"/>
        </w:rPr>
        <w:t> </w:t>
      </w:r>
      <w:r>
        <w:rPr>
          <w:sz w:val="20"/>
        </w:rPr>
        <w:t>had</w:t>
      </w:r>
      <w:r>
        <w:rPr>
          <w:spacing w:val="40"/>
          <w:sz w:val="20"/>
        </w:rPr>
        <w:t> </w:t>
      </w:r>
      <w:r>
        <w:rPr>
          <w:sz w:val="20"/>
        </w:rPr>
        <w:t>been</w:t>
      </w:r>
      <w:r>
        <w:rPr>
          <w:spacing w:val="40"/>
          <w:sz w:val="20"/>
        </w:rPr>
        <w:t> </w:t>
      </w:r>
      <w:r>
        <w:rPr>
          <w:sz w:val="20"/>
        </w:rPr>
        <w:t>terminated:</w:t>
      </w:r>
      <w:r>
        <w:rPr>
          <w:spacing w:val="40"/>
          <w:sz w:val="20"/>
        </w:rPr>
        <w:t> </w:t>
      </w:r>
      <w:r>
        <w:rPr>
          <w:rFonts w:ascii="Arial" w:hAnsi="Arial"/>
          <w:i/>
          <w:sz w:val="20"/>
        </w:rPr>
        <w:t>Process</w:t>
      </w:r>
      <w:r>
        <w:rPr>
          <w:rFonts w:ascii="Arial" w:hAnsi="Arial"/>
          <w:i/>
          <w:spacing w:val="40"/>
          <w:sz w:val="20"/>
        </w:rPr>
        <w:t> </w:t>
      </w:r>
      <w:r>
        <w:rPr>
          <w:rFonts w:ascii="Arial" w:hAnsi="Arial"/>
          <w:i/>
          <w:sz w:val="20"/>
        </w:rPr>
        <w:t>Components</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Kason Kek-Gardner Ltd [2016] EWHC 2198 (Ch) </w:t>
      </w:r>
      <w:r>
        <w:rPr>
          <w:sz w:val="20"/>
        </w:rPr>
        <w:t>at [136], apparently cross referring to ibid. at [128].</w:t>
      </w:r>
    </w:p>
    <w:p>
      <w:pPr>
        <w:spacing w:after="0" w:line="235" w:lineRule="auto"/>
        <w:jc w:val="both"/>
        <w:rPr>
          <w:sz w:val="20"/>
        </w:rPr>
        <w:sectPr>
          <w:type w:val="continuous"/>
          <w:pgSz w:w="11900" w:h="16840"/>
          <w:pgMar w:header="971" w:footer="0" w:top="3760" w:bottom="280" w:left="1275" w:right="1275"/>
          <w:cols w:num="2" w:equalWidth="0">
            <w:col w:w="478" w:space="63"/>
            <w:col w:w="8809"/>
          </w:cols>
        </w:sectPr>
      </w:pPr>
    </w:p>
    <w:p>
      <w:pPr>
        <w:pStyle w:val="BodyText"/>
        <w:spacing w:before="5"/>
      </w:pPr>
    </w:p>
    <w:p>
      <w:pPr>
        <w:spacing w:line="235" w:lineRule="auto" w:before="0"/>
        <w:ind w:left="705" w:right="167" w:hanging="541"/>
        <w:jc w:val="both"/>
        <w:rPr>
          <w:sz w:val="20"/>
        </w:rPr>
      </w:pPr>
      <w:bookmarkStart w:name="_bookmark1300" w:id="1302"/>
      <w:bookmarkEnd w:id="1302"/>
      <w:r>
        <w:rPr/>
      </w:r>
      <w:hyperlink w:history="true" w:anchor="_bookmark1063">
        <w:r>
          <w:rPr>
            <w:color w:val="005DA1"/>
            <w:position w:val="5"/>
            <w:sz w:val="14"/>
            <w:u w:val="single" w:color="005DA1"/>
          </w:rPr>
          <w:t>673</w:t>
        </w:r>
      </w:hyperlink>
      <w:r>
        <w:rPr>
          <w:position w:val="5"/>
          <w:sz w:val="14"/>
        </w:rPr>
        <w:t>.</w:t>
      </w:r>
      <w:r>
        <w:rPr>
          <w:spacing w:val="80"/>
          <w:position w:val="5"/>
          <w:sz w:val="14"/>
        </w:rPr>
        <w:t>  </w:t>
      </w:r>
      <w:r>
        <w:rPr>
          <w:rFonts w:ascii="Arial"/>
          <w:i/>
          <w:sz w:val="20"/>
        </w:rPr>
        <w:t>Revenue and Customs Commissioners v Benchdollar Limited [2009] EWHC 1310 (Ch), [2010]</w:t>
      </w:r>
      <w:r>
        <w:rPr>
          <w:rFonts w:ascii="Arial"/>
          <w:i/>
          <w:spacing w:val="80"/>
          <w:sz w:val="20"/>
        </w:rPr>
        <w:t> </w:t>
      </w:r>
      <w:r>
        <w:rPr>
          <w:rFonts w:ascii="Arial"/>
          <w:i/>
          <w:sz w:val="20"/>
        </w:rPr>
        <w:t>1</w:t>
      </w:r>
      <w:r>
        <w:rPr>
          <w:rFonts w:ascii="Arial"/>
          <w:i/>
          <w:spacing w:val="-1"/>
          <w:sz w:val="20"/>
        </w:rPr>
        <w:t> </w:t>
      </w:r>
      <w:r>
        <w:rPr>
          <w:rFonts w:ascii="Arial"/>
          <w:i/>
          <w:sz w:val="20"/>
        </w:rPr>
        <w:t>All</w:t>
      </w:r>
      <w:r>
        <w:rPr>
          <w:rFonts w:ascii="Arial"/>
          <w:i/>
          <w:spacing w:val="-1"/>
          <w:sz w:val="20"/>
        </w:rPr>
        <w:t> </w:t>
      </w:r>
      <w:r>
        <w:rPr>
          <w:rFonts w:ascii="Arial"/>
          <w:i/>
          <w:sz w:val="20"/>
        </w:rPr>
        <w:t>E.R.</w:t>
      </w:r>
      <w:r>
        <w:rPr>
          <w:rFonts w:ascii="Arial"/>
          <w:i/>
          <w:spacing w:val="-1"/>
          <w:sz w:val="20"/>
        </w:rPr>
        <w:t> </w:t>
      </w:r>
      <w:r>
        <w:rPr>
          <w:rFonts w:ascii="Arial"/>
          <w:i/>
          <w:sz w:val="20"/>
        </w:rPr>
        <w:t>174</w:t>
      </w:r>
      <w:r>
        <w:rPr>
          <w:rFonts w:ascii="Arial"/>
          <w:i/>
          <w:spacing w:val="-1"/>
          <w:sz w:val="20"/>
        </w:rPr>
        <w:t> </w:t>
      </w:r>
      <w:r>
        <w:rPr>
          <w:sz w:val="20"/>
        </w:rPr>
        <w:t>at</w:t>
      </w:r>
      <w:r>
        <w:rPr>
          <w:spacing w:val="-1"/>
          <w:sz w:val="20"/>
        </w:rPr>
        <w:t> </w:t>
      </w:r>
      <w:r>
        <w:rPr>
          <w:sz w:val="20"/>
        </w:rPr>
        <w:t>[60],</w:t>
      </w:r>
      <w:r>
        <w:rPr>
          <w:spacing w:val="-1"/>
          <w:sz w:val="20"/>
        </w:rPr>
        <w:t> </w:t>
      </w:r>
      <w:r>
        <w:rPr>
          <w:sz w:val="20"/>
        </w:rPr>
        <w:t>per</w:t>
      </w:r>
      <w:r>
        <w:rPr>
          <w:spacing w:val="-1"/>
          <w:sz w:val="20"/>
        </w:rPr>
        <w:t> </w:t>
      </w:r>
      <w:r>
        <w:rPr>
          <w:sz w:val="20"/>
        </w:rPr>
        <w:t>Briggs</w:t>
      </w:r>
      <w:r>
        <w:rPr>
          <w:spacing w:val="-1"/>
          <w:sz w:val="20"/>
        </w:rPr>
        <w:t> </w:t>
      </w:r>
      <w:r>
        <w:rPr>
          <w:sz w:val="20"/>
        </w:rPr>
        <w:t>J.</w:t>
      </w:r>
      <w:r>
        <w:rPr>
          <w:spacing w:val="-1"/>
          <w:sz w:val="20"/>
        </w:rPr>
        <w:t> </w:t>
      </w:r>
      <w:r>
        <w:rPr>
          <w:sz w:val="20"/>
        </w:rPr>
        <w:t>For</w:t>
      </w:r>
      <w:r>
        <w:rPr>
          <w:spacing w:val="-1"/>
          <w:sz w:val="20"/>
        </w:rPr>
        <w:t> </w:t>
      </w:r>
      <w:r>
        <w:rPr>
          <w:sz w:val="20"/>
        </w:rPr>
        <w:t>the</w:t>
      </w:r>
      <w:r>
        <w:rPr>
          <w:spacing w:val="-1"/>
          <w:sz w:val="20"/>
        </w:rPr>
        <w:t> </w:t>
      </w:r>
      <w:r>
        <w:rPr>
          <w:sz w:val="20"/>
        </w:rPr>
        <w:t>nature</w:t>
      </w:r>
      <w:r>
        <w:rPr>
          <w:spacing w:val="-1"/>
          <w:sz w:val="20"/>
        </w:rPr>
        <w:t> </w:t>
      </w:r>
      <w:r>
        <w:rPr>
          <w:sz w:val="20"/>
        </w:rPr>
        <w:t>of</w:t>
      </w:r>
      <w:r>
        <w:rPr>
          <w:spacing w:val="-1"/>
          <w:sz w:val="20"/>
        </w:rPr>
        <w:t> </w:t>
      </w:r>
      <w:r>
        <w:rPr>
          <w:sz w:val="20"/>
        </w:rPr>
        <w:t>the</w:t>
      </w:r>
      <w:r>
        <w:rPr>
          <w:spacing w:val="-1"/>
          <w:sz w:val="20"/>
        </w:rPr>
        <w:t> </w:t>
      </w:r>
      <w:r>
        <w:rPr>
          <w:sz w:val="20"/>
        </w:rPr>
        <w:t>falsity</w:t>
      </w:r>
      <w:r>
        <w:rPr>
          <w:spacing w:val="-1"/>
          <w:sz w:val="20"/>
        </w:rPr>
        <w:t> </w:t>
      </w:r>
      <w:r>
        <w:rPr>
          <w:sz w:val="20"/>
        </w:rPr>
        <w:t>of</w:t>
      </w:r>
      <w:r>
        <w:rPr>
          <w:spacing w:val="-1"/>
          <w:sz w:val="20"/>
        </w:rPr>
        <w:t> </w:t>
      </w:r>
      <w:r>
        <w:rPr>
          <w:sz w:val="20"/>
        </w:rPr>
        <w:t>the</w:t>
      </w:r>
      <w:r>
        <w:rPr>
          <w:spacing w:val="-1"/>
          <w:sz w:val="20"/>
        </w:rPr>
        <w:t> </w:t>
      </w:r>
      <w:r>
        <w:rPr>
          <w:sz w:val="20"/>
        </w:rPr>
        <w:t>common</w:t>
      </w:r>
      <w:r>
        <w:rPr>
          <w:spacing w:val="-1"/>
          <w:sz w:val="20"/>
        </w:rPr>
        <w:t> </w:t>
      </w:r>
      <w:r>
        <w:rPr>
          <w:sz w:val="20"/>
        </w:rPr>
        <w:t>assumption,</w:t>
      </w:r>
      <w:r>
        <w:rPr>
          <w:spacing w:val="-1"/>
          <w:sz w:val="20"/>
        </w:rPr>
        <w:t> </w:t>
      </w:r>
      <w:r>
        <w:rPr>
          <w:sz w:val="20"/>
        </w:rPr>
        <w:t>see, paras 2-170 and 4-036 above.</w:t>
      </w:r>
    </w:p>
    <w:p>
      <w:pPr>
        <w:pStyle w:val="BodyText"/>
        <w:spacing w:before="5"/>
      </w:pPr>
    </w:p>
    <w:p>
      <w:pPr>
        <w:tabs>
          <w:tab w:pos="705" w:val="left" w:leader="none"/>
        </w:tabs>
        <w:spacing w:before="0"/>
        <w:ind w:left="165" w:right="0" w:firstLine="0"/>
        <w:jc w:val="left"/>
        <w:rPr>
          <w:sz w:val="20"/>
        </w:rPr>
      </w:pPr>
      <w:bookmarkStart w:name="_bookmark1301" w:id="1303"/>
      <w:bookmarkEnd w:id="1303"/>
      <w:r>
        <w:rPr/>
      </w:r>
      <w:hyperlink w:history="true" w:anchor="_bookmark1064">
        <w:r>
          <w:rPr>
            <w:color w:val="005DA1"/>
            <w:spacing w:val="-4"/>
            <w:position w:val="5"/>
            <w:sz w:val="14"/>
            <w:u w:val="single" w:color="005DA1"/>
          </w:rPr>
          <w:t>674</w:t>
        </w:r>
      </w:hyperlink>
      <w:r>
        <w:rPr>
          <w:spacing w:val="-4"/>
          <w:position w:val="5"/>
          <w:sz w:val="14"/>
        </w:rPr>
        <w:t>.</w:t>
      </w:r>
      <w:r>
        <w:rPr>
          <w:position w:val="5"/>
          <w:sz w:val="14"/>
        </w:rPr>
        <w:tab/>
      </w:r>
      <w:r>
        <w:rPr>
          <w:rFonts w:ascii="Arial"/>
          <w:i/>
          <w:sz w:val="20"/>
        </w:rPr>
        <w:t>[2009] EWHC 1310 (Ch)</w:t>
      </w:r>
      <w:r>
        <w:rPr>
          <w:rFonts w:ascii="Arial"/>
          <w:i/>
          <w:spacing w:val="-1"/>
          <w:sz w:val="20"/>
        </w:rPr>
        <w:t> </w:t>
      </w:r>
      <w:r>
        <w:rPr>
          <w:sz w:val="20"/>
        </w:rPr>
        <w:t>at </w:t>
      </w:r>
      <w:r>
        <w:rPr>
          <w:spacing w:val="-2"/>
          <w:sz w:val="20"/>
        </w:rPr>
        <w:t>[60].</w:t>
      </w:r>
    </w:p>
    <w:p>
      <w:pPr>
        <w:pStyle w:val="BodyText"/>
        <w:spacing w:before="5"/>
      </w:pPr>
    </w:p>
    <w:p>
      <w:pPr>
        <w:tabs>
          <w:tab w:pos="705" w:val="left" w:leader="none"/>
        </w:tabs>
        <w:spacing w:before="0"/>
        <w:ind w:left="165" w:right="0" w:firstLine="0"/>
        <w:jc w:val="left"/>
        <w:rPr>
          <w:sz w:val="20"/>
        </w:rPr>
      </w:pPr>
      <w:bookmarkStart w:name="_bookmark1302" w:id="1304"/>
      <w:bookmarkEnd w:id="1304"/>
      <w:r>
        <w:rPr/>
      </w:r>
      <w:hyperlink w:history="true" w:anchor="_bookmark1064">
        <w:r>
          <w:rPr>
            <w:color w:val="005DA1"/>
            <w:spacing w:val="-4"/>
            <w:position w:val="5"/>
            <w:sz w:val="14"/>
            <w:u w:val="single" w:color="005DA1"/>
          </w:rPr>
          <w:t>675</w:t>
        </w:r>
      </w:hyperlink>
      <w:r>
        <w:rPr>
          <w:spacing w:val="-4"/>
          <w:position w:val="5"/>
          <w:sz w:val="14"/>
        </w:rPr>
        <w:t>.</w:t>
      </w:r>
      <w:r>
        <w:rPr>
          <w:position w:val="5"/>
          <w:sz w:val="14"/>
        </w:rPr>
        <w:tab/>
      </w:r>
      <w:r>
        <w:rPr>
          <w:sz w:val="20"/>
        </w:rPr>
        <w:t>At </w:t>
      </w:r>
      <w:r>
        <w:rPr>
          <w:spacing w:val="-2"/>
          <w:sz w:val="20"/>
        </w:rPr>
        <w:t>[61].</w:t>
      </w:r>
    </w:p>
    <w:p>
      <w:pPr>
        <w:pStyle w:val="BodyText"/>
        <w:spacing w:before="5"/>
      </w:pPr>
    </w:p>
    <w:p>
      <w:pPr>
        <w:tabs>
          <w:tab w:pos="705" w:val="left" w:leader="none"/>
        </w:tabs>
        <w:spacing w:before="0"/>
        <w:ind w:left="165" w:right="0" w:firstLine="0"/>
        <w:jc w:val="left"/>
        <w:rPr>
          <w:sz w:val="20"/>
        </w:rPr>
      </w:pPr>
      <w:bookmarkStart w:name="_bookmark1303" w:id="1305"/>
      <w:bookmarkEnd w:id="1305"/>
      <w:r>
        <w:rPr/>
      </w:r>
      <w:hyperlink w:history="true" w:anchor="_bookmark1065">
        <w:r>
          <w:rPr>
            <w:color w:val="005DA1"/>
            <w:spacing w:val="-4"/>
            <w:position w:val="5"/>
            <w:sz w:val="14"/>
            <w:u w:val="single" w:color="005DA1"/>
          </w:rPr>
          <w:t>676</w:t>
        </w:r>
      </w:hyperlink>
      <w:r>
        <w:rPr>
          <w:spacing w:val="-4"/>
          <w:position w:val="5"/>
          <w:sz w:val="14"/>
        </w:rPr>
        <w:t>.</w:t>
      </w:r>
      <w:r>
        <w:rPr>
          <w:position w:val="5"/>
          <w:sz w:val="14"/>
        </w:rPr>
        <w:tab/>
      </w:r>
      <w:r>
        <w:rPr>
          <w:sz w:val="20"/>
        </w:rPr>
        <w:t>At </w:t>
      </w:r>
      <w:r>
        <w:rPr>
          <w:spacing w:val="-2"/>
          <w:sz w:val="20"/>
        </w:rPr>
        <w:t>[61].</w:t>
      </w:r>
    </w:p>
    <w:p>
      <w:pPr>
        <w:pStyle w:val="BodyText"/>
        <w:spacing w:before="5"/>
      </w:pPr>
    </w:p>
    <w:p>
      <w:pPr>
        <w:tabs>
          <w:tab w:pos="705" w:val="left" w:leader="none"/>
        </w:tabs>
        <w:spacing w:before="0"/>
        <w:ind w:left="165" w:right="0" w:firstLine="0"/>
        <w:jc w:val="left"/>
        <w:rPr>
          <w:sz w:val="20"/>
        </w:rPr>
      </w:pPr>
      <w:bookmarkStart w:name="_bookmark1304" w:id="1306"/>
      <w:bookmarkEnd w:id="1306"/>
      <w:r>
        <w:rPr/>
      </w:r>
      <w:hyperlink w:history="true" w:anchor="_bookmark1066">
        <w:r>
          <w:rPr>
            <w:color w:val="005DA1"/>
            <w:spacing w:val="-4"/>
            <w:position w:val="5"/>
            <w:sz w:val="14"/>
            <w:u w:val="single" w:color="005DA1"/>
          </w:rPr>
          <w:t>677</w:t>
        </w:r>
      </w:hyperlink>
      <w:r>
        <w:rPr>
          <w:spacing w:val="-4"/>
          <w:position w:val="5"/>
          <w:sz w:val="14"/>
        </w:rPr>
        <w:t>.</w:t>
      </w:r>
      <w:r>
        <w:rPr>
          <w:position w:val="5"/>
          <w:sz w:val="14"/>
        </w:rPr>
        <w:tab/>
      </w:r>
      <w:r>
        <w:rPr>
          <w:sz w:val="20"/>
        </w:rPr>
        <w:t>At </w:t>
      </w:r>
      <w:r>
        <w:rPr>
          <w:spacing w:val="-2"/>
          <w:sz w:val="20"/>
        </w:rPr>
        <w:t>[85].</w:t>
      </w:r>
    </w:p>
    <w:p>
      <w:pPr>
        <w:pStyle w:val="BodyText"/>
        <w:spacing w:before="5"/>
      </w:pPr>
    </w:p>
    <w:p>
      <w:pPr>
        <w:tabs>
          <w:tab w:pos="705" w:val="left" w:leader="none"/>
        </w:tabs>
        <w:spacing w:before="1"/>
        <w:ind w:left="165" w:right="0" w:firstLine="0"/>
        <w:jc w:val="left"/>
        <w:rPr>
          <w:sz w:val="20"/>
        </w:rPr>
      </w:pPr>
      <w:bookmarkStart w:name="_bookmark1305" w:id="1307"/>
      <w:bookmarkEnd w:id="1307"/>
      <w:r>
        <w:rPr/>
      </w:r>
      <w:hyperlink w:history="true" w:anchor="_bookmark1067">
        <w:r>
          <w:rPr>
            <w:color w:val="005DA1"/>
            <w:spacing w:val="-4"/>
            <w:position w:val="5"/>
            <w:sz w:val="14"/>
            <w:u w:val="single" w:color="005DA1"/>
          </w:rPr>
          <w:t>678</w:t>
        </w:r>
      </w:hyperlink>
      <w:r>
        <w:rPr>
          <w:spacing w:val="-4"/>
          <w:position w:val="5"/>
          <w:sz w:val="14"/>
        </w:rPr>
        <w:t>.</w:t>
      </w:r>
      <w:r>
        <w:rPr>
          <w:position w:val="5"/>
          <w:sz w:val="14"/>
        </w:rPr>
        <w:tab/>
      </w:r>
      <w:r>
        <w:rPr>
          <w:sz w:val="20"/>
        </w:rPr>
        <w:t>At </w:t>
      </w:r>
      <w:r>
        <w:rPr>
          <w:spacing w:val="-2"/>
          <w:sz w:val="20"/>
        </w:rPr>
        <w:t>[65].</w:t>
      </w:r>
    </w:p>
    <w:p>
      <w:pPr>
        <w:pStyle w:val="BodyText"/>
        <w:spacing w:before="4"/>
      </w:pPr>
    </w:p>
    <w:p>
      <w:pPr>
        <w:tabs>
          <w:tab w:pos="705" w:val="left" w:leader="none"/>
        </w:tabs>
        <w:spacing w:before="1"/>
        <w:ind w:left="165" w:right="0" w:firstLine="0"/>
        <w:jc w:val="left"/>
        <w:rPr>
          <w:sz w:val="20"/>
        </w:rPr>
      </w:pPr>
      <w:bookmarkStart w:name="_bookmark1306" w:id="1308"/>
      <w:bookmarkEnd w:id="1308"/>
      <w:r>
        <w:rPr/>
      </w:r>
      <w:hyperlink w:history="true" w:anchor="_bookmark1068">
        <w:r>
          <w:rPr>
            <w:color w:val="005DA1"/>
            <w:spacing w:val="-4"/>
            <w:position w:val="5"/>
            <w:sz w:val="14"/>
            <w:u w:val="single" w:color="005DA1"/>
          </w:rPr>
          <w:t>679</w:t>
        </w:r>
      </w:hyperlink>
      <w:r>
        <w:rPr>
          <w:spacing w:val="-4"/>
          <w:position w:val="5"/>
          <w:sz w:val="14"/>
        </w:rPr>
        <w:t>.</w:t>
      </w:r>
      <w:r>
        <w:rPr>
          <w:position w:val="5"/>
          <w:sz w:val="14"/>
        </w:rPr>
        <w:tab/>
      </w:r>
      <w:r>
        <w:rPr>
          <w:rFonts w:ascii="Arial"/>
          <w:i/>
          <w:sz w:val="20"/>
        </w:rPr>
        <w:t>Combe</w:t>
      </w:r>
      <w:r>
        <w:rPr>
          <w:rFonts w:ascii="Arial"/>
          <w:i/>
          <w:spacing w:val="-1"/>
          <w:sz w:val="20"/>
        </w:rPr>
        <w:t> </w:t>
      </w:r>
      <w:r>
        <w:rPr>
          <w:rFonts w:ascii="Arial"/>
          <w:i/>
          <w:sz w:val="20"/>
        </w:rPr>
        <w:t>v Combe [1951] 2 K.B. 215, 219</w:t>
      </w:r>
      <w:r>
        <w:rPr>
          <w:sz w:val="20"/>
        </w:rPr>
        <w:t>; above, para.4-</w:t>
      </w:r>
      <w:r>
        <w:rPr>
          <w:spacing w:val="-4"/>
          <w:sz w:val="20"/>
        </w:rPr>
        <w:t>099.</w:t>
      </w:r>
    </w:p>
    <w:p>
      <w:pPr>
        <w:pStyle w:val="BodyText"/>
        <w:spacing w:before="4"/>
      </w:pPr>
    </w:p>
    <w:p>
      <w:pPr>
        <w:tabs>
          <w:tab w:pos="705" w:val="left" w:leader="none"/>
        </w:tabs>
        <w:spacing w:before="1"/>
        <w:ind w:left="165" w:right="0" w:firstLine="0"/>
        <w:jc w:val="left"/>
        <w:rPr>
          <w:sz w:val="20"/>
        </w:rPr>
      </w:pPr>
      <w:bookmarkStart w:name="_bookmark1307" w:id="1309"/>
      <w:bookmarkEnd w:id="1309"/>
      <w:r>
        <w:rPr/>
      </w:r>
      <w:hyperlink w:history="true" w:anchor="_bookmark1068">
        <w:r>
          <w:rPr>
            <w:color w:val="005DA1"/>
            <w:spacing w:val="-4"/>
            <w:position w:val="5"/>
            <w:sz w:val="14"/>
            <w:u w:val="single" w:color="005DA1"/>
          </w:rPr>
          <w:t>680</w:t>
        </w:r>
      </w:hyperlink>
      <w:r>
        <w:rPr>
          <w:spacing w:val="-4"/>
          <w:position w:val="5"/>
          <w:sz w:val="14"/>
        </w:rPr>
        <w:t>.</w:t>
      </w:r>
      <w:r>
        <w:rPr>
          <w:position w:val="5"/>
          <w:sz w:val="14"/>
        </w:rPr>
        <w:tab/>
      </w:r>
      <w:r>
        <w:rPr>
          <w:sz w:val="20"/>
        </w:rPr>
        <w:t>Below, para.7-</w:t>
      </w:r>
      <w:r>
        <w:rPr>
          <w:spacing w:val="-4"/>
          <w:sz w:val="20"/>
        </w:rPr>
        <w:t>103.</w:t>
      </w:r>
    </w:p>
    <w:p>
      <w:pPr>
        <w:pStyle w:val="BodyText"/>
        <w:spacing w:before="4"/>
      </w:pPr>
    </w:p>
    <w:p>
      <w:pPr>
        <w:tabs>
          <w:tab w:pos="705" w:val="left" w:leader="none"/>
        </w:tabs>
        <w:spacing w:before="1"/>
        <w:ind w:left="165" w:right="0" w:firstLine="0"/>
        <w:jc w:val="left"/>
        <w:rPr>
          <w:sz w:val="20"/>
        </w:rPr>
      </w:pPr>
      <w:bookmarkStart w:name="_bookmark1308" w:id="1310"/>
      <w:bookmarkEnd w:id="1310"/>
      <w:r>
        <w:rPr/>
      </w:r>
      <w:hyperlink w:history="true" w:anchor="_bookmark1069">
        <w:r>
          <w:rPr>
            <w:color w:val="005DA1"/>
            <w:spacing w:val="-4"/>
            <w:position w:val="5"/>
            <w:sz w:val="14"/>
            <w:u w:val="single" w:color="005DA1"/>
          </w:rPr>
          <w:t>681</w:t>
        </w:r>
      </w:hyperlink>
      <w:r>
        <w:rPr>
          <w:spacing w:val="-4"/>
          <w:position w:val="5"/>
          <w:sz w:val="14"/>
        </w:rPr>
        <w:t>.</w:t>
      </w:r>
      <w:r>
        <w:rPr>
          <w:position w:val="5"/>
          <w:sz w:val="14"/>
        </w:rPr>
        <w:tab/>
      </w:r>
      <w:r>
        <w:rPr>
          <w:rFonts w:ascii="Arial"/>
          <w:i/>
          <w:sz w:val="20"/>
        </w:rPr>
        <w:t>[1982]</w:t>
      </w:r>
      <w:r>
        <w:rPr>
          <w:rFonts w:ascii="Arial"/>
          <w:i/>
          <w:spacing w:val="-1"/>
          <w:sz w:val="20"/>
        </w:rPr>
        <w:t> </w:t>
      </w:r>
      <w:r>
        <w:rPr>
          <w:rFonts w:ascii="Arial"/>
          <w:i/>
          <w:sz w:val="20"/>
        </w:rPr>
        <w:t>Q.B. 84</w:t>
      </w:r>
      <w:r>
        <w:rPr>
          <w:sz w:val="20"/>
        </w:rPr>
        <w:t>; above, para.4-</w:t>
      </w:r>
      <w:r>
        <w:rPr>
          <w:spacing w:val="-4"/>
          <w:sz w:val="20"/>
        </w:rPr>
        <w:t>109.</w:t>
      </w:r>
    </w:p>
    <w:p>
      <w:pPr>
        <w:pStyle w:val="BodyText"/>
        <w:spacing w:before="4"/>
      </w:pPr>
    </w:p>
    <w:p>
      <w:pPr>
        <w:tabs>
          <w:tab w:pos="705" w:val="left" w:leader="none"/>
        </w:tabs>
        <w:spacing w:before="1"/>
        <w:ind w:left="165" w:right="0" w:firstLine="0"/>
        <w:jc w:val="left"/>
        <w:rPr>
          <w:sz w:val="20"/>
        </w:rPr>
      </w:pPr>
      <w:bookmarkStart w:name="_bookmark1309" w:id="1311"/>
      <w:bookmarkEnd w:id="1311"/>
      <w:r>
        <w:rPr/>
      </w:r>
      <w:hyperlink w:history="true" w:anchor="_bookmark1070">
        <w:r>
          <w:rPr>
            <w:color w:val="005DA1"/>
            <w:spacing w:val="-4"/>
            <w:position w:val="5"/>
            <w:sz w:val="14"/>
            <w:u w:val="single" w:color="005DA1"/>
          </w:rPr>
          <w:t>682</w:t>
        </w:r>
      </w:hyperlink>
      <w:r>
        <w:rPr>
          <w:spacing w:val="-4"/>
          <w:position w:val="5"/>
          <w:sz w:val="14"/>
        </w:rPr>
        <w:t>.</w:t>
      </w:r>
      <w:r>
        <w:rPr>
          <w:position w:val="5"/>
          <w:sz w:val="14"/>
        </w:rPr>
        <w:tab/>
      </w:r>
      <w:r>
        <w:rPr>
          <w:rFonts w:ascii="Arial"/>
          <w:i/>
          <w:sz w:val="20"/>
        </w:rPr>
        <w:t>[1982]</w:t>
      </w:r>
      <w:r>
        <w:rPr>
          <w:rFonts w:ascii="Arial"/>
          <w:i/>
          <w:spacing w:val="-2"/>
          <w:sz w:val="20"/>
        </w:rPr>
        <w:t> </w:t>
      </w:r>
      <w:r>
        <w:rPr>
          <w:rFonts w:ascii="Arial"/>
          <w:i/>
          <w:sz w:val="20"/>
        </w:rPr>
        <w:t>Q.B. 84, </w:t>
      </w:r>
      <w:r>
        <w:rPr>
          <w:rFonts w:ascii="Arial"/>
          <w:i/>
          <w:spacing w:val="-4"/>
          <w:sz w:val="20"/>
        </w:rPr>
        <w:t>126</w:t>
      </w:r>
      <w:r>
        <w:rPr>
          <w:spacing w:val="-4"/>
          <w:sz w:val="20"/>
        </w:rPr>
        <w:t>.</w:t>
      </w:r>
    </w:p>
    <w:p>
      <w:pPr>
        <w:pStyle w:val="BodyText"/>
        <w:spacing w:before="8"/>
      </w:pPr>
    </w:p>
    <w:p>
      <w:pPr>
        <w:spacing w:line="235" w:lineRule="auto" w:before="0"/>
        <w:ind w:left="705" w:right="167" w:hanging="541"/>
        <w:jc w:val="both"/>
        <w:rPr>
          <w:sz w:val="20"/>
        </w:rPr>
      </w:pPr>
      <w:bookmarkStart w:name="_bookmark1310" w:id="1312"/>
      <w:bookmarkEnd w:id="1312"/>
      <w:r>
        <w:rPr/>
      </w:r>
      <w:hyperlink w:history="true" w:anchor="_bookmark1071">
        <w:r>
          <w:rPr>
            <w:color w:val="005DA1"/>
            <w:position w:val="5"/>
            <w:sz w:val="14"/>
            <w:u w:val="single" w:color="005DA1"/>
          </w:rPr>
          <w:t>683</w:t>
        </w:r>
      </w:hyperlink>
      <w:r>
        <w:rPr>
          <w:position w:val="5"/>
          <w:sz w:val="14"/>
        </w:rPr>
        <w:t>.</w:t>
      </w:r>
      <w:r>
        <w:rPr>
          <w:spacing w:val="40"/>
          <w:position w:val="5"/>
          <w:sz w:val="14"/>
        </w:rPr>
        <w:t>  </w:t>
      </w:r>
      <w:r>
        <w:rPr>
          <w:sz w:val="20"/>
        </w:rPr>
        <w:t>ibid. at 132; cf. </w:t>
      </w:r>
      <w:r>
        <w:rPr>
          <w:rFonts w:ascii="Arial" w:hAnsi="Arial"/>
          <w:i/>
          <w:sz w:val="20"/>
        </w:rPr>
        <w:t>Dumford Trading A-G v OAO Atlantrybflot [2005] EWCA Civ 24, [2005] 1 Lloyd’s Rep. 289 </w:t>
      </w:r>
      <w:r>
        <w:rPr>
          <w:sz w:val="20"/>
        </w:rPr>
        <w:t>at [39], where Rix L.J. referred to Brandon L.J.’s view in the</w:t>
      </w:r>
      <w:r>
        <w:rPr>
          <w:spacing w:val="-1"/>
          <w:sz w:val="20"/>
        </w:rPr>
        <w:t> </w:t>
      </w:r>
      <w:r>
        <w:rPr>
          <w:rFonts w:ascii="Arial" w:hAnsi="Arial"/>
          <w:i/>
          <w:sz w:val="20"/>
        </w:rPr>
        <w:t>Amalgamated Investment case [1982] Q.B. 84, 131–132 </w:t>
      </w:r>
      <w:r>
        <w:rPr>
          <w:sz w:val="20"/>
        </w:rPr>
        <w:t>as the likely answer to the argument that the estoppel was </w:t>
      </w:r>
      <w:r>
        <w:rPr>
          <w:sz w:val="20"/>
        </w:rPr>
        <w:t>being used “as a sword rather than a shield.” In </w:t>
      </w:r>
      <w:r>
        <w:rPr>
          <w:rFonts w:ascii="Arial" w:hAnsi="Arial"/>
          <w:i/>
          <w:sz w:val="20"/>
        </w:rPr>
        <w:t>Baird Textile Holdings Ltd v Marks &amp; Spencer plc [2001] EWHC 274, [2002] 1 All E.R. (Comm) 737 </w:t>
      </w:r>
      <w:r>
        <w:rPr>
          <w:sz w:val="20"/>
        </w:rPr>
        <w:t>at [88] Mance L.J. said that he “would prefer” the view of Brandon L.J. to that of Lord Denning M.R. The alleged estoppel in the </w:t>
      </w:r>
      <w:r>
        <w:rPr>
          <w:rFonts w:ascii="Arial" w:hAnsi="Arial"/>
          <w:i/>
          <w:sz w:val="20"/>
        </w:rPr>
        <w:t>Baird </w:t>
      </w:r>
      <w:r>
        <w:rPr>
          <w:sz w:val="20"/>
        </w:rPr>
        <w:t>case was</w:t>
      </w:r>
      <w:r>
        <w:rPr>
          <w:spacing w:val="-2"/>
          <w:sz w:val="20"/>
        </w:rPr>
        <w:t> </w:t>
      </w:r>
      <w:r>
        <w:rPr>
          <w:sz w:val="20"/>
        </w:rPr>
        <w:t>regarded</w:t>
      </w:r>
      <w:r>
        <w:rPr>
          <w:spacing w:val="-2"/>
          <w:sz w:val="20"/>
        </w:rPr>
        <w:t> </w:t>
      </w:r>
      <w:r>
        <w:rPr>
          <w:sz w:val="20"/>
        </w:rPr>
        <w:t>at</w:t>
      </w:r>
      <w:r>
        <w:rPr>
          <w:spacing w:val="-2"/>
          <w:sz w:val="20"/>
        </w:rPr>
        <w:t> </w:t>
      </w:r>
      <w:r>
        <w:rPr>
          <w:sz w:val="20"/>
        </w:rPr>
        <w:t>first</w:t>
      </w:r>
      <w:r>
        <w:rPr>
          <w:spacing w:val="-2"/>
          <w:sz w:val="20"/>
        </w:rPr>
        <w:t> </w:t>
      </w:r>
      <w:r>
        <w:rPr>
          <w:sz w:val="20"/>
        </w:rPr>
        <w:t>instance</w:t>
      </w:r>
      <w:r>
        <w:rPr>
          <w:spacing w:val="-2"/>
          <w:sz w:val="20"/>
        </w:rPr>
        <w:t> </w:t>
      </w:r>
      <w:r>
        <w:rPr>
          <w:sz w:val="20"/>
        </w:rPr>
        <w:t>as</w:t>
      </w:r>
      <w:r>
        <w:rPr>
          <w:spacing w:val="-2"/>
          <w:sz w:val="20"/>
        </w:rPr>
        <w:t> </w:t>
      </w:r>
      <w:r>
        <w:rPr>
          <w:sz w:val="20"/>
        </w:rPr>
        <w:t>one</w:t>
      </w:r>
      <w:r>
        <w:rPr>
          <w:spacing w:val="-2"/>
          <w:sz w:val="20"/>
        </w:rPr>
        <w:t> </w:t>
      </w:r>
      <w:r>
        <w:rPr>
          <w:sz w:val="20"/>
        </w:rPr>
        <w:t>“by</w:t>
      </w:r>
      <w:r>
        <w:rPr>
          <w:spacing w:val="-2"/>
          <w:sz w:val="20"/>
        </w:rPr>
        <w:t> </w:t>
      </w:r>
      <w:r>
        <w:rPr>
          <w:sz w:val="20"/>
        </w:rPr>
        <w:t>convention”</w:t>
      </w:r>
      <w:r>
        <w:rPr>
          <w:spacing w:val="-2"/>
          <w:sz w:val="20"/>
        </w:rPr>
        <w:t> </w:t>
      </w:r>
      <w:r>
        <w:rPr>
          <w:sz w:val="20"/>
        </w:rPr>
        <w:t>(at</w:t>
      </w:r>
      <w:r>
        <w:rPr>
          <w:spacing w:val="-2"/>
          <w:sz w:val="20"/>
        </w:rPr>
        <w:t> </w:t>
      </w:r>
      <w:r>
        <w:rPr>
          <w:sz w:val="20"/>
        </w:rPr>
        <w:t>[20])</w:t>
      </w:r>
      <w:r>
        <w:rPr>
          <w:spacing w:val="-2"/>
          <w:sz w:val="20"/>
        </w:rPr>
        <w:t> </w:t>
      </w:r>
      <w:r>
        <w:rPr>
          <w:sz w:val="20"/>
        </w:rPr>
        <w:t>but</w:t>
      </w:r>
      <w:r>
        <w:rPr>
          <w:spacing w:val="-2"/>
          <w:sz w:val="20"/>
        </w:rPr>
        <w:t> </w:t>
      </w:r>
      <w:r>
        <w:rPr>
          <w:sz w:val="20"/>
        </w:rPr>
        <w:t>it</w:t>
      </w:r>
      <w:r>
        <w:rPr>
          <w:spacing w:val="-2"/>
          <w:sz w:val="20"/>
        </w:rPr>
        <w:t> </w:t>
      </w:r>
      <w:r>
        <w:rPr>
          <w:sz w:val="20"/>
        </w:rPr>
        <w:t>is</w:t>
      </w:r>
      <w:r>
        <w:rPr>
          <w:spacing w:val="-2"/>
          <w:sz w:val="20"/>
        </w:rPr>
        <w:t> </w:t>
      </w:r>
      <w:r>
        <w:rPr>
          <w:sz w:val="20"/>
        </w:rPr>
        <w:t>far</w:t>
      </w:r>
      <w:r>
        <w:rPr>
          <w:spacing w:val="-2"/>
          <w:sz w:val="20"/>
        </w:rPr>
        <w:t> </w:t>
      </w:r>
      <w:r>
        <w:rPr>
          <w:sz w:val="20"/>
        </w:rPr>
        <w:t>from</w:t>
      </w:r>
      <w:r>
        <w:rPr>
          <w:spacing w:val="-2"/>
          <w:sz w:val="20"/>
        </w:rPr>
        <w:t> </w:t>
      </w:r>
      <w:r>
        <w:rPr>
          <w:sz w:val="20"/>
        </w:rPr>
        <w:t>clear</w:t>
      </w:r>
      <w:r>
        <w:rPr>
          <w:spacing w:val="-2"/>
          <w:sz w:val="20"/>
        </w:rPr>
        <w:t> </w:t>
      </w:r>
      <w:r>
        <w:rPr>
          <w:sz w:val="20"/>
        </w:rPr>
        <w:t>whether</w:t>
      </w:r>
      <w:r>
        <w:rPr>
          <w:spacing w:val="-2"/>
          <w:sz w:val="20"/>
        </w:rPr>
        <w:t> </w:t>
      </w:r>
      <w:r>
        <w:rPr>
          <w:sz w:val="20"/>
        </w:rPr>
        <w:t>the Court of Appeal so regarded it. In </w:t>
      </w:r>
      <w:r>
        <w:rPr>
          <w:rFonts w:ascii="Arial" w:hAnsi="Arial"/>
          <w:i/>
          <w:sz w:val="20"/>
        </w:rPr>
        <w:t>Mears Limited v Shoreline Housing Partnership Limited</w:t>
      </w:r>
      <w:r>
        <w:rPr>
          <w:rFonts w:ascii="Arial" w:hAnsi="Arial"/>
          <w:i/>
          <w:spacing w:val="40"/>
          <w:sz w:val="20"/>
        </w:rPr>
        <w:t> </w:t>
      </w:r>
      <w:r>
        <w:rPr>
          <w:rFonts w:ascii="Arial" w:hAnsi="Arial"/>
          <w:i/>
          <w:sz w:val="20"/>
        </w:rPr>
        <w:t>[2015]</w:t>
      </w:r>
      <w:r>
        <w:rPr>
          <w:rFonts w:ascii="Arial" w:hAnsi="Arial"/>
          <w:i/>
          <w:spacing w:val="11"/>
          <w:sz w:val="20"/>
        </w:rPr>
        <w:t> </w:t>
      </w:r>
      <w:r>
        <w:rPr>
          <w:rFonts w:ascii="Arial" w:hAnsi="Arial"/>
          <w:i/>
          <w:sz w:val="20"/>
        </w:rPr>
        <w:t>EWHC</w:t>
      </w:r>
      <w:r>
        <w:rPr>
          <w:rFonts w:ascii="Arial" w:hAnsi="Arial"/>
          <w:i/>
          <w:spacing w:val="13"/>
          <w:sz w:val="20"/>
        </w:rPr>
        <w:t> </w:t>
      </w:r>
      <w:r>
        <w:rPr>
          <w:rFonts w:ascii="Arial" w:hAnsi="Arial"/>
          <w:i/>
          <w:sz w:val="20"/>
        </w:rPr>
        <w:t>1396</w:t>
      </w:r>
      <w:r>
        <w:rPr>
          <w:rFonts w:ascii="Arial" w:hAnsi="Arial"/>
          <w:i/>
          <w:spacing w:val="13"/>
          <w:sz w:val="20"/>
        </w:rPr>
        <w:t> </w:t>
      </w:r>
      <w:r>
        <w:rPr>
          <w:rFonts w:ascii="Arial" w:hAnsi="Arial"/>
          <w:i/>
          <w:sz w:val="20"/>
        </w:rPr>
        <w:t>(TCC)</w:t>
      </w:r>
      <w:r>
        <w:rPr>
          <w:rFonts w:ascii="Arial" w:hAnsi="Arial"/>
          <w:i/>
          <w:spacing w:val="13"/>
          <w:sz w:val="20"/>
        </w:rPr>
        <w:t> </w:t>
      </w:r>
      <w:r>
        <w:rPr>
          <w:sz w:val="20"/>
        </w:rPr>
        <w:t>at</w:t>
      </w:r>
      <w:r>
        <w:rPr>
          <w:spacing w:val="13"/>
          <w:sz w:val="20"/>
        </w:rPr>
        <w:t> </w:t>
      </w:r>
      <w:r>
        <w:rPr>
          <w:sz w:val="20"/>
        </w:rPr>
        <w:t>[88]</w:t>
      </w:r>
      <w:r>
        <w:rPr>
          <w:spacing w:val="13"/>
          <w:sz w:val="20"/>
        </w:rPr>
        <w:t> </w:t>
      </w:r>
      <w:r>
        <w:rPr>
          <w:sz w:val="20"/>
        </w:rPr>
        <w:t>Akenhead</w:t>
      </w:r>
      <w:r>
        <w:rPr>
          <w:spacing w:val="13"/>
          <w:sz w:val="20"/>
        </w:rPr>
        <w:t> </w:t>
      </w:r>
      <w:r>
        <w:rPr>
          <w:sz w:val="20"/>
        </w:rPr>
        <w:t>J.</w:t>
      </w:r>
      <w:r>
        <w:rPr>
          <w:spacing w:val="13"/>
          <w:sz w:val="20"/>
        </w:rPr>
        <w:t> </w:t>
      </w:r>
      <w:r>
        <w:rPr>
          <w:sz w:val="20"/>
        </w:rPr>
        <w:t>said</w:t>
      </w:r>
      <w:r>
        <w:rPr>
          <w:spacing w:val="13"/>
          <w:sz w:val="20"/>
        </w:rPr>
        <w:t> </w:t>
      </w:r>
      <w:r>
        <w:rPr>
          <w:sz w:val="20"/>
        </w:rPr>
        <w:t>that</w:t>
      </w:r>
      <w:r>
        <w:rPr>
          <w:spacing w:val="13"/>
          <w:sz w:val="20"/>
        </w:rPr>
        <w:t> </w:t>
      </w:r>
      <w:r>
        <w:rPr>
          <w:sz w:val="20"/>
        </w:rPr>
        <w:t>he</w:t>
      </w:r>
      <w:r>
        <w:rPr>
          <w:spacing w:val="13"/>
          <w:sz w:val="20"/>
        </w:rPr>
        <w:t> </w:t>
      </w:r>
      <w:r>
        <w:rPr>
          <w:sz w:val="20"/>
        </w:rPr>
        <w:t>“would</w:t>
      </w:r>
      <w:r>
        <w:rPr>
          <w:spacing w:val="13"/>
          <w:sz w:val="20"/>
        </w:rPr>
        <w:t> </w:t>
      </w:r>
      <w:r>
        <w:rPr>
          <w:sz w:val="20"/>
        </w:rPr>
        <w:t>prefer”</w:t>
      </w:r>
      <w:r>
        <w:rPr>
          <w:spacing w:val="13"/>
          <w:sz w:val="20"/>
        </w:rPr>
        <w:t> </w:t>
      </w:r>
      <w:r>
        <w:rPr>
          <w:sz w:val="20"/>
        </w:rPr>
        <w:t>Brandon</w:t>
      </w:r>
      <w:r>
        <w:rPr>
          <w:spacing w:val="13"/>
          <w:sz w:val="20"/>
        </w:rPr>
        <w:t> </w:t>
      </w:r>
      <w:r>
        <w:rPr>
          <w:sz w:val="20"/>
        </w:rPr>
        <w:t>L.J.’s</w:t>
      </w:r>
      <w:r>
        <w:rPr>
          <w:spacing w:val="13"/>
          <w:sz w:val="20"/>
        </w:rPr>
        <w:t> </w:t>
      </w:r>
      <w:r>
        <w:rPr>
          <w:spacing w:val="-4"/>
          <w:sz w:val="20"/>
        </w:rPr>
        <w:t>view</w:t>
      </w:r>
    </w:p>
    <w:p>
      <w:pPr>
        <w:spacing w:after="0" w:line="235" w:lineRule="auto"/>
        <w:jc w:val="both"/>
        <w:rPr>
          <w:sz w:val="20"/>
        </w:rPr>
        <w:sectPr>
          <w:type w:val="continuous"/>
          <w:pgSz w:w="11900" w:h="16840"/>
          <w:pgMar w:header="971" w:footer="0" w:top="3760" w:bottom="280" w:left="1275" w:right="1275"/>
        </w:sectPr>
      </w:pPr>
    </w:p>
    <w:p>
      <w:pPr>
        <w:pStyle w:val="BodyText"/>
        <w:spacing w:before="21"/>
      </w:pPr>
    </w:p>
    <w:p>
      <w:pPr>
        <w:spacing w:before="0"/>
        <w:ind w:left="705" w:right="0" w:firstLine="0"/>
        <w:jc w:val="left"/>
        <w:rPr>
          <w:sz w:val="20"/>
        </w:rPr>
      </w:pPr>
      <w:r>
        <w:rPr>
          <w:sz w:val="20"/>
        </w:rPr>
        <w:t>in the</w:t>
      </w:r>
      <w:r>
        <w:rPr>
          <w:spacing w:val="-1"/>
          <w:sz w:val="20"/>
        </w:rPr>
        <w:t> </w:t>
      </w:r>
      <w:r>
        <w:rPr>
          <w:rFonts w:ascii="Arial"/>
          <w:i/>
          <w:sz w:val="20"/>
        </w:rPr>
        <w:t>Amalgamated Investment</w:t>
      </w:r>
      <w:r>
        <w:rPr>
          <w:rFonts w:ascii="Arial"/>
          <w:i/>
          <w:spacing w:val="-1"/>
          <w:sz w:val="20"/>
        </w:rPr>
        <w:t> </w:t>
      </w:r>
      <w:r>
        <w:rPr>
          <w:sz w:val="20"/>
        </w:rPr>
        <w:t>case to that there expressed by Lord Denning </w:t>
      </w:r>
      <w:r>
        <w:rPr>
          <w:spacing w:val="-4"/>
          <w:sz w:val="20"/>
        </w:rPr>
        <w:t>M.R.</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9328">
            <wp:simplePos x="0" y="0"/>
            <wp:positionH relativeFrom="page">
              <wp:posOffset>1257846</wp:posOffset>
            </wp:positionH>
            <wp:positionV relativeFrom="paragraph">
              <wp:posOffset>160187</wp:posOffset>
            </wp:positionV>
            <wp:extent cx="107988" cy="107988"/>
            <wp:effectExtent l="0" t="0" r="0" b="0"/>
            <wp:wrapNone/>
            <wp:docPr id="211" name="Image 211"/>
            <wp:cNvGraphicFramePr>
              <a:graphicFrameLocks/>
            </wp:cNvGraphicFramePr>
            <a:graphic>
              <a:graphicData uri="http://schemas.openxmlformats.org/drawingml/2006/picture">
                <pic:pic>
                  <pic:nvPicPr>
                    <pic:cNvPr id="211" name="Image 21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311" w:id="1313"/>
      <w:bookmarkEnd w:id="1313"/>
      <w:r>
        <w:rPr/>
      </w:r>
      <w:hyperlink w:history="true" w:anchor="_bookmark1072">
        <w:r>
          <w:rPr>
            <w:color w:val="005DA1"/>
            <w:spacing w:val="-4"/>
            <w:sz w:val="14"/>
            <w:u w:val="single" w:color="005DA1"/>
          </w:rPr>
          <w:t>684</w:t>
        </w:r>
      </w:hyperlink>
      <w:r>
        <w:rPr>
          <w:spacing w:val="-4"/>
          <w:sz w:val="14"/>
        </w:rPr>
        <w:t>.</w:t>
      </w:r>
    </w:p>
    <w:p>
      <w:pPr>
        <w:pStyle w:val="BodyText"/>
        <w:spacing w:line="235" w:lineRule="auto" w:before="212"/>
        <w:ind w:left="165" w:right="167" w:firstLine="170"/>
        <w:jc w:val="both"/>
      </w:pPr>
      <w:r>
        <w:rPr/>
        <w:br w:type="column"/>
      </w:r>
      <w:r>
        <w:rPr>
          <w:rFonts w:ascii="Arial" w:hAnsi="Arial"/>
          <w:i/>
        </w:rPr>
        <w:t>[1982] Q.B. 84 </w:t>
      </w:r>
      <w:r>
        <w:rPr/>
        <w:t>at 122. A similar view may be hinted at in </w:t>
      </w:r>
      <w:r>
        <w:rPr>
          <w:rFonts w:ascii="Arial" w:hAnsi="Arial"/>
          <w:i/>
        </w:rPr>
        <w:t>Williams v Roffey Bros. &amp; Nicholls (Contractors) Ltd [1999] Q.B. 1 </w:t>
      </w:r>
      <w:r>
        <w:rPr/>
        <w:t>at 17–18; but as to this see above, para.4-112 n.660. In </w:t>
      </w:r>
      <w:r>
        <w:rPr>
          <w:rFonts w:ascii="Arial" w:hAnsi="Arial"/>
          <w:i/>
        </w:rPr>
        <w:t>NRAM</w:t>
      </w:r>
      <w:r>
        <w:rPr>
          <w:rFonts w:ascii="Arial" w:hAnsi="Arial"/>
          <w:i/>
          <w:spacing w:val="40"/>
        </w:rPr>
        <w:t> </w:t>
      </w:r>
      <w:r>
        <w:rPr>
          <w:rFonts w:ascii="Arial" w:hAnsi="Arial"/>
          <w:i/>
        </w:rPr>
        <w:t>v McAdam [2014] EWHC 4174 (Comm), [2015] 1 All E.R. (Comm) 1239 </w:t>
      </w:r>
      <w:r>
        <w:rPr/>
        <w:t>the point is left open, there being no need to decide it since the shared assumption was held, as a matter of the true construction of the contract, to have contractual force: see at [25]–[28]. In this case the Court of Appeal allowed the appeal: see </w:t>
      </w:r>
      <w:r>
        <w:rPr>
          <w:rFonts w:ascii="Arial" w:hAnsi="Arial"/>
          <w:i/>
        </w:rPr>
        <w:t>[2015] EWCA Civ 751, [2016] 2 All E.R. (Comm) 333 </w:t>
      </w:r>
      <w:r>
        <w:rPr/>
        <w:t>at [59]. The Court held that the judge below had been wrong to conclude that the contract contained</w:t>
      </w:r>
      <w:r>
        <w:rPr>
          <w:spacing w:val="40"/>
        </w:rPr>
        <w:t> </w:t>
      </w:r>
      <w:r>
        <w:rPr/>
        <w:t>the term giving effect to the allegedly shared assumption (at [50]); and that he had also been wrong in holding that, if there was no “relevant contractual term,” then the lender in that case was “estopped on the basis of some sort of contractual estoppel, estoppel by convention or estoppel by representation” from denying that the borrower was protected as if there had </w:t>
      </w:r>
      <w:r>
        <w:rPr/>
        <w:t>been some such term (at [56]); but the Court further held that the lender’s representations gave rise</w:t>
      </w:r>
      <w:r>
        <w:rPr>
          <w:spacing w:val="40"/>
        </w:rPr>
        <w:t> </w:t>
      </w:r>
      <w:r>
        <w:rPr/>
        <w:t>to liability (1) under the Misrepresentation Act 1967 and (2) as “contractual warranties” (at [57]), presumably collateral to the main contract.</w:t>
      </w:r>
    </w:p>
    <w:p>
      <w:pPr>
        <w:pStyle w:val="BodyText"/>
        <w:spacing w:after="0" w:line="235" w:lineRule="auto"/>
        <w:jc w:val="both"/>
        <w:sectPr>
          <w:type w:val="continuous"/>
          <w:pgSz w:w="11900" w:h="16840"/>
          <w:pgMar w:header="971" w:footer="0" w:top="3760" w:bottom="280" w:left="1275" w:right="1275"/>
          <w:cols w:num="2" w:equalWidth="0">
            <w:col w:w="478" w:space="63"/>
            <w:col w:w="8809"/>
          </w:cols>
        </w:sectPr>
      </w:pPr>
    </w:p>
    <w:p>
      <w:pPr>
        <w:pStyle w:val="BodyText"/>
        <w:spacing w:before="4"/>
      </w:pPr>
    </w:p>
    <w:p>
      <w:pPr>
        <w:spacing w:line="235" w:lineRule="auto" w:before="0"/>
        <w:ind w:left="705" w:right="168" w:hanging="541"/>
        <w:jc w:val="both"/>
        <w:rPr>
          <w:sz w:val="20"/>
        </w:rPr>
      </w:pPr>
      <w:bookmarkStart w:name="_bookmark1312" w:id="1314"/>
      <w:bookmarkEnd w:id="1314"/>
      <w:r>
        <w:rPr/>
      </w:r>
      <w:hyperlink w:history="true" w:anchor="_bookmark1073">
        <w:r>
          <w:rPr>
            <w:color w:val="005DA1"/>
            <w:position w:val="5"/>
            <w:sz w:val="14"/>
            <w:u w:val="single" w:color="005DA1"/>
          </w:rPr>
          <w:t>685</w:t>
        </w:r>
      </w:hyperlink>
      <w:r>
        <w:rPr>
          <w:position w:val="5"/>
          <w:sz w:val="14"/>
        </w:rPr>
        <w:t>.</w:t>
      </w:r>
      <w:r>
        <w:rPr>
          <w:spacing w:val="80"/>
          <w:position w:val="5"/>
          <w:sz w:val="14"/>
        </w:rPr>
        <w:t> </w:t>
      </w:r>
      <w:r>
        <w:rPr>
          <w:rFonts w:ascii="Arial" w:hAnsi="Arial"/>
          <w:i/>
          <w:sz w:val="20"/>
        </w:rPr>
        <w:t>Keen v Holland [1984] 1 W.L.R. 251, 261–262</w:t>
      </w:r>
      <w:r>
        <w:rPr>
          <w:sz w:val="20"/>
        </w:rPr>
        <w:t>; and see n.675 above. In </w:t>
      </w:r>
      <w:r>
        <w:rPr>
          <w:rFonts w:ascii="Arial" w:hAnsi="Arial"/>
          <w:i/>
          <w:sz w:val="20"/>
        </w:rPr>
        <w:t>Wilson Bowden Properties Ltd v Milner and Bardon [1996] C.L.Y. 1229 </w:t>
      </w:r>
      <w:r>
        <w:rPr>
          <w:sz w:val="20"/>
        </w:rPr>
        <w:t>the cause of action arose out of the undisputed contract and not out of the estoppel.</w:t>
      </w:r>
    </w:p>
    <w:p>
      <w:pPr>
        <w:pStyle w:val="BodyText"/>
        <w:spacing w:before="9"/>
      </w:pPr>
    </w:p>
    <w:p>
      <w:pPr>
        <w:spacing w:line="235" w:lineRule="auto" w:before="0"/>
        <w:ind w:left="705" w:right="169" w:hanging="541"/>
        <w:jc w:val="both"/>
        <w:rPr>
          <w:sz w:val="20"/>
        </w:rPr>
      </w:pPr>
      <w:bookmarkStart w:name="_bookmark1313" w:id="1315"/>
      <w:bookmarkEnd w:id="1315"/>
      <w:r>
        <w:rPr/>
      </w:r>
      <w:hyperlink w:history="true" w:anchor="_bookmark1073">
        <w:r>
          <w:rPr>
            <w:color w:val="005DA1"/>
            <w:position w:val="5"/>
            <w:sz w:val="14"/>
            <w:u w:val="single" w:color="005DA1"/>
          </w:rPr>
          <w:t>686</w:t>
        </w:r>
      </w:hyperlink>
      <w:r>
        <w:rPr>
          <w:position w:val="5"/>
          <w:sz w:val="14"/>
        </w:rPr>
        <w:t>.</w:t>
      </w:r>
      <w:r>
        <w:rPr>
          <w:spacing w:val="80"/>
          <w:w w:val="150"/>
          <w:position w:val="5"/>
          <w:sz w:val="14"/>
        </w:rPr>
        <w:t> </w:t>
      </w:r>
      <w:r>
        <w:rPr>
          <w:rFonts w:ascii="Arial" w:hAnsi="Arial"/>
          <w:i/>
          <w:sz w:val="20"/>
        </w:rPr>
        <w:t>[1988] 2 Lloyd’s Rep. 343</w:t>
      </w:r>
      <w:r>
        <w:rPr>
          <w:sz w:val="20"/>
        </w:rPr>
        <w:t>; above, para.4-109. In </w:t>
      </w:r>
      <w:r>
        <w:rPr>
          <w:rFonts w:ascii="Arial" w:hAnsi="Arial"/>
          <w:i/>
          <w:sz w:val="20"/>
        </w:rPr>
        <w:t>Shearson Lehman Hutton Inc v Maclaine Watson &amp; Co Ltd [1989] 2 Lloyd’s Rep. 570</w:t>
      </w:r>
      <w:r>
        <w:rPr>
          <w:sz w:val="20"/>
        </w:rPr>
        <w:t>, the estoppel would likewise (if supported on </w:t>
      </w:r>
      <w:r>
        <w:rPr>
          <w:sz w:val="20"/>
        </w:rPr>
        <w:t>the facts) have operated defensively; cf. also </w:t>
      </w:r>
      <w:r>
        <w:rPr>
          <w:rFonts w:ascii="Arial" w:hAnsi="Arial"/>
          <w:i/>
          <w:sz w:val="20"/>
        </w:rPr>
        <w:t>Mitsui Babcock Energy Ltd v John Brown Energy Ltd (1996) 51 Const. L.R. 129, 185–186 </w:t>
      </w:r>
      <w:r>
        <w:rPr>
          <w:sz w:val="20"/>
        </w:rPr>
        <w:t>where the effect of the estoppel would (if the contract in question had not existed) again have been to </w:t>
      </w:r>
      <w:r>
        <w:rPr>
          <w:rFonts w:ascii="Arial" w:hAnsi="Arial"/>
          <w:i/>
          <w:sz w:val="20"/>
        </w:rPr>
        <w:t>restrict </w:t>
      </w:r>
      <w:r>
        <w:rPr>
          <w:sz w:val="20"/>
        </w:rPr>
        <w:t>the plaintiff’s rights by reference to the terms of the (in that event non-existent) contract.</w:t>
      </w:r>
    </w:p>
    <w:p>
      <w:pPr>
        <w:pStyle w:val="BodyText"/>
        <w:spacing w:before="4"/>
      </w:pPr>
    </w:p>
    <w:p>
      <w:pPr>
        <w:tabs>
          <w:tab w:pos="705" w:val="left" w:leader="none"/>
        </w:tabs>
        <w:spacing w:before="0"/>
        <w:ind w:left="165" w:right="0" w:firstLine="0"/>
        <w:jc w:val="left"/>
        <w:rPr>
          <w:sz w:val="20"/>
        </w:rPr>
      </w:pPr>
      <w:bookmarkStart w:name="_bookmark1314" w:id="1316"/>
      <w:bookmarkEnd w:id="1316"/>
      <w:r>
        <w:rPr/>
      </w:r>
      <w:hyperlink w:history="true" w:anchor="_bookmark1074">
        <w:r>
          <w:rPr>
            <w:color w:val="005DA1"/>
            <w:spacing w:val="-4"/>
            <w:position w:val="5"/>
            <w:sz w:val="14"/>
            <w:u w:val="single" w:color="005DA1"/>
          </w:rPr>
          <w:t>687</w:t>
        </w:r>
      </w:hyperlink>
      <w:r>
        <w:rPr>
          <w:spacing w:val="-4"/>
          <w:position w:val="5"/>
          <w:sz w:val="14"/>
        </w:rPr>
        <w:t>.</w:t>
      </w:r>
      <w:r>
        <w:rPr>
          <w:position w:val="5"/>
          <w:sz w:val="14"/>
        </w:rPr>
        <w:tab/>
      </w:r>
      <w:r>
        <w:rPr>
          <w:sz w:val="20"/>
        </w:rPr>
        <w:t>Below, para.7-</w:t>
      </w:r>
      <w:r>
        <w:rPr>
          <w:spacing w:val="-4"/>
          <w:sz w:val="20"/>
        </w:rPr>
        <w:t>103.</w:t>
      </w:r>
    </w:p>
    <w:p>
      <w:pPr>
        <w:pStyle w:val="BodyText"/>
        <w:spacing w:before="5"/>
      </w:pPr>
    </w:p>
    <w:p>
      <w:pPr>
        <w:tabs>
          <w:tab w:pos="705" w:val="left" w:leader="none"/>
        </w:tabs>
        <w:spacing w:before="0"/>
        <w:ind w:left="165" w:right="0" w:firstLine="0"/>
        <w:jc w:val="left"/>
        <w:rPr>
          <w:sz w:val="20"/>
        </w:rPr>
      </w:pPr>
      <w:bookmarkStart w:name="_bookmark1315" w:id="1317"/>
      <w:bookmarkEnd w:id="1317"/>
      <w:r>
        <w:rPr/>
      </w:r>
      <w:hyperlink w:history="true" w:anchor="_bookmark1074">
        <w:r>
          <w:rPr>
            <w:color w:val="005DA1"/>
            <w:spacing w:val="-4"/>
            <w:position w:val="5"/>
            <w:sz w:val="14"/>
            <w:u w:val="single" w:color="005DA1"/>
          </w:rPr>
          <w:t>688</w:t>
        </w:r>
      </w:hyperlink>
      <w:r>
        <w:rPr>
          <w:spacing w:val="-4"/>
          <w:position w:val="5"/>
          <w:sz w:val="14"/>
        </w:rPr>
        <w:t>.</w:t>
      </w:r>
      <w:r>
        <w:rPr>
          <w:position w:val="5"/>
          <w:sz w:val="14"/>
        </w:rPr>
        <w:tab/>
      </w:r>
      <w:r>
        <w:rPr>
          <w:sz w:val="20"/>
        </w:rPr>
        <w:t>Above, para.4-</w:t>
      </w:r>
      <w:r>
        <w:rPr>
          <w:spacing w:val="-4"/>
          <w:sz w:val="20"/>
        </w:rPr>
        <w:t>102.</w:t>
      </w:r>
    </w:p>
    <w:p>
      <w:pPr>
        <w:pStyle w:val="BodyText"/>
        <w:spacing w:before="5"/>
      </w:pPr>
    </w:p>
    <w:p>
      <w:pPr>
        <w:tabs>
          <w:tab w:pos="705" w:val="left" w:leader="none"/>
        </w:tabs>
        <w:spacing w:before="0"/>
        <w:ind w:left="165" w:right="0" w:firstLine="0"/>
        <w:jc w:val="left"/>
        <w:rPr>
          <w:sz w:val="20"/>
        </w:rPr>
      </w:pPr>
      <w:bookmarkStart w:name="_bookmark1316" w:id="1318"/>
      <w:bookmarkEnd w:id="1318"/>
      <w:r>
        <w:rPr/>
      </w:r>
      <w:hyperlink w:history="true" w:anchor="_bookmark1075">
        <w:r>
          <w:rPr>
            <w:color w:val="005DA1"/>
            <w:spacing w:val="-4"/>
            <w:position w:val="5"/>
            <w:sz w:val="14"/>
            <w:u w:val="single" w:color="005DA1"/>
          </w:rPr>
          <w:t>689</w:t>
        </w:r>
      </w:hyperlink>
      <w:r>
        <w:rPr>
          <w:spacing w:val="-4"/>
          <w:position w:val="5"/>
          <w:sz w:val="14"/>
        </w:rPr>
        <w:t>.</w:t>
      </w:r>
      <w:r>
        <w:rPr>
          <w:position w:val="5"/>
          <w:sz w:val="14"/>
        </w:rPr>
        <w:tab/>
      </w:r>
      <w:r>
        <w:rPr>
          <w:rFonts w:ascii="Arial"/>
          <w:i/>
          <w:sz w:val="20"/>
        </w:rPr>
        <w:t>Burrowes</w:t>
      </w:r>
      <w:r>
        <w:rPr>
          <w:rFonts w:ascii="Arial"/>
          <w:i/>
          <w:spacing w:val="-1"/>
          <w:sz w:val="20"/>
        </w:rPr>
        <w:t> </w:t>
      </w:r>
      <w:r>
        <w:rPr>
          <w:rFonts w:ascii="Arial"/>
          <w:i/>
          <w:sz w:val="20"/>
        </w:rPr>
        <w:t>v Lock (1805) 10 Ves. 470</w:t>
      </w:r>
      <w:r>
        <w:rPr>
          <w:sz w:val="20"/>
        </w:rPr>
        <w:t>, as explained in</w:t>
      </w:r>
      <w:r>
        <w:rPr>
          <w:spacing w:val="-1"/>
          <w:sz w:val="20"/>
        </w:rPr>
        <w:t> </w:t>
      </w:r>
      <w:r>
        <w:rPr>
          <w:rFonts w:ascii="Arial"/>
          <w:i/>
          <w:sz w:val="20"/>
        </w:rPr>
        <w:t>Low v Bouverie [1891] 3 Ch. </w:t>
      </w:r>
      <w:r>
        <w:rPr>
          <w:rFonts w:ascii="Arial"/>
          <w:i/>
          <w:spacing w:val="-5"/>
          <w:sz w:val="20"/>
        </w:rPr>
        <w:t>82</w:t>
      </w:r>
      <w:r>
        <w:rPr>
          <w:spacing w:val="-5"/>
          <w:sz w:val="20"/>
        </w:rPr>
        <w:t>.</w:t>
      </w: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9840">
            <wp:simplePos x="0" y="0"/>
            <wp:positionH relativeFrom="page">
              <wp:posOffset>1257846</wp:posOffset>
            </wp:positionH>
            <wp:positionV relativeFrom="paragraph">
              <wp:posOffset>160447</wp:posOffset>
            </wp:positionV>
            <wp:extent cx="107988" cy="107988"/>
            <wp:effectExtent l="0" t="0" r="0" b="0"/>
            <wp:wrapNone/>
            <wp:docPr id="212" name="Image 212"/>
            <wp:cNvGraphicFramePr>
              <a:graphicFrameLocks/>
            </wp:cNvGraphicFramePr>
            <a:graphic>
              <a:graphicData uri="http://schemas.openxmlformats.org/drawingml/2006/picture">
                <pic:pic>
                  <pic:nvPicPr>
                    <pic:cNvPr id="212" name="Image 21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317" w:id="1319"/>
      <w:bookmarkEnd w:id="1319"/>
      <w:r>
        <w:rPr/>
      </w:r>
      <w:hyperlink w:history="true" w:anchor="_bookmark1076">
        <w:r>
          <w:rPr>
            <w:color w:val="005DA1"/>
            <w:spacing w:val="-4"/>
            <w:sz w:val="14"/>
            <w:u w:val="single" w:color="005DA1"/>
          </w:rPr>
          <w:t>690</w:t>
        </w:r>
      </w:hyperlink>
      <w:r>
        <w:rPr>
          <w:spacing w:val="-4"/>
          <w:sz w:val="14"/>
        </w:rPr>
        <w:t>.</w:t>
      </w:r>
    </w:p>
    <w:p>
      <w:pPr>
        <w:pStyle w:val="BodyText"/>
        <w:spacing w:line="235" w:lineRule="auto" w:before="212"/>
        <w:ind w:left="165" w:right="167" w:firstLine="170"/>
        <w:jc w:val="both"/>
      </w:pPr>
      <w:r>
        <w:rPr/>
        <w:br w:type="column"/>
      </w:r>
      <w:r>
        <w:rPr/>
        <w:t>This was the effect of the estoppel in </w:t>
      </w:r>
      <w:r>
        <w:rPr>
          <w:rFonts w:ascii="Arial" w:hAnsi="Arial"/>
          <w:i/>
        </w:rPr>
        <w:t>Furness Withy (Australia) Ltd v Metal Distributors (UK) Ltd, (The Amazonia) [1990] 1 Lloyd’s Rep. 238</w:t>
      </w:r>
      <w:r>
        <w:rPr/>
        <w:t>, where it operated to prevent a party </w:t>
      </w:r>
      <w:r>
        <w:rPr/>
        <w:t>from</w:t>
      </w:r>
      <w:r>
        <w:rPr>
          <w:spacing w:val="40"/>
        </w:rPr>
        <w:t> </w:t>
      </w:r>
      <w:r>
        <w:rPr/>
        <w:t>relying on facts giving rise to a mistake of both parties alleged to make the contract void (see above, para.3-022 at n.86) and where the effect of allowing him to rely on those facts would have been to bar the other party’s claim by lapse of time. For the possibility that estoppel by convention may deprive a party of a defence, see also </w:t>
      </w:r>
      <w:r>
        <w:rPr>
          <w:rFonts w:ascii="Arial" w:hAnsi="Arial"/>
          <w:i/>
        </w:rPr>
        <w:t>Azov Shipping Co v Baltic Shipping Co [1999] 1 Lloyd’s Rep. 159 </w:t>
      </w:r>
      <w:r>
        <w:rPr/>
        <w:t>at 175–176; semble this is subject to the limitation discussed with regard to promissory estoppel at para.4-102 above. See also </w:t>
      </w:r>
      <w:r>
        <w:rPr>
          <w:rFonts w:ascii="Arial" w:hAnsi="Arial"/>
          <w:i/>
        </w:rPr>
        <w:t>Revenue and Customs Commissioners v Benchdollar Ltd [2009] EWHC 1310 (Ch) </w:t>
      </w:r>
      <w:r>
        <w:rPr/>
        <w:t>(above, paras 2-170, 4-113), where estoppel by convention operated so as to deprive taxpayers in part of the defence that the Revenue’s claims against them were barred by lapse of time. See also </w:t>
      </w:r>
      <w:r>
        <w:rPr>
          <w:rFonts w:ascii="Arial" w:hAnsi="Arial"/>
          <w:i/>
        </w:rPr>
        <w:t>Mears Limited v Shoreline Housing Partnership Limited [2013] EWCA Civ 639, [2013] B.L.R. 393</w:t>
      </w:r>
      <w:r>
        <w:rPr/>
        <w:t>, where the Court of Appeal recognised that estoppel by convention could not be “used to set up a contract where there was no contract at all” (at [24]), but held that such an estoppel could deprive the defendant of a defence (at [20]). In that case the defence was that the defendants were entitled to deduct from the amount claimed under a maintenance contract amounts alleged to have</w:t>
      </w:r>
      <w:r>
        <w:rPr>
          <w:spacing w:val="40"/>
        </w:rPr>
        <w:t> </w:t>
      </w:r>
      <w:r>
        <w:rPr/>
        <w:t>been overpaid by them to the claimants for earlier work done by the claimants under that contract; and the estoppel was alleged to have arisen on the ground that both parties had conducted themselves on the common assumption that payment to the claimants would be made at a rate other than that actually specified in the contract: see the statement of facts and the pleadings at first instance </w:t>
      </w:r>
      <w:r>
        <w:rPr>
          <w:rFonts w:ascii="Arial" w:hAnsi="Arial"/>
          <w:i/>
        </w:rPr>
        <w:t>[2013] EWHC 27 (TCC), [2013] B.L.R. 181 </w:t>
      </w:r>
      <w:r>
        <w:rPr/>
        <w:t>at [6(c)], [9(e)], [17]. These allegations required an investigation of the facts, so that it would be inappropriate to accede to the defendants’ application that the claim should be struck out (as opposed to proceeding to trial: </w:t>
      </w:r>
      <w:r>
        <w:rPr>
          <w:rFonts w:ascii="Arial" w:hAnsi="Arial"/>
          <w:i/>
        </w:rPr>
        <w:t>[2013] EWCA Civ 639 </w:t>
      </w:r>
      <w:r>
        <w:rPr/>
        <w:t>(at [21]). In further proceedings in this case (</w:t>
      </w:r>
      <w:r>
        <w:rPr>
          <w:rFonts w:ascii="Arial" w:hAnsi="Arial"/>
          <w:i/>
        </w:rPr>
        <w:t>[2015] EWHC 1396 (TCC)</w:t>
      </w:r>
      <w:r>
        <w:rPr/>
        <w:t>) Akenhead J. held that the requirements of estoppel by convention had been</w:t>
      </w:r>
      <w:r>
        <w:rPr>
          <w:spacing w:val="55"/>
        </w:rPr>
        <w:t> </w:t>
      </w:r>
      <w:r>
        <w:rPr/>
        <w:t>satisfied</w:t>
      </w:r>
      <w:r>
        <w:rPr>
          <w:spacing w:val="56"/>
        </w:rPr>
        <w:t> </w:t>
      </w:r>
      <w:r>
        <w:rPr/>
        <w:t>(at</w:t>
      </w:r>
      <w:r>
        <w:rPr>
          <w:spacing w:val="55"/>
        </w:rPr>
        <w:t> </w:t>
      </w:r>
      <w:r>
        <w:rPr/>
        <w:t>[64]–[69]),</w:t>
      </w:r>
      <w:r>
        <w:rPr>
          <w:spacing w:val="56"/>
        </w:rPr>
        <w:t> </w:t>
      </w:r>
      <w:r>
        <w:rPr/>
        <w:t>so</w:t>
      </w:r>
      <w:r>
        <w:rPr>
          <w:spacing w:val="55"/>
        </w:rPr>
        <w:t> </w:t>
      </w:r>
      <w:r>
        <w:rPr/>
        <w:t>that</w:t>
      </w:r>
      <w:r>
        <w:rPr>
          <w:spacing w:val="56"/>
        </w:rPr>
        <w:t> </w:t>
      </w:r>
      <w:r>
        <w:rPr/>
        <w:t>the</w:t>
      </w:r>
      <w:r>
        <w:rPr>
          <w:spacing w:val="55"/>
        </w:rPr>
        <w:t> </w:t>
      </w:r>
      <w:r>
        <w:rPr/>
        <w:t>defendants</w:t>
      </w:r>
      <w:r>
        <w:rPr>
          <w:spacing w:val="56"/>
        </w:rPr>
        <w:t> </w:t>
      </w:r>
      <w:r>
        <w:rPr/>
        <w:t>were</w:t>
      </w:r>
      <w:r>
        <w:rPr>
          <w:spacing w:val="56"/>
        </w:rPr>
        <w:t> </w:t>
      </w:r>
      <w:r>
        <w:rPr/>
        <w:t>deprived</w:t>
      </w:r>
      <w:r>
        <w:rPr>
          <w:spacing w:val="55"/>
        </w:rPr>
        <w:t> </w:t>
      </w:r>
      <w:r>
        <w:rPr/>
        <w:t>by</w:t>
      </w:r>
      <w:r>
        <w:rPr>
          <w:spacing w:val="56"/>
        </w:rPr>
        <w:t> </w:t>
      </w:r>
      <w:r>
        <w:rPr/>
        <w:t>that</w:t>
      </w:r>
      <w:r>
        <w:rPr>
          <w:spacing w:val="55"/>
        </w:rPr>
        <w:t> </w:t>
      </w:r>
      <w:r>
        <w:rPr/>
        <w:t>estoppel</w:t>
      </w:r>
      <w:r>
        <w:rPr>
          <w:spacing w:val="56"/>
        </w:rPr>
        <w:t> </w:t>
      </w:r>
      <w:r>
        <w:rPr>
          <w:spacing w:val="-4"/>
        </w:rPr>
        <w:t>from</w:t>
      </w:r>
    </w:p>
    <w:p>
      <w:pPr>
        <w:pStyle w:val="BodyText"/>
        <w:spacing w:after="0" w:line="235" w:lineRule="auto"/>
        <w:jc w:val="both"/>
        <w:sectPr>
          <w:type w:val="continuous"/>
          <w:pgSz w:w="11900" w:h="16840"/>
          <w:pgMar w:header="971" w:footer="0" w:top="3760" w:bottom="280" w:left="1275" w:right="1275"/>
          <w:cols w:num="2" w:equalWidth="0">
            <w:col w:w="478" w:space="63"/>
            <w:col w:w="8809"/>
          </w:cols>
        </w:sectPr>
      </w:pPr>
    </w:p>
    <w:p>
      <w:pPr>
        <w:pStyle w:val="BodyText"/>
        <w:spacing w:before="24"/>
      </w:pPr>
    </w:p>
    <w:p>
      <w:pPr>
        <w:pStyle w:val="BodyText"/>
        <w:spacing w:line="235" w:lineRule="auto" w:before="1"/>
        <w:ind w:left="705" w:right="167"/>
        <w:jc w:val="both"/>
      </w:pPr>
      <w:r>
        <w:rPr/>
        <w:t>asserting that they were entitled to make the deduction described above and that they </w:t>
      </w:r>
      <w:r>
        <w:rPr/>
        <w:t>were accordingly liable for the amount of that deduction (at [84]). The statement (at [69]) that “the amount deducted should be </w:t>
      </w:r>
      <w:r>
        <w:rPr>
          <w:rFonts w:ascii="Arial" w:hAnsi="Arial"/>
          <w:i/>
        </w:rPr>
        <w:t>re</w:t>
      </w:r>
      <w:r>
        <w:rPr/>
        <w:t>paid” (italics supplied) gives rise to some difficulty as the overpayment had been made </w:t>
      </w:r>
      <w:r>
        <w:rPr>
          <w:rFonts w:ascii="Arial" w:hAnsi="Arial"/>
          <w:i/>
        </w:rPr>
        <w:t>by </w:t>
      </w:r>
      <w:r>
        <w:rPr/>
        <w:t>(not </w:t>
      </w:r>
      <w:r>
        <w:rPr>
          <w:rFonts w:ascii="Arial" w:hAnsi="Arial"/>
          <w:i/>
        </w:rPr>
        <w:t>to</w:t>
      </w:r>
      <w:r>
        <w:rPr/>
        <w:t>) the defendants; but the sense is clear, i.e. that the estoppel prevented the defendants from relying on the fact of overpayment as a ground for in part resisting the claimants’ claim under the present contract. The significant point here is that the claimants’ cause of action in respect of that deduction was the latter contract and not the estoppel. The case thus provides a further illustration of the point made in the text above (as well as in para.[51] of the judgment). See also </w:t>
      </w:r>
      <w:r>
        <w:rPr>
          <w:rFonts w:ascii="Arial" w:hAnsi="Arial"/>
          <w:i/>
        </w:rPr>
        <w:t>Rivertrade Ltd v EMG Finance Ltd [2015] EWCA Civ 1295</w:t>
      </w:r>
      <w:r>
        <w:rPr/>
        <w:t>, where estoppel by convention did not “create an enforceable right” but was relied upon “to bind the parties to [the] agreement to an interpretation that would not otherwise be correct” (at [50]).</w:t>
      </w:r>
    </w:p>
    <w:p>
      <w:pPr>
        <w:pStyle w:val="BodyText"/>
        <w:spacing w:before="5"/>
      </w:pPr>
    </w:p>
    <w:p>
      <w:pPr>
        <w:pStyle w:val="BodyText"/>
        <w:spacing w:line="235" w:lineRule="auto"/>
        <w:ind w:left="705" w:right="167" w:hanging="541"/>
        <w:jc w:val="both"/>
      </w:pPr>
      <w:bookmarkStart w:name="_bookmark1318" w:id="1320"/>
      <w:bookmarkEnd w:id="1320"/>
      <w:r>
        <w:rPr/>
      </w:r>
      <w:hyperlink w:history="true" w:anchor="_bookmark1077">
        <w:r>
          <w:rPr>
            <w:color w:val="005DA1"/>
            <w:position w:val="5"/>
            <w:sz w:val="14"/>
            <w:u w:val="single" w:color="005DA1"/>
          </w:rPr>
          <w:t>691</w:t>
        </w:r>
      </w:hyperlink>
      <w:r>
        <w:rPr>
          <w:position w:val="5"/>
          <w:sz w:val="14"/>
        </w:rPr>
        <w:t>.</w:t>
      </w:r>
      <w:r>
        <w:rPr>
          <w:spacing w:val="80"/>
          <w:position w:val="5"/>
          <w:sz w:val="14"/>
        </w:rPr>
        <w:t>  </w:t>
      </w:r>
      <w:r>
        <w:rPr/>
        <w:t>cf.</w:t>
      </w:r>
      <w:r>
        <w:rPr>
          <w:spacing w:val="-2"/>
        </w:rPr>
        <w:t> </w:t>
      </w:r>
      <w:r>
        <w:rPr>
          <w:rFonts w:ascii="Arial" w:hAnsi="Arial"/>
          <w:i/>
        </w:rPr>
        <w:t>Johnson</w:t>
      </w:r>
      <w:r>
        <w:rPr>
          <w:rFonts w:ascii="Arial" w:hAnsi="Arial"/>
          <w:i/>
          <w:spacing w:val="-2"/>
        </w:rPr>
        <w:t> </w:t>
      </w:r>
      <w:r>
        <w:rPr>
          <w:rFonts w:ascii="Arial" w:hAnsi="Arial"/>
          <w:i/>
        </w:rPr>
        <w:t>v</w:t>
      </w:r>
      <w:r>
        <w:rPr>
          <w:rFonts w:ascii="Arial" w:hAnsi="Arial"/>
          <w:i/>
          <w:spacing w:val="-2"/>
        </w:rPr>
        <w:t> </w:t>
      </w:r>
      <w:r>
        <w:rPr>
          <w:rFonts w:ascii="Arial" w:hAnsi="Arial"/>
          <w:i/>
        </w:rPr>
        <w:t>Gore</w:t>
      </w:r>
      <w:r>
        <w:rPr>
          <w:rFonts w:ascii="Arial" w:hAnsi="Arial"/>
          <w:i/>
          <w:spacing w:val="-2"/>
        </w:rPr>
        <w:t> </w:t>
      </w:r>
      <w:r>
        <w:rPr>
          <w:rFonts w:ascii="Arial" w:hAnsi="Arial"/>
          <w:i/>
        </w:rPr>
        <w:t>Wood</w:t>
      </w:r>
      <w:r>
        <w:rPr>
          <w:rFonts w:ascii="Arial" w:hAnsi="Arial"/>
          <w:i/>
          <w:spacing w:val="-2"/>
        </w:rPr>
        <w:t> </w:t>
      </w:r>
      <w:r>
        <w:rPr>
          <w:rFonts w:ascii="Arial" w:hAnsi="Arial"/>
          <w:i/>
        </w:rPr>
        <w:t>&amp;</w:t>
      </w:r>
      <w:r>
        <w:rPr>
          <w:rFonts w:ascii="Arial" w:hAnsi="Arial"/>
          <w:i/>
          <w:spacing w:val="-2"/>
        </w:rPr>
        <w:t> </w:t>
      </w:r>
      <w:r>
        <w:rPr>
          <w:rFonts w:ascii="Arial" w:hAnsi="Arial"/>
          <w:i/>
        </w:rPr>
        <w:t>Co</w:t>
      </w:r>
      <w:r>
        <w:rPr>
          <w:rFonts w:ascii="Arial" w:hAnsi="Arial"/>
          <w:i/>
          <w:spacing w:val="-2"/>
        </w:rPr>
        <w:t> </w:t>
      </w:r>
      <w:r>
        <w:rPr>
          <w:rFonts w:ascii="Arial" w:hAnsi="Arial"/>
          <w:i/>
        </w:rPr>
        <w:t>[2002]</w:t>
      </w:r>
      <w:r>
        <w:rPr>
          <w:rFonts w:ascii="Arial" w:hAnsi="Arial"/>
          <w:i/>
          <w:spacing w:val="-2"/>
        </w:rPr>
        <w:t> </w:t>
      </w:r>
      <w:r>
        <w:rPr>
          <w:rFonts w:ascii="Arial" w:hAnsi="Arial"/>
          <w:i/>
        </w:rPr>
        <w:t>2</w:t>
      </w:r>
      <w:r>
        <w:rPr>
          <w:rFonts w:ascii="Arial" w:hAnsi="Arial"/>
          <w:i/>
          <w:spacing w:val="-2"/>
        </w:rPr>
        <w:t> </w:t>
      </w:r>
      <w:r>
        <w:rPr>
          <w:rFonts w:ascii="Arial" w:hAnsi="Arial"/>
          <w:i/>
        </w:rPr>
        <w:t>A.C.</w:t>
      </w:r>
      <w:r>
        <w:rPr>
          <w:rFonts w:ascii="Arial" w:hAnsi="Arial"/>
          <w:i/>
          <w:spacing w:val="-2"/>
        </w:rPr>
        <w:t> </w:t>
      </w:r>
      <w:r>
        <w:rPr>
          <w:rFonts w:ascii="Arial" w:hAnsi="Arial"/>
          <w:i/>
        </w:rPr>
        <w:t>1</w:t>
      </w:r>
      <w:r>
        <w:rPr>
          <w:rFonts w:ascii="Arial" w:hAnsi="Arial"/>
          <w:i/>
          <w:spacing w:val="-2"/>
        </w:rPr>
        <w:t> </w:t>
      </w:r>
      <w:r>
        <w:rPr/>
        <w:t>(above,</w:t>
      </w:r>
      <w:r>
        <w:rPr>
          <w:spacing w:val="-2"/>
        </w:rPr>
        <w:t> </w:t>
      </w:r>
      <w:r>
        <w:rPr/>
        <w:t>para.4-111)</w:t>
      </w:r>
      <w:r>
        <w:rPr>
          <w:spacing w:val="-2"/>
        </w:rPr>
        <w:t> </w:t>
      </w:r>
      <w:r>
        <w:rPr/>
        <w:t>where</w:t>
      </w:r>
      <w:r>
        <w:rPr>
          <w:spacing w:val="-2"/>
        </w:rPr>
        <w:t> </w:t>
      </w:r>
      <w:r>
        <w:rPr/>
        <w:t>the</w:t>
      </w:r>
      <w:r>
        <w:rPr>
          <w:spacing w:val="-2"/>
        </w:rPr>
        <w:t> </w:t>
      </w:r>
      <w:r>
        <w:rPr/>
        <w:t>estoppel</w:t>
      </w:r>
      <w:r>
        <w:rPr>
          <w:spacing w:val="-2"/>
        </w:rPr>
        <w:t> </w:t>
      </w:r>
      <w:r>
        <w:rPr/>
        <w:t>likewise did not create the cause of action, which was based on the alleged negligence of the defendant solicitors; it merely helped to dispose of the defendants’ objection that the action to enforce that claim was an abuse of process.</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bookmarkStart w:name="_bookmark1319" w:id="1321"/>
      <w:bookmarkEnd w:id="1321"/>
      <w:r>
        <w:rPr/>
      </w:r>
      <w:hyperlink w:history="true" w:anchor="_bookmark1077">
        <w:r>
          <w:rPr>
            <w:color w:val="005DA1"/>
            <w:spacing w:val="-4"/>
            <w:sz w:val="14"/>
            <w:u w:val="single" w:color="005DA1"/>
          </w:rPr>
          <w:t>692</w:t>
        </w:r>
      </w:hyperlink>
      <w:r>
        <w:rPr>
          <w:spacing w:val="-4"/>
          <w:sz w:val="14"/>
        </w:rPr>
        <w:t>.</w:t>
      </w:r>
    </w:p>
    <w:p>
      <w:pPr>
        <w:spacing w:before="209"/>
        <w:ind w:left="335" w:right="0" w:firstLine="0"/>
        <w:jc w:val="left"/>
        <w:rPr>
          <w:sz w:val="20"/>
        </w:rPr>
      </w:pPr>
      <w:r>
        <w:rPr/>
        <w:br w:type="column"/>
      </w:r>
      <w:r>
        <w:rPr>
          <w:rFonts w:ascii="Arial"/>
          <w:i/>
          <w:sz w:val="20"/>
        </w:rPr>
        <w:t>[2015] EWCA Civ </w:t>
      </w:r>
      <w:r>
        <w:rPr>
          <w:rFonts w:ascii="Arial"/>
          <w:i/>
          <w:spacing w:val="-4"/>
          <w:sz w:val="20"/>
        </w:rPr>
        <w:t>1295</w:t>
      </w:r>
      <w:r>
        <w:rPr>
          <w:spacing w:val="-4"/>
          <w:sz w:val="20"/>
        </w:rPr>
        <w:t>.</w:t>
      </w:r>
    </w:p>
    <w:p>
      <w:pPr>
        <w:spacing w:after="0"/>
        <w:jc w:val="left"/>
        <w:rPr>
          <w:sz w:val="20"/>
        </w:rPr>
        <w:sectPr>
          <w:type w:val="continuous"/>
          <w:pgSz w:w="11900" w:h="16840"/>
          <w:pgMar w:header="971" w:footer="0" w:top="37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0352">
            <wp:simplePos x="0" y="0"/>
            <wp:positionH relativeFrom="page">
              <wp:posOffset>1257846</wp:posOffset>
            </wp:positionH>
            <wp:positionV relativeFrom="paragraph">
              <wp:posOffset>-210691</wp:posOffset>
            </wp:positionV>
            <wp:extent cx="107988" cy="107988"/>
            <wp:effectExtent l="0" t="0" r="0" b="0"/>
            <wp:wrapNone/>
            <wp:docPr id="213" name="Image 213"/>
            <wp:cNvGraphicFramePr>
              <a:graphicFrameLocks/>
            </wp:cNvGraphicFramePr>
            <a:graphic>
              <a:graphicData uri="http://schemas.openxmlformats.org/drawingml/2006/picture">
                <pic:pic>
                  <pic:nvPicPr>
                    <pic:cNvPr id="213" name="Image 21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320" w:id="1322"/>
      <w:bookmarkEnd w:id="1322"/>
      <w:r>
        <w:rPr/>
      </w:r>
      <w:hyperlink w:history="true" w:anchor="_bookmark1078">
        <w:r>
          <w:rPr>
            <w:color w:val="005DA1"/>
            <w:spacing w:val="-4"/>
            <w:sz w:val="14"/>
            <w:u w:val="single" w:color="005DA1"/>
          </w:rPr>
          <w:t>693</w:t>
        </w:r>
      </w:hyperlink>
      <w:r>
        <w:rPr>
          <w:spacing w:val="-4"/>
          <w:sz w:val="14"/>
        </w:rPr>
        <w:t>.</w:t>
      </w:r>
    </w:p>
    <w:p>
      <w:pPr>
        <w:pStyle w:val="BodyText"/>
        <w:spacing w:before="209"/>
        <w:ind w:left="335"/>
      </w:pPr>
      <w:r>
        <w:rPr/>
        <w:br w:type="column"/>
      </w:r>
      <w:r>
        <w:rPr/>
        <w:t>At </w:t>
      </w:r>
      <w:r>
        <w:rPr>
          <w:spacing w:val="-2"/>
        </w:rPr>
        <w:t>[50].</w:t>
      </w:r>
    </w:p>
    <w:p>
      <w:pPr>
        <w:pStyle w:val="BodyText"/>
        <w:spacing w:after="0"/>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0864">
            <wp:simplePos x="0" y="0"/>
            <wp:positionH relativeFrom="page">
              <wp:posOffset>1257846</wp:posOffset>
            </wp:positionH>
            <wp:positionV relativeFrom="paragraph">
              <wp:posOffset>-211306</wp:posOffset>
            </wp:positionV>
            <wp:extent cx="107988" cy="107988"/>
            <wp:effectExtent l="0" t="0" r="0" b="0"/>
            <wp:wrapNone/>
            <wp:docPr id="214" name="Image 214"/>
            <wp:cNvGraphicFramePr>
              <a:graphicFrameLocks/>
            </wp:cNvGraphicFramePr>
            <a:graphic>
              <a:graphicData uri="http://schemas.openxmlformats.org/drawingml/2006/picture">
                <pic:pic>
                  <pic:nvPicPr>
                    <pic:cNvPr id="214" name="Image 21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321" w:id="1323"/>
      <w:bookmarkEnd w:id="1323"/>
      <w:r>
        <w:rPr/>
      </w:r>
      <w:hyperlink w:history="true" w:anchor="_bookmark1079">
        <w:r>
          <w:rPr>
            <w:color w:val="005DA1"/>
            <w:spacing w:val="-4"/>
            <w:sz w:val="14"/>
            <w:u w:val="single" w:color="005DA1"/>
          </w:rPr>
          <w:t>694</w:t>
        </w:r>
      </w:hyperlink>
      <w:r>
        <w:rPr>
          <w:spacing w:val="-4"/>
          <w:sz w:val="14"/>
        </w:rPr>
        <w:t>.</w:t>
      </w:r>
    </w:p>
    <w:p>
      <w:pPr>
        <w:pStyle w:val="BodyText"/>
        <w:spacing w:before="208"/>
        <w:ind w:left="335"/>
      </w:pPr>
      <w:r>
        <w:rPr/>
        <w:br w:type="column"/>
      </w:r>
      <w:r>
        <w:rPr/>
        <w:t>At </w:t>
      </w:r>
      <w:r>
        <w:rPr>
          <w:spacing w:val="-2"/>
        </w:rPr>
        <w:t>[48].</w:t>
      </w:r>
    </w:p>
    <w:p>
      <w:pPr>
        <w:pStyle w:val="BodyText"/>
        <w:spacing w:after="0"/>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1376">
            <wp:simplePos x="0" y="0"/>
            <wp:positionH relativeFrom="page">
              <wp:posOffset>1257846</wp:posOffset>
            </wp:positionH>
            <wp:positionV relativeFrom="paragraph">
              <wp:posOffset>-211287</wp:posOffset>
            </wp:positionV>
            <wp:extent cx="107988" cy="107988"/>
            <wp:effectExtent l="0" t="0" r="0" b="0"/>
            <wp:wrapNone/>
            <wp:docPr id="215" name="Image 215"/>
            <wp:cNvGraphicFramePr>
              <a:graphicFrameLocks/>
            </wp:cNvGraphicFramePr>
            <a:graphic>
              <a:graphicData uri="http://schemas.openxmlformats.org/drawingml/2006/picture">
                <pic:pic>
                  <pic:nvPicPr>
                    <pic:cNvPr id="215" name="Image 21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322" w:id="1324"/>
      <w:bookmarkEnd w:id="1324"/>
      <w:r>
        <w:rPr/>
      </w:r>
      <w:hyperlink w:history="true" w:anchor="_bookmark1080">
        <w:r>
          <w:rPr>
            <w:color w:val="005DA1"/>
            <w:spacing w:val="-4"/>
            <w:sz w:val="14"/>
            <w:u w:val="single" w:color="005DA1"/>
          </w:rPr>
          <w:t>695</w:t>
        </w:r>
      </w:hyperlink>
      <w:r>
        <w:rPr>
          <w:spacing w:val="-4"/>
          <w:sz w:val="14"/>
        </w:rPr>
        <w:t>.</w:t>
      </w:r>
    </w:p>
    <w:p>
      <w:pPr>
        <w:spacing w:before="208"/>
        <w:ind w:left="335" w:right="0" w:firstLine="0"/>
        <w:jc w:val="left"/>
        <w:rPr>
          <w:sz w:val="20"/>
        </w:rPr>
      </w:pPr>
      <w:r>
        <w:rPr/>
        <w:br w:type="column"/>
      </w:r>
      <w:r>
        <w:rPr>
          <w:rFonts w:ascii="Arial"/>
          <w:i/>
          <w:sz w:val="20"/>
        </w:rPr>
        <w:t>(1809)</w:t>
      </w:r>
      <w:r>
        <w:rPr>
          <w:rFonts w:ascii="Arial"/>
          <w:i/>
          <w:spacing w:val="-1"/>
          <w:sz w:val="20"/>
        </w:rPr>
        <w:t> </w:t>
      </w:r>
      <w:r>
        <w:rPr>
          <w:rFonts w:ascii="Arial"/>
          <w:i/>
          <w:sz w:val="20"/>
        </w:rPr>
        <w:t>2 Camp. 317, 6 Esp. 129</w:t>
      </w:r>
      <w:r>
        <w:rPr>
          <w:sz w:val="20"/>
        </w:rPr>
        <w:t>, Vol.I, para.4-</w:t>
      </w:r>
      <w:r>
        <w:rPr>
          <w:spacing w:val="-4"/>
          <w:sz w:val="20"/>
        </w:rPr>
        <w:t>067.</w:t>
      </w:r>
    </w:p>
    <w:p>
      <w:pPr>
        <w:spacing w:after="0"/>
        <w:jc w:val="left"/>
        <w:rPr>
          <w:sz w:val="20"/>
        </w:rPr>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1888">
            <wp:simplePos x="0" y="0"/>
            <wp:positionH relativeFrom="page">
              <wp:posOffset>1257846</wp:posOffset>
            </wp:positionH>
            <wp:positionV relativeFrom="paragraph">
              <wp:posOffset>-211267</wp:posOffset>
            </wp:positionV>
            <wp:extent cx="107988" cy="107988"/>
            <wp:effectExtent l="0" t="0" r="0" b="0"/>
            <wp:wrapNone/>
            <wp:docPr id="216" name="Image 216"/>
            <wp:cNvGraphicFramePr>
              <a:graphicFrameLocks/>
            </wp:cNvGraphicFramePr>
            <a:graphic>
              <a:graphicData uri="http://schemas.openxmlformats.org/drawingml/2006/picture">
                <pic:pic>
                  <pic:nvPicPr>
                    <pic:cNvPr id="216" name="Image 21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323" w:id="1325"/>
      <w:bookmarkEnd w:id="1325"/>
      <w:r>
        <w:rPr/>
      </w:r>
      <w:hyperlink w:history="true" w:anchor="_bookmark1081">
        <w:r>
          <w:rPr>
            <w:color w:val="005DA1"/>
            <w:spacing w:val="-4"/>
            <w:sz w:val="14"/>
            <w:u w:val="single" w:color="005DA1"/>
          </w:rPr>
          <w:t>696</w:t>
        </w:r>
      </w:hyperlink>
      <w:r>
        <w:rPr>
          <w:spacing w:val="-4"/>
          <w:sz w:val="14"/>
        </w:rPr>
        <w:t>.</w:t>
      </w:r>
    </w:p>
    <w:p>
      <w:pPr>
        <w:pStyle w:val="BodyText"/>
        <w:spacing w:before="208"/>
        <w:ind w:left="335"/>
      </w:pPr>
      <w:r>
        <w:rPr/>
        <w:br w:type="column"/>
      </w:r>
      <w:r>
        <w:rPr/>
        <w:t>Above, at note </w:t>
      </w:r>
      <w:r>
        <w:rPr>
          <w:spacing w:val="-2"/>
        </w:rPr>
        <w:t>683a.</w:t>
      </w:r>
    </w:p>
    <w:p>
      <w:pPr>
        <w:pStyle w:val="BodyText"/>
        <w:spacing w:after="0"/>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2400">
            <wp:simplePos x="0" y="0"/>
            <wp:positionH relativeFrom="page">
              <wp:posOffset>1257846</wp:posOffset>
            </wp:positionH>
            <wp:positionV relativeFrom="paragraph">
              <wp:posOffset>-211247</wp:posOffset>
            </wp:positionV>
            <wp:extent cx="107988" cy="107988"/>
            <wp:effectExtent l="0" t="0" r="0" b="0"/>
            <wp:wrapNone/>
            <wp:docPr id="217" name="Image 217"/>
            <wp:cNvGraphicFramePr>
              <a:graphicFrameLocks/>
            </wp:cNvGraphicFramePr>
            <a:graphic>
              <a:graphicData uri="http://schemas.openxmlformats.org/drawingml/2006/picture">
                <pic:pic>
                  <pic:nvPicPr>
                    <pic:cNvPr id="217" name="Image 21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324" w:id="1326"/>
      <w:bookmarkEnd w:id="1326"/>
      <w:r>
        <w:rPr/>
      </w:r>
      <w:hyperlink w:history="true" w:anchor="_bookmark1082">
        <w:r>
          <w:rPr>
            <w:color w:val="005DA1"/>
            <w:spacing w:val="-4"/>
            <w:sz w:val="14"/>
            <w:u w:val="single" w:color="005DA1"/>
          </w:rPr>
          <w:t>697</w:t>
        </w:r>
      </w:hyperlink>
      <w:r>
        <w:rPr>
          <w:spacing w:val="-4"/>
          <w:sz w:val="14"/>
        </w:rPr>
        <w:t>.</w:t>
      </w:r>
    </w:p>
    <w:p>
      <w:pPr>
        <w:pStyle w:val="BodyText"/>
        <w:spacing w:before="208"/>
        <w:ind w:left="335"/>
      </w:pPr>
      <w:r>
        <w:rPr/>
        <w:br w:type="column"/>
      </w:r>
      <w:r>
        <w:rPr/>
        <w:t>[2016] EWCA Civ 1295 at </w:t>
      </w:r>
      <w:r>
        <w:rPr>
          <w:spacing w:val="-2"/>
        </w:rPr>
        <w:t>[48].</w:t>
      </w:r>
    </w:p>
    <w:p>
      <w:pPr>
        <w:pStyle w:val="BodyText"/>
        <w:spacing w:after="0"/>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2912">
            <wp:simplePos x="0" y="0"/>
            <wp:positionH relativeFrom="page">
              <wp:posOffset>1257846</wp:posOffset>
            </wp:positionH>
            <wp:positionV relativeFrom="paragraph">
              <wp:posOffset>-211227</wp:posOffset>
            </wp:positionV>
            <wp:extent cx="107988" cy="107988"/>
            <wp:effectExtent l="0" t="0" r="0" b="0"/>
            <wp:wrapNone/>
            <wp:docPr id="218" name="Image 218"/>
            <wp:cNvGraphicFramePr>
              <a:graphicFrameLocks/>
            </wp:cNvGraphicFramePr>
            <a:graphic>
              <a:graphicData uri="http://schemas.openxmlformats.org/drawingml/2006/picture">
                <pic:pic>
                  <pic:nvPicPr>
                    <pic:cNvPr id="218" name="Image 21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325" w:id="1327"/>
      <w:bookmarkEnd w:id="1327"/>
      <w:r>
        <w:rPr/>
      </w:r>
      <w:hyperlink w:history="true" w:anchor="_bookmark1083">
        <w:r>
          <w:rPr>
            <w:color w:val="005DA1"/>
            <w:spacing w:val="-4"/>
            <w:sz w:val="14"/>
            <w:u w:val="single" w:color="005DA1"/>
          </w:rPr>
          <w:t>698</w:t>
        </w:r>
      </w:hyperlink>
      <w:r>
        <w:rPr>
          <w:spacing w:val="-4"/>
          <w:sz w:val="14"/>
        </w:rPr>
        <w:t>.</w:t>
      </w:r>
    </w:p>
    <w:p>
      <w:pPr>
        <w:pStyle w:val="BodyText"/>
        <w:spacing w:before="208"/>
        <w:ind w:left="335"/>
      </w:pPr>
      <w:r>
        <w:rPr/>
        <w:br w:type="column"/>
      </w:r>
      <w:r>
        <w:rPr/>
        <w:t>At [50], quoted above at note </w:t>
      </w:r>
      <w:r>
        <w:rPr>
          <w:spacing w:val="-2"/>
        </w:rPr>
        <w:t>683b.</w:t>
      </w:r>
    </w:p>
    <w:p>
      <w:pPr>
        <w:pStyle w:val="BodyText"/>
        <w:spacing w:after="0"/>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3424">
            <wp:simplePos x="0" y="0"/>
            <wp:positionH relativeFrom="page">
              <wp:posOffset>1257846</wp:posOffset>
            </wp:positionH>
            <wp:positionV relativeFrom="paragraph">
              <wp:posOffset>-211207</wp:posOffset>
            </wp:positionV>
            <wp:extent cx="107988" cy="107988"/>
            <wp:effectExtent l="0" t="0" r="0" b="0"/>
            <wp:wrapNone/>
            <wp:docPr id="219" name="Image 219"/>
            <wp:cNvGraphicFramePr>
              <a:graphicFrameLocks/>
            </wp:cNvGraphicFramePr>
            <a:graphic>
              <a:graphicData uri="http://schemas.openxmlformats.org/drawingml/2006/picture">
                <pic:pic>
                  <pic:nvPicPr>
                    <pic:cNvPr id="219" name="Image 21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326" w:id="1328"/>
      <w:bookmarkEnd w:id="1328"/>
      <w:r>
        <w:rPr/>
      </w:r>
      <w:hyperlink w:history="true" w:anchor="_bookmark1084">
        <w:r>
          <w:rPr>
            <w:color w:val="005DA1"/>
            <w:spacing w:val="-4"/>
            <w:sz w:val="14"/>
            <w:u w:val="single" w:color="005DA1"/>
          </w:rPr>
          <w:t>699</w:t>
        </w:r>
      </w:hyperlink>
      <w:r>
        <w:rPr>
          <w:spacing w:val="-4"/>
          <w:sz w:val="14"/>
        </w:rPr>
        <w:t>.</w:t>
      </w:r>
    </w:p>
    <w:p>
      <w:pPr>
        <w:pStyle w:val="BodyText"/>
        <w:spacing w:before="208"/>
        <w:ind w:left="335"/>
      </w:pPr>
      <w:r>
        <w:rPr/>
        <w:br w:type="column"/>
      </w:r>
      <w:r>
        <w:rPr/>
        <w:t>The concession referred to at note 683f had the effect that the point was not fully </w:t>
      </w:r>
      <w:r>
        <w:rPr>
          <w:spacing w:val="-2"/>
        </w:rPr>
        <w:t>argued.</w:t>
      </w:r>
    </w:p>
    <w:p>
      <w:pPr>
        <w:pStyle w:val="BodyText"/>
        <w:spacing w:after="0"/>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3936">
            <wp:simplePos x="0" y="0"/>
            <wp:positionH relativeFrom="page">
              <wp:posOffset>1257846</wp:posOffset>
            </wp:positionH>
            <wp:positionV relativeFrom="paragraph">
              <wp:posOffset>-211187</wp:posOffset>
            </wp:positionV>
            <wp:extent cx="107988" cy="107988"/>
            <wp:effectExtent l="0" t="0" r="0" b="0"/>
            <wp:wrapNone/>
            <wp:docPr id="220" name="Image 220"/>
            <wp:cNvGraphicFramePr>
              <a:graphicFrameLocks/>
            </wp:cNvGraphicFramePr>
            <a:graphic>
              <a:graphicData uri="http://schemas.openxmlformats.org/drawingml/2006/picture">
                <pic:pic>
                  <pic:nvPicPr>
                    <pic:cNvPr id="220" name="Image 22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327" w:id="1329"/>
      <w:bookmarkEnd w:id="1329"/>
      <w:r>
        <w:rPr/>
      </w:r>
      <w:hyperlink w:history="true" w:anchor="_bookmark1085">
        <w:r>
          <w:rPr>
            <w:color w:val="005DA1"/>
            <w:spacing w:val="-4"/>
            <w:sz w:val="14"/>
            <w:u w:val="single" w:color="005DA1"/>
          </w:rPr>
          <w:t>700</w:t>
        </w:r>
      </w:hyperlink>
      <w:r>
        <w:rPr>
          <w:spacing w:val="-4"/>
          <w:sz w:val="14"/>
        </w:rPr>
        <w:t>.</w:t>
      </w:r>
    </w:p>
    <w:p>
      <w:pPr>
        <w:spacing w:line="235" w:lineRule="auto" w:before="212"/>
        <w:ind w:left="165" w:right="167" w:firstLine="170"/>
        <w:jc w:val="both"/>
        <w:rPr>
          <w:sz w:val="20"/>
        </w:rPr>
      </w:pPr>
      <w:r>
        <w:rPr/>
        <w:br w:type="column"/>
      </w:r>
      <w:r>
        <w:rPr>
          <w:sz w:val="20"/>
        </w:rPr>
        <w:t>cf.</w:t>
      </w:r>
      <w:r>
        <w:rPr>
          <w:spacing w:val="-1"/>
          <w:sz w:val="20"/>
        </w:rPr>
        <w:t> </w:t>
      </w:r>
      <w:r>
        <w:rPr>
          <w:rFonts w:ascii="Arial" w:hAnsi="Arial"/>
          <w:i/>
          <w:sz w:val="20"/>
        </w:rPr>
        <w:t>Russell</w:t>
      </w:r>
      <w:r>
        <w:rPr>
          <w:rFonts w:ascii="Arial" w:hAnsi="Arial"/>
          <w:i/>
          <w:spacing w:val="-1"/>
          <w:sz w:val="20"/>
        </w:rPr>
        <w:t> </w:t>
      </w:r>
      <w:r>
        <w:rPr>
          <w:rFonts w:ascii="Arial" w:hAnsi="Arial"/>
          <w:i/>
          <w:sz w:val="20"/>
        </w:rPr>
        <w:t>Brothers</w:t>
      </w:r>
      <w:r>
        <w:rPr>
          <w:rFonts w:ascii="Arial" w:hAnsi="Arial"/>
          <w:i/>
          <w:spacing w:val="-1"/>
          <w:sz w:val="20"/>
        </w:rPr>
        <w:t> </w:t>
      </w:r>
      <w:r>
        <w:rPr>
          <w:rFonts w:ascii="Arial" w:hAnsi="Arial"/>
          <w:i/>
          <w:sz w:val="20"/>
        </w:rPr>
        <w:t>(Paddington)</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John</w:t>
      </w:r>
      <w:r>
        <w:rPr>
          <w:rFonts w:ascii="Arial" w:hAnsi="Arial"/>
          <w:i/>
          <w:spacing w:val="-1"/>
          <w:sz w:val="20"/>
        </w:rPr>
        <w:t> </w:t>
      </w:r>
      <w:r>
        <w:rPr>
          <w:rFonts w:ascii="Arial" w:hAnsi="Arial"/>
          <w:i/>
          <w:sz w:val="20"/>
        </w:rPr>
        <w:t>Elliott</w:t>
      </w:r>
      <w:r>
        <w:rPr>
          <w:rFonts w:ascii="Arial" w:hAnsi="Arial"/>
          <w:i/>
          <w:spacing w:val="-1"/>
          <w:sz w:val="20"/>
        </w:rPr>
        <w:t> </w:t>
      </w:r>
      <w:r>
        <w:rPr>
          <w:rFonts w:ascii="Arial" w:hAnsi="Arial"/>
          <w:i/>
          <w:sz w:val="20"/>
        </w:rPr>
        <w:t>Management</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(1995)</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Const.</w:t>
      </w:r>
      <w:r>
        <w:rPr>
          <w:rFonts w:ascii="Arial" w:hAnsi="Arial"/>
          <w:i/>
          <w:spacing w:val="-1"/>
          <w:sz w:val="20"/>
        </w:rPr>
        <w:t> </w:t>
      </w:r>
      <w:r>
        <w:rPr>
          <w:rFonts w:ascii="Arial" w:hAnsi="Arial"/>
          <w:i/>
          <w:sz w:val="20"/>
        </w:rPr>
        <w:t>L.J.</w:t>
      </w:r>
      <w:r>
        <w:rPr>
          <w:rFonts w:ascii="Arial" w:hAnsi="Arial"/>
          <w:i/>
          <w:spacing w:val="-1"/>
          <w:sz w:val="20"/>
        </w:rPr>
        <w:t> </w:t>
      </w:r>
      <w:r>
        <w:rPr>
          <w:rFonts w:ascii="Arial" w:hAnsi="Arial"/>
          <w:i/>
          <w:sz w:val="20"/>
        </w:rPr>
        <w:t>377</w:t>
      </w:r>
      <w:r>
        <w:rPr>
          <w:sz w:val="20"/>
        </w:rPr>
        <w:t>, denying that estoppel by convention can be used as a sword. Contrast dicta in </w:t>
      </w:r>
      <w:r>
        <w:rPr>
          <w:rFonts w:ascii="Arial" w:hAnsi="Arial"/>
          <w:i/>
          <w:sz w:val="20"/>
        </w:rPr>
        <w:t>Thornton Springer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NEM</w:t>
      </w:r>
      <w:r>
        <w:rPr>
          <w:rFonts w:ascii="Arial" w:hAnsi="Arial"/>
          <w:i/>
          <w:spacing w:val="-2"/>
          <w:sz w:val="20"/>
        </w:rPr>
        <w:t> </w:t>
      </w:r>
      <w:r>
        <w:rPr>
          <w:rFonts w:ascii="Arial" w:hAnsi="Arial"/>
          <w:i/>
          <w:sz w:val="20"/>
        </w:rPr>
        <w:t>Insurance</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[2000]</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All</w:t>
      </w:r>
      <w:r>
        <w:rPr>
          <w:rFonts w:ascii="Arial" w:hAnsi="Arial"/>
          <w:i/>
          <w:spacing w:val="-2"/>
          <w:sz w:val="20"/>
        </w:rPr>
        <w:t> </w:t>
      </w:r>
      <w:r>
        <w:rPr>
          <w:rFonts w:ascii="Arial" w:hAnsi="Arial"/>
          <w:i/>
          <w:sz w:val="20"/>
        </w:rPr>
        <w:t>E.R.</w:t>
      </w:r>
      <w:r>
        <w:rPr>
          <w:rFonts w:ascii="Arial" w:hAnsi="Arial"/>
          <w:i/>
          <w:spacing w:val="-2"/>
          <w:sz w:val="20"/>
        </w:rPr>
        <w:t> </w:t>
      </w:r>
      <w:r>
        <w:rPr>
          <w:rFonts w:ascii="Arial" w:hAnsi="Arial"/>
          <w:i/>
          <w:sz w:val="20"/>
        </w:rPr>
        <w:t>489</w:t>
      </w:r>
      <w:r>
        <w:rPr>
          <w:rFonts w:ascii="Arial" w:hAnsi="Arial"/>
          <w:i/>
          <w:spacing w:val="-3"/>
          <w:sz w:val="20"/>
        </w:rPr>
        <w:t> </w:t>
      </w:r>
      <w:r>
        <w:rPr>
          <w:sz w:val="20"/>
        </w:rPr>
        <w:t>at</w:t>
      </w:r>
      <w:r>
        <w:rPr>
          <w:spacing w:val="-2"/>
          <w:sz w:val="20"/>
        </w:rPr>
        <w:t> </w:t>
      </w:r>
      <w:r>
        <w:rPr>
          <w:sz w:val="20"/>
        </w:rPr>
        <w:t>516–518,</w:t>
      </w:r>
      <w:r>
        <w:rPr>
          <w:spacing w:val="-2"/>
          <w:sz w:val="20"/>
        </w:rPr>
        <w:t> </w:t>
      </w:r>
      <w:r>
        <w:rPr>
          <w:sz w:val="20"/>
        </w:rPr>
        <w:t>which</w:t>
      </w:r>
      <w:r>
        <w:rPr>
          <w:spacing w:val="-2"/>
          <w:sz w:val="20"/>
        </w:rPr>
        <w:t> </w:t>
      </w:r>
      <w:r>
        <w:rPr>
          <w:sz w:val="20"/>
        </w:rPr>
        <w:t>seem</w:t>
      </w:r>
      <w:r>
        <w:rPr>
          <w:spacing w:val="-2"/>
          <w:sz w:val="20"/>
        </w:rPr>
        <w:t> </w:t>
      </w:r>
      <w:r>
        <w:rPr>
          <w:sz w:val="20"/>
        </w:rPr>
        <w:t>to</w:t>
      </w:r>
      <w:r>
        <w:rPr>
          <w:spacing w:val="-2"/>
          <w:sz w:val="20"/>
        </w:rPr>
        <w:t> </w:t>
      </w:r>
      <w:r>
        <w:rPr>
          <w:sz w:val="20"/>
        </w:rPr>
        <w:t>assume</w:t>
      </w:r>
      <w:r>
        <w:rPr>
          <w:spacing w:val="-2"/>
          <w:sz w:val="20"/>
        </w:rPr>
        <w:t> </w:t>
      </w:r>
      <w:r>
        <w:rPr>
          <w:sz w:val="20"/>
        </w:rPr>
        <w:t>that estoppel by convention can give rise to new rights. This aspect of the case gives rise to the same difficulty as that discussed in relation to promissory estoppel at para.4-099 n.544, above. The actual decision in the </w:t>
      </w:r>
      <w:r>
        <w:rPr>
          <w:rFonts w:ascii="Arial" w:hAnsi="Arial"/>
          <w:i/>
          <w:sz w:val="20"/>
        </w:rPr>
        <w:t>Thornton Springer </w:t>
      </w:r>
      <w:r>
        <w:rPr>
          <w:sz w:val="20"/>
        </w:rPr>
        <w:t>case was that there was a contract supported by consideration in the form of “an implied promise not to take proceedings” (at p.516): see above, para.4-048.</w:t>
      </w:r>
      <w:r>
        <w:rPr>
          <w:spacing w:val="-1"/>
          <w:sz w:val="20"/>
        </w:rPr>
        <w:t> </w:t>
      </w:r>
      <w:r>
        <w:rPr>
          <w:sz w:val="20"/>
        </w:rPr>
        <w:t>The</w:t>
      </w:r>
      <w:r>
        <w:rPr>
          <w:spacing w:val="-1"/>
          <w:sz w:val="20"/>
        </w:rPr>
        <w:t> </w:t>
      </w:r>
      <w:r>
        <w:rPr>
          <w:sz w:val="20"/>
        </w:rPr>
        <w:t>view</w:t>
      </w:r>
      <w:r>
        <w:rPr>
          <w:spacing w:val="-1"/>
          <w:sz w:val="20"/>
        </w:rPr>
        <w:t> </w:t>
      </w:r>
      <w:r>
        <w:rPr>
          <w:sz w:val="20"/>
        </w:rPr>
        <w:t>that</w:t>
      </w:r>
      <w:r>
        <w:rPr>
          <w:spacing w:val="-1"/>
          <w:sz w:val="20"/>
        </w:rPr>
        <w:t> </w:t>
      </w:r>
      <w:r>
        <w:rPr>
          <w:sz w:val="20"/>
        </w:rPr>
        <w:t>estoppel</w:t>
      </w:r>
      <w:r>
        <w:rPr>
          <w:spacing w:val="-1"/>
          <w:sz w:val="20"/>
        </w:rPr>
        <w:t> </w:t>
      </w:r>
      <w:r>
        <w:rPr>
          <w:sz w:val="20"/>
        </w:rPr>
        <w:t>by</w:t>
      </w:r>
      <w:r>
        <w:rPr>
          <w:spacing w:val="-1"/>
          <w:sz w:val="20"/>
        </w:rPr>
        <w:t> </w:t>
      </w:r>
      <w:r>
        <w:rPr>
          <w:sz w:val="20"/>
        </w:rPr>
        <w:t>convention</w:t>
      </w:r>
      <w:r>
        <w:rPr>
          <w:spacing w:val="-1"/>
          <w:sz w:val="20"/>
        </w:rPr>
        <w:t> </w:t>
      </w:r>
      <w:r>
        <w:rPr>
          <w:sz w:val="20"/>
        </w:rPr>
        <w:t>cannot</w:t>
      </w:r>
      <w:r>
        <w:rPr>
          <w:spacing w:val="-1"/>
          <w:sz w:val="20"/>
        </w:rPr>
        <w:t> </w:t>
      </w:r>
      <w:r>
        <w:rPr>
          <w:sz w:val="20"/>
        </w:rPr>
        <w:t>create</w:t>
      </w:r>
      <w:r>
        <w:rPr>
          <w:spacing w:val="-1"/>
          <w:sz w:val="20"/>
        </w:rPr>
        <w:t> </w:t>
      </w:r>
      <w:r>
        <w:rPr>
          <w:sz w:val="20"/>
        </w:rPr>
        <w:t>new</w:t>
      </w:r>
      <w:r>
        <w:rPr>
          <w:spacing w:val="-1"/>
          <w:sz w:val="20"/>
        </w:rPr>
        <w:t> </w:t>
      </w:r>
      <w:r>
        <w:rPr>
          <w:sz w:val="20"/>
        </w:rPr>
        <w:t>rights</w:t>
      </w:r>
      <w:r>
        <w:rPr>
          <w:spacing w:val="-1"/>
          <w:sz w:val="20"/>
        </w:rPr>
        <w:t> </w:t>
      </w:r>
      <w:r>
        <w:rPr>
          <w:sz w:val="20"/>
        </w:rPr>
        <w:t>is</w:t>
      </w:r>
      <w:r>
        <w:rPr>
          <w:spacing w:val="-1"/>
          <w:sz w:val="20"/>
        </w:rPr>
        <w:t> </w:t>
      </w:r>
      <w:r>
        <w:rPr>
          <w:sz w:val="20"/>
        </w:rPr>
        <w:t>also</w:t>
      </w:r>
      <w:r>
        <w:rPr>
          <w:spacing w:val="-1"/>
          <w:sz w:val="20"/>
        </w:rPr>
        <w:t> </w:t>
      </w:r>
      <w:r>
        <w:rPr>
          <w:sz w:val="20"/>
        </w:rPr>
        <w:t>supported</w:t>
      </w:r>
      <w:r>
        <w:rPr>
          <w:spacing w:val="-1"/>
          <w:sz w:val="20"/>
        </w:rPr>
        <w:t> </w:t>
      </w:r>
      <w:r>
        <w:rPr>
          <w:sz w:val="20"/>
        </w:rPr>
        <w:t>by </w:t>
      </w:r>
      <w:r>
        <w:rPr>
          <w:rFonts w:ascii="Arial" w:hAnsi="Arial"/>
          <w:i/>
          <w:sz w:val="20"/>
        </w:rPr>
        <w:t>Smithkline</w:t>
      </w:r>
      <w:r>
        <w:rPr>
          <w:rFonts w:ascii="Arial" w:hAnsi="Arial"/>
          <w:i/>
          <w:spacing w:val="25"/>
          <w:sz w:val="20"/>
        </w:rPr>
        <w:t> </w:t>
      </w:r>
      <w:r>
        <w:rPr>
          <w:rFonts w:ascii="Arial" w:hAnsi="Arial"/>
          <w:i/>
          <w:sz w:val="20"/>
        </w:rPr>
        <w:t>Beecham</w:t>
      </w:r>
      <w:r>
        <w:rPr>
          <w:rFonts w:ascii="Arial" w:hAnsi="Arial"/>
          <w:i/>
          <w:spacing w:val="25"/>
          <w:sz w:val="20"/>
        </w:rPr>
        <w:t> </w:t>
      </w:r>
      <w:r>
        <w:rPr>
          <w:rFonts w:ascii="Arial" w:hAnsi="Arial"/>
          <w:i/>
          <w:sz w:val="20"/>
        </w:rPr>
        <w:t>plc</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Apotex</w:t>
      </w:r>
      <w:r>
        <w:rPr>
          <w:rFonts w:ascii="Arial" w:hAnsi="Arial"/>
          <w:i/>
          <w:spacing w:val="25"/>
          <w:sz w:val="20"/>
        </w:rPr>
        <w:t> </w:t>
      </w:r>
      <w:r>
        <w:rPr>
          <w:rFonts w:ascii="Arial" w:hAnsi="Arial"/>
          <w:i/>
          <w:sz w:val="20"/>
        </w:rPr>
        <w:t>Europe</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[2006]</w:t>
      </w:r>
      <w:r>
        <w:rPr>
          <w:rFonts w:ascii="Arial" w:hAnsi="Arial"/>
          <w:i/>
          <w:spacing w:val="25"/>
          <w:sz w:val="20"/>
        </w:rPr>
        <w:t> </w:t>
      </w:r>
      <w:r>
        <w:rPr>
          <w:rFonts w:ascii="Arial" w:hAnsi="Arial"/>
          <w:i/>
          <w:sz w:val="20"/>
        </w:rPr>
        <w:t>EWCA</w:t>
      </w:r>
      <w:r>
        <w:rPr>
          <w:rFonts w:ascii="Arial" w:hAnsi="Arial"/>
          <w:i/>
          <w:spacing w:val="25"/>
          <w:sz w:val="20"/>
        </w:rPr>
        <w:t> </w:t>
      </w:r>
      <w:r>
        <w:rPr>
          <w:rFonts w:ascii="Arial" w:hAnsi="Arial"/>
          <w:i/>
          <w:sz w:val="20"/>
        </w:rPr>
        <w:t>Civ</w:t>
      </w:r>
      <w:r>
        <w:rPr>
          <w:rFonts w:ascii="Arial" w:hAnsi="Arial"/>
          <w:i/>
          <w:spacing w:val="25"/>
          <w:sz w:val="20"/>
        </w:rPr>
        <w:t> </w:t>
      </w:r>
      <w:r>
        <w:rPr>
          <w:rFonts w:ascii="Arial" w:hAnsi="Arial"/>
          <w:i/>
          <w:sz w:val="20"/>
        </w:rPr>
        <w:t>658,</w:t>
      </w:r>
      <w:r>
        <w:rPr>
          <w:rFonts w:ascii="Arial" w:hAnsi="Arial"/>
          <w:i/>
          <w:spacing w:val="25"/>
          <w:sz w:val="20"/>
        </w:rPr>
        <w:t> </w:t>
      </w:r>
      <w:r>
        <w:rPr>
          <w:rFonts w:ascii="Arial" w:hAnsi="Arial"/>
          <w:i/>
          <w:sz w:val="20"/>
        </w:rPr>
        <w:t>[2007]</w:t>
      </w:r>
      <w:r>
        <w:rPr>
          <w:rFonts w:ascii="Arial" w:hAnsi="Arial"/>
          <w:i/>
          <w:spacing w:val="25"/>
          <w:sz w:val="20"/>
        </w:rPr>
        <w:t> </w:t>
      </w:r>
      <w:r>
        <w:rPr>
          <w:rFonts w:ascii="Arial" w:hAnsi="Arial"/>
          <w:i/>
          <w:sz w:val="20"/>
        </w:rPr>
        <w:t>Ch.</w:t>
      </w:r>
      <w:r>
        <w:rPr>
          <w:rFonts w:ascii="Arial" w:hAnsi="Arial"/>
          <w:i/>
          <w:spacing w:val="25"/>
          <w:sz w:val="20"/>
        </w:rPr>
        <w:t> </w:t>
      </w:r>
      <w:r>
        <w:rPr>
          <w:rFonts w:ascii="Arial" w:hAnsi="Arial"/>
          <w:i/>
          <w:sz w:val="20"/>
        </w:rPr>
        <w:t>71</w:t>
      </w:r>
      <w:r>
        <w:rPr>
          <w:rFonts w:ascii="Arial" w:hAnsi="Arial"/>
          <w:i/>
          <w:spacing w:val="24"/>
          <w:sz w:val="20"/>
        </w:rPr>
        <w:t> </w:t>
      </w:r>
      <w:r>
        <w:rPr>
          <w:sz w:val="20"/>
        </w:rPr>
        <w:t>at</w:t>
      </w:r>
      <w:r>
        <w:rPr>
          <w:spacing w:val="25"/>
          <w:sz w:val="20"/>
        </w:rPr>
        <w:t> </w:t>
      </w:r>
      <w:r>
        <w:rPr>
          <w:spacing w:val="-2"/>
          <w:sz w:val="20"/>
        </w:rPr>
        <w:t>[103],</w:t>
      </w:r>
    </w:p>
    <w:p>
      <w:pPr>
        <w:spacing w:line="235" w:lineRule="auto" w:before="0"/>
        <w:ind w:left="165" w:right="167" w:firstLine="0"/>
        <w:jc w:val="both"/>
        <w:rPr>
          <w:sz w:val="20"/>
        </w:rPr>
      </w:pPr>
      <w:r>
        <w:rPr>
          <w:sz w:val="20"/>
        </w:rPr>
        <w:drawing>
          <wp:anchor distT="0" distB="0" distL="0" distR="0" allowOverlap="1" layoutInCell="1" locked="0" behindDoc="0" simplePos="0" relativeHeight="15784448">
            <wp:simplePos x="0" y="0"/>
            <wp:positionH relativeFrom="page">
              <wp:posOffset>1257846</wp:posOffset>
            </wp:positionH>
            <wp:positionV relativeFrom="paragraph">
              <wp:posOffset>-1262384</wp:posOffset>
            </wp:positionV>
            <wp:extent cx="107988" cy="107988"/>
            <wp:effectExtent l="0" t="0" r="0" b="0"/>
            <wp:wrapNone/>
            <wp:docPr id="221" name="Image 221"/>
            <wp:cNvGraphicFramePr>
              <a:graphicFrameLocks/>
            </wp:cNvGraphicFramePr>
            <a:graphic>
              <a:graphicData uri="http://schemas.openxmlformats.org/drawingml/2006/picture">
                <pic:pic>
                  <pic:nvPicPr>
                    <pic:cNvPr id="221" name="Image 221"/>
                    <pic:cNvPicPr/>
                  </pic:nvPicPr>
                  <pic:blipFill>
                    <a:blip r:embed="rId7" cstate="print"/>
                    <a:stretch>
                      <a:fillRect/>
                    </a:stretch>
                  </pic:blipFill>
                  <pic:spPr>
                    <a:xfrm>
                      <a:off x="0" y="0"/>
                      <a:ext cx="107988" cy="107988"/>
                    </a:xfrm>
                    <a:prstGeom prst="rect">
                      <a:avLst/>
                    </a:prstGeom>
                  </pic:spPr>
                </pic:pic>
              </a:graphicData>
            </a:graphic>
          </wp:anchor>
        </w:drawing>
      </w:r>
      <w:r>
        <w:rPr>
          <w:sz w:val="20"/>
        </w:rPr>
        <w:t>[107] and [110], where the claim was based on estoppel by representation and by convention</w:t>
      </w:r>
      <w:r>
        <w:rPr>
          <w:spacing w:val="40"/>
          <w:sz w:val="20"/>
        </w:rPr>
        <w:t> </w:t>
      </w:r>
      <w:r>
        <w:rPr>
          <w:sz w:val="20"/>
        </w:rPr>
        <w:t>(at [102]). This was also the position in </w:t>
      </w:r>
      <w:r>
        <w:rPr>
          <w:rFonts w:ascii="Arial" w:hAnsi="Arial"/>
          <w:i/>
          <w:sz w:val="20"/>
        </w:rPr>
        <w:t>Haden Young Ltd v Laing O’Rourke Midlands Ltd [2008] EWHC 1016 (TCC) </w:t>
      </w:r>
      <w:r>
        <w:rPr>
          <w:sz w:val="20"/>
        </w:rPr>
        <w:t>(above, para.4-099) where the statement, at [169], that estoppel </w:t>
      </w:r>
      <w:r>
        <w:rPr>
          <w:sz w:val="20"/>
        </w:rPr>
        <w:t>by convention could not create a contract where none existed in fact seems to mean that such an estoppel cannot create a cause of action. See also the </w:t>
      </w:r>
      <w:r>
        <w:rPr>
          <w:rFonts w:ascii="Arial" w:hAnsi="Arial"/>
          <w:i/>
          <w:sz w:val="20"/>
        </w:rPr>
        <w:t>Mears case [2013] EWCA Civ 639 </w:t>
      </w:r>
      <w:r>
        <w:rPr>
          <w:sz w:val="20"/>
        </w:rPr>
        <w:t>at [24], quoted in n.682 above, and </w:t>
      </w:r>
      <w:r>
        <w:rPr>
          <w:rFonts w:ascii="Arial" w:hAnsi="Arial"/>
          <w:i/>
          <w:sz w:val="20"/>
        </w:rPr>
        <w:t>Transgrain Shipping BV v Deiulemar Shipping Ltd [2014] EWHC 4202 (Comm), [2015] 1 Lloyd’s Rep. 461</w:t>
      </w:r>
      <w:r>
        <w:rPr>
          <w:sz w:val="20"/>
        </w:rPr>
        <w:t>, where para.3-113 of the 31st edition of this book</w:t>
      </w:r>
      <w:r>
        <w:rPr>
          <w:spacing w:val="-2"/>
          <w:sz w:val="20"/>
        </w:rPr>
        <w:t> </w:t>
      </w:r>
      <w:r>
        <w:rPr>
          <w:sz w:val="20"/>
        </w:rPr>
        <w:t>(para.4-114</w:t>
      </w:r>
      <w:r>
        <w:rPr>
          <w:spacing w:val="-2"/>
          <w:sz w:val="20"/>
        </w:rPr>
        <w:t> </w:t>
      </w:r>
      <w:r>
        <w:rPr>
          <w:sz w:val="20"/>
        </w:rPr>
        <w:t>in</w:t>
      </w:r>
      <w:r>
        <w:rPr>
          <w:spacing w:val="-2"/>
          <w:sz w:val="20"/>
        </w:rPr>
        <w:t> </w:t>
      </w:r>
      <w:r>
        <w:rPr>
          <w:sz w:val="20"/>
        </w:rPr>
        <w:t>the</w:t>
      </w:r>
      <w:r>
        <w:rPr>
          <w:spacing w:val="-2"/>
          <w:sz w:val="20"/>
        </w:rPr>
        <w:t> </w:t>
      </w:r>
      <w:r>
        <w:rPr>
          <w:sz w:val="20"/>
        </w:rPr>
        <w:t>present</w:t>
      </w:r>
      <w:r>
        <w:rPr>
          <w:spacing w:val="-2"/>
          <w:sz w:val="20"/>
        </w:rPr>
        <w:t> </w:t>
      </w:r>
      <w:r>
        <w:rPr>
          <w:sz w:val="20"/>
        </w:rPr>
        <w:t>edition)</w:t>
      </w:r>
      <w:r>
        <w:rPr>
          <w:spacing w:val="-2"/>
          <w:sz w:val="20"/>
        </w:rPr>
        <w:t> </w:t>
      </w:r>
      <w:r>
        <w:rPr>
          <w:sz w:val="20"/>
        </w:rPr>
        <w:t>was</w:t>
      </w:r>
      <w:r>
        <w:rPr>
          <w:spacing w:val="-2"/>
          <w:sz w:val="20"/>
        </w:rPr>
        <w:t> </w:t>
      </w:r>
      <w:r>
        <w:rPr>
          <w:sz w:val="20"/>
        </w:rPr>
        <w:t>cited</w:t>
      </w:r>
      <w:r>
        <w:rPr>
          <w:spacing w:val="-2"/>
          <w:sz w:val="20"/>
        </w:rPr>
        <w:t> </w:t>
      </w:r>
      <w:r>
        <w:rPr>
          <w:sz w:val="20"/>
        </w:rPr>
        <w:t>at</w:t>
      </w:r>
      <w:r>
        <w:rPr>
          <w:spacing w:val="-2"/>
          <w:sz w:val="20"/>
        </w:rPr>
        <w:t> </w:t>
      </w:r>
      <w:r>
        <w:rPr>
          <w:sz w:val="20"/>
        </w:rPr>
        <w:t>[39]</w:t>
      </w:r>
      <w:r>
        <w:rPr>
          <w:spacing w:val="-2"/>
          <w:sz w:val="20"/>
        </w:rPr>
        <w:t> </w:t>
      </w:r>
      <w:r>
        <w:rPr>
          <w:sz w:val="20"/>
        </w:rPr>
        <w:t>with</w:t>
      </w:r>
      <w:r>
        <w:rPr>
          <w:spacing w:val="-2"/>
          <w:sz w:val="20"/>
        </w:rPr>
        <w:t> </w:t>
      </w:r>
      <w:r>
        <w:rPr>
          <w:sz w:val="20"/>
        </w:rPr>
        <w:t>apparent</w:t>
      </w:r>
      <w:r>
        <w:rPr>
          <w:spacing w:val="-2"/>
          <w:sz w:val="20"/>
        </w:rPr>
        <w:t> </w:t>
      </w:r>
      <w:r>
        <w:rPr>
          <w:sz w:val="20"/>
        </w:rPr>
        <w:t>approval</w:t>
      </w:r>
      <w:r>
        <w:rPr>
          <w:spacing w:val="-2"/>
          <w:sz w:val="20"/>
        </w:rPr>
        <w:t> </w:t>
      </w:r>
      <w:r>
        <w:rPr>
          <w:sz w:val="20"/>
        </w:rPr>
        <w:t>and</w:t>
      </w:r>
      <w:r>
        <w:rPr>
          <w:spacing w:val="-2"/>
          <w:sz w:val="20"/>
        </w:rPr>
        <w:t> </w:t>
      </w:r>
      <w:r>
        <w:rPr>
          <w:sz w:val="20"/>
        </w:rPr>
        <w:t>it</w:t>
      </w:r>
      <w:r>
        <w:rPr>
          <w:spacing w:val="-2"/>
          <w:sz w:val="20"/>
        </w:rPr>
        <w:t> </w:t>
      </w:r>
      <w:r>
        <w:rPr>
          <w:sz w:val="20"/>
        </w:rPr>
        <w:t>was</w:t>
      </w:r>
      <w:r>
        <w:rPr>
          <w:spacing w:val="-2"/>
          <w:sz w:val="20"/>
        </w:rPr>
        <w:t> </w:t>
      </w:r>
      <w:r>
        <w:rPr>
          <w:sz w:val="20"/>
        </w:rPr>
        <w:t>said (ibid.) that an estoppel “could not create an agreement”. See also </w:t>
      </w:r>
      <w:r>
        <w:rPr>
          <w:rFonts w:ascii="Arial" w:hAnsi="Arial"/>
          <w:i/>
          <w:sz w:val="20"/>
        </w:rPr>
        <w:t>Dixon v Blindley Heath Investments Ltd [2015] EWCA Civ 1023, [2017] 3 W.L.R. 166 </w:t>
      </w:r>
      <w:r>
        <w:rPr>
          <w:sz w:val="20"/>
        </w:rPr>
        <w:t>at [73], where it is said that the effect of estoppel by convention “is to bind the parties to their shared, even though mistaken understanding or assumption of law or facts on which their rights are to be determined (as in</w:t>
      </w:r>
      <w:r>
        <w:rPr>
          <w:spacing w:val="40"/>
          <w:sz w:val="20"/>
        </w:rPr>
        <w:t> </w:t>
      </w:r>
      <w:r>
        <w:rPr>
          <w:sz w:val="20"/>
        </w:rPr>
        <w:t>the</w:t>
      </w:r>
      <w:r>
        <w:rPr>
          <w:spacing w:val="8"/>
          <w:sz w:val="20"/>
        </w:rPr>
        <w:t> </w:t>
      </w:r>
      <w:r>
        <w:rPr>
          <w:sz w:val="20"/>
        </w:rPr>
        <w:t>case</w:t>
      </w:r>
      <w:r>
        <w:rPr>
          <w:spacing w:val="8"/>
          <w:sz w:val="20"/>
        </w:rPr>
        <w:t> </w:t>
      </w:r>
      <w:r>
        <w:rPr>
          <w:sz w:val="20"/>
        </w:rPr>
        <w:t>of</w:t>
      </w:r>
      <w:r>
        <w:rPr>
          <w:spacing w:val="8"/>
          <w:sz w:val="20"/>
        </w:rPr>
        <w:t> </w:t>
      </w:r>
      <w:r>
        <w:rPr>
          <w:sz w:val="20"/>
        </w:rPr>
        <w:t>estoppel</w:t>
      </w:r>
      <w:r>
        <w:rPr>
          <w:spacing w:val="8"/>
          <w:sz w:val="20"/>
        </w:rPr>
        <w:t> </w:t>
      </w:r>
      <w:r>
        <w:rPr>
          <w:sz w:val="20"/>
        </w:rPr>
        <w:t>by</w:t>
      </w:r>
      <w:r>
        <w:rPr>
          <w:spacing w:val="8"/>
          <w:sz w:val="20"/>
        </w:rPr>
        <w:t> </w:t>
      </w:r>
      <w:r>
        <w:rPr>
          <w:sz w:val="20"/>
        </w:rPr>
        <w:t>representation)</w:t>
      </w:r>
      <w:r>
        <w:rPr>
          <w:spacing w:val="8"/>
          <w:sz w:val="20"/>
        </w:rPr>
        <w:t> </w:t>
      </w:r>
      <w:r>
        <w:rPr>
          <w:sz w:val="20"/>
        </w:rPr>
        <w:t>rather</w:t>
      </w:r>
      <w:r>
        <w:rPr>
          <w:spacing w:val="8"/>
          <w:sz w:val="20"/>
        </w:rPr>
        <w:t> </w:t>
      </w:r>
      <w:r>
        <w:rPr>
          <w:sz w:val="20"/>
        </w:rPr>
        <w:t>than</w:t>
      </w:r>
      <w:r>
        <w:rPr>
          <w:spacing w:val="8"/>
          <w:sz w:val="20"/>
        </w:rPr>
        <w:t> </w:t>
      </w:r>
      <w:r>
        <w:rPr>
          <w:sz w:val="20"/>
        </w:rPr>
        <w:t>to</w:t>
      </w:r>
      <w:r>
        <w:rPr>
          <w:spacing w:val="8"/>
          <w:sz w:val="20"/>
        </w:rPr>
        <w:t> </w:t>
      </w:r>
      <w:r>
        <w:rPr>
          <w:sz w:val="20"/>
        </w:rPr>
        <w:t>provide</w:t>
      </w:r>
      <w:r>
        <w:rPr>
          <w:spacing w:val="8"/>
          <w:sz w:val="20"/>
        </w:rPr>
        <w:t> </w:t>
      </w:r>
      <w:r>
        <w:rPr>
          <w:sz w:val="20"/>
        </w:rPr>
        <w:t>a</w:t>
      </w:r>
      <w:r>
        <w:rPr>
          <w:spacing w:val="8"/>
          <w:sz w:val="20"/>
        </w:rPr>
        <w:t> </w:t>
      </w:r>
      <w:r>
        <w:rPr>
          <w:sz w:val="20"/>
        </w:rPr>
        <w:t>cause</w:t>
      </w:r>
      <w:r>
        <w:rPr>
          <w:spacing w:val="8"/>
          <w:sz w:val="20"/>
        </w:rPr>
        <w:t> </w:t>
      </w:r>
      <w:r>
        <w:rPr>
          <w:sz w:val="20"/>
        </w:rPr>
        <w:t>of</w:t>
      </w:r>
      <w:r>
        <w:rPr>
          <w:spacing w:val="8"/>
          <w:sz w:val="20"/>
        </w:rPr>
        <w:t> </w:t>
      </w:r>
      <w:r>
        <w:rPr>
          <w:sz w:val="20"/>
        </w:rPr>
        <w:t>action</w:t>
      </w:r>
      <w:r>
        <w:rPr>
          <w:spacing w:val="8"/>
          <w:sz w:val="20"/>
        </w:rPr>
        <w:t> </w:t>
      </w:r>
      <w:r>
        <w:rPr>
          <w:sz w:val="20"/>
        </w:rPr>
        <w:t>(as</w:t>
      </w:r>
      <w:r>
        <w:rPr>
          <w:spacing w:val="8"/>
          <w:sz w:val="20"/>
        </w:rPr>
        <w:t> </w:t>
      </w:r>
      <w:r>
        <w:rPr>
          <w:sz w:val="20"/>
        </w:rPr>
        <w:t>in</w:t>
      </w:r>
      <w:r>
        <w:rPr>
          <w:spacing w:val="8"/>
          <w:sz w:val="20"/>
        </w:rPr>
        <w:t> </w:t>
      </w:r>
      <w:r>
        <w:rPr>
          <w:sz w:val="20"/>
        </w:rPr>
        <w:t>the</w:t>
      </w:r>
      <w:r>
        <w:rPr>
          <w:spacing w:val="8"/>
          <w:sz w:val="20"/>
        </w:rPr>
        <w:t> </w:t>
      </w:r>
      <w:r>
        <w:rPr>
          <w:spacing w:val="-4"/>
          <w:sz w:val="20"/>
        </w:rPr>
        <w:t>case</w:t>
      </w:r>
    </w:p>
    <w:p>
      <w:pPr>
        <w:spacing w:after="0" w:line="235" w:lineRule="auto"/>
        <w:jc w:val="both"/>
        <w:rPr>
          <w:sz w:val="20"/>
        </w:rPr>
        <w:sectPr>
          <w:type w:val="continuous"/>
          <w:pgSz w:w="11900" w:h="16840"/>
          <w:pgMar w:header="971" w:footer="0" w:top="3760" w:bottom="280" w:left="1275" w:right="1275"/>
          <w:cols w:num="2" w:equalWidth="0">
            <w:col w:w="478" w:space="63"/>
            <w:col w:w="8809"/>
          </w:cols>
        </w:sectPr>
      </w:pPr>
    </w:p>
    <w:p>
      <w:pPr>
        <w:pStyle w:val="BodyText"/>
        <w:spacing w:before="24"/>
      </w:pPr>
    </w:p>
    <w:p>
      <w:pPr>
        <w:pStyle w:val="BodyText"/>
        <w:spacing w:line="235" w:lineRule="auto" w:before="1"/>
        <w:ind w:left="705" w:right="167"/>
        <w:jc w:val="both"/>
      </w:pPr>
      <w:r>
        <w:rPr/>
        <w:t>of promissory estoppel and proprietary estoppel)”. Insofar as this passage supports the </w:t>
      </w:r>
      <w:r>
        <w:rPr/>
        <w:t>view that the effect of promissory estoppel gives rise to a cause of action, it is, with respect, inconsistent with the authorities discussed in para.4-099 of the Main Work which on balance support the view that promissory estoppel does </w:t>
      </w:r>
      <w:r>
        <w:rPr>
          <w:rFonts w:ascii="Arial" w:hAnsi="Arial"/>
          <w:i/>
        </w:rPr>
        <w:t>not </w:t>
      </w:r>
      <w:r>
        <w:rPr/>
        <w:t>of itself give rise to a cause of action;</w:t>
      </w:r>
      <w:r>
        <w:rPr>
          <w:spacing w:val="40"/>
        </w:rPr>
        <w:t> </w:t>
      </w:r>
      <w:r>
        <w:rPr/>
        <w:t>though</w:t>
      </w:r>
      <w:r>
        <w:rPr>
          <w:spacing w:val="-1"/>
        </w:rPr>
        <w:t> </w:t>
      </w:r>
      <w:r>
        <w:rPr/>
        <w:t>(as</w:t>
      </w:r>
      <w:r>
        <w:rPr>
          <w:spacing w:val="-1"/>
        </w:rPr>
        <w:t> </w:t>
      </w:r>
      <w:r>
        <w:rPr/>
        <w:t>is</w:t>
      </w:r>
      <w:r>
        <w:rPr>
          <w:spacing w:val="-1"/>
        </w:rPr>
        <w:t> </w:t>
      </w:r>
      <w:r>
        <w:rPr/>
        <w:t>pointed</w:t>
      </w:r>
      <w:r>
        <w:rPr>
          <w:spacing w:val="-1"/>
        </w:rPr>
        <w:t> </w:t>
      </w:r>
      <w:r>
        <w:rPr/>
        <w:t>out</w:t>
      </w:r>
      <w:r>
        <w:rPr>
          <w:spacing w:val="-1"/>
        </w:rPr>
        <w:t> </w:t>
      </w:r>
      <w:r>
        <w:rPr/>
        <w:t>in</w:t>
      </w:r>
      <w:r>
        <w:rPr>
          <w:spacing w:val="-1"/>
        </w:rPr>
        <w:t> </w:t>
      </w:r>
      <w:r>
        <w:rPr/>
        <w:t>n.550</w:t>
      </w:r>
      <w:r>
        <w:rPr>
          <w:spacing w:val="-1"/>
        </w:rPr>
        <w:t> </w:t>
      </w:r>
      <w:r>
        <w:rPr/>
        <w:t>to</w:t>
      </w:r>
      <w:r>
        <w:rPr>
          <w:spacing w:val="-1"/>
        </w:rPr>
        <w:t> </w:t>
      </w:r>
      <w:r>
        <w:rPr/>
        <w:t>that</w:t>
      </w:r>
      <w:r>
        <w:rPr>
          <w:spacing w:val="-1"/>
        </w:rPr>
        <w:t> </w:t>
      </w:r>
      <w:r>
        <w:rPr/>
        <w:t>paragraph)</w:t>
      </w:r>
      <w:r>
        <w:rPr>
          <w:spacing w:val="-1"/>
        </w:rPr>
        <w:t> </w:t>
      </w:r>
      <w:r>
        <w:rPr/>
        <w:t>this</w:t>
      </w:r>
      <w:r>
        <w:rPr>
          <w:spacing w:val="-1"/>
        </w:rPr>
        <w:t> </w:t>
      </w:r>
      <w:r>
        <w:rPr/>
        <w:t>position</w:t>
      </w:r>
      <w:r>
        <w:rPr>
          <w:spacing w:val="-1"/>
        </w:rPr>
        <w:t> </w:t>
      </w:r>
      <w:r>
        <w:rPr/>
        <w:t>has</w:t>
      </w:r>
      <w:r>
        <w:rPr>
          <w:spacing w:val="-1"/>
        </w:rPr>
        <w:t> </w:t>
      </w:r>
      <w:r>
        <w:rPr/>
        <w:t>given</w:t>
      </w:r>
      <w:r>
        <w:rPr>
          <w:spacing w:val="-1"/>
        </w:rPr>
        <w:t> </w:t>
      </w:r>
      <w:r>
        <w:rPr/>
        <w:t>rise</w:t>
      </w:r>
      <w:r>
        <w:rPr>
          <w:spacing w:val="-1"/>
        </w:rPr>
        <w:t> </w:t>
      </w:r>
      <w:r>
        <w:rPr/>
        <w:t>to</w:t>
      </w:r>
      <w:r>
        <w:rPr>
          <w:spacing w:val="-1"/>
        </w:rPr>
        <w:t> </w:t>
      </w:r>
      <w:r>
        <w:rPr/>
        <w:t>some</w:t>
      </w:r>
      <w:r>
        <w:rPr>
          <w:spacing w:val="-1"/>
        </w:rPr>
        <w:t> </w:t>
      </w:r>
      <w:r>
        <w:rPr/>
        <w:t>judicial “unease”:</w:t>
      </w:r>
      <w:r>
        <w:rPr>
          <w:spacing w:val="-1"/>
        </w:rPr>
        <w:t> </w:t>
      </w:r>
      <w:r>
        <w:rPr>
          <w:rFonts w:ascii="Arial" w:hAnsi="Arial"/>
          <w:i/>
        </w:rPr>
        <w:t>Newport City Council v Charles [2008] EWCA Civ 1541, [2009] 1 W.L.R. 1884</w:t>
      </w:r>
      <w:r>
        <w:rPr>
          <w:rFonts w:ascii="Arial" w:hAnsi="Arial"/>
          <w:i/>
          <w:spacing w:val="-1"/>
        </w:rPr>
        <w:t> </w:t>
      </w:r>
      <w:r>
        <w:rPr/>
        <w:t>at </w:t>
      </w:r>
      <w:r>
        <w:rPr>
          <w:spacing w:val="-2"/>
        </w:rPr>
        <w:t>[28].</w:t>
      </w:r>
    </w:p>
    <w:p>
      <w:pPr>
        <w:pStyle w:val="BodyText"/>
        <w:spacing w:before="7"/>
      </w:pPr>
    </w:p>
    <w:p>
      <w:pPr>
        <w:spacing w:line="235" w:lineRule="auto" w:before="0"/>
        <w:ind w:left="705" w:right="167" w:hanging="541"/>
        <w:jc w:val="both"/>
        <w:rPr>
          <w:sz w:val="20"/>
        </w:rPr>
      </w:pPr>
      <w:bookmarkStart w:name="_bookmark1328" w:id="1330"/>
      <w:bookmarkEnd w:id="1330"/>
      <w:r>
        <w:rPr/>
      </w:r>
      <w:hyperlink w:history="true" w:anchor="_bookmark1086">
        <w:r>
          <w:rPr>
            <w:color w:val="005DA1"/>
            <w:position w:val="5"/>
            <w:sz w:val="14"/>
            <w:u w:val="single" w:color="005DA1"/>
          </w:rPr>
          <w:t>701</w:t>
        </w:r>
      </w:hyperlink>
      <w:r>
        <w:rPr>
          <w:position w:val="5"/>
          <w:sz w:val="14"/>
        </w:rPr>
        <w:t>.</w:t>
      </w:r>
      <w:r>
        <w:rPr>
          <w:spacing w:val="80"/>
          <w:w w:val="150"/>
          <w:position w:val="5"/>
          <w:sz w:val="14"/>
        </w:rPr>
        <w:t> </w:t>
      </w:r>
      <w:r>
        <w:rPr>
          <w:rFonts w:ascii="Arial" w:hAnsi="Arial"/>
          <w:i/>
          <w:sz w:val="20"/>
        </w:rPr>
        <w:t>Orion Insurance plc v Sphere Drake Insurance [1922] 1 Lloyd’s Rep. 239</w:t>
      </w:r>
      <w:r>
        <w:rPr>
          <w:sz w:val="20"/>
        </w:rPr>
        <w:t>. But an estoppel by convention may be based on an arrangement which, for want of contractual intention, </w:t>
      </w:r>
      <w:r>
        <w:rPr>
          <w:sz w:val="20"/>
        </w:rPr>
        <w:t>lacks contractual force where the liability in respect of which it is invoked arises otherwise than under a contract: </w:t>
      </w:r>
      <w:r>
        <w:rPr>
          <w:rFonts w:ascii="Arial" w:hAnsi="Arial"/>
          <w:i/>
          <w:sz w:val="20"/>
        </w:rPr>
        <w:t>Revenue and Customs Commissioners v Benchdollar Ltd [2009] EWHC 1310 (Ch)</w:t>
      </w:r>
      <w:r>
        <w:rPr>
          <w:rFonts w:ascii="Arial" w:hAnsi="Arial"/>
          <w:i/>
          <w:spacing w:val="40"/>
          <w:sz w:val="20"/>
        </w:rPr>
        <w:t> </w:t>
      </w:r>
      <w:r>
        <w:rPr>
          <w:sz w:val="20"/>
        </w:rPr>
        <w:t>at [51] (estoppel by convention “arising out of non-contractual dealings”).</w:t>
      </w:r>
    </w:p>
    <w:p>
      <w:pPr>
        <w:pStyle w:val="BodyText"/>
        <w:spacing w:before="8"/>
      </w:pPr>
    </w:p>
    <w:p>
      <w:pPr>
        <w:pStyle w:val="BodyText"/>
        <w:spacing w:line="235" w:lineRule="auto" w:before="1"/>
        <w:ind w:left="705" w:right="167" w:hanging="541"/>
        <w:jc w:val="both"/>
      </w:pPr>
      <w:bookmarkStart w:name="_bookmark1329" w:id="1331"/>
      <w:bookmarkEnd w:id="1331"/>
      <w:r>
        <w:rPr/>
      </w:r>
      <w:hyperlink w:history="true" w:anchor="_bookmark1086">
        <w:r>
          <w:rPr>
            <w:color w:val="005DA1"/>
            <w:position w:val="5"/>
            <w:sz w:val="14"/>
            <w:u w:val="single" w:color="005DA1"/>
          </w:rPr>
          <w:t>702</w:t>
        </w:r>
      </w:hyperlink>
      <w:r>
        <w:rPr>
          <w:position w:val="5"/>
          <w:sz w:val="14"/>
        </w:rPr>
        <w:t>.</w:t>
      </w:r>
      <w:r>
        <w:rPr>
          <w:spacing w:val="80"/>
          <w:position w:val="5"/>
          <w:sz w:val="14"/>
        </w:rPr>
        <w:t>  </w:t>
      </w:r>
      <w:r>
        <w:rPr>
          <w:rFonts w:ascii="Arial" w:hAnsi="Arial"/>
          <w:i/>
        </w:rPr>
        <w:t>Yaxley v Gotts [2000] Ch. 162 </w:t>
      </w:r>
      <w:r>
        <w:rPr/>
        <w:t>at 182. A party may, however, be liable on an agreement </w:t>
      </w:r>
      <w:r>
        <w:rPr/>
        <w:t>which does not comply with the formal requirements of s.2(1) of the Law of Property (Miscellaneous Provisions) Act 1989 on the basis of a </w:t>
      </w:r>
      <w:r>
        <w:rPr>
          <w:rFonts w:ascii="Arial" w:hAnsi="Arial"/>
          <w:i/>
        </w:rPr>
        <w:t>proprietary </w:t>
      </w:r>
      <w:r>
        <w:rPr/>
        <w:t>estoppel amounting, or giving rise also, to a constructive trust: see </w:t>
      </w:r>
      <w:r>
        <w:rPr>
          <w:rFonts w:ascii="Arial" w:hAnsi="Arial"/>
          <w:i/>
        </w:rPr>
        <w:t>Kinane v Mackie Conteh [2005] EWCA Civ 45, [2005] W.T.L.R. 345</w:t>
      </w:r>
      <w:r>
        <w:rPr/>
        <w:t>, below paras 4-141, 5-040. Such liability arises by virtue of s.2(5) of the 1989 Act. On the question whether a defendant would be so liable, if his conduct gave rise to a proprietary estoppel but </w:t>
      </w:r>
      <w:r>
        <w:rPr>
          <w:rFonts w:ascii="Arial" w:hAnsi="Arial"/>
          <w:i/>
        </w:rPr>
        <w:t>not </w:t>
      </w:r>
      <w:r>
        <w:rPr/>
        <w:t>to a constructive trust, there may be a difference of judicial opinion in the </w:t>
      </w:r>
      <w:r>
        <w:rPr>
          <w:rFonts w:ascii="Arial" w:hAnsi="Arial"/>
          <w:i/>
        </w:rPr>
        <w:t>Kinane </w:t>
      </w:r>
      <w:r>
        <w:rPr/>
        <w:t>case when Arden L.J. at [28] can be read as taking the view that the s.2(5) exception to s.2(1) would apply in such a case, while Neuberger L.J. at [46] takes the opposite view. In </w:t>
      </w:r>
      <w:r>
        <w:rPr>
          <w:rFonts w:ascii="Arial" w:hAnsi="Arial"/>
          <w:i/>
        </w:rPr>
        <w:t>Cobbe v Yeoman’s Row Management Ltd [2008] UKHL 55, [2008] 1 W.L.R. 1752</w:t>
      </w:r>
      <w:r>
        <w:rPr>
          <w:rFonts w:ascii="Arial" w:hAnsi="Arial"/>
          <w:i/>
          <w:spacing w:val="-1"/>
        </w:rPr>
        <w:t> </w:t>
      </w:r>
      <w:r>
        <w:rPr/>
        <w:t>(below, paras 4-161 to 4-167), the latter view is also supported by Lord Scott at [29] (with whose speech</w:t>
      </w:r>
      <w:r>
        <w:rPr>
          <w:spacing w:val="40"/>
        </w:rPr>
        <w:t> </w:t>
      </w:r>
      <w:r>
        <w:rPr/>
        <w:t>Lords</w:t>
      </w:r>
      <w:r>
        <w:rPr>
          <w:spacing w:val="-1"/>
        </w:rPr>
        <w:t> </w:t>
      </w:r>
      <w:r>
        <w:rPr/>
        <w:t>Hoffmann,</w:t>
      </w:r>
      <w:r>
        <w:rPr>
          <w:spacing w:val="-1"/>
        </w:rPr>
        <w:t> </w:t>
      </w:r>
      <w:r>
        <w:rPr/>
        <w:t>Brown</w:t>
      </w:r>
      <w:r>
        <w:rPr>
          <w:spacing w:val="-1"/>
        </w:rPr>
        <w:t> </w:t>
      </w:r>
      <w:r>
        <w:rPr/>
        <w:t>and</w:t>
      </w:r>
      <w:r>
        <w:rPr>
          <w:spacing w:val="-1"/>
        </w:rPr>
        <w:t> </w:t>
      </w:r>
      <w:r>
        <w:rPr/>
        <w:t>Mance</w:t>
      </w:r>
      <w:r>
        <w:rPr>
          <w:spacing w:val="-1"/>
        </w:rPr>
        <w:t> </w:t>
      </w:r>
      <w:r>
        <w:rPr/>
        <w:t>agreed)</w:t>
      </w:r>
      <w:r>
        <w:rPr>
          <w:spacing w:val="-1"/>
        </w:rPr>
        <w:t> </w:t>
      </w:r>
      <w:r>
        <w:rPr/>
        <w:t>who</w:t>
      </w:r>
      <w:r>
        <w:rPr>
          <w:spacing w:val="-1"/>
        </w:rPr>
        <w:t> </w:t>
      </w:r>
      <w:r>
        <w:rPr/>
        <w:t>added</w:t>
      </w:r>
      <w:r>
        <w:rPr>
          <w:spacing w:val="-1"/>
        </w:rPr>
        <w:t> </w:t>
      </w:r>
      <w:r>
        <w:rPr/>
        <w:t>that</w:t>
      </w:r>
      <w:r>
        <w:rPr>
          <w:spacing w:val="-1"/>
        </w:rPr>
        <w:t> </w:t>
      </w:r>
      <w:r>
        <w:rPr/>
        <w:t>it</w:t>
      </w:r>
      <w:r>
        <w:rPr>
          <w:spacing w:val="-1"/>
        </w:rPr>
        <w:t> </w:t>
      </w:r>
      <w:r>
        <w:rPr/>
        <w:t>was</w:t>
      </w:r>
      <w:r>
        <w:rPr>
          <w:spacing w:val="-1"/>
        </w:rPr>
        <w:t> </w:t>
      </w:r>
      <w:r>
        <w:rPr/>
        <w:t>not</w:t>
      </w:r>
      <w:r>
        <w:rPr>
          <w:spacing w:val="-1"/>
        </w:rPr>
        <w:t> </w:t>
      </w:r>
      <w:r>
        <w:rPr/>
        <w:t>necessary</w:t>
      </w:r>
      <w:r>
        <w:rPr>
          <w:spacing w:val="-1"/>
        </w:rPr>
        <w:t> </w:t>
      </w:r>
      <w:r>
        <w:rPr/>
        <w:t>to</w:t>
      </w:r>
      <w:r>
        <w:rPr>
          <w:spacing w:val="-1"/>
        </w:rPr>
        <w:t> </w:t>
      </w:r>
      <w:r>
        <w:rPr/>
        <w:t>resolve</w:t>
      </w:r>
      <w:r>
        <w:rPr>
          <w:spacing w:val="-1"/>
        </w:rPr>
        <w:t> </w:t>
      </w:r>
      <w:r>
        <w:rPr/>
        <w:t>the question since in that case the agreement was not specifically enforceable (quite apart from</w:t>
      </w:r>
      <w:r>
        <w:rPr>
          <w:spacing w:val="40"/>
        </w:rPr>
        <w:t> </w:t>
      </w:r>
      <w:r>
        <w:rPr/>
        <w:t>s.2) as it “remained incomplete” (above, para.2-119). Probably for this reason, Lord Walker in the</w:t>
      </w:r>
      <w:r>
        <w:rPr>
          <w:spacing w:val="-2"/>
        </w:rPr>
        <w:t> </w:t>
      </w:r>
      <w:r>
        <w:rPr>
          <w:rFonts w:ascii="Arial" w:hAnsi="Arial"/>
          <w:i/>
        </w:rPr>
        <w:t>Cobbe</w:t>
      </w:r>
      <w:r>
        <w:rPr>
          <w:rFonts w:ascii="Arial" w:hAnsi="Arial"/>
          <w:i/>
          <w:spacing w:val="-2"/>
        </w:rPr>
        <w:t> </w:t>
      </w:r>
      <w:r>
        <w:rPr>
          <w:rFonts w:ascii="Arial" w:hAnsi="Arial"/>
          <w:i/>
        </w:rPr>
        <w:t>case</w:t>
      </w:r>
      <w:r>
        <w:rPr>
          <w:rFonts w:ascii="Arial" w:hAnsi="Arial"/>
          <w:i/>
          <w:spacing w:val="-2"/>
        </w:rPr>
        <w:t> </w:t>
      </w:r>
      <w:r>
        <w:rPr>
          <w:rFonts w:ascii="Arial" w:hAnsi="Arial"/>
          <w:i/>
        </w:rPr>
        <w:t>[2008]</w:t>
      </w:r>
      <w:r>
        <w:rPr>
          <w:rFonts w:ascii="Arial" w:hAnsi="Arial"/>
          <w:i/>
          <w:spacing w:val="-2"/>
        </w:rPr>
        <w:t> </w:t>
      </w:r>
      <w:r>
        <w:rPr>
          <w:rFonts w:ascii="Arial" w:hAnsi="Arial"/>
          <w:i/>
        </w:rPr>
        <w:t>UKHL</w:t>
      </w:r>
      <w:r>
        <w:rPr>
          <w:rFonts w:ascii="Arial" w:hAnsi="Arial"/>
          <w:i/>
          <w:spacing w:val="-2"/>
        </w:rPr>
        <w:t> </w:t>
      </w:r>
      <w:r>
        <w:rPr>
          <w:rFonts w:ascii="Arial" w:hAnsi="Arial"/>
          <w:i/>
        </w:rPr>
        <w:t>55,</w:t>
      </w:r>
      <w:r>
        <w:rPr>
          <w:rFonts w:ascii="Arial" w:hAnsi="Arial"/>
          <w:i/>
          <w:spacing w:val="-2"/>
        </w:rPr>
        <w:t> </w:t>
      </w:r>
      <w:r>
        <w:rPr>
          <w:rFonts w:ascii="Arial" w:hAnsi="Arial"/>
          <w:i/>
        </w:rPr>
        <w:t>[2008]</w:t>
      </w:r>
      <w:r>
        <w:rPr>
          <w:rFonts w:ascii="Arial" w:hAnsi="Arial"/>
          <w:i/>
          <w:spacing w:val="-2"/>
        </w:rPr>
        <w:t> </w:t>
      </w:r>
      <w:r>
        <w:rPr>
          <w:rFonts w:ascii="Arial" w:hAnsi="Arial"/>
          <w:i/>
        </w:rPr>
        <w:t>1</w:t>
      </w:r>
      <w:r>
        <w:rPr>
          <w:rFonts w:ascii="Arial" w:hAnsi="Arial"/>
          <w:i/>
          <w:spacing w:val="-2"/>
        </w:rPr>
        <w:t> </w:t>
      </w:r>
      <w:r>
        <w:rPr>
          <w:rFonts w:ascii="Arial" w:hAnsi="Arial"/>
          <w:i/>
        </w:rPr>
        <w:t>W.L.R.</w:t>
      </w:r>
      <w:r>
        <w:rPr>
          <w:rFonts w:ascii="Arial" w:hAnsi="Arial"/>
          <w:i/>
          <w:spacing w:val="-2"/>
        </w:rPr>
        <w:t> </w:t>
      </w:r>
      <w:r>
        <w:rPr>
          <w:rFonts w:ascii="Arial" w:hAnsi="Arial"/>
          <w:i/>
        </w:rPr>
        <w:t>1752</w:t>
      </w:r>
      <w:r>
        <w:rPr>
          <w:rFonts w:ascii="Arial" w:hAnsi="Arial"/>
          <w:i/>
          <w:spacing w:val="-2"/>
        </w:rPr>
        <w:t> </w:t>
      </w:r>
      <w:r>
        <w:rPr/>
        <w:t>at</w:t>
      </w:r>
      <w:r>
        <w:rPr>
          <w:spacing w:val="-2"/>
        </w:rPr>
        <w:t> </w:t>
      </w:r>
      <w:r>
        <w:rPr/>
        <w:t>[93]</w:t>
      </w:r>
      <w:r>
        <w:rPr>
          <w:spacing w:val="-2"/>
        </w:rPr>
        <w:t> </w:t>
      </w:r>
      <w:r>
        <w:rPr/>
        <w:t>said</w:t>
      </w:r>
      <w:r>
        <w:rPr>
          <w:spacing w:val="-2"/>
        </w:rPr>
        <w:t> </w:t>
      </w:r>
      <w:r>
        <w:rPr/>
        <w:t>that</w:t>
      </w:r>
      <w:r>
        <w:rPr>
          <w:spacing w:val="-2"/>
        </w:rPr>
        <w:t> </w:t>
      </w:r>
      <w:r>
        <w:rPr/>
        <w:t>it</w:t>
      </w:r>
      <w:r>
        <w:rPr>
          <w:spacing w:val="-2"/>
        </w:rPr>
        <w:t> </w:t>
      </w:r>
      <w:r>
        <w:rPr/>
        <w:t>was</w:t>
      </w:r>
      <w:r>
        <w:rPr>
          <w:spacing w:val="-2"/>
        </w:rPr>
        <w:t> </w:t>
      </w:r>
      <w:r>
        <w:rPr/>
        <w:t>“not</w:t>
      </w:r>
      <w:r>
        <w:rPr>
          <w:spacing w:val="-2"/>
        </w:rPr>
        <w:t> </w:t>
      </w:r>
      <w:r>
        <w:rPr/>
        <w:t>necessary</w:t>
      </w:r>
      <w:r>
        <w:rPr>
          <w:spacing w:val="-2"/>
        </w:rPr>
        <w:t> </w:t>
      </w:r>
      <w:r>
        <w:rPr/>
        <w:t>to consider the issue on section 2”. See also </w:t>
      </w:r>
      <w:r>
        <w:rPr>
          <w:rFonts w:ascii="Arial" w:hAnsi="Arial"/>
          <w:i/>
        </w:rPr>
        <w:t>Thorner v Major [2009] UKHL 18, [2009] 1 W.L.R. 776 </w:t>
      </w:r>
      <w:r>
        <w:rPr/>
        <w:t>(below, para.4-149) where Lord Neuberger said at [99] that “as at present advised” he did “not consider that section 2 [of the 1989 Act] … ha[d] any impact on … a straightforward estoppel</w:t>
      </w:r>
      <w:r>
        <w:rPr>
          <w:spacing w:val="-1"/>
        </w:rPr>
        <w:t> </w:t>
      </w:r>
      <w:r>
        <w:rPr/>
        <w:t>claim</w:t>
      </w:r>
      <w:r>
        <w:rPr>
          <w:spacing w:val="-1"/>
        </w:rPr>
        <w:t> </w:t>
      </w:r>
      <w:r>
        <w:rPr/>
        <w:t>without</w:t>
      </w:r>
      <w:r>
        <w:rPr>
          <w:spacing w:val="-1"/>
        </w:rPr>
        <w:t> </w:t>
      </w:r>
      <w:r>
        <w:rPr/>
        <w:t>any</w:t>
      </w:r>
      <w:r>
        <w:rPr>
          <w:spacing w:val="-1"/>
        </w:rPr>
        <w:t> </w:t>
      </w:r>
      <w:r>
        <w:rPr/>
        <w:t>contractual</w:t>
      </w:r>
      <w:r>
        <w:rPr>
          <w:spacing w:val="-1"/>
        </w:rPr>
        <w:t> </w:t>
      </w:r>
      <w:r>
        <w:rPr/>
        <w:t>connection”;</w:t>
      </w:r>
      <w:r>
        <w:rPr>
          <w:spacing w:val="-1"/>
        </w:rPr>
        <w:t> </w:t>
      </w:r>
      <w:r>
        <w:rPr/>
        <w:t>in</w:t>
      </w:r>
      <w:r>
        <w:rPr>
          <w:spacing w:val="-1"/>
        </w:rPr>
        <w:t> </w:t>
      </w:r>
      <w:r>
        <w:rPr/>
        <w:t>this</w:t>
      </w:r>
      <w:r>
        <w:rPr>
          <w:spacing w:val="-1"/>
        </w:rPr>
        <w:t> </w:t>
      </w:r>
      <w:r>
        <w:rPr/>
        <w:t>respect</w:t>
      </w:r>
      <w:r>
        <w:rPr>
          <w:spacing w:val="-1"/>
        </w:rPr>
        <w:t> </w:t>
      </w:r>
      <w:r>
        <w:rPr/>
        <w:t>the</w:t>
      </w:r>
      <w:r>
        <w:rPr>
          <w:spacing w:val="-1"/>
        </w:rPr>
        <w:t> </w:t>
      </w:r>
      <w:r>
        <w:rPr/>
        <w:t>claim</w:t>
      </w:r>
      <w:r>
        <w:rPr>
          <w:spacing w:val="-1"/>
        </w:rPr>
        <w:t> </w:t>
      </w:r>
      <w:r>
        <w:rPr/>
        <w:t>in</w:t>
      </w:r>
      <w:r>
        <w:rPr>
          <w:spacing w:val="-1"/>
        </w:rPr>
        <w:t> </w:t>
      </w:r>
      <w:r>
        <w:rPr/>
        <w:t>this</w:t>
      </w:r>
      <w:r>
        <w:rPr>
          <w:spacing w:val="-1"/>
        </w:rPr>
        <w:t> </w:t>
      </w:r>
      <w:r>
        <w:rPr/>
        <w:t>case</w:t>
      </w:r>
      <w:r>
        <w:rPr>
          <w:spacing w:val="-1"/>
        </w:rPr>
        <w:t> </w:t>
      </w:r>
      <w:r>
        <w:rPr/>
        <w:t>differed from that in the </w:t>
      </w:r>
      <w:r>
        <w:rPr>
          <w:rFonts w:ascii="Arial" w:hAnsi="Arial"/>
          <w:i/>
        </w:rPr>
        <w:t>Cobbe </w:t>
      </w:r>
      <w:r>
        <w:rPr/>
        <w:t>case (cited above in this note). Where s.2 thus had “no impact”, there would be no need to rely on the s.2(5) exception to s.2(1). For the relationship between proprietary estoppel and constructive trusts, see below, para.4-142. The requirements of proprietary estoppel (below, paras 4-147 to 4-164) differ widely from those of estoppel by convention (above, paras 4-108 to 4-111).</w:t>
      </w:r>
    </w:p>
    <w:p>
      <w:pPr>
        <w:pStyle w:val="BodyText"/>
      </w:pPr>
    </w:p>
    <w:p>
      <w:pPr>
        <w:spacing w:line="235" w:lineRule="auto" w:before="0"/>
        <w:ind w:left="705" w:right="167" w:hanging="541"/>
        <w:jc w:val="both"/>
        <w:rPr>
          <w:sz w:val="20"/>
        </w:rPr>
      </w:pPr>
      <w:bookmarkStart w:name="_bookmark1330" w:id="1332"/>
      <w:bookmarkEnd w:id="1332"/>
      <w:r>
        <w:rPr/>
      </w:r>
      <w:hyperlink w:history="true" w:anchor="_bookmark1087">
        <w:r>
          <w:rPr>
            <w:color w:val="005DA1"/>
            <w:position w:val="5"/>
            <w:sz w:val="14"/>
            <w:u w:val="single" w:color="005DA1"/>
          </w:rPr>
          <w:t>703</w:t>
        </w:r>
      </w:hyperlink>
      <w:r>
        <w:rPr>
          <w:position w:val="5"/>
          <w:sz w:val="14"/>
        </w:rPr>
        <w:t>.</w:t>
      </w:r>
      <w:r>
        <w:rPr>
          <w:spacing w:val="40"/>
          <w:position w:val="5"/>
          <w:sz w:val="14"/>
        </w:rPr>
        <w:t>  </w:t>
      </w:r>
      <w:r>
        <w:rPr>
          <w:sz w:val="20"/>
        </w:rPr>
        <w:t>cf.</w:t>
      </w:r>
      <w:r>
        <w:rPr>
          <w:spacing w:val="40"/>
          <w:sz w:val="20"/>
        </w:rPr>
        <w:t> </w:t>
      </w:r>
      <w:r>
        <w:rPr>
          <w:rFonts w:ascii="Arial"/>
          <w:i/>
          <w:sz w:val="20"/>
        </w:rPr>
        <w:t>Shah</w:t>
      </w:r>
      <w:r>
        <w:rPr>
          <w:rFonts w:ascii="Arial"/>
          <w:i/>
          <w:spacing w:val="40"/>
          <w:sz w:val="20"/>
        </w:rPr>
        <w:t> </w:t>
      </w:r>
      <w:r>
        <w:rPr>
          <w:rFonts w:ascii="Arial"/>
          <w:i/>
          <w:sz w:val="20"/>
        </w:rPr>
        <w:t>v</w:t>
      </w:r>
      <w:r>
        <w:rPr>
          <w:rFonts w:ascii="Arial"/>
          <w:i/>
          <w:spacing w:val="40"/>
          <w:sz w:val="20"/>
        </w:rPr>
        <w:t> </w:t>
      </w:r>
      <w:r>
        <w:rPr>
          <w:rFonts w:ascii="Arial"/>
          <w:i/>
          <w:sz w:val="20"/>
        </w:rPr>
        <w:t>Shah</w:t>
      </w:r>
      <w:r>
        <w:rPr>
          <w:rFonts w:ascii="Arial"/>
          <w:i/>
          <w:spacing w:val="40"/>
          <w:sz w:val="20"/>
        </w:rPr>
        <w:t> </w:t>
      </w:r>
      <w:r>
        <w:rPr>
          <w:rFonts w:ascii="Arial"/>
          <w:i/>
          <w:sz w:val="20"/>
        </w:rPr>
        <w:t>[2001]</w:t>
      </w:r>
      <w:r>
        <w:rPr>
          <w:rFonts w:ascii="Arial"/>
          <w:i/>
          <w:spacing w:val="40"/>
          <w:sz w:val="20"/>
        </w:rPr>
        <w:t> </w:t>
      </w:r>
      <w:r>
        <w:rPr>
          <w:rFonts w:ascii="Arial"/>
          <w:i/>
          <w:sz w:val="20"/>
        </w:rPr>
        <w:t>EWCA</w:t>
      </w:r>
      <w:r>
        <w:rPr>
          <w:rFonts w:ascii="Arial"/>
          <w:i/>
          <w:spacing w:val="40"/>
          <w:sz w:val="20"/>
        </w:rPr>
        <w:t> </w:t>
      </w:r>
      <w:r>
        <w:rPr>
          <w:rFonts w:ascii="Arial"/>
          <w:i/>
          <w:sz w:val="20"/>
        </w:rPr>
        <w:t>Civ</w:t>
      </w:r>
      <w:r>
        <w:rPr>
          <w:rFonts w:ascii="Arial"/>
          <w:i/>
          <w:spacing w:val="40"/>
          <w:sz w:val="20"/>
        </w:rPr>
        <w:t> </w:t>
      </w:r>
      <w:r>
        <w:rPr>
          <w:rFonts w:ascii="Arial"/>
          <w:i/>
          <w:sz w:val="20"/>
        </w:rPr>
        <w:t>527;</w:t>
      </w:r>
      <w:r>
        <w:rPr>
          <w:rFonts w:ascii="Arial"/>
          <w:i/>
          <w:spacing w:val="40"/>
          <w:sz w:val="20"/>
        </w:rPr>
        <w:t> </w:t>
      </w:r>
      <w:r>
        <w:rPr>
          <w:rFonts w:ascii="Arial"/>
          <w:i/>
          <w:sz w:val="20"/>
        </w:rPr>
        <w:t>[2001]</w:t>
      </w:r>
      <w:r>
        <w:rPr>
          <w:rFonts w:ascii="Arial"/>
          <w:i/>
          <w:spacing w:val="40"/>
          <w:sz w:val="20"/>
        </w:rPr>
        <w:t> </w:t>
      </w:r>
      <w:r>
        <w:rPr>
          <w:rFonts w:ascii="Arial"/>
          <w:i/>
          <w:sz w:val="20"/>
        </w:rPr>
        <w:t>4</w:t>
      </w:r>
      <w:r>
        <w:rPr>
          <w:rFonts w:ascii="Arial"/>
          <w:i/>
          <w:spacing w:val="40"/>
          <w:sz w:val="20"/>
        </w:rPr>
        <w:t> </w:t>
      </w:r>
      <w:r>
        <w:rPr>
          <w:rFonts w:ascii="Arial"/>
          <w:i/>
          <w:sz w:val="20"/>
        </w:rPr>
        <w:t>All</w:t>
      </w:r>
      <w:r>
        <w:rPr>
          <w:rFonts w:ascii="Arial"/>
          <w:i/>
          <w:spacing w:val="40"/>
          <w:sz w:val="20"/>
        </w:rPr>
        <w:t> </w:t>
      </w:r>
      <w:r>
        <w:rPr>
          <w:rFonts w:ascii="Arial"/>
          <w:i/>
          <w:sz w:val="20"/>
        </w:rPr>
        <w:t>E.R.</w:t>
      </w:r>
      <w:r>
        <w:rPr>
          <w:rFonts w:ascii="Arial"/>
          <w:i/>
          <w:spacing w:val="40"/>
          <w:sz w:val="20"/>
        </w:rPr>
        <w:t> </w:t>
      </w:r>
      <w:r>
        <w:rPr>
          <w:rFonts w:ascii="Arial"/>
          <w:i/>
          <w:sz w:val="20"/>
        </w:rPr>
        <w:t>138</w:t>
      </w:r>
      <w:r>
        <w:rPr>
          <w:rFonts w:ascii="Arial"/>
          <w:i/>
          <w:spacing w:val="40"/>
          <w:sz w:val="20"/>
        </w:rPr>
        <w:t> </w:t>
      </w:r>
      <w:r>
        <w:rPr>
          <w:sz w:val="20"/>
        </w:rPr>
        <w:t>at</w:t>
      </w:r>
      <w:r>
        <w:rPr>
          <w:spacing w:val="40"/>
          <w:sz w:val="20"/>
        </w:rPr>
        <w:t> </w:t>
      </w:r>
      <w:r>
        <w:rPr>
          <w:sz w:val="20"/>
        </w:rPr>
        <w:t>[31]</w:t>
      </w:r>
      <w:r>
        <w:rPr>
          <w:spacing w:val="40"/>
          <w:sz w:val="20"/>
        </w:rPr>
        <w:t> </w:t>
      </w:r>
      <w:r>
        <w:rPr>
          <w:sz w:val="20"/>
        </w:rPr>
        <w:t>(deed</w:t>
      </w:r>
      <w:r>
        <w:rPr>
          <w:spacing w:val="40"/>
          <w:sz w:val="20"/>
        </w:rPr>
        <w:t> </w:t>
      </w:r>
      <w:r>
        <w:rPr>
          <w:sz w:val="20"/>
        </w:rPr>
        <w:t>signed</w:t>
      </w:r>
      <w:r>
        <w:rPr>
          <w:spacing w:val="40"/>
          <w:sz w:val="20"/>
        </w:rPr>
        <w:t> </w:t>
      </w:r>
      <w:r>
        <w:rPr>
          <w:sz w:val="20"/>
        </w:rPr>
        <w:t>and witnessed but not signed in presence of attesting witness); contrast ibid., at [28] (deed not signed</w:t>
      </w:r>
      <w:r>
        <w:rPr>
          <w:spacing w:val="10"/>
          <w:sz w:val="20"/>
        </w:rPr>
        <w:t> </w:t>
      </w:r>
      <w:r>
        <w:rPr>
          <w:sz w:val="20"/>
        </w:rPr>
        <w:t>at</w:t>
      </w:r>
      <w:r>
        <w:rPr>
          <w:spacing w:val="10"/>
          <w:sz w:val="20"/>
        </w:rPr>
        <w:t> </w:t>
      </w:r>
      <w:r>
        <w:rPr>
          <w:sz w:val="20"/>
        </w:rPr>
        <w:t>all);</w:t>
      </w:r>
      <w:r>
        <w:rPr>
          <w:spacing w:val="10"/>
          <w:sz w:val="20"/>
        </w:rPr>
        <w:t> </w:t>
      </w:r>
      <w:r>
        <w:rPr>
          <w:rFonts w:ascii="Arial"/>
          <w:i/>
          <w:sz w:val="20"/>
        </w:rPr>
        <w:t>Briggs</w:t>
      </w:r>
      <w:r>
        <w:rPr>
          <w:rFonts w:ascii="Arial"/>
          <w:i/>
          <w:spacing w:val="10"/>
          <w:sz w:val="20"/>
        </w:rPr>
        <w:t> </w:t>
      </w:r>
      <w:r>
        <w:rPr>
          <w:rFonts w:ascii="Arial"/>
          <w:i/>
          <w:sz w:val="20"/>
        </w:rPr>
        <w:t>v</w:t>
      </w:r>
      <w:r>
        <w:rPr>
          <w:rFonts w:ascii="Arial"/>
          <w:i/>
          <w:spacing w:val="10"/>
          <w:sz w:val="20"/>
        </w:rPr>
        <w:t> </w:t>
      </w:r>
      <w:r>
        <w:rPr>
          <w:rFonts w:ascii="Arial"/>
          <w:i/>
          <w:sz w:val="20"/>
        </w:rPr>
        <w:t>Gleeds</w:t>
      </w:r>
      <w:r>
        <w:rPr>
          <w:rFonts w:ascii="Arial"/>
          <w:i/>
          <w:spacing w:val="10"/>
          <w:sz w:val="20"/>
        </w:rPr>
        <w:t> </w:t>
      </w:r>
      <w:r>
        <w:rPr>
          <w:rFonts w:ascii="Arial"/>
          <w:i/>
          <w:sz w:val="20"/>
        </w:rPr>
        <w:t>(Head</w:t>
      </w:r>
      <w:r>
        <w:rPr>
          <w:rFonts w:ascii="Arial"/>
          <w:i/>
          <w:spacing w:val="10"/>
          <w:sz w:val="20"/>
        </w:rPr>
        <w:t> </w:t>
      </w:r>
      <w:r>
        <w:rPr>
          <w:rFonts w:ascii="Arial"/>
          <w:i/>
          <w:sz w:val="20"/>
        </w:rPr>
        <w:t>Office)</w:t>
      </w:r>
      <w:r>
        <w:rPr>
          <w:rFonts w:ascii="Arial"/>
          <w:i/>
          <w:spacing w:val="10"/>
          <w:sz w:val="20"/>
        </w:rPr>
        <w:t> </w:t>
      </w:r>
      <w:r>
        <w:rPr>
          <w:rFonts w:ascii="Arial"/>
          <w:i/>
          <w:sz w:val="20"/>
        </w:rPr>
        <w:t>[2014]</w:t>
      </w:r>
      <w:r>
        <w:rPr>
          <w:rFonts w:ascii="Arial"/>
          <w:i/>
          <w:spacing w:val="10"/>
          <w:sz w:val="20"/>
        </w:rPr>
        <w:t> </w:t>
      </w:r>
      <w:r>
        <w:rPr>
          <w:rFonts w:ascii="Arial"/>
          <w:i/>
          <w:sz w:val="20"/>
        </w:rPr>
        <w:t>EWHC</w:t>
      </w:r>
      <w:r>
        <w:rPr>
          <w:rFonts w:ascii="Arial"/>
          <w:i/>
          <w:spacing w:val="10"/>
          <w:sz w:val="20"/>
        </w:rPr>
        <w:t> </w:t>
      </w:r>
      <w:r>
        <w:rPr>
          <w:rFonts w:ascii="Arial"/>
          <w:i/>
          <w:sz w:val="20"/>
        </w:rPr>
        <w:t>1178</w:t>
      </w:r>
      <w:r>
        <w:rPr>
          <w:rFonts w:ascii="Arial"/>
          <w:i/>
          <w:spacing w:val="10"/>
          <w:sz w:val="20"/>
        </w:rPr>
        <w:t> </w:t>
      </w:r>
      <w:r>
        <w:rPr>
          <w:rFonts w:ascii="Arial"/>
          <w:i/>
          <w:sz w:val="20"/>
        </w:rPr>
        <w:t>(Ch),</w:t>
      </w:r>
      <w:r>
        <w:rPr>
          <w:rFonts w:ascii="Arial"/>
          <w:i/>
          <w:spacing w:val="10"/>
          <w:sz w:val="20"/>
        </w:rPr>
        <w:t> </w:t>
      </w:r>
      <w:r>
        <w:rPr>
          <w:rFonts w:ascii="Arial"/>
          <w:i/>
          <w:sz w:val="20"/>
        </w:rPr>
        <w:t>[2015]</w:t>
      </w:r>
      <w:r>
        <w:rPr>
          <w:rFonts w:ascii="Arial"/>
          <w:i/>
          <w:spacing w:val="10"/>
          <w:sz w:val="20"/>
        </w:rPr>
        <w:t> </w:t>
      </w:r>
      <w:r>
        <w:rPr>
          <w:rFonts w:ascii="Arial"/>
          <w:i/>
          <w:sz w:val="20"/>
        </w:rPr>
        <w:t>1</w:t>
      </w:r>
      <w:r>
        <w:rPr>
          <w:rFonts w:ascii="Arial"/>
          <w:i/>
          <w:spacing w:val="10"/>
          <w:sz w:val="20"/>
        </w:rPr>
        <w:t> </w:t>
      </w:r>
      <w:r>
        <w:rPr>
          <w:rFonts w:ascii="Arial"/>
          <w:i/>
          <w:sz w:val="20"/>
        </w:rPr>
        <w:t>All</w:t>
      </w:r>
      <w:r>
        <w:rPr>
          <w:rFonts w:ascii="Arial"/>
          <w:i/>
          <w:spacing w:val="10"/>
          <w:sz w:val="20"/>
        </w:rPr>
        <w:t> </w:t>
      </w:r>
      <w:r>
        <w:rPr>
          <w:rFonts w:ascii="Arial"/>
          <w:i/>
          <w:sz w:val="20"/>
        </w:rPr>
        <w:t>E.R.</w:t>
      </w:r>
      <w:r>
        <w:rPr>
          <w:rFonts w:ascii="Arial"/>
          <w:i/>
          <w:spacing w:val="10"/>
          <w:sz w:val="20"/>
        </w:rPr>
        <w:t> </w:t>
      </w:r>
      <w:r>
        <w:rPr>
          <w:rFonts w:ascii="Arial"/>
          <w:i/>
          <w:sz w:val="20"/>
        </w:rPr>
        <w:t>553</w:t>
      </w:r>
      <w:r>
        <w:rPr>
          <w:rFonts w:ascii="Arial"/>
          <w:i/>
          <w:spacing w:val="9"/>
          <w:sz w:val="20"/>
        </w:rPr>
        <w:t> </w:t>
      </w:r>
      <w:r>
        <w:rPr>
          <w:spacing w:val="-5"/>
          <w:sz w:val="20"/>
        </w:rPr>
        <w:t>at</w:t>
      </w:r>
    </w:p>
    <w:p>
      <w:pPr>
        <w:pStyle w:val="BodyText"/>
        <w:spacing w:line="235" w:lineRule="auto"/>
        <w:ind w:left="705" w:right="167"/>
        <w:jc w:val="both"/>
      </w:pPr>
      <w:r>
        <w:rPr/>
        <w:t>[43]</w:t>
      </w:r>
      <w:r>
        <w:rPr>
          <w:spacing w:val="-3"/>
        </w:rPr>
        <w:t> </w:t>
      </w:r>
      <w:r>
        <w:rPr/>
        <w:t>(deed</w:t>
      </w:r>
      <w:r>
        <w:rPr>
          <w:spacing w:val="-3"/>
        </w:rPr>
        <w:t> </w:t>
      </w:r>
      <w:r>
        <w:rPr/>
        <w:t>signed</w:t>
      </w:r>
      <w:r>
        <w:rPr>
          <w:spacing w:val="-3"/>
        </w:rPr>
        <w:t> </w:t>
      </w:r>
      <w:r>
        <w:rPr/>
        <w:t>but</w:t>
      </w:r>
      <w:r>
        <w:rPr>
          <w:spacing w:val="-3"/>
        </w:rPr>
        <w:t> </w:t>
      </w:r>
      <w:r>
        <w:rPr/>
        <w:t>not</w:t>
      </w:r>
      <w:r>
        <w:rPr>
          <w:spacing w:val="-3"/>
        </w:rPr>
        <w:t> </w:t>
      </w:r>
      <w:r>
        <w:rPr/>
        <w:t>witnessed</w:t>
      </w:r>
      <w:r>
        <w:rPr>
          <w:spacing w:val="-3"/>
        </w:rPr>
        <w:t> </w:t>
      </w:r>
      <w:r>
        <w:rPr/>
        <w:t>and</w:t>
      </w:r>
      <w:r>
        <w:rPr>
          <w:spacing w:val="-3"/>
        </w:rPr>
        <w:t> </w:t>
      </w:r>
      <w:r>
        <w:rPr/>
        <w:t>therefore</w:t>
      </w:r>
      <w:r>
        <w:rPr>
          <w:spacing w:val="-3"/>
        </w:rPr>
        <w:t> </w:t>
      </w:r>
      <w:r>
        <w:rPr/>
        <w:t>“did</w:t>
      </w:r>
      <w:r>
        <w:rPr>
          <w:spacing w:val="-3"/>
        </w:rPr>
        <w:t> </w:t>
      </w:r>
      <w:r>
        <w:rPr/>
        <w:t>not</w:t>
      </w:r>
      <w:r>
        <w:rPr>
          <w:spacing w:val="-3"/>
        </w:rPr>
        <w:t> </w:t>
      </w:r>
      <w:r>
        <w:rPr/>
        <w:t>even</w:t>
      </w:r>
      <w:r>
        <w:rPr>
          <w:spacing w:val="-3"/>
        </w:rPr>
        <w:t> </w:t>
      </w:r>
      <w:r>
        <w:rPr/>
        <w:t>appear</w:t>
      </w:r>
      <w:r>
        <w:rPr>
          <w:spacing w:val="-3"/>
        </w:rPr>
        <w:t> </w:t>
      </w:r>
      <w:r>
        <w:rPr/>
        <w:t>to</w:t>
      </w:r>
      <w:r>
        <w:rPr>
          <w:spacing w:val="-3"/>
        </w:rPr>
        <w:t> </w:t>
      </w:r>
      <w:r>
        <w:rPr/>
        <w:t>comply</w:t>
      </w:r>
      <w:r>
        <w:rPr>
          <w:spacing w:val="-3"/>
        </w:rPr>
        <w:t> </w:t>
      </w:r>
      <w:r>
        <w:rPr/>
        <w:t>with”</w:t>
      </w:r>
      <w:r>
        <w:rPr>
          <w:spacing w:val="-3"/>
        </w:rPr>
        <w:t> </w:t>
      </w:r>
      <w:r>
        <w:rPr/>
        <w:t>s.1(3)</w:t>
      </w:r>
      <w:r>
        <w:rPr>
          <w:spacing w:val="-3"/>
        </w:rPr>
        <w:t> </w:t>
      </w:r>
      <w:r>
        <w:rPr/>
        <w:t>of the Law of Property (Miscellaneous Provisions) Act 1989). In both these cases, the </w:t>
      </w:r>
      <w:r>
        <w:rPr/>
        <w:t>estoppels unsuccessfully invoked.</w:t>
      </w:r>
    </w:p>
    <w:p>
      <w:pPr>
        <w:pStyle w:val="BodyText"/>
        <w:spacing w:before="4"/>
      </w:pPr>
    </w:p>
    <w:p>
      <w:pPr>
        <w:tabs>
          <w:tab w:pos="705" w:val="left" w:leader="none"/>
        </w:tabs>
        <w:spacing w:before="0"/>
        <w:ind w:left="165" w:right="0" w:firstLine="0"/>
        <w:jc w:val="left"/>
        <w:rPr>
          <w:sz w:val="20"/>
        </w:rPr>
      </w:pPr>
      <w:bookmarkStart w:name="_bookmark1331" w:id="1333"/>
      <w:bookmarkEnd w:id="1333"/>
      <w:r>
        <w:rPr/>
      </w:r>
      <w:hyperlink w:history="true" w:anchor="_bookmark1087">
        <w:r>
          <w:rPr>
            <w:color w:val="005DA1"/>
            <w:spacing w:val="-4"/>
            <w:position w:val="5"/>
            <w:sz w:val="14"/>
            <w:u w:val="single" w:color="005DA1"/>
          </w:rPr>
          <w:t>704</w:t>
        </w:r>
      </w:hyperlink>
      <w:r>
        <w:rPr>
          <w:spacing w:val="-4"/>
          <w:position w:val="5"/>
          <w:sz w:val="14"/>
        </w:rPr>
        <w:t>.</w:t>
      </w:r>
      <w:r>
        <w:rPr>
          <w:position w:val="5"/>
          <w:sz w:val="14"/>
        </w:rPr>
        <w:tab/>
      </w:r>
      <w:r>
        <w:rPr>
          <w:rFonts w:ascii="Arial"/>
          <w:i/>
          <w:sz w:val="20"/>
        </w:rPr>
        <w:t>Actionstrength Ltd v International Glass Engineering SpA [2003] UKHL 17; [2003] 2 A.C. </w:t>
      </w:r>
      <w:r>
        <w:rPr>
          <w:rFonts w:ascii="Arial"/>
          <w:i/>
          <w:spacing w:val="-4"/>
          <w:sz w:val="20"/>
        </w:rPr>
        <w:t>541</w:t>
      </w:r>
      <w:r>
        <w:rPr>
          <w:spacing w:val="-4"/>
          <w:sz w:val="20"/>
        </w:rPr>
        <w:t>.</w:t>
      </w:r>
    </w:p>
    <w:p>
      <w:pPr>
        <w:pStyle w:val="BodyText"/>
        <w:spacing w:before="9"/>
      </w:pPr>
    </w:p>
    <w:p>
      <w:pPr>
        <w:spacing w:line="235" w:lineRule="auto" w:before="0"/>
        <w:ind w:left="705" w:right="167" w:hanging="541"/>
        <w:jc w:val="both"/>
        <w:rPr>
          <w:sz w:val="20"/>
        </w:rPr>
      </w:pPr>
      <w:bookmarkStart w:name="_bookmark1332" w:id="1334"/>
      <w:bookmarkEnd w:id="1334"/>
      <w:r>
        <w:rPr/>
      </w:r>
      <w:hyperlink w:history="true" w:anchor="_bookmark1088">
        <w:r>
          <w:rPr>
            <w:color w:val="005DA1"/>
            <w:position w:val="5"/>
            <w:sz w:val="14"/>
            <w:u w:val="single" w:color="005DA1"/>
          </w:rPr>
          <w:t>705</w:t>
        </w:r>
      </w:hyperlink>
      <w:r>
        <w:rPr>
          <w:position w:val="5"/>
          <w:sz w:val="14"/>
        </w:rPr>
        <w:t>.</w:t>
      </w:r>
      <w:r>
        <w:rPr>
          <w:spacing w:val="80"/>
          <w:position w:val="5"/>
          <w:sz w:val="14"/>
        </w:rPr>
        <w:t>  </w:t>
      </w:r>
      <w:r>
        <w:rPr>
          <w:sz w:val="20"/>
        </w:rPr>
        <w:t>The</w:t>
      </w:r>
      <w:r>
        <w:rPr>
          <w:spacing w:val="14"/>
          <w:sz w:val="20"/>
        </w:rPr>
        <w:t> </w:t>
      </w:r>
      <w:r>
        <w:rPr>
          <w:sz w:val="20"/>
        </w:rPr>
        <w:t>principle</w:t>
      </w:r>
      <w:r>
        <w:rPr>
          <w:spacing w:val="14"/>
          <w:sz w:val="20"/>
        </w:rPr>
        <w:t> </w:t>
      </w:r>
      <w:r>
        <w:rPr>
          <w:sz w:val="20"/>
        </w:rPr>
        <w:t>stated</w:t>
      </w:r>
      <w:r>
        <w:rPr>
          <w:spacing w:val="14"/>
          <w:sz w:val="20"/>
        </w:rPr>
        <w:t> </w:t>
      </w:r>
      <w:r>
        <w:rPr>
          <w:sz w:val="20"/>
        </w:rPr>
        <w:t>in</w:t>
      </w:r>
      <w:r>
        <w:rPr>
          <w:spacing w:val="14"/>
          <w:sz w:val="20"/>
        </w:rPr>
        <w:t> </w:t>
      </w:r>
      <w:r>
        <w:rPr>
          <w:sz w:val="20"/>
        </w:rPr>
        <w:t>the</w:t>
      </w:r>
      <w:r>
        <w:rPr>
          <w:spacing w:val="14"/>
          <w:sz w:val="20"/>
        </w:rPr>
        <w:t> </w:t>
      </w:r>
      <w:r>
        <w:rPr>
          <w:sz w:val="20"/>
        </w:rPr>
        <w:t>text</w:t>
      </w:r>
      <w:r>
        <w:rPr>
          <w:spacing w:val="14"/>
          <w:sz w:val="20"/>
        </w:rPr>
        <w:t> </w:t>
      </w:r>
      <w:r>
        <w:rPr>
          <w:sz w:val="20"/>
        </w:rPr>
        <w:t>above</w:t>
      </w:r>
      <w:r>
        <w:rPr>
          <w:spacing w:val="14"/>
          <w:sz w:val="20"/>
        </w:rPr>
        <w:t> </w:t>
      </w:r>
      <w:r>
        <w:rPr>
          <w:sz w:val="20"/>
        </w:rPr>
        <w:t>does</w:t>
      </w:r>
      <w:r>
        <w:rPr>
          <w:spacing w:val="14"/>
          <w:sz w:val="20"/>
        </w:rPr>
        <w:t> </w:t>
      </w:r>
      <w:r>
        <w:rPr>
          <w:sz w:val="20"/>
        </w:rPr>
        <w:t>not</w:t>
      </w:r>
      <w:r>
        <w:rPr>
          <w:spacing w:val="14"/>
          <w:sz w:val="20"/>
        </w:rPr>
        <w:t> </w:t>
      </w:r>
      <w:r>
        <w:rPr>
          <w:sz w:val="20"/>
        </w:rPr>
        <w:t>apply</w:t>
      </w:r>
      <w:r>
        <w:rPr>
          <w:spacing w:val="14"/>
          <w:sz w:val="20"/>
        </w:rPr>
        <w:t> </w:t>
      </w:r>
      <w:r>
        <w:rPr>
          <w:sz w:val="20"/>
        </w:rPr>
        <w:t>where</w:t>
      </w:r>
      <w:r>
        <w:rPr>
          <w:spacing w:val="14"/>
          <w:sz w:val="20"/>
        </w:rPr>
        <w:t> </w:t>
      </w:r>
      <w:r>
        <w:rPr>
          <w:sz w:val="20"/>
        </w:rPr>
        <w:t>the</w:t>
      </w:r>
      <w:r>
        <w:rPr>
          <w:spacing w:val="14"/>
          <w:sz w:val="20"/>
        </w:rPr>
        <w:t> </w:t>
      </w:r>
      <w:r>
        <w:rPr>
          <w:sz w:val="20"/>
        </w:rPr>
        <w:t>statutory</w:t>
      </w:r>
      <w:r>
        <w:rPr>
          <w:spacing w:val="14"/>
          <w:sz w:val="20"/>
        </w:rPr>
        <w:t> </w:t>
      </w:r>
      <w:r>
        <w:rPr>
          <w:sz w:val="20"/>
        </w:rPr>
        <w:t>right</w:t>
      </w:r>
      <w:r>
        <w:rPr>
          <w:spacing w:val="14"/>
          <w:sz w:val="20"/>
        </w:rPr>
        <w:t> </w:t>
      </w:r>
      <w:r>
        <w:rPr>
          <w:sz w:val="20"/>
        </w:rPr>
        <w:t>or</w:t>
      </w:r>
      <w:r>
        <w:rPr>
          <w:spacing w:val="14"/>
          <w:sz w:val="20"/>
        </w:rPr>
        <w:t> </w:t>
      </w:r>
      <w:r>
        <w:rPr>
          <w:sz w:val="20"/>
        </w:rPr>
        <w:t>defence </w:t>
      </w:r>
      <w:r>
        <w:rPr>
          <w:rFonts w:ascii="Arial"/>
          <w:i/>
          <w:sz w:val="20"/>
        </w:rPr>
        <w:t>can </w:t>
      </w:r>
      <w:r>
        <w:rPr>
          <w:sz w:val="20"/>
        </w:rPr>
        <w:t>be</w:t>
      </w:r>
      <w:r>
        <w:rPr>
          <w:spacing w:val="-2"/>
          <w:sz w:val="20"/>
        </w:rPr>
        <w:t> </w:t>
      </w:r>
      <w:r>
        <w:rPr>
          <w:sz w:val="20"/>
        </w:rPr>
        <w:t>excluded</w:t>
      </w:r>
      <w:r>
        <w:rPr>
          <w:spacing w:val="-2"/>
          <w:sz w:val="20"/>
        </w:rPr>
        <w:t> </w:t>
      </w:r>
      <w:r>
        <w:rPr>
          <w:sz w:val="20"/>
        </w:rPr>
        <w:t>by</w:t>
      </w:r>
      <w:r>
        <w:rPr>
          <w:spacing w:val="-2"/>
          <w:sz w:val="20"/>
        </w:rPr>
        <w:t> </w:t>
      </w:r>
      <w:r>
        <w:rPr>
          <w:sz w:val="20"/>
        </w:rPr>
        <w:t>contract</w:t>
      </w:r>
      <w:r>
        <w:rPr>
          <w:spacing w:val="-2"/>
          <w:sz w:val="20"/>
        </w:rPr>
        <w:t> </w:t>
      </w:r>
      <w:r>
        <w:rPr>
          <w:sz w:val="20"/>
        </w:rPr>
        <w:t>(e.g.</w:t>
      </w:r>
      <w:r>
        <w:rPr>
          <w:spacing w:val="-2"/>
          <w:sz w:val="20"/>
        </w:rPr>
        <w:t> </w:t>
      </w:r>
      <w:r>
        <w:rPr>
          <w:sz w:val="20"/>
        </w:rPr>
        <w:t>to</w:t>
      </w:r>
      <w:r>
        <w:rPr>
          <w:spacing w:val="-2"/>
          <w:sz w:val="20"/>
        </w:rPr>
        <w:t> </w:t>
      </w:r>
      <w:r>
        <w:rPr>
          <w:sz w:val="20"/>
        </w:rPr>
        <w:t>the</w:t>
      </w:r>
      <w:r>
        <w:rPr>
          <w:spacing w:val="-2"/>
          <w:sz w:val="20"/>
        </w:rPr>
        <w:t> </w:t>
      </w:r>
      <w:r>
        <w:rPr>
          <w:sz w:val="20"/>
        </w:rPr>
        <w:t>defence</w:t>
      </w:r>
      <w:r>
        <w:rPr>
          <w:spacing w:val="-2"/>
          <w:sz w:val="20"/>
        </w:rPr>
        <w:t> </w:t>
      </w:r>
      <w:r>
        <w:rPr>
          <w:sz w:val="20"/>
        </w:rPr>
        <w:t>that</w:t>
      </w:r>
      <w:r>
        <w:rPr>
          <w:spacing w:val="-2"/>
          <w:sz w:val="20"/>
        </w:rPr>
        <w:t> </w:t>
      </w:r>
      <w:r>
        <w:rPr>
          <w:sz w:val="20"/>
        </w:rPr>
        <w:t>the</w:t>
      </w:r>
      <w:r>
        <w:rPr>
          <w:spacing w:val="-2"/>
          <w:sz w:val="20"/>
        </w:rPr>
        <w:t> </w:t>
      </w:r>
      <w:r>
        <w:rPr>
          <w:sz w:val="20"/>
        </w:rPr>
        <w:t>claim</w:t>
      </w:r>
      <w:r>
        <w:rPr>
          <w:spacing w:val="-2"/>
          <w:sz w:val="20"/>
        </w:rPr>
        <w:t> </w:t>
      </w:r>
      <w:r>
        <w:rPr>
          <w:sz w:val="20"/>
        </w:rPr>
        <w:t>in</w:t>
      </w:r>
      <w:r>
        <w:rPr>
          <w:spacing w:val="-2"/>
          <w:sz w:val="20"/>
        </w:rPr>
        <w:t> </w:t>
      </w:r>
      <w:r>
        <w:rPr>
          <w:sz w:val="20"/>
        </w:rPr>
        <w:t>question</w:t>
      </w:r>
      <w:r>
        <w:rPr>
          <w:spacing w:val="-2"/>
          <w:sz w:val="20"/>
        </w:rPr>
        <w:t> </w:t>
      </w:r>
      <w:r>
        <w:rPr>
          <w:sz w:val="20"/>
        </w:rPr>
        <w:t>is</w:t>
      </w:r>
      <w:r>
        <w:rPr>
          <w:spacing w:val="-2"/>
          <w:sz w:val="20"/>
        </w:rPr>
        <w:t> </w:t>
      </w:r>
      <w:r>
        <w:rPr>
          <w:sz w:val="20"/>
        </w:rPr>
        <w:t>statute-barred</w:t>
      </w:r>
      <w:r>
        <w:rPr>
          <w:spacing w:val="-2"/>
          <w:sz w:val="20"/>
        </w:rPr>
        <w:t> </w:t>
      </w:r>
      <w:r>
        <w:rPr>
          <w:sz w:val="20"/>
        </w:rPr>
        <w:t>by</w:t>
      </w:r>
      <w:r>
        <w:rPr>
          <w:spacing w:val="-2"/>
          <w:sz w:val="20"/>
        </w:rPr>
        <w:t> </w:t>
      </w:r>
      <w:r>
        <w:rPr>
          <w:sz w:val="20"/>
        </w:rPr>
        <w:t>lapse of time): </w:t>
      </w:r>
      <w:r>
        <w:rPr>
          <w:rFonts w:ascii="Arial"/>
          <w:i/>
          <w:sz w:val="20"/>
        </w:rPr>
        <w:t>Revenue and Customs Commissioners v Benchdollar Ltd [2009] EWHC 1310 </w:t>
      </w:r>
      <w:r>
        <w:rPr>
          <w:rFonts w:ascii="Arial"/>
          <w:i/>
          <w:sz w:val="20"/>
        </w:rPr>
        <w:t>(Ch), [2010] 1 All E.R. 174</w:t>
      </w:r>
      <w:r>
        <w:rPr>
          <w:sz w:val="20"/>
        </w:rPr>
        <w:t>.</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1333" w:id="1335"/>
      <w:bookmarkEnd w:id="1335"/>
      <w:r>
        <w:rPr/>
      </w:r>
      <w:hyperlink w:history="true" w:anchor="_bookmark1088">
        <w:r>
          <w:rPr>
            <w:color w:val="005DA1"/>
            <w:spacing w:val="-4"/>
            <w:position w:val="5"/>
            <w:sz w:val="14"/>
            <w:u w:val="single" w:color="005DA1"/>
          </w:rPr>
          <w:t>706</w:t>
        </w:r>
      </w:hyperlink>
      <w:r>
        <w:rPr>
          <w:spacing w:val="-4"/>
          <w:position w:val="5"/>
          <w:sz w:val="14"/>
        </w:rPr>
        <w:t>.</w:t>
      </w:r>
      <w:r>
        <w:rPr>
          <w:position w:val="5"/>
          <w:sz w:val="14"/>
        </w:rPr>
        <w:tab/>
      </w:r>
      <w:r>
        <w:rPr>
          <w:sz w:val="20"/>
        </w:rPr>
        <w:t>See</w:t>
      </w:r>
      <w:r>
        <w:rPr>
          <w:spacing w:val="36"/>
          <w:sz w:val="20"/>
        </w:rPr>
        <w:t> </w:t>
      </w:r>
      <w:r>
        <w:rPr>
          <w:rFonts w:ascii="Arial"/>
          <w:i/>
          <w:sz w:val="20"/>
        </w:rPr>
        <w:t>Keen</w:t>
      </w:r>
      <w:r>
        <w:rPr>
          <w:rFonts w:ascii="Arial"/>
          <w:i/>
          <w:spacing w:val="37"/>
          <w:sz w:val="20"/>
        </w:rPr>
        <w:t> </w:t>
      </w:r>
      <w:r>
        <w:rPr>
          <w:rFonts w:ascii="Arial"/>
          <w:i/>
          <w:sz w:val="20"/>
        </w:rPr>
        <w:t>v</w:t>
      </w:r>
      <w:r>
        <w:rPr>
          <w:rFonts w:ascii="Arial"/>
          <w:i/>
          <w:spacing w:val="37"/>
          <w:sz w:val="20"/>
        </w:rPr>
        <w:t> </w:t>
      </w:r>
      <w:r>
        <w:rPr>
          <w:rFonts w:ascii="Arial"/>
          <w:i/>
          <w:sz w:val="20"/>
        </w:rPr>
        <w:t>Holland</w:t>
      </w:r>
      <w:r>
        <w:rPr>
          <w:rFonts w:ascii="Arial"/>
          <w:i/>
          <w:spacing w:val="37"/>
          <w:sz w:val="20"/>
        </w:rPr>
        <w:t> </w:t>
      </w:r>
      <w:r>
        <w:rPr>
          <w:rFonts w:ascii="Arial"/>
          <w:i/>
          <w:sz w:val="20"/>
        </w:rPr>
        <w:t>[1984]</w:t>
      </w:r>
      <w:r>
        <w:rPr>
          <w:rFonts w:ascii="Arial"/>
          <w:i/>
          <w:spacing w:val="37"/>
          <w:sz w:val="20"/>
        </w:rPr>
        <w:t> </w:t>
      </w:r>
      <w:r>
        <w:rPr>
          <w:rFonts w:ascii="Arial"/>
          <w:i/>
          <w:sz w:val="20"/>
        </w:rPr>
        <w:t>1</w:t>
      </w:r>
      <w:r>
        <w:rPr>
          <w:rFonts w:ascii="Arial"/>
          <w:i/>
          <w:spacing w:val="37"/>
          <w:sz w:val="20"/>
        </w:rPr>
        <w:t> </w:t>
      </w:r>
      <w:r>
        <w:rPr>
          <w:rFonts w:ascii="Arial"/>
          <w:i/>
          <w:sz w:val="20"/>
        </w:rPr>
        <w:t>W.L.R.</w:t>
      </w:r>
      <w:r>
        <w:rPr>
          <w:rFonts w:ascii="Arial"/>
          <w:i/>
          <w:spacing w:val="37"/>
          <w:sz w:val="20"/>
        </w:rPr>
        <w:t> </w:t>
      </w:r>
      <w:r>
        <w:rPr>
          <w:rFonts w:ascii="Arial"/>
          <w:i/>
          <w:sz w:val="20"/>
        </w:rPr>
        <w:t>251</w:t>
      </w:r>
      <w:r>
        <w:rPr>
          <w:sz w:val="20"/>
        </w:rPr>
        <w:t>;</w:t>
      </w:r>
      <w:r>
        <w:rPr>
          <w:spacing w:val="37"/>
          <w:sz w:val="20"/>
        </w:rPr>
        <w:t> </w:t>
      </w:r>
      <w:r>
        <w:rPr>
          <w:sz w:val="20"/>
        </w:rPr>
        <w:t>cf.</w:t>
      </w:r>
      <w:r>
        <w:rPr>
          <w:spacing w:val="37"/>
          <w:sz w:val="20"/>
        </w:rPr>
        <w:t> </w:t>
      </w:r>
      <w:r>
        <w:rPr>
          <w:rFonts w:ascii="Arial"/>
          <w:i/>
          <w:sz w:val="20"/>
        </w:rPr>
        <w:t>Wilson</w:t>
      </w:r>
      <w:r>
        <w:rPr>
          <w:rFonts w:ascii="Arial"/>
          <w:i/>
          <w:spacing w:val="37"/>
          <w:sz w:val="20"/>
        </w:rPr>
        <w:t> </w:t>
      </w:r>
      <w:r>
        <w:rPr>
          <w:rFonts w:ascii="Arial"/>
          <w:i/>
          <w:sz w:val="20"/>
        </w:rPr>
        <w:t>v</w:t>
      </w:r>
      <w:r>
        <w:rPr>
          <w:rFonts w:ascii="Arial"/>
          <w:i/>
          <w:spacing w:val="37"/>
          <w:sz w:val="20"/>
        </w:rPr>
        <w:t> </w:t>
      </w:r>
      <w:r>
        <w:rPr>
          <w:rFonts w:ascii="Arial"/>
          <w:i/>
          <w:sz w:val="20"/>
        </w:rPr>
        <w:t>Truelove</w:t>
      </w:r>
      <w:r>
        <w:rPr>
          <w:rFonts w:ascii="Arial"/>
          <w:i/>
          <w:spacing w:val="37"/>
          <w:sz w:val="20"/>
        </w:rPr>
        <w:t> </w:t>
      </w:r>
      <w:r>
        <w:rPr>
          <w:rFonts w:ascii="Arial"/>
          <w:i/>
          <w:sz w:val="20"/>
        </w:rPr>
        <w:t>[2003]</w:t>
      </w:r>
      <w:r>
        <w:rPr>
          <w:rFonts w:ascii="Arial"/>
          <w:i/>
          <w:spacing w:val="37"/>
          <w:sz w:val="20"/>
        </w:rPr>
        <w:t> </w:t>
      </w:r>
      <w:r>
        <w:rPr>
          <w:rFonts w:ascii="Arial"/>
          <w:i/>
          <w:sz w:val="20"/>
        </w:rPr>
        <w:t>EWHC</w:t>
      </w:r>
      <w:r>
        <w:rPr>
          <w:rFonts w:ascii="Arial"/>
          <w:i/>
          <w:spacing w:val="37"/>
          <w:sz w:val="20"/>
        </w:rPr>
        <w:t> </w:t>
      </w:r>
      <w:r>
        <w:rPr>
          <w:rFonts w:ascii="Arial"/>
          <w:i/>
          <w:sz w:val="20"/>
        </w:rPr>
        <w:t>750,</w:t>
      </w:r>
      <w:r>
        <w:rPr>
          <w:rFonts w:ascii="Arial"/>
          <w:i/>
          <w:spacing w:val="37"/>
          <w:sz w:val="20"/>
        </w:rPr>
        <w:t> </w:t>
      </w:r>
      <w:r>
        <w:rPr>
          <w:rFonts w:ascii="Arial"/>
          <w:i/>
          <w:spacing w:val="-2"/>
          <w:sz w:val="20"/>
        </w:rPr>
        <w:t>[2003]</w:t>
      </w:r>
    </w:p>
    <w:p>
      <w:pPr>
        <w:spacing w:line="225" w:lineRule="exact" w:before="0"/>
        <w:ind w:left="0" w:right="167" w:firstLine="0"/>
        <w:jc w:val="right"/>
        <w:rPr>
          <w:rFonts w:ascii="Arial" w:hAnsi="Arial"/>
          <w:i/>
          <w:sz w:val="20"/>
        </w:rPr>
      </w:pPr>
      <w:r>
        <w:rPr>
          <w:rFonts w:ascii="Arial" w:hAnsi="Arial"/>
          <w:i/>
          <w:sz w:val="20"/>
        </w:rPr>
        <w:t>W.T.L.R.</w:t>
      </w:r>
      <w:r>
        <w:rPr>
          <w:rFonts w:ascii="Arial" w:hAnsi="Arial"/>
          <w:i/>
          <w:spacing w:val="9"/>
          <w:sz w:val="20"/>
        </w:rPr>
        <w:t> </w:t>
      </w:r>
      <w:r>
        <w:rPr>
          <w:rFonts w:ascii="Arial" w:hAnsi="Arial"/>
          <w:i/>
          <w:sz w:val="20"/>
        </w:rPr>
        <w:t>609</w:t>
      </w:r>
      <w:r>
        <w:rPr>
          <w:sz w:val="20"/>
        </w:rPr>
        <w:t>;</w:t>
      </w:r>
      <w:r>
        <w:rPr>
          <w:spacing w:val="9"/>
          <w:sz w:val="20"/>
        </w:rPr>
        <w:t> </w:t>
      </w:r>
      <w:r>
        <w:rPr>
          <w:rFonts w:ascii="Arial" w:hAnsi="Arial"/>
          <w:i/>
          <w:sz w:val="20"/>
        </w:rPr>
        <w:t>Laroche</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Spirit</w:t>
      </w:r>
      <w:r>
        <w:rPr>
          <w:rFonts w:ascii="Arial" w:hAnsi="Arial"/>
          <w:i/>
          <w:spacing w:val="9"/>
          <w:sz w:val="20"/>
        </w:rPr>
        <w:t> </w:t>
      </w:r>
      <w:r>
        <w:rPr>
          <w:rFonts w:ascii="Arial" w:hAnsi="Arial"/>
          <w:i/>
          <w:sz w:val="20"/>
        </w:rPr>
        <w:t>of</w:t>
      </w:r>
      <w:r>
        <w:rPr>
          <w:rFonts w:ascii="Arial" w:hAnsi="Arial"/>
          <w:i/>
          <w:spacing w:val="9"/>
          <w:sz w:val="20"/>
        </w:rPr>
        <w:t> </w:t>
      </w:r>
      <w:r>
        <w:rPr>
          <w:rFonts w:ascii="Arial" w:hAnsi="Arial"/>
          <w:i/>
          <w:sz w:val="20"/>
        </w:rPr>
        <w:t>Adventure</w:t>
      </w:r>
      <w:r>
        <w:rPr>
          <w:rFonts w:ascii="Arial" w:hAnsi="Arial"/>
          <w:i/>
          <w:spacing w:val="9"/>
          <w:sz w:val="20"/>
        </w:rPr>
        <w:t> </w:t>
      </w:r>
      <w:r>
        <w:rPr>
          <w:rFonts w:ascii="Arial" w:hAnsi="Arial"/>
          <w:i/>
          <w:sz w:val="20"/>
        </w:rPr>
        <w:t>(UK)</w:t>
      </w:r>
      <w:r>
        <w:rPr>
          <w:rFonts w:ascii="Arial" w:hAnsi="Arial"/>
          <w:i/>
          <w:spacing w:val="9"/>
          <w:sz w:val="20"/>
        </w:rPr>
        <w:t> </w:t>
      </w:r>
      <w:r>
        <w:rPr>
          <w:rFonts w:ascii="Arial" w:hAnsi="Arial"/>
          <w:i/>
          <w:sz w:val="20"/>
        </w:rPr>
        <w:t>Ltd</w:t>
      </w:r>
      <w:r>
        <w:rPr>
          <w:rFonts w:ascii="Arial" w:hAnsi="Arial"/>
          <w:i/>
          <w:spacing w:val="9"/>
          <w:sz w:val="20"/>
        </w:rPr>
        <w:t> </w:t>
      </w:r>
      <w:r>
        <w:rPr>
          <w:rFonts w:ascii="Arial" w:hAnsi="Arial"/>
          <w:i/>
          <w:sz w:val="20"/>
        </w:rPr>
        <w:t>[2008]</w:t>
      </w:r>
      <w:r>
        <w:rPr>
          <w:rFonts w:ascii="Arial" w:hAnsi="Arial"/>
          <w:i/>
          <w:spacing w:val="9"/>
          <w:sz w:val="20"/>
        </w:rPr>
        <w:t> </w:t>
      </w:r>
      <w:r>
        <w:rPr>
          <w:rFonts w:ascii="Arial" w:hAnsi="Arial"/>
          <w:i/>
          <w:sz w:val="20"/>
        </w:rPr>
        <w:t>EWHC</w:t>
      </w:r>
      <w:r>
        <w:rPr>
          <w:rFonts w:ascii="Arial" w:hAnsi="Arial"/>
          <w:i/>
          <w:spacing w:val="9"/>
          <w:sz w:val="20"/>
        </w:rPr>
        <w:t> </w:t>
      </w:r>
      <w:r>
        <w:rPr>
          <w:rFonts w:ascii="Arial" w:hAnsi="Arial"/>
          <w:i/>
          <w:sz w:val="20"/>
        </w:rPr>
        <w:t>788</w:t>
      </w:r>
      <w:r>
        <w:rPr>
          <w:rFonts w:ascii="Arial" w:hAnsi="Arial"/>
          <w:i/>
          <w:spacing w:val="9"/>
          <w:sz w:val="20"/>
        </w:rPr>
        <w:t> </w:t>
      </w:r>
      <w:r>
        <w:rPr>
          <w:rFonts w:ascii="Arial" w:hAnsi="Arial"/>
          <w:i/>
          <w:sz w:val="20"/>
        </w:rPr>
        <w:t>(QB),</w:t>
      </w:r>
      <w:r>
        <w:rPr>
          <w:rFonts w:ascii="Arial" w:hAnsi="Arial"/>
          <w:i/>
          <w:spacing w:val="9"/>
          <w:sz w:val="20"/>
        </w:rPr>
        <w:t> </w:t>
      </w:r>
      <w:r>
        <w:rPr>
          <w:rFonts w:ascii="Arial" w:hAnsi="Arial"/>
          <w:i/>
          <w:sz w:val="20"/>
        </w:rPr>
        <w:t>[2008]</w:t>
      </w:r>
      <w:r>
        <w:rPr>
          <w:rFonts w:ascii="Arial" w:hAnsi="Arial"/>
          <w:i/>
          <w:spacing w:val="9"/>
          <w:sz w:val="20"/>
        </w:rPr>
        <w:t> </w:t>
      </w:r>
      <w:r>
        <w:rPr>
          <w:rFonts w:ascii="Arial" w:hAnsi="Arial"/>
          <w:i/>
          <w:sz w:val="20"/>
        </w:rPr>
        <w:t>2</w:t>
      </w:r>
      <w:r>
        <w:rPr>
          <w:rFonts w:ascii="Arial" w:hAnsi="Arial"/>
          <w:i/>
          <w:spacing w:val="9"/>
          <w:sz w:val="20"/>
        </w:rPr>
        <w:t> </w:t>
      </w:r>
      <w:r>
        <w:rPr>
          <w:rFonts w:ascii="Arial" w:hAnsi="Arial"/>
          <w:i/>
          <w:spacing w:val="-2"/>
          <w:sz w:val="20"/>
        </w:rPr>
        <w:t>Lloyd’s</w:t>
      </w:r>
    </w:p>
    <w:p>
      <w:pPr>
        <w:spacing w:line="235" w:lineRule="auto" w:before="1"/>
        <w:ind w:left="705" w:right="167" w:firstLine="0"/>
        <w:jc w:val="both"/>
        <w:rPr>
          <w:rFonts w:ascii="Arial" w:hAnsi="Arial"/>
          <w:i/>
          <w:sz w:val="20"/>
        </w:rPr>
      </w:pPr>
      <w:r>
        <w:rPr>
          <w:rFonts w:ascii="Arial" w:hAnsi="Arial"/>
          <w:i/>
          <w:sz w:val="20"/>
        </w:rPr>
        <w:t>Rep. 34 at [73], affirmed [2009] EWCA Civ 12, [2009] 2 All E.R. 175 </w:t>
      </w:r>
      <w:r>
        <w:rPr>
          <w:sz w:val="20"/>
        </w:rPr>
        <w:t>without reference to the present point; contrast </w:t>
      </w:r>
      <w:r>
        <w:rPr>
          <w:rFonts w:ascii="Arial" w:hAnsi="Arial"/>
          <w:i/>
          <w:sz w:val="20"/>
        </w:rPr>
        <w:t>Furness Withy (Australia) Pty Ltd v Metal Distributors (UK) Ltd (The Amazonia) [1989] 1 Lloyd’s Rep. 403 </w:t>
      </w:r>
      <w:r>
        <w:rPr>
          <w:sz w:val="20"/>
        </w:rPr>
        <w:t>(illegality under foreign statute); </w:t>
      </w:r>
      <w:r>
        <w:rPr>
          <w:rFonts w:ascii="Arial" w:hAnsi="Arial"/>
          <w:i/>
          <w:sz w:val="20"/>
        </w:rPr>
        <w:t>Godden v Merthyr </w:t>
      </w:r>
      <w:r>
        <w:rPr>
          <w:rFonts w:ascii="Arial" w:hAnsi="Arial"/>
          <w:i/>
          <w:sz w:val="20"/>
        </w:rPr>
        <w:t>Tydfil Housing Association (1997) 74 P. &amp; C.R. D1</w:t>
      </w:r>
      <w:r>
        <w:rPr>
          <w:sz w:val="20"/>
        </w:rPr>
        <w:t>. For discussion of a similar point in relation to estoppel</w:t>
      </w:r>
      <w:r>
        <w:rPr>
          <w:spacing w:val="6"/>
          <w:sz w:val="20"/>
        </w:rPr>
        <w:t> </w:t>
      </w:r>
      <w:r>
        <w:rPr>
          <w:sz w:val="20"/>
        </w:rPr>
        <w:t>by</w:t>
      </w:r>
      <w:r>
        <w:rPr>
          <w:spacing w:val="6"/>
          <w:sz w:val="20"/>
        </w:rPr>
        <w:t> </w:t>
      </w:r>
      <w:r>
        <w:rPr>
          <w:sz w:val="20"/>
        </w:rPr>
        <w:t>representation,</w:t>
      </w:r>
      <w:r>
        <w:rPr>
          <w:spacing w:val="6"/>
          <w:sz w:val="20"/>
        </w:rPr>
        <w:t> </w:t>
      </w:r>
      <w:r>
        <w:rPr>
          <w:sz w:val="20"/>
        </w:rPr>
        <w:t>see</w:t>
      </w:r>
      <w:r>
        <w:rPr>
          <w:spacing w:val="5"/>
          <w:sz w:val="20"/>
        </w:rPr>
        <w:t> </w:t>
      </w:r>
      <w:r>
        <w:rPr>
          <w:rFonts w:ascii="Arial" w:hAnsi="Arial"/>
          <w:i/>
          <w:sz w:val="20"/>
        </w:rPr>
        <w:t>Newport</w:t>
      </w:r>
      <w:r>
        <w:rPr>
          <w:rFonts w:ascii="Arial" w:hAnsi="Arial"/>
          <w:i/>
          <w:spacing w:val="6"/>
          <w:sz w:val="20"/>
        </w:rPr>
        <w:t> </w:t>
      </w:r>
      <w:r>
        <w:rPr>
          <w:rFonts w:ascii="Arial" w:hAnsi="Arial"/>
          <w:i/>
          <w:sz w:val="20"/>
        </w:rPr>
        <w:t>City</w:t>
      </w:r>
      <w:r>
        <w:rPr>
          <w:rFonts w:ascii="Arial" w:hAnsi="Arial"/>
          <w:i/>
          <w:spacing w:val="6"/>
          <w:sz w:val="20"/>
        </w:rPr>
        <w:t> </w:t>
      </w:r>
      <w:r>
        <w:rPr>
          <w:rFonts w:ascii="Arial" w:hAnsi="Arial"/>
          <w:i/>
          <w:sz w:val="20"/>
        </w:rPr>
        <w:t>Council</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Charles</w:t>
      </w:r>
      <w:r>
        <w:rPr>
          <w:rFonts w:ascii="Arial" w:hAnsi="Arial"/>
          <w:i/>
          <w:spacing w:val="6"/>
          <w:sz w:val="20"/>
        </w:rPr>
        <w:t> </w:t>
      </w:r>
      <w:r>
        <w:rPr>
          <w:rFonts w:ascii="Arial" w:hAnsi="Arial"/>
          <w:i/>
          <w:sz w:val="20"/>
        </w:rPr>
        <w:t>[2008]</w:t>
      </w:r>
      <w:r>
        <w:rPr>
          <w:rFonts w:ascii="Arial" w:hAnsi="Arial"/>
          <w:i/>
          <w:spacing w:val="6"/>
          <w:sz w:val="20"/>
        </w:rPr>
        <w:t> </w:t>
      </w:r>
      <w:r>
        <w:rPr>
          <w:rFonts w:ascii="Arial" w:hAnsi="Arial"/>
          <w:i/>
          <w:sz w:val="20"/>
        </w:rPr>
        <w:t>EWCA</w:t>
      </w:r>
      <w:r>
        <w:rPr>
          <w:rFonts w:ascii="Arial" w:hAnsi="Arial"/>
          <w:i/>
          <w:spacing w:val="6"/>
          <w:sz w:val="20"/>
        </w:rPr>
        <w:t> </w:t>
      </w:r>
      <w:r>
        <w:rPr>
          <w:rFonts w:ascii="Arial" w:hAnsi="Arial"/>
          <w:i/>
          <w:sz w:val="20"/>
        </w:rPr>
        <w:t>Civ</w:t>
      </w:r>
      <w:r>
        <w:rPr>
          <w:rFonts w:ascii="Arial" w:hAnsi="Arial"/>
          <w:i/>
          <w:spacing w:val="6"/>
          <w:sz w:val="20"/>
        </w:rPr>
        <w:t> </w:t>
      </w:r>
      <w:r>
        <w:rPr>
          <w:rFonts w:ascii="Arial" w:hAnsi="Arial"/>
          <w:i/>
          <w:sz w:val="20"/>
        </w:rPr>
        <w:t>1541,</w:t>
      </w:r>
      <w:r>
        <w:rPr>
          <w:rFonts w:ascii="Arial" w:hAnsi="Arial"/>
          <w:i/>
          <w:spacing w:val="6"/>
          <w:sz w:val="20"/>
        </w:rPr>
        <w:t> </w:t>
      </w:r>
      <w:r>
        <w:rPr>
          <w:rFonts w:ascii="Arial" w:hAnsi="Arial"/>
          <w:i/>
          <w:spacing w:val="-2"/>
          <w:sz w:val="20"/>
        </w:rPr>
        <w:t>[2009]</w:t>
      </w:r>
    </w:p>
    <w:p>
      <w:pPr>
        <w:pStyle w:val="BodyText"/>
        <w:spacing w:line="235" w:lineRule="auto"/>
        <w:ind w:left="705" w:right="166"/>
      </w:pPr>
      <w:r>
        <w:rPr>
          <w:rFonts w:ascii="Arial" w:hAnsi="Arial"/>
          <w:i/>
        </w:rPr>
        <w:t>H.L.R. 18 </w:t>
      </w:r>
      <w:r>
        <w:rPr/>
        <w:t>(above, para.4-102), where the outcome was said at [18]–[21] to depend on whether this</w:t>
      </w:r>
      <w:r>
        <w:rPr>
          <w:spacing w:val="1"/>
        </w:rPr>
        <w:t> </w:t>
      </w:r>
      <w:r>
        <w:rPr/>
        <w:t>type</w:t>
      </w:r>
      <w:r>
        <w:rPr>
          <w:spacing w:val="1"/>
        </w:rPr>
        <w:t> </w:t>
      </w:r>
      <w:r>
        <w:rPr/>
        <w:t>of</w:t>
      </w:r>
      <w:r>
        <w:rPr>
          <w:spacing w:val="1"/>
        </w:rPr>
        <w:t> </w:t>
      </w:r>
      <w:r>
        <w:rPr/>
        <w:t>estoppel</w:t>
      </w:r>
      <w:r>
        <w:rPr>
          <w:spacing w:val="1"/>
        </w:rPr>
        <w:t> </w:t>
      </w:r>
      <w:r>
        <w:rPr/>
        <w:t>would</w:t>
      </w:r>
      <w:r>
        <w:rPr>
          <w:spacing w:val="1"/>
        </w:rPr>
        <w:t> </w:t>
      </w:r>
      <w:r>
        <w:rPr/>
        <w:t>“frustrate”</w:t>
      </w:r>
      <w:r>
        <w:rPr>
          <w:spacing w:val="1"/>
        </w:rPr>
        <w:t> </w:t>
      </w:r>
      <w:r>
        <w:rPr/>
        <w:t>the</w:t>
      </w:r>
      <w:r>
        <w:rPr>
          <w:spacing w:val="1"/>
        </w:rPr>
        <w:t> </w:t>
      </w:r>
      <w:r>
        <w:rPr/>
        <w:t>purpose</w:t>
      </w:r>
      <w:r>
        <w:rPr>
          <w:spacing w:val="1"/>
        </w:rPr>
        <w:t> </w:t>
      </w:r>
      <w:r>
        <w:rPr/>
        <w:t>of</w:t>
      </w:r>
      <w:r>
        <w:rPr>
          <w:spacing w:val="1"/>
        </w:rPr>
        <w:t> </w:t>
      </w:r>
      <w:r>
        <w:rPr/>
        <w:t>the</w:t>
      </w:r>
      <w:r>
        <w:rPr>
          <w:spacing w:val="1"/>
        </w:rPr>
        <w:t> </w:t>
      </w:r>
      <w:r>
        <w:rPr/>
        <w:t>statute;</w:t>
      </w:r>
      <w:r>
        <w:rPr>
          <w:spacing w:val="1"/>
        </w:rPr>
        <w:t> </w:t>
      </w:r>
      <w:r>
        <w:rPr/>
        <w:t>this</w:t>
      </w:r>
      <w:r>
        <w:rPr>
          <w:spacing w:val="1"/>
        </w:rPr>
        <w:t> </w:t>
      </w:r>
      <w:r>
        <w:rPr/>
        <w:t>reasoning</w:t>
      </w:r>
      <w:r>
        <w:rPr>
          <w:spacing w:val="1"/>
        </w:rPr>
        <w:t> </w:t>
      </w:r>
      <w:r>
        <w:rPr/>
        <w:t>could</w:t>
      </w:r>
      <w:r>
        <w:rPr>
          <w:spacing w:val="1"/>
        </w:rPr>
        <w:t> </w:t>
      </w:r>
      <w:r>
        <w:rPr/>
        <w:t>also</w:t>
      </w:r>
      <w:r>
        <w:rPr>
          <w:spacing w:val="1"/>
        </w:rPr>
        <w:t> </w:t>
      </w:r>
      <w:r>
        <w:rPr>
          <w:spacing w:val="-2"/>
        </w:rPr>
        <w:t>apply</w:t>
      </w:r>
    </w:p>
    <w:p>
      <w:pPr>
        <w:pStyle w:val="BodyText"/>
        <w:spacing w:after="0" w:line="235" w:lineRule="auto"/>
        <w:sectPr>
          <w:pgSz w:w="11900" w:h="16840"/>
          <w:pgMar w:header="971" w:footer="0" w:top="1160" w:bottom="280" w:left="1275" w:right="1275"/>
        </w:sectPr>
      </w:pPr>
    </w:p>
    <w:p>
      <w:pPr>
        <w:pStyle w:val="BodyText"/>
        <w:spacing w:before="21"/>
      </w:pPr>
    </w:p>
    <w:p>
      <w:pPr>
        <w:pStyle w:val="BodyText"/>
        <w:ind w:left="705"/>
      </w:pPr>
      <w:r>
        <w:rPr/>
        <w:t>in relation to estoppel by </w:t>
      </w:r>
      <w:r>
        <w:rPr>
          <w:spacing w:val="-2"/>
        </w:rPr>
        <w:t>convention.</w:t>
      </w:r>
    </w:p>
    <w:p>
      <w:pPr>
        <w:pStyle w:val="BodyText"/>
        <w:spacing w:before="5"/>
      </w:pPr>
    </w:p>
    <w:p>
      <w:pPr>
        <w:tabs>
          <w:tab w:pos="705" w:val="left" w:leader="none"/>
        </w:tabs>
        <w:spacing w:before="0"/>
        <w:ind w:left="165" w:right="0" w:firstLine="0"/>
        <w:jc w:val="left"/>
        <w:rPr>
          <w:sz w:val="20"/>
        </w:rPr>
      </w:pPr>
      <w:bookmarkStart w:name="_bookmark1334" w:id="1336"/>
      <w:bookmarkEnd w:id="1336"/>
      <w:r>
        <w:rPr/>
      </w:r>
      <w:hyperlink w:history="true" w:anchor="_bookmark1089">
        <w:r>
          <w:rPr>
            <w:color w:val="005DA1"/>
            <w:spacing w:val="-4"/>
            <w:position w:val="5"/>
            <w:sz w:val="14"/>
            <w:u w:val="single" w:color="005DA1"/>
          </w:rPr>
          <w:t>707</w:t>
        </w:r>
      </w:hyperlink>
      <w:r>
        <w:rPr>
          <w:spacing w:val="-4"/>
          <w:position w:val="5"/>
          <w:sz w:val="14"/>
        </w:rPr>
        <w:t>.</w:t>
      </w:r>
      <w:r>
        <w:rPr>
          <w:position w:val="5"/>
          <w:sz w:val="14"/>
        </w:rPr>
        <w:tab/>
      </w:r>
      <w:r>
        <w:rPr>
          <w:sz w:val="20"/>
        </w:rPr>
        <w:t>Above, para.4-</w:t>
      </w:r>
      <w:r>
        <w:rPr>
          <w:spacing w:val="-4"/>
          <w:sz w:val="20"/>
        </w:rPr>
        <w:t>111.</w:t>
      </w:r>
    </w:p>
    <w:p>
      <w:pPr>
        <w:pStyle w:val="BodyText"/>
        <w:spacing w:before="9"/>
      </w:pPr>
    </w:p>
    <w:p>
      <w:pPr>
        <w:spacing w:line="235" w:lineRule="auto" w:before="0"/>
        <w:ind w:left="705" w:right="168" w:hanging="541"/>
        <w:jc w:val="both"/>
        <w:rPr>
          <w:sz w:val="20"/>
        </w:rPr>
      </w:pPr>
      <w:bookmarkStart w:name="_bookmark1335" w:id="1337"/>
      <w:bookmarkEnd w:id="1337"/>
      <w:r>
        <w:rPr/>
      </w:r>
      <w:hyperlink w:history="true" w:anchor="_bookmark1090">
        <w:r>
          <w:rPr>
            <w:color w:val="005DA1"/>
            <w:position w:val="5"/>
            <w:sz w:val="14"/>
            <w:u w:val="single" w:color="005DA1"/>
          </w:rPr>
          <w:t>708</w:t>
        </w:r>
      </w:hyperlink>
      <w:r>
        <w:rPr>
          <w:position w:val="5"/>
          <w:sz w:val="14"/>
        </w:rPr>
        <w:t>.</w:t>
      </w:r>
      <w:r>
        <w:rPr>
          <w:spacing w:val="40"/>
          <w:position w:val="5"/>
          <w:sz w:val="14"/>
        </w:rPr>
        <w:t>  </w:t>
      </w:r>
      <w:r>
        <w:rPr>
          <w:rFonts w:ascii="Arial" w:hAnsi="Arial"/>
          <w:i/>
          <w:sz w:val="20"/>
        </w:rPr>
        <w:t>Keen v Holland</w:t>
      </w:r>
      <w:r>
        <w:rPr>
          <w:sz w:val="20"/>
        </w:rPr>
        <w:t>, above, n.690; </w:t>
      </w:r>
      <w:r>
        <w:rPr>
          <w:rFonts w:ascii="Arial" w:hAnsi="Arial"/>
          <w:i/>
          <w:sz w:val="20"/>
        </w:rPr>
        <w:t>Hamed El Chiaty &amp; Co (T/A Travco Nile Cruise Lines) v Thomas Cook Group (The Nile Rhapsody) [1992] 2 Lloyd’s Rep. 399, 408</w:t>
      </w:r>
      <w:r>
        <w:rPr>
          <w:sz w:val="20"/>
        </w:rPr>
        <w:t>, where, however, the </w:t>
      </w:r>
      <w:r>
        <w:rPr>
          <w:sz w:val="20"/>
        </w:rPr>
        <w:t>court treated</w:t>
      </w:r>
      <w:r>
        <w:rPr>
          <w:spacing w:val="-2"/>
          <w:sz w:val="20"/>
        </w:rPr>
        <w:t> </w:t>
      </w:r>
      <w:r>
        <w:rPr>
          <w:sz w:val="20"/>
        </w:rPr>
        <w:t>the</w:t>
      </w:r>
      <w:r>
        <w:rPr>
          <w:spacing w:val="-2"/>
          <w:sz w:val="20"/>
        </w:rPr>
        <w:t> </w:t>
      </w:r>
      <w:r>
        <w:rPr>
          <w:sz w:val="20"/>
        </w:rPr>
        <w:t>contract</w:t>
      </w:r>
      <w:r>
        <w:rPr>
          <w:spacing w:val="-2"/>
          <w:sz w:val="20"/>
        </w:rPr>
        <w:t> </w:t>
      </w:r>
      <w:r>
        <w:rPr>
          <w:sz w:val="20"/>
        </w:rPr>
        <w:t>as</w:t>
      </w:r>
      <w:r>
        <w:rPr>
          <w:spacing w:val="-2"/>
          <w:sz w:val="20"/>
        </w:rPr>
        <w:t> </w:t>
      </w:r>
      <w:r>
        <w:rPr>
          <w:sz w:val="20"/>
        </w:rPr>
        <w:t>rectified</w:t>
      </w:r>
      <w:r>
        <w:rPr>
          <w:spacing w:val="-2"/>
          <w:sz w:val="20"/>
        </w:rPr>
        <w:t> </w:t>
      </w:r>
      <w:r>
        <w:rPr>
          <w:sz w:val="20"/>
        </w:rPr>
        <w:t>so</w:t>
      </w:r>
      <w:r>
        <w:rPr>
          <w:spacing w:val="-2"/>
          <w:sz w:val="20"/>
        </w:rPr>
        <w:t> </w:t>
      </w:r>
      <w:r>
        <w:rPr>
          <w:sz w:val="20"/>
        </w:rPr>
        <w:t>as</w:t>
      </w:r>
      <w:r>
        <w:rPr>
          <w:spacing w:val="-2"/>
          <w:sz w:val="20"/>
        </w:rPr>
        <w:t> </w:t>
      </w:r>
      <w:r>
        <w:rPr>
          <w:sz w:val="20"/>
        </w:rPr>
        <w:t>to</w:t>
      </w:r>
      <w:r>
        <w:rPr>
          <w:spacing w:val="-2"/>
          <w:sz w:val="20"/>
        </w:rPr>
        <w:t> </w:t>
      </w:r>
      <w:r>
        <w:rPr>
          <w:sz w:val="20"/>
        </w:rPr>
        <w:t>correct</w:t>
      </w:r>
      <w:r>
        <w:rPr>
          <w:spacing w:val="-2"/>
          <w:sz w:val="20"/>
        </w:rPr>
        <w:t> </w:t>
      </w:r>
      <w:r>
        <w:rPr>
          <w:sz w:val="20"/>
        </w:rPr>
        <w:t>the</w:t>
      </w:r>
      <w:r>
        <w:rPr>
          <w:spacing w:val="-2"/>
          <w:sz w:val="20"/>
        </w:rPr>
        <w:t> </w:t>
      </w:r>
      <w:r>
        <w:rPr>
          <w:sz w:val="20"/>
        </w:rPr>
        <w:t>mistake;</w:t>
      </w:r>
      <w:r>
        <w:rPr>
          <w:spacing w:val="-2"/>
          <w:sz w:val="20"/>
        </w:rPr>
        <w:t> </w:t>
      </w:r>
      <w:r>
        <w:rPr>
          <w:sz w:val="20"/>
        </w:rPr>
        <w:t>affirmed</w:t>
      </w:r>
      <w:r>
        <w:rPr>
          <w:spacing w:val="-2"/>
          <w:sz w:val="20"/>
        </w:rPr>
        <w:t> </w:t>
      </w:r>
      <w:r>
        <w:rPr>
          <w:rFonts w:ascii="Arial" w:hAnsi="Arial"/>
          <w:i/>
          <w:sz w:val="20"/>
        </w:rPr>
        <w:t>[1994]</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382</w:t>
      </w:r>
      <w:r>
        <w:rPr>
          <w:sz w:val="20"/>
        </w:rPr>
        <w:t>, without reference to estoppel by convention.</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bookmarkStart w:name="_bookmark1336" w:id="1338"/>
      <w:bookmarkEnd w:id="1338"/>
      <w:r>
        <w:rPr/>
      </w:r>
      <w:hyperlink w:history="true" w:anchor="_bookmark1091">
        <w:r>
          <w:rPr>
            <w:color w:val="005DA1"/>
            <w:spacing w:val="-4"/>
            <w:sz w:val="14"/>
            <w:u w:val="single" w:color="005DA1"/>
          </w:rPr>
          <w:t>709</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Peekay Intermark Ltd v Australia &amp; New Zealand Banking Group Ltd [2006] EWCA Civ </w:t>
      </w:r>
      <w:r>
        <w:rPr>
          <w:rFonts w:ascii="Arial" w:hAnsi="Arial"/>
          <w:i/>
          <w:sz w:val="20"/>
        </w:rPr>
        <w:t>386, [2006]</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511</w:t>
      </w:r>
      <w:r>
        <w:rPr>
          <w:rFonts w:ascii="Arial" w:hAnsi="Arial"/>
          <w:i/>
          <w:spacing w:val="-1"/>
          <w:sz w:val="20"/>
        </w:rPr>
        <w:t> </w:t>
      </w:r>
      <w:r>
        <w:rPr>
          <w:sz w:val="20"/>
        </w:rPr>
        <w:t>at</w:t>
      </w:r>
      <w:r>
        <w:rPr>
          <w:spacing w:val="-1"/>
          <w:sz w:val="20"/>
        </w:rPr>
        <w:t> </w:t>
      </w:r>
      <w:r>
        <w:rPr>
          <w:sz w:val="20"/>
        </w:rPr>
        <w:t>[57];</w:t>
      </w:r>
      <w:r>
        <w:rPr>
          <w:spacing w:val="-1"/>
          <w:sz w:val="20"/>
        </w:rPr>
        <w:t> </w:t>
      </w:r>
      <w:r>
        <w:rPr>
          <w:rFonts w:ascii="Arial" w:hAnsi="Arial"/>
          <w:i/>
          <w:sz w:val="20"/>
        </w:rPr>
        <w:t>Springwell</w:t>
      </w:r>
      <w:r>
        <w:rPr>
          <w:rFonts w:ascii="Arial" w:hAnsi="Arial"/>
          <w:i/>
          <w:spacing w:val="-1"/>
          <w:sz w:val="20"/>
        </w:rPr>
        <w:t> </w:t>
      </w:r>
      <w:r>
        <w:rPr>
          <w:rFonts w:ascii="Arial" w:hAnsi="Arial"/>
          <w:i/>
          <w:sz w:val="20"/>
        </w:rPr>
        <w:t>Navigation</w:t>
      </w:r>
      <w:r>
        <w:rPr>
          <w:rFonts w:ascii="Arial" w:hAnsi="Arial"/>
          <w:i/>
          <w:spacing w:val="-1"/>
          <w:sz w:val="20"/>
        </w:rPr>
        <w:t> </w:t>
      </w:r>
      <w:r>
        <w:rPr>
          <w:rFonts w:ascii="Arial" w:hAnsi="Arial"/>
          <w:i/>
          <w:sz w:val="20"/>
        </w:rPr>
        <w:t>Corp.</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J</w:t>
      </w:r>
      <w:r>
        <w:rPr>
          <w:rFonts w:ascii="Arial" w:hAnsi="Arial"/>
          <w:i/>
          <w:spacing w:val="-1"/>
          <w:sz w:val="20"/>
        </w:rPr>
        <w:t> </w:t>
      </w:r>
      <w:r>
        <w:rPr>
          <w:rFonts w:ascii="Arial" w:hAnsi="Arial"/>
          <w:i/>
          <w:sz w:val="20"/>
        </w:rPr>
        <w:t>P</w:t>
      </w:r>
      <w:r>
        <w:rPr>
          <w:rFonts w:ascii="Arial" w:hAnsi="Arial"/>
          <w:i/>
          <w:spacing w:val="-1"/>
          <w:sz w:val="20"/>
        </w:rPr>
        <w:t> </w:t>
      </w:r>
      <w:r>
        <w:rPr>
          <w:rFonts w:ascii="Arial" w:hAnsi="Arial"/>
          <w:i/>
          <w:sz w:val="20"/>
        </w:rPr>
        <w:t>Morgan</w:t>
      </w:r>
      <w:r>
        <w:rPr>
          <w:rFonts w:ascii="Arial" w:hAnsi="Arial"/>
          <w:i/>
          <w:spacing w:val="-1"/>
          <w:sz w:val="20"/>
        </w:rPr>
        <w:t> </w:t>
      </w:r>
      <w:r>
        <w:rPr>
          <w:rFonts w:ascii="Arial" w:hAnsi="Arial"/>
          <w:i/>
          <w:sz w:val="20"/>
        </w:rPr>
        <w:t>Chase</w:t>
      </w:r>
      <w:r>
        <w:rPr>
          <w:rFonts w:ascii="Arial" w:hAnsi="Arial"/>
          <w:i/>
          <w:spacing w:val="-1"/>
          <w:sz w:val="20"/>
        </w:rPr>
        <w:t> </w:t>
      </w:r>
      <w:r>
        <w:rPr>
          <w:rFonts w:ascii="Arial" w:hAnsi="Arial"/>
          <w:i/>
          <w:sz w:val="20"/>
        </w:rPr>
        <w:t>Bank</w:t>
      </w:r>
      <w:r>
        <w:rPr>
          <w:rFonts w:ascii="Arial" w:hAnsi="Arial"/>
          <w:i/>
          <w:spacing w:val="-1"/>
          <w:sz w:val="20"/>
        </w:rPr>
        <w:t> </w:t>
      </w:r>
      <w:r>
        <w:rPr>
          <w:rFonts w:ascii="Arial" w:hAnsi="Arial"/>
          <w:i/>
          <w:sz w:val="20"/>
        </w:rPr>
        <w:t>[2010] 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1221</w:t>
      </w:r>
      <w:r>
        <w:rPr>
          <w:rFonts w:ascii="Arial" w:hAnsi="Arial"/>
          <w:i/>
          <w:spacing w:val="-1"/>
          <w:sz w:val="20"/>
        </w:rPr>
        <w:t> </w:t>
      </w:r>
      <w:r>
        <w:rPr>
          <w:sz w:val="20"/>
        </w:rPr>
        <w:t>at</w:t>
      </w:r>
      <w:r>
        <w:rPr>
          <w:spacing w:val="-1"/>
          <w:sz w:val="20"/>
        </w:rPr>
        <w:t> </w:t>
      </w:r>
      <w:r>
        <w:rPr>
          <w:sz w:val="20"/>
        </w:rPr>
        <w:t>[157]–[170];</w:t>
      </w:r>
      <w:r>
        <w:rPr>
          <w:spacing w:val="-1"/>
          <w:sz w:val="20"/>
        </w:rPr>
        <w:t> </w:t>
      </w:r>
      <w:r>
        <w:rPr>
          <w:rFonts w:ascii="Arial" w:hAnsi="Arial"/>
          <w:i/>
          <w:sz w:val="20"/>
        </w:rPr>
        <w:t>Raiffeisen</w:t>
      </w:r>
      <w:r>
        <w:rPr>
          <w:rFonts w:ascii="Arial" w:hAnsi="Arial"/>
          <w:i/>
          <w:spacing w:val="-1"/>
          <w:sz w:val="20"/>
        </w:rPr>
        <w:t> </w:t>
      </w:r>
      <w:r>
        <w:rPr>
          <w:rFonts w:ascii="Arial" w:hAnsi="Arial"/>
          <w:i/>
          <w:sz w:val="20"/>
        </w:rPr>
        <w:t>Zentralbank</w:t>
      </w:r>
      <w:r>
        <w:rPr>
          <w:rFonts w:ascii="Arial" w:hAnsi="Arial"/>
          <w:i/>
          <w:spacing w:val="-1"/>
          <w:sz w:val="20"/>
        </w:rPr>
        <w:t> </w:t>
      </w:r>
      <w:r>
        <w:rPr>
          <w:rFonts w:ascii="Arial" w:hAnsi="Arial"/>
          <w:i/>
          <w:sz w:val="20"/>
        </w:rPr>
        <w:t>Osterreich</w:t>
      </w:r>
      <w:r>
        <w:rPr>
          <w:rFonts w:ascii="Arial" w:hAnsi="Arial"/>
          <w:i/>
          <w:spacing w:val="-1"/>
          <w:sz w:val="20"/>
        </w:rPr>
        <w:t> </w:t>
      </w:r>
      <w:r>
        <w:rPr>
          <w:rFonts w:ascii="Arial" w:hAnsi="Arial"/>
          <w:i/>
          <w:sz w:val="20"/>
        </w:rPr>
        <w:t>AG</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Royal</w:t>
      </w:r>
      <w:r>
        <w:rPr>
          <w:rFonts w:ascii="Arial" w:hAnsi="Arial"/>
          <w:i/>
          <w:spacing w:val="-1"/>
          <w:sz w:val="20"/>
        </w:rPr>
        <w:t> </w:t>
      </w:r>
      <w:r>
        <w:rPr>
          <w:rFonts w:ascii="Arial" w:hAnsi="Arial"/>
          <w:i/>
          <w:sz w:val="20"/>
        </w:rPr>
        <w:t>Bank</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Scotland Plc [2010] EWHC 1392 (Comm), [2011] 1 Lloyd’s Rep. 123 </w:t>
      </w:r>
      <w:r>
        <w:rPr>
          <w:sz w:val="20"/>
        </w:rPr>
        <w:t>at [230]; </w:t>
      </w:r>
      <w:r>
        <w:rPr>
          <w:rFonts w:ascii="Arial" w:hAnsi="Arial"/>
          <w:i/>
          <w:sz w:val="20"/>
        </w:rPr>
        <w:t>Cassa Di Risparmio della Republica di San Marino SpA v Barclays Bank Ltd [2011] EWHC 484 (Comm) </w:t>
      </w:r>
      <w:r>
        <w:rPr>
          <w:sz w:val="20"/>
        </w:rPr>
        <w:t>at [466]; </w:t>
      </w:r>
      <w:r>
        <w:rPr>
          <w:rFonts w:ascii="Arial" w:hAnsi="Arial"/>
          <w:i/>
          <w:sz w:val="20"/>
        </w:rPr>
        <w:t>Shaker</w:t>
      </w:r>
      <w:r>
        <w:rPr>
          <w:rFonts w:ascii="Arial" w:hAnsi="Arial"/>
          <w:i/>
          <w:spacing w:val="40"/>
          <w:sz w:val="20"/>
        </w:rPr>
        <w:t> </w:t>
      </w:r>
      <w:r>
        <w:rPr>
          <w:rFonts w:ascii="Arial" w:hAnsi="Arial"/>
          <w:i/>
          <w:sz w:val="20"/>
        </w:rPr>
        <w:t>v VistaJet Group Holding SA [2012] EWHC 1329 (Comm)</w:t>
      </w:r>
      <w:r>
        <w:rPr>
          <w:sz w:val="20"/>
        </w:rPr>
        <w:t>, heading before [18] where “contractual estoppel” is mentioned but is not the ground of decision. See also the reference in </w:t>
      </w:r>
      <w:r>
        <w:rPr>
          <w:rFonts w:ascii="Arial" w:hAnsi="Arial"/>
          <w:i/>
          <w:sz w:val="20"/>
        </w:rPr>
        <w:t>NRAM</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McAdam</w:t>
      </w:r>
      <w:r>
        <w:rPr>
          <w:rFonts w:ascii="Arial" w:hAnsi="Arial"/>
          <w:i/>
          <w:spacing w:val="6"/>
          <w:sz w:val="20"/>
        </w:rPr>
        <w:t> </w:t>
      </w:r>
      <w:r>
        <w:rPr>
          <w:rFonts w:ascii="Arial" w:hAnsi="Arial"/>
          <w:i/>
          <w:sz w:val="20"/>
        </w:rPr>
        <w:t>[2014]</w:t>
      </w:r>
      <w:r>
        <w:rPr>
          <w:rFonts w:ascii="Arial" w:hAnsi="Arial"/>
          <w:i/>
          <w:spacing w:val="6"/>
          <w:sz w:val="20"/>
        </w:rPr>
        <w:t> </w:t>
      </w:r>
      <w:r>
        <w:rPr>
          <w:rFonts w:ascii="Arial" w:hAnsi="Arial"/>
          <w:i/>
          <w:sz w:val="20"/>
        </w:rPr>
        <w:t>EWHC</w:t>
      </w:r>
      <w:r>
        <w:rPr>
          <w:rFonts w:ascii="Arial" w:hAnsi="Arial"/>
          <w:i/>
          <w:spacing w:val="6"/>
          <w:sz w:val="20"/>
        </w:rPr>
        <w:t> </w:t>
      </w:r>
      <w:r>
        <w:rPr>
          <w:rFonts w:ascii="Arial" w:hAnsi="Arial"/>
          <w:i/>
          <w:sz w:val="20"/>
        </w:rPr>
        <w:t>4174</w:t>
      </w:r>
      <w:r>
        <w:rPr>
          <w:rFonts w:ascii="Arial" w:hAnsi="Arial"/>
          <w:i/>
          <w:spacing w:val="6"/>
          <w:sz w:val="20"/>
        </w:rPr>
        <w:t> </w:t>
      </w:r>
      <w:r>
        <w:rPr>
          <w:rFonts w:ascii="Arial" w:hAnsi="Arial"/>
          <w:i/>
          <w:sz w:val="20"/>
        </w:rPr>
        <w:t>(Comm),</w:t>
      </w:r>
      <w:r>
        <w:rPr>
          <w:rFonts w:ascii="Arial" w:hAnsi="Arial"/>
          <w:i/>
          <w:spacing w:val="6"/>
          <w:sz w:val="20"/>
        </w:rPr>
        <w:t> </w:t>
      </w:r>
      <w:r>
        <w:rPr>
          <w:rFonts w:ascii="Arial" w:hAnsi="Arial"/>
          <w:i/>
          <w:sz w:val="20"/>
        </w:rPr>
        <w:t>[2015]</w:t>
      </w:r>
      <w:r>
        <w:rPr>
          <w:rFonts w:ascii="Arial" w:hAnsi="Arial"/>
          <w:i/>
          <w:spacing w:val="6"/>
          <w:sz w:val="20"/>
        </w:rPr>
        <w:t> </w:t>
      </w:r>
      <w:r>
        <w:rPr>
          <w:rFonts w:ascii="Arial" w:hAnsi="Arial"/>
          <w:i/>
          <w:sz w:val="20"/>
        </w:rPr>
        <w:t>1</w:t>
      </w:r>
      <w:r>
        <w:rPr>
          <w:rFonts w:ascii="Arial" w:hAnsi="Arial"/>
          <w:i/>
          <w:spacing w:val="6"/>
          <w:sz w:val="20"/>
        </w:rPr>
        <w:t> </w:t>
      </w:r>
      <w:r>
        <w:rPr>
          <w:rFonts w:ascii="Arial" w:hAnsi="Arial"/>
          <w:i/>
          <w:sz w:val="20"/>
        </w:rPr>
        <w:t>All</w:t>
      </w:r>
      <w:r>
        <w:rPr>
          <w:rFonts w:ascii="Arial" w:hAnsi="Arial"/>
          <w:i/>
          <w:spacing w:val="6"/>
          <w:sz w:val="20"/>
        </w:rPr>
        <w:t> </w:t>
      </w:r>
      <w:r>
        <w:rPr>
          <w:rFonts w:ascii="Arial" w:hAnsi="Arial"/>
          <w:i/>
          <w:sz w:val="20"/>
        </w:rPr>
        <w:t>E.R.</w:t>
      </w:r>
      <w:r>
        <w:rPr>
          <w:rFonts w:ascii="Arial" w:hAnsi="Arial"/>
          <w:i/>
          <w:spacing w:val="6"/>
          <w:sz w:val="20"/>
        </w:rPr>
        <w:t> </w:t>
      </w:r>
      <w:r>
        <w:rPr>
          <w:rFonts w:ascii="Arial" w:hAnsi="Arial"/>
          <w:i/>
          <w:sz w:val="20"/>
        </w:rPr>
        <w:t>(Comm)</w:t>
      </w:r>
      <w:r>
        <w:rPr>
          <w:rFonts w:ascii="Arial" w:hAnsi="Arial"/>
          <w:i/>
          <w:spacing w:val="6"/>
          <w:sz w:val="20"/>
        </w:rPr>
        <w:t> </w:t>
      </w:r>
      <w:r>
        <w:rPr>
          <w:rFonts w:ascii="Arial" w:hAnsi="Arial"/>
          <w:i/>
          <w:sz w:val="20"/>
        </w:rPr>
        <w:t>1239</w:t>
      </w:r>
      <w:r>
        <w:rPr>
          <w:rFonts w:ascii="Arial" w:hAnsi="Arial"/>
          <w:i/>
          <w:spacing w:val="5"/>
          <w:sz w:val="20"/>
        </w:rPr>
        <w:t> </w:t>
      </w:r>
      <w:r>
        <w:rPr>
          <w:sz w:val="20"/>
        </w:rPr>
        <w:t>at</w:t>
      </w:r>
      <w:r>
        <w:rPr>
          <w:spacing w:val="6"/>
          <w:sz w:val="20"/>
        </w:rPr>
        <w:t> </w:t>
      </w:r>
      <w:r>
        <w:rPr>
          <w:sz w:val="20"/>
        </w:rPr>
        <w:t>[14]</w:t>
      </w:r>
      <w:r>
        <w:rPr>
          <w:spacing w:val="6"/>
          <w:sz w:val="20"/>
        </w:rPr>
        <w:t> </w:t>
      </w:r>
      <w:r>
        <w:rPr>
          <w:sz w:val="20"/>
        </w:rPr>
        <w:t>and</w:t>
      </w:r>
      <w:r>
        <w:rPr>
          <w:spacing w:val="6"/>
          <w:sz w:val="20"/>
        </w:rPr>
        <w:t> </w:t>
      </w:r>
      <w:r>
        <w:rPr>
          <w:spacing w:val="-4"/>
          <w:sz w:val="20"/>
        </w:rPr>
        <w:t>[29]</w:t>
      </w:r>
    </w:p>
    <w:p>
      <w:pPr>
        <w:pStyle w:val="BodyText"/>
        <w:spacing w:line="235" w:lineRule="auto"/>
        <w:ind w:left="165" w:right="167"/>
        <w:jc w:val="both"/>
      </w:pPr>
      <w:r>
        <w:rPr/>
        <w:drawing>
          <wp:anchor distT="0" distB="0" distL="0" distR="0" allowOverlap="1" layoutInCell="1" locked="0" behindDoc="0" simplePos="0" relativeHeight="15784960">
            <wp:simplePos x="0" y="0"/>
            <wp:positionH relativeFrom="page">
              <wp:posOffset>1257846</wp:posOffset>
            </wp:positionH>
            <wp:positionV relativeFrom="paragraph">
              <wp:posOffset>-1119026</wp:posOffset>
            </wp:positionV>
            <wp:extent cx="107988" cy="107988"/>
            <wp:effectExtent l="0" t="0" r="0" b="0"/>
            <wp:wrapNone/>
            <wp:docPr id="222" name="Image 222"/>
            <wp:cNvGraphicFramePr>
              <a:graphicFrameLocks/>
            </wp:cNvGraphicFramePr>
            <a:graphic>
              <a:graphicData uri="http://schemas.openxmlformats.org/drawingml/2006/picture">
                <pic:pic>
                  <pic:nvPicPr>
                    <pic:cNvPr id="222" name="Image 222"/>
                    <pic:cNvPicPr/>
                  </pic:nvPicPr>
                  <pic:blipFill>
                    <a:blip r:embed="rId7" cstate="print"/>
                    <a:stretch>
                      <a:fillRect/>
                    </a:stretch>
                  </pic:blipFill>
                  <pic:spPr>
                    <a:xfrm>
                      <a:off x="0" y="0"/>
                      <a:ext cx="107988" cy="107988"/>
                    </a:xfrm>
                    <a:prstGeom prst="rect">
                      <a:avLst/>
                    </a:prstGeom>
                  </pic:spPr>
                </pic:pic>
              </a:graphicData>
            </a:graphic>
          </wp:anchor>
        </w:drawing>
      </w:r>
      <w:r>
        <w:rPr/>
        <w:t>to “estoppel by convention and/or contractual estoppel”. The phrase (at [14(iii)(a)]) “if </w:t>
      </w:r>
      <w:r>
        <w:rPr>
          <w:rFonts w:ascii="Arial" w:hAnsi="Arial"/>
          <w:i/>
        </w:rPr>
        <w:t>either </w:t>
      </w:r>
      <w:r>
        <w:rPr/>
        <w:t>can be established” (italics supplied) appears to treat these two concepts as distinct, but it is less clear whether they are likewise treated as distinct at [29]. If the nature of “contractual estoppel” is correctly stated in the text above after the present note, then there seems in principle to be</w:t>
      </w:r>
      <w:r>
        <w:rPr>
          <w:spacing w:val="40"/>
        </w:rPr>
        <w:t> </w:t>
      </w:r>
      <w:r>
        <w:rPr/>
        <w:t>no reason why such an “estoppel” should not be used as a sword even if estoppel by</w:t>
      </w:r>
      <w:r>
        <w:rPr>
          <w:spacing w:val="40"/>
        </w:rPr>
        <w:t> </w:t>
      </w:r>
      <w:r>
        <w:rPr/>
        <w:t>convention cannot be so used (see above, para.4-114); and a hint to the contrary at [14](iii)(a)] in the </w:t>
      </w:r>
      <w:r>
        <w:rPr>
          <w:rFonts w:ascii="Arial" w:hAnsi="Arial"/>
          <w:i/>
        </w:rPr>
        <w:t>NRAM </w:t>
      </w:r>
      <w:r>
        <w:rPr/>
        <w:t>case above is, with respect, open to question. It has been said that a statement need not be one “as to a </w:t>
      </w:r>
      <w:r>
        <w:rPr>
          <w:rFonts w:ascii="Arial" w:hAnsi="Arial"/>
          <w:i/>
        </w:rPr>
        <w:t>past </w:t>
      </w:r>
      <w:r>
        <w:rPr/>
        <w:t>state of affairs” in order to give rise to a “contractual estoppel”: </w:t>
      </w:r>
      <w:r>
        <w:rPr>
          <w:rFonts w:ascii="Arial" w:hAnsi="Arial"/>
          <w:i/>
        </w:rPr>
        <w:t>Crédit Suisse International v Sticthing Vestia Groep [2014] EWHC 3103 (Comm)</w:t>
      </w:r>
      <w:r>
        <w:rPr>
          <w:rFonts w:ascii="Arial" w:hAnsi="Arial"/>
          <w:i/>
          <w:spacing w:val="-1"/>
        </w:rPr>
        <w:t> </w:t>
      </w:r>
      <w:r>
        <w:rPr/>
        <w:t>at [307]–[309]. The</w:t>
      </w:r>
      <w:r>
        <w:rPr>
          <w:spacing w:val="-1"/>
        </w:rPr>
        <w:t> </w:t>
      </w:r>
      <w:r>
        <w:rPr/>
        <w:t>Court</w:t>
      </w:r>
      <w:r>
        <w:rPr>
          <w:spacing w:val="-1"/>
        </w:rPr>
        <w:t> </w:t>
      </w:r>
      <w:r>
        <w:rPr/>
        <w:t>of</w:t>
      </w:r>
      <w:r>
        <w:rPr>
          <w:spacing w:val="-1"/>
        </w:rPr>
        <w:t> </w:t>
      </w:r>
      <w:r>
        <w:rPr/>
        <w:t>Appeal</w:t>
      </w:r>
      <w:r>
        <w:rPr>
          <w:spacing w:val="-1"/>
        </w:rPr>
        <w:t> </w:t>
      </w:r>
      <w:r>
        <w:rPr/>
        <w:t>allowed</w:t>
      </w:r>
      <w:r>
        <w:rPr>
          <w:spacing w:val="-1"/>
        </w:rPr>
        <w:t> </w:t>
      </w:r>
      <w:r>
        <w:rPr/>
        <w:t>the</w:t>
      </w:r>
      <w:r>
        <w:rPr>
          <w:spacing w:val="-1"/>
        </w:rPr>
        <w:t> </w:t>
      </w:r>
      <w:r>
        <w:rPr/>
        <w:t>appeal</w:t>
      </w:r>
      <w:r>
        <w:rPr>
          <w:spacing w:val="-1"/>
        </w:rPr>
        <w:t> </w:t>
      </w:r>
      <w:r>
        <w:rPr/>
        <w:t>in</w:t>
      </w:r>
      <w:r>
        <w:rPr>
          <w:spacing w:val="-1"/>
        </w:rPr>
        <w:t> </w:t>
      </w:r>
      <w:r>
        <w:rPr/>
        <w:t>the</w:t>
      </w:r>
      <w:r>
        <w:rPr>
          <w:spacing w:val="-2"/>
        </w:rPr>
        <w:t> </w:t>
      </w:r>
      <w:r>
        <w:rPr>
          <w:rFonts w:ascii="Arial" w:hAnsi="Arial"/>
          <w:i/>
        </w:rPr>
        <w:t>NRAM</w:t>
      </w:r>
      <w:r>
        <w:rPr>
          <w:rFonts w:ascii="Arial" w:hAnsi="Arial"/>
          <w:i/>
          <w:spacing w:val="-1"/>
        </w:rPr>
        <w:t> </w:t>
      </w:r>
      <w:r>
        <w:rPr/>
        <w:t>case:</w:t>
      </w:r>
      <w:r>
        <w:rPr>
          <w:spacing w:val="-1"/>
        </w:rPr>
        <w:t> </w:t>
      </w:r>
      <w:r>
        <w:rPr/>
        <w:t>see</w:t>
      </w:r>
      <w:r>
        <w:rPr>
          <w:spacing w:val="-1"/>
        </w:rPr>
        <w:t> </w:t>
      </w:r>
      <w:r>
        <w:rPr>
          <w:rFonts w:ascii="Arial" w:hAnsi="Arial"/>
          <w:i/>
        </w:rPr>
        <w:t>[2015]</w:t>
      </w:r>
      <w:r>
        <w:rPr>
          <w:rFonts w:ascii="Arial" w:hAnsi="Arial"/>
          <w:i/>
          <w:spacing w:val="-1"/>
        </w:rPr>
        <w:t> </w:t>
      </w:r>
      <w:r>
        <w:rPr>
          <w:rFonts w:ascii="Arial" w:hAnsi="Arial"/>
          <w:i/>
        </w:rPr>
        <w:t>EWCA</w:t>
      </w:r>
      <w:r>
        <w:rPr>
          <w:rFonts w:ascii="Arial" w:hAnsi="Arial"/>
          <w:i/>
          <w:spacing w:val="-1"/>
        </w:rPr>
        <w:t> </w:t>
      </w:r>
      <w:r>
        <w:rPr>
          <w:rFonts w:ascii="Arial" w:hAnsi="Arial"/>
          <w:i/>
        </w:rPr>
        <w:t>Civ</w:t>
      </w:r>
      <w:r>
        <w:rPr>
          <w:rFonts w:ascii="Arial" w:hAnsi="Arial"/>
          <w:i/>
          <w:spacing w:val="-1"/>
        </w:rPr>
        <w:t> </w:t>
      </w:r>
      <w:r>
        <w:rPr>
          <w:rFonts w:ascii="Arial" w:hAnsi="Arial"/>
          <w:i/>
        </w:rPr>
        <w:t>751,</w:t>
      </w:r>
      <w:r>
        <w:rPr>
          <w:rFonts w:ascii="Arial" w:hAnsi="Arial"/>
          <w:i/>
          <w:spacing w:val="-1"/>
        </w:rPr>
        <w:t> </w:t>
      </w:r>
      <w:r>
        <w:rPr>
          <w:rFonts w:ascii="Arial" w:hAnsi="Arial"/>
          <w:i/>
        </w:rPr>
        <w:t>[2016]</w:t>
      </w:r>
      <w:r>
        <w:rPr>
          <w:rFonts w:ascii="Arial" w:hAnsi="Arial"/>
          <w:i/>
          <w:spacing w:val="-1"/>
        </w:rPr>
        <w:t> </w:t>
      </w:r>
      <w:r>
        <w:rPr>
          <w:rFonts w:ascii="Arial" w:hAnsi="Arial"/>
          <w:i/>
        </w:rPr>
        <w:t>2 All E.R. (Comm) 333 </w:t>
      </w:r>
      <w:r>
        <w:rPr/>
        <w:t>at [59]. The judgment of the Court of Appeal contains two references to “estoppel by convention and/or contractual estoppel” (at [52] and [56]). Neither of these passages refers to any requirement that the statement or common assumption must relate to a “past”</w:t>
      </w:r>
      <w:r>
        <w:rPr>
          <w:spacing w:val="-3"/>
        </w:rPr>
        <w:t> </w:t>
      </w:r>
      <w:r>
        <w:rPr/>
        <w:t>state</w:t>
      </w:r>
      <w:r>
        <w:rPr>
          <w:spacing w:val="-3"/>
        </w:rPr>
        <w:t> </w:t>
      </w:r>
      <w:r>
        <w:rPr/>
        <w:t>of</w:t>
      </w:r>
      <w:r>
        <w:rPr>
          <w:spacing w:val="-3"/>
        </w:rPr>
        <w:t> </w:t>
      </w:r>
      <w:r>
        <w:rPr/>
        <w:t>affairs</w:t>
      </w:r>
      <w:r>
        <w:rPr>
          <w:spacing w:val="-3"/>
        </w:rPr>
        <w:t> </w:t>
      </w:r>
      <w:r>
        <w:rPr/>
        <w:t>to</w:t>
      </w:r>
      <w:r>
        <w:rPr>
          <w:spacing w:val="-3"/>
        </w:rPr>
        <w:t> </w:t>
      </w:r>
      <w:r>
        <w:rPr/>
        <w:t>be</w:t>
      </w:r>
      <w:r>
        <w:rPr>
          <w:spacing w:val="-3"/>
        </w:rPr>
        <w:t> </w:t>
      </w:r>
      <w:r>
        <w:rPr/>
        <w:t>capable</w:t>
      </w:r>
      <w:r>
        <w:rPr>
          <w:spacing w:val="-3"/>
        </w:rPr>
        <w:t> </w:t>
      </w:r>
      <w:r>
        <w:rPr/>
        <w:t>of</w:t>
      </w:r>
      <w:r>
        <w:rPr>
          <w:spacing w:val="-3"/>
        </w:rPr>
        <w:t> </w:t>
      </w:r>
      <w:r>
        <w:rPr/>
        <w:t>giving</w:t>
      </w:r>
      <w:r>
        <w:rPr>
          <w:spacing w:val="-3"/>
        </w:rPr>
        <w:t> </w:t>
      </w:r>
      <w:r>
        <w:rPr/>
        <w:t>rise</w:t>
      </w:r>
      <w:r>
        <w:rPr>
          <w:spacing w:val="-3"/>
        </w:rPr>
        <w:t> </w:t>
      </w:r>
      <w:r>
        <w:rPr/>
        <w:t>(in</w:t>
      </w:r>
      <w:r>
        <w:rPr>
          <w:spacing w:val="-3"/>
        </w:rPr>
        <w:t> </w:t>
      </w:r>
      <w:r>
        <w:rPr/>
        <w:t>cases</w:t>
      </w:r>
      <w:r>
        <w:rPr>
          <w:spacing w:val="-3"/>
        </w:rPr>
        <w:t> </w:t>
      </w:r>
      <w:r>
        <w:rPr/>
        <w:t>of</w:t>
      </w:r>
      <w:r>
        <w:rPr>
          <w:spacing w:val="-3"/>
        </w:rPr>
        <w:t> </w:t>
      </w:r>
      <w:r>
        <w:rPr/>
        <w:t>alleged</w:t>
      </w:r>
      <w:r>
        <w:rPr>
          <w:spacing w:val="-3"/>
        </w:rPr>
        <w:t> </w:t>
      </w:r>
      <w:r>
        <w:rPr/>
        <w:t>“contractual</w:t>
      </w:r>
      <w:r>
        <w:rPr>
          <w:spacing w:val="-3"/>
        </w:rPr>
        <w:t> </w:t>
      </w:r>
      <w:r>
        <w:rPr/>
        <w:t>estoppel”)</w:t>
      </w:r>
      <w:r>
        <w:rPr>
          <w:spacing w:val="-3"/>
        </w:rPr>
        <w:t> </w:t>
      </w:r>
      <w:r>
        <w:rPr/>
        <w:t>to</w:t>
      </w:r>
      <w:r>
        <w:rPr>
          <w:spacing w:val="-3"/>
        </w:rPr>
        <w:t> </w:t>
      </w:r>
      <w:r>
        <w:rPr/>
        <w:t>a cause of action.</w:t>
      </w:r>
    </w:p>
    <w:p>
      <w:pPr>
        <w:pStyle w:val="BodyText"/>
        <w:spacing w:after="0" w:line="235" w:lineRule="auto"/>
        <w:jc w:val="both"/>
        <w:sectPr>
          <w:type w:val="continuous"/>
          <w:pgSz w:w="11900" w:h="16840"/>
          <w:pgMar w:header="971" w:footer="0" w:top="3760" w:bottom="280" w:left="1275" w:right="1275"/>
          <w:cols w:num="2" w:equalWidth="0">
            <w:col w:w="478" w:space="63"/>
            <w:col w:w="8809"/>
          </w:cols>
        </w:sectPr>
      </w:pPr>
    </w:p>
    <w:p>
      <w:pPr>
        <w:pStyle w:val="BodyText"/>
        <w:spacing w:before="1"/>
      </w:pPr>
    </w:p>
    <w:p>
      <w:pPr>
        <w:pStyle w:val="BodyText"/>
        <w:spacing w:line="235" w:lineRule="auto" w:before="1"/>
        <w:ind w:left="705" w:right="167" w:hanging="541"/>
        <w:jc w:val="both"/>
      </w:pPr>
      <w:bookmarkStart w:name="_bookmark1337" w:id="1339"/>
      <w:bookmarkEnd w:id="1339"/>
      <w:r>
        <w:rPr/>
      </w:r>
      <w:hyperlink w:history="true" w:anchor="_bookmark1092">
        <w:r>
          <w:rPr>
            <w:color w:val="005DA1"/>
            <w:position w:val="5"/>
            <w:sz w:val="14"/>
            <w:u w:val="single" w:color="005DA1"/>
          </w:rPr>
          <w:t>710</w:t>
        </w:r>
      </w:hyperlink>
      <w:r>
        <w:rPr>
          <w:position w:val="5"/>
          <w:sz w:val="14"/>
        </w:rPr>
        <w:t>.</w:t>
      </w:r>
      <w:r>
        <w:rPr>
          <w:spacing w:val="80"/>
          <w:position w:val="5"/>
          <w:sz w:val="14"/>
        </w:rPr>
        <w:t>  </w:t>
      </w:r>
      <w:r>
        <w:rPr/>
        <w:t>See</w:t>
      </w:r>
      <w:r>
        <w:rPr>
          <w:spacing w:val="-1"/>
        </w:rPr>
        <w:t> </w:t>
      </w:r>
      <w:r>
        <w:rPr>
          <w:rFonts w:ascii="Arial" w:hAnsi="Arial"/>
          <w:i/>
        </w:rPr>
        <w:t>Olympic</w:t>
      </w:r>
      <w:r>
        <w:rPr>
          <w:rFonts w:ascii="Arial" w:hAnsi="Arial"/>
          <w:i/>
          <w:spacing w:val="-1"/>
        </w:rPr>
        <w:t> </w:t>
      </w:r>
      <w:r>
        <w:rPr>
          <w:rFonts w:ascii="Arial" w:hAnsi="Arial"/>
          <w:i/>
        </w:rPr>
        <w:t>Airlines</w:t>
      </w:r>
      <w:r>
        <w:rPr>
          <w:rFonts w:ascii="Arial" w:hAnsi="Arial"/>
          <w:i/>
          <w:spacing w:val="-1"/>
        </w:rPr>
        <w:t> </w:t>
      </w:r>
      <w:r>
        <w:rPr>
          <w:rFonts w:ascii="Arial" w:hAnsi="Arial"/>
          <w:i/>
        </w:rPr>
        <w:t>SA</w:t>
      </w:r>
      <w:r>
        <w:rPr>
          <w:rFonts w:ascii="Arial" w:hAnsi="Arial"/>
          <w:i/>
          <w:spacing w:val="-1"/>
        </w:rPr>
        <w:t> </w:t>
      </w:r>
      <w:r>
        <w:rPr>
          <w:rFonts w:ascii="Arial" w:hAnsi="Arial"/>
          <w:i/>
        </w:rPr>
        <w:t>v</w:t>
      </w:r>
      <w:r>
        <w:rPr>
          <w:rFonts w:ascii="Arial" w:hAnsi="Arial"/>
          <w:i/>
          <w:spacing w:val="-1"/>
        </w:rPr>
        <w:t> </w:t>
      </w:r>
      <w:r>
        <w:rPr>
          <w:rFonts w:ascii="Arial" w:hAnsi="Arial"/>
          <w:i/>
        </w:rPr>
        <w:t>ACG</w:t>
      </w:r>
      <w:r>
        <w:rPr>
          <w:rFonts w:ascii="Arial" w:hAnsi="Arial"/>
          <w:i/>
          <w:spacing w:val="-1"/>
        </w:rPr>
        <w:t> </w:t>
      </w:r>
      <w:r>
        <w:rPr>
          <w:rFonts w:ascii="Arial" w:hAnsi="Arial"/>
          <w:i/>
        </w:rPr>
        <w:t>Acquisition</w:t>
      </w:r>
      <w:r>
        <w:rPr>
          <w:rFonts w:ascii="Arial" w:hAnsi="Arial"/>
          <w:i/>
          <w:spacing w:val="-1"/>
        </w:rPr>
        <w:t> </w:t>
      </w:r>
      <w:r>
        <w:rPr>
          <w:rFonts w:ascii="Arial" w:hAnsi="Arial"/>
          <w:i/>
        </w:rPr>
        <w:t>xx</w:t>
      </w:r>
      <w:r>
        <w:rPr>
          <w:rFonts w:ascii="Arial" w:hAnsi="Arial"/>
          <w:i/>
          <w:spacing w:val="-1"/>
        </w:rPr>
        <w:t> </w:t>
      </w:r>
      <w:r>
        <w:rPr>
          <w:rFonts w:ascii="Arial" w:hAnsi="Arial"/>
          <w:i/>
        </w:rPr>
        <w:t>LLC</w:t>
      </w:r>
      <w:r>
        <w:rPr>
          <w:rFonts w:ascii="Arial" w:hAnsi="Arial"/>
          <w:i/>
          <w:spacing w:val="-1"/>
        </w:rPr>
        <w:t> </w:t>
      </w:r>
      <w:r>
        <w:rPr>
          <w:rFonts w:ascii="Arial" w:hAnsi="Arial"/>
          <w:i/>
        </w:rPr>
        <w:t>[2013]</w:t>
      </w:r>
      <w:r>
        <w:rPr>
          <w:rFonts w:ascii="Arial" w:hAnsi="Arial"/>
          <w:i/>
          <w:spacing w:val="-1"/>
        </w:rPr>
        <w:t> </w:t>
      </w:r>
      <w:r>
        <w:rPr>
          <w:rFonts w:ascii="Arial" w:hAnsi="Arial"/>
          <w:i/>
        </w:rPr>
        <w:t>EWCA</w:t>
      </w:r>
      <w:r>
        <w:rPr>
          <w:rFonts w:ascii="Arial" w:hAnsi="Arial"/>
          <w:i/>
          <w:spacing w:val="-1"/>
        </w:rPr>
        <w:t> </w:t>
      </w:r>
      <w:r>
        <w:rPr>
          <w:rFonts w:ascii="Arial" w:hAnsi="Arial"/>
          <w:i/>
        </w:rPr>
        <w:t>Civ</w:t>
      </w:r>
      <w:r>
        <w:rPr>
          <w:rFonts w:ascii="Arial" w:hAnsi="Arial"/>
          <w:i/>
          <w:spacing w:val="-1"/>
        </w:rPr>
        <w:t> </w:t>
      </w:r>
      <w:r>
        <w:rPr>
          <w:rFonts w:ascii="Arial" w:hAnsi="Arial"/>
          <w:i/>
        </w:rPr>
        <w:t>369,</w:t>
      </w:r>
      <w:r>
        <w:rPr>
          <w:rFonts w:ascii="Arial" w:hAnsi="Arial"/>
          <w:i/>
          <w:spacing w:val="-1"/>
        </w:rPr>
        <w:t> </w:t>
      </w:r>
      <w:r>
        <w:rPr>
          <w:rFonts w:ascii="Arial" w:hAnsi="Arial"/>
          <w:i/>
        </w:rPr>
        <w:t>[2013]</w:t>
      </w:r>
      <w:r>
        <w:rPr>
          <w:rFonts w:ascii="Arial" w:hAnsi="Arial"/>
          <w:i/>
          <w:spacing w:val="-1"/>
        </w:rPr>
        <w:t> </w:t>
      </w:r>
      <w:r>
        <w:rPr>
          <w:rFonts w:ascii="Arial" w:hAnsi="Arial"/>
          <w:i/>
        </w:rPr>
        <w:t>1</w:t>
      </w:r>
      <w:r>
        <w:rPr>
          <w:rFonts w:ascii="Arial" w:hAnsi="Arial"/>
          <w:i/>
          <w:spacing w:val="-1"/>
        </w:rPr>
        <w:t> </w:t>
      </w:r>
      <w:r>
        <w:rPr>
          <w:rFonts w:ascii="Arial" w:hAnsi="Arial"/>
          <w:i/>
        </w:rPr>
        <w:t>Lloyd’s</w:t>
      </w:r>
      <w:r>
        <w:rPr>
          <w:rFonts w:ascii="Arial" w:hAnsi="Arial"/>
          <w:i/>
          <w:spacing w:val="-1"/>
        </w:rPr>
        <w:t> </w:t>
      </w:r>
      <w:r>
        <w:rPr>
          <w:rFonts w:ascii="Arial" w:hAnsi="Arial"/>
          <w:i/>
        </w:rPr>
        <w:t>Rep 658</w:t>
      </w:r>
      <w:r>
        <w:rPr/>
        <w:t>, where the phrase “contractual estoppel” occurs in a statement of the grounds of appeal </w:t>
      </w:r>
      <w:r>
        <w:rPr/>
        <w:t>(at [16]) and in a quotation from the judgment at first instance (at [46]). But the concept forms no part of the reasoning which led Tomlinson L.J. (with whose judgment Kitchin and Toulson L.JJ. agreed) to conclude that the lessee of an aircraft was, in the circumstances which had</w:t>
      </w:r>
      <w:r>
        <w:rPr>
          <w:spacing w:val="40"/>
        </w:rPr>
        <w:t> </w:t>
      </w:r>
      <w:r>
        <w:rPr/>
        <w:t>occurred, precluded by a term of the contract from denying that the aircraft was, at the time of delivery, in an airworthy condition: that conclusion was based simply on the construction of that term.</w:t>
      </w:r>
      <w:r>
        <w:rPr>
          <w:spacing w:val="-2"/>
        </w:rPr>
        <w:t> </w:t>
      </w:r>
      <w:r>
        <w:rPr/>
        <w:t>In</w:t>
      </w:r>
      <w:r>
        <w:rPr>
          <w:spacing w:val="-2"/>
        </w:rPr>
        <w:t> </w:t>
      </w:r>
      <w:r>
        <w:rPr>
          <w:rFonts w:ascii="Arial" w:hAnsi="Arial"/>
          <w:i/>
        </w:rPr>
        <w:t>Prime</w:t>
      </w:r>
      <w:r>
        <w:rPr>
          <w:rFonts w:ascii="Arial" w:hAnsi="Arial"/>
          <w:i/>
          <w:spacing w:val="-2"/>
        </w:rPr>
        <w:t> </w:t>
      </w:r>
      <w:r>
        <w:rPr>
          <w:rFonts w:ascii="Arial" w:hAnsi="Arial"/>
          <w:i/>
        </w:rPr>
        <w:t>Sight</w:t>
      </w:r>
      <w:r>
        <w:rPr>
          <w:rFonts w:ascii="Arial" w:hAnsi="Arial"/>
          <w:i/>
          <w:spacing w:val="-2"/>
        </w:rPr>
        <w:t> </w:t>
      </w:r>
      <w:r>
        <w:rPr>
          <w:rFonts w:ascii="Arial" w:hAnsi="Arial"/>
          <w:i/>
        </w:rPr>
        <w:t>Limited</w:t>
      </w:r>
      <w:r>
        <w:rPr>
          <w:rFonts w:ascii="Arial" w:hAnsi="Arial"/>
          <w:i/>
          <w:spacing w:val="-2"/>
        </w:rPr>
        <w:t> </w:t>
      </w:r>
      <w:r>
        <w:rPr>
          <w:rFonts w:ascii="Arial" w:hAnsi="Arial"/>
          <w:i/>
        </w:rPr>
        <w:t>v</w:t>
      </w:r>
      <w:r>
        <w:rPr>
          <w:rFonts w:ascii="Arial" w:hAnsi="Arial"/>
          <w:i/>
          <w:spacing w:val="-2"/>
        </w:rPr>
        <w:t> </w:t>
      </w:r>
      <w:r>
        <w:rPr>
          <w:rFonts w:ascii="Arial" w:hAnsi="Arial"/>
          <w:i/>
        </w:rPr>
        <w:t>Lavarello</w:t>
      </w:r>
      <w:r>
        <w:rPr>
          <w:rFonts w:ascii="Arial" w:hAnsi="Arial"/>
          <w:i/>
          <w:spacing w:val="-2"/>
        </w:rPr>
        <w:t> </w:t>
      </w:r>
      <w:r>
        <w:rPr>
          <w:rFonts w:ascii="Arial" w:hAnsi="Arial"/>
          <w:i/>
        </w:rPr>
        <w:t>[2013]</w:t>
      </w:r>
      <w:r>
        <w:rPr>
          <w:rFonts w:ascii="Arial" w:hAnsi="Arial"/>
          <w:i/>
          <w:spacing w:val="-2"/>
        </w:rPr>
        <w:t> </w:t>
      </w:r>
      <w:r>
        <w:rPr>
          <w:rFonts w:ascii="Arial" w:hAnsi="Arial"/>
          <w:i/>
        </w:rPr>
        <w:t>UKPC</w:t>
      </w:r>
      <w:r>
        <w:rPr>
          <w:rFonts w:ascii="Arial" w:hAnsi="Arial"/>
          <w:i/>
          <w:spacing w:val="-2"/>
        </w:rPr>
        <w:t> </w:t>
      </w:r>
      <w:r>
        <w:rPr>
          <w:rFonts w:ascii="Arial" w:hAnsi="Arial"/>
          <w:i/>
        </w:rPr>
        <w:t>22,</w:t>
      </w:r>
      <w:r>
        <w:rPr>
          <w:rFonts w:ascii="Arial" w:hAnsi="Arial"/>
          <w:i/>
          <w:spacing w:val="-2"/>
        </w:rPr>
        <w:t> </w:t>
      </w:r>
      <w:r>
        <w:rPr>
          <w:rFonts w:ascii="Arial" w:hAnsi="Arial"/>
          <w:i/>
        </w:rPr>
        <w:t>[2014]</w:t>
      </w:r>
      <w:r>
        <w:rPr>
          <w:rFonts w:ascii="Arial" w:hAnsi="Arial"/>
          <w:i/>
          <w:spacing w:val="-2"/>
        </w:rPr>
        <w:t> </w:t>
      </w:r>
      <w:r>
        <w:rPr>
          <w:rFonts w:ascii="Arial" w:hAnsi="Arial"/>
          <w:i/>
        </w:rPr>
        <w:t>A.C.</w:t>
      </w:r>
      <w:r>
        <w:rPr>
          <w:rFonts w:ascii="Arial" w:hAnsi="Arial"/>
          <w:i/>
          <w:spacing w:val="-2"/>
        </w:rPr>
        <w:t> </w:t>
      </w:r>
      <w:r>
        <w:rPr>
          <w:rFonts w:ascii="Arial" w:hAnsi="Arial"/>
          <w:i/>
        </w:rPr>
        <w:t>436</w:t>
      </w:r>
      <w:r>
        <w:rPr>
          <w:rFonts w:ascii="Arial" w:hAnsi="Arial"/>
          <w:i/>
          <w:spacing w:val="-2"/>
        </w:rPr>
        <w:t> </w:t>
      </w:r>
      <w:r>
        <w:rPr/>
        <w:t>a</w:t>
      </w:r>
      <w:r>
        <w:rPr>
          <w:spacing w:val="-2"/>
        </w:rPr>
        <w:t> </w:t>
      </w:r>
      <w:r>
        <w:rPr/>
        <w:t>deed</w:t>
      </w:r>
      <w:r>
        <w:rPr>
          <w:spacing w:val="-2"/>
        </w:rPr>
        <w:t> </w:t>
      </w:r>
      <w:r>
        <w:rPr/>
        <w:t>of</w:t>
      </w:r>
      <w:r>
        <w:rPr>
          <w:spacing w:val="-2"/>
        </w:rPr>
        <w:t> </w:t>
      </w:r>
      <w:r>
        <w:rPr/>
        <w:t>assignment of an underlease expressed to have been made in consideration of a sum of money “now paid by the Assignee” was held to have “estopped” the assignor’s trustee in bankruptcy from asserting that the payment had not been made; but no reference was made to the concept of “contractual estoppel”, the ground of decision being simply that the assignee was “on ordinary contractual principles to rely on the terms of the deed … ”, i.e. (apparently) on its true construction. There is, with respect, force in the statement in the </w:t>
      </w:r>
      <w:r>
        <w:rPr>
          <w:rFonts w:ascii="Arial" w:hAnsi="Arial"/>
          <w:i/>
        </w:rPr>
        <w:t>Crédit Suisse </w:t>
      </w:r>
      <w:r>
        <w:rPr/>
        <w:t>case (above, n.693) at [309] that “contractual estoppel” is no more than a “convenient label” for describing a situation which lacks a “defining characteristic of estoppels”, viz., “a detriment in some form or </w:t>
      </w:r>
      <w:r>
        <w:rPr>
          <w:spacing w:val="-2"/>
        </w:rPr>
        <w:t>other”.</w:t>
      </w:r>
    </w:p>
    <w:p>
      <w:pPr>
        <w:tabs>
          <w:tab w:pos="705" w:val="left" w:leader="none"/>
        </w:tabs>
        <w:spacing w:before="229"/>
        <w:ind w:left="165" w:right="0" w:firstLine="0"/>
        <w:jc w:val="left"/>
        <w:rPr>
          <w:sz w:val="20"/>
        </w:rPr>
      </w:pPr>
      <w:bookmarkStart w:name="_bookmark1338" w:id="1340"/>
      <w:bookmarkEnd w:id="1340"/>
      <w:r>
        <w:rPr/>
      </w:r>
      <w:hyperlink w:history="true" w:anchor="_bookmark1093">
        <w:r>
          <w:rPr>
            <w:color w:val="005DA1"/>
            <w:spacing w:val="-4"/>
            <w:position w:val="5"/>
            <w:sz w:val="14"/>
            <w:u w:val="single" w:color="005DA1"/>
          </w:rPr>
          <w:t>711</w:t>
        </w:r>
      </w:hyperlink>
      <w:r>
        <w:rPr>
          <w:spacing w:val="-4"/>
          <w:position w:val="5"/>
          <w:sz w:val="14"/>
        </w:rPr>
        <w:t>.</w:t>
      </w:r>
      <w:r>
        <w:rPr>
          <w:position w:val="5"/>
          <w:sz w:val="14"/>
        </w:rPr>
        <w:tab/>
      </w:r>
      <w:r>
        <w:rPr>
          <w:sz w:val="20"/>
        </w:rPr>
        <w:t>e.g. the </w:t>
      </w:r>
      <w:r>
        <w:rPr>
          <w:rFonts w:ascii="Arial"/>
          <w:i/>
          <w:sz w:val="20"/>
        </w:rPr>
        <w:t>Olympic Airlines</w:t>
      </w:r>
      <w:r>
        <w:rPr>
          <w:rFonts w:ascii="Arial"/>
          <w:i/>
          <w:spacing w:val="-1"/>
          <w:sz w:val="20"/>
        </w:rPr>
        <w:t> </w:t>
      </w:r>
      <w:r>
        <w:rPr>
          <w:sz w:val="20"/>
        </w:rPr>
        <w:t>case, above </w:t>
      </w:r>
      <w:r>
        <w:rPr>
          <w:spacing w:val="-2"/>
          <w:sz w:val="20"/>
        </w:rPr>
        <w:t>n.694.</w:t>
      </w:r>
    </w:p>
    <w:p>
      <w:pPr>
        <w:pStyle w:val="BodyText"/>
        <w:spacing w:before="9"/>
      </w:pPr>
    </w:p>
    <w:p>
      <w:pPr>
        <w:pStyle w:val="BodyText"/>
        <w:tabs>
          <w:tab w:pos="705" w:val="left" w:leader="none"/>
        </w:tabs>
        <w:spacing w:line="235" w:lineRule="auto"/>
        <w:ind w:left="705" w:right="168" w:hanging="541"/>
      </w:pPr>
      <w:bookmarkStart w:name="_bookmark1339" w:id="1341"/>
      <w:bookmarkEnd w:id="1341"/>
      <w:r>
        <w:rPr/>
      </w:r>
      <w:hyperlink w:history="true" w:anchor="_bookmark1094">
        <w:r>
          <w:rPr>
            <w:color w:val="005DA1"/>
            <w:spacing w:val="-4"/>
            <w:position w:val="5"/>
            <w:sz w:val="14"/>
            <w:u w:val="single" w:color="005DA1"/>
          </w:rPr>
          <w:t>712</w:t>
        </w:r>
      </w:hyperlink>
      <w:r>
        <w:rPr>
          <w:spacing w:val="-4"/>
          <w:position w:val="5"/>
          <w:sz w:val="14"/>
        </w:rPr>
        <w:t>.</w:t>
      </w:r>
      <w:r>
        <w:rPr>
          <w:position w:val="5"/>
          <w:sz w:val="14"/>
        </w:rPr>
        <w:tab/>
      </w:r>
      <w:r>
        <w:rPr/>
        <w:t>See</w:t>
      </w:r>
      <w:r>
        <w:rPr>
          <w:spacing w:val="-3"/>
        </w:rPr>
        <w:t> </w:t>
      </w:r>
      <w:r>
        <w:rPr/>
        <w:t>the</w:t>
      </w:r>
      <w:r>
        <w:rPr>
          <w:spacing w:val="-1"/>
        </w:rPr>
        <w:t> </w:t>
      </w:r>
      <w:r>
        <w:rPr/>
        <w:t>cases</w:t>
      </w:r>
      <w:r>
        <w:rPr>
          <w:spacing w:val="-1"/>
        </w:rPr>
        <w:t> </w:t>
      </w:r>
      <w:r>
        <w:rPr/>
        <w:t>discussed</w:t>
      </w:r>
      <w:r>
        <w:rPr>
          <w:spacing w:val="-1"/>
        </w:rPr>
        <w:t> </w:t>
      </w:r>
      <w:r>
        <w:rPr/>
        <w:t>in</w:t>
      </w:r>
      <w:r>
        <w:rPr>
          <w:spacing w:val="-1"/>
        </w:rPr>
        <w:t> </w:t>
      </w:r>
      <w:r>
        <w:rPr/>
        <w:t>para.4-109</w:t>
      </w:r>
      <w:r>
        <w:rPr>
          <w:spacing w:val="-1"/>
        </w:rPr>
        <w:t> </w:t>
      </w:r>
      <w:r>
        <w:rPr/>
        <w:t>above,</w:t>
      </w:r>
      <w:r>
        <w:rPr>
          <w:spacing w:val="-1"/>
        </w:rPr>
        <w:t> </w:t>
      </w:r>
      <w:r>
        <w:rPr/>
        <w:t>distinguishing</w:t>
      </w:r>
      <w:r>
        <w:rPr>
          <w:spacing w:val="-1"/>
        </w:rPr>
        <w:t> </w:t>
      </w:r>
      <w:r>
        <w:rPr/>
        <w:t>between</w:t>
      </w:r>
      <w:r>
        <w:rPr>
          <w:spacing w:val="-1"/>
        </w:rPr>
        <w:t> </w:t>
      </w:r>
      <w:r>
        <w:rPr/>
        <w:t>issue</w:t>
      </w:r>
      <w:r>
        <w:rPr>
          <w:spacing w:val="-1"/>
        </w:rPr>
        <w:t> </w:t>
      </w:r>
      <w:r>
        <w:rPr/>
        <w:t>of</w:t>
      </w:r>
      <w:r>
        <w:rPr>
          <w:spacing w:val="-1"/>
        </w:rPr>
        <w:t> </w:t>
      </w:r>
      <w:r>
        <w:rPr/>
        <w:t>construction</w:t>
      </w:r>
      <w:r>
        <w:rPr>
          <w:spacing w:val="-1"/>
        </w:rPr>
        <w:t> </w:t>
      </w:r>
      <w:r>
        <w:rPr/>
        <w:t>and issues of estoppels by convention.</w:t>
      </w:r>
    </w:p>
    <w:p>
      <w:pPr>
        <w:pStyle w:val="BodyText"/>
        <w:spacing w:before="5"/>
      </w:pPr>
    </w:p>
    <w:p>
      <w:pPr>
        <w:pStyle w:val="BodyText"/>
        <w:tabs>
          <w:tab w:pos="705" w:val="left" w:leader="none"/>
        </w:tabs>
        <w:spacing w:before="1"/>
        <w:ind w:left="165"/>
      </w:pPr>
      <w:bookmarkStart w:name="_bookmark1340" w:id="1342"/>
      <w:bookmarkEnd w:id="1342"/>
      <w:r>
        <w:rPr/>
      </w:r>
      <w:hyperlink w:history="true" w:anchor="_bookmark1095">
        <w:r>
          <w:rPr>
            <w:color w:val="005DA1"/>
            <w:spacing w:val="-4"/>
            <w:position w:val="5"/>
            <w:sz w:val="14"/>
            <w:u w:val="single" w:color="005DA1"/>
          </w:rPr>
          <w:t>713</w:t>
        </w:r>
      </w:hyperlink>
      <w:r>
        <w:rPr>
          <w:spacing w:val="-4"/>
          <w:position w:val="5"/>
          <w:sz w:val="14"/>
        </w:rPr>
        <w:t>.</w:t>
      </w:r>
      <w:r>
        <w:rPr>
          <w:position w:val="5"/>
          <w:sz w:val="14"/>
        </w:rPr>
        <w:tab/>
      </w:r>
      <w:r>
        <w:rPr/>
        <w:t>See, in particular, para.4-108 above at nn.621 and </w:t>
      </w:r>
      <w:r>
        <w:rPr>
          <w:spacing w:val="-4"/>
        </w:rPr>
        <w:t>631.</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37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727" w:right="2730"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211328">
                <wp:simplePos x="0" y="0"/>
                <wp:positionH relativeFrom="page">
                  <wp:posOffset>4707940</wp:posOffset>
                </wp:positionH>
                <wp:positionV relativeFrom="paragraph">
                  <wp:posOffset>377436</wp:posOffset>
                </wp:positionV>
                <wp:extent cx="42545"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05152" from="370.70401pt,29.719406pt" to="374.04001pt,29.719406pt" stroked="true" strokeweight=".428pt" strokecolor="#005da1">
                <v:stroke dashstyle="solid"/>
                <w10:wrap type="none"/>
              </v:line>
            </w:pict>
          </mc:Fallback>
        </mc:AlternateContent>
      </w: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4 - Consideration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10. - Part Payment of a </w:t>
      </w:r>
      <w:r>
        <w:rPr>
          <w:rFonts w:ascii="Arial"/>
          <w:b/>
          <w:spacing w:val="-4"/>
          <w:sz w:val="24"/>
        </w:rPr>
        <w:t>Debt</w:t>
      </w:r>
    </w:p>
    <w:p>
      <w:pPr>
        <w:spacing w:before="194"/>
        <w:ind w:left="3678" w:right="0" w:firstLine="0"/>
        <w:jc w:val="left"/>
        <w:rPr>
          <w:rFonts w:ascii="Arial"/>
          <w:b/>
          <w:sz w:val="24"/>
        </w:rPr>
      </w:pPr>
      <w:r>
        <w:rPr>
          <w:rFonts w:ascii="Arial"/>
          <w:b/>
          <w:sz w:val="24"/>
        </w:rPr>
        <w:t>(a) - General </w:t>
      </w:r>
      <w:r>
        <w:rPr>
          <w:rFonts w:ascii="Arial"/>
          <w:b/>
          <w:spacing w:val="-4"/>
          <w:sz w:val="24"/>
        </w:rPr>
        <w:t>Rule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General common law </w:t>
      </w:r>
      <w:r>
        <w:rPr>
          <w:rFonts w:ascii="Arial"/>
          <w:b/>
          <w:spacing w:val="-4"/>
          <w:sz w:val="18"/>
        </w:rPr>
        <w:t>rule</w:t>
      </w:r>
    </w:p>
    <w:p>
      <w:pPr>
        <w:pStyle w:val="BodyText"/>
        <w:spacing w:before="41"/>
        <w:rPr>
          <w:rFonts w:ascii="Arial"/>
          <w:b/>
          <w:sz w:val="18"/>
        </w:rPr>
      </w:pPr>
    </w:p>
    <w:p>
      <w:pPr>
        <w:pStyle w:val="Heading2"/>
      </w:pPr>
      <w:r>
        <w:rPr/>
        <w:t>4-</w:t>
      </w:r>
      <w:r>
        <w:rPr>
          <w:spacing w:val="-5"/>
        </w:rPr>
        <w:t>117</w:t>
      </w:r>
    </w:p>
    <w:p>
      <w:pPr>
        <w:pStyle w:val="BodyText"/>
        <w:spacing w:line="235" w:lineRule="auto" w:before="203"/>
        <w:ind w:left="165" w:right="167"/>
        <w:jc w:val="both"/>
      </w:pPr>
      <w:r>
        <w:rPr/>
        <w:t>At</w:t>
      </w:r>
      <w:r>
        <w:rPr>
          <w:spacing w:val="-1"/>
        </w:rPr>
        <w:t> </w:t>
      </w:r>
      <w:r>
        <w:rPr/>
        <w:t>common</w:t>
      </w:r>
      <w:r>
        <w:rPr>
          <w:spacing w:val="-1"/>
        </w:rPr>
        <w:t> </w:t>
      </w:r>
      <w:r>
        <w:rPr/>
        <w:t>law,</w:t>
      </w:r>
      <w:r>
        <w:rPr>
          <w:spacing w:val="-1"/>
        </w:rPr>
        <w:t> </w:t>
      </w:r>
      <w:r>
        <w:rPr/>
        <w:t>the</w:t>
      </w:r>
      <w:r>
        <w:rPr>
          <w:spacing w:val="-1"/>
        </w:rPr>
        <w:t> </w:t>
      </w:r>
      <w:r>
        <w:rPr/>
        <w:t>general</w:t>
      </w:r>
      <w:r>
        <w:rPr>
          <w:spacing w:val="-1"/>
        </w:rPr>
        <w:t> </w:t>
      </w:r>
      <w:r>
        <w:rPr/>
        <w:t>rule</w:t>
      </w:r>
      <w:r>
        <w:rPr>
          <w:spacing w:val="-1"/>
        </w:rPr>
        <w:t> </w:t>
      </w:r>
      <w:r>
        <w:rPr/>
        <w:t>is</w:t>
      </w:r>
      <w:r>
        <w:rPr>
          <w:spacing w:val="-1"/>
        </w:rPr>
        <w:t> </w:t>
      </w:r>
      <w:r>
        <w:rPr/>
        <w:t>that</w:t>
      </w:r>
      <w:r>
        <w:rPr>
          <w:spacing w:val="-1"/>
        </w:rPr>
        <w:t> </w:t>
      </w:r>
      <w:r>
        <w:rPr/>
        <w:t>a</w:t>
      </w:r>
      <w:r>
        <w:rPr>
          <w:spacing w:val="-1"/>
        </w:rPr>
        <w:t> </w:t>
      </w:r>
      <w:r>
        <w:rPr/>
        <w:t>creditor</w:t>
      </w:r>
      <w:r>
        <w:rPr>
          <w:spacing w:val="-1"/>
        </w:rPr>
        <w:t> </w:t>
      </w:r>
      <w:r>
        <w:rPr/>
        <w:t>is</w:t>
      </w:r>
      <w:r>
        <w:rPr>
          <w:spacing w:val="-1"/>
        </w:rPr>
        <w:t> </w:t>
      </w:r>
      <w:r>
        <w:rPr/>
        <w:t>not</w:t>
      </w:r>
      <w:r>
        <w:rPr>
          <w:spacing w:val="-1"/>
        </w:rPr>
        <w:t> </w:t>
      </w:r>
      <w:r>
        <w:rPr/>
        <w:t>bound</w:t>
      </w:r>
      <w:r>
        <w:rPr>
          <w:spacing w:val="-1"/>
        </w:rPr>
        <w:t> </w:t>
      </w:r>
      <w:r>
        <w:rPr/>
        <w:t>by</w:t>
      </w:r>
      <w:r>
        <w:rPr>
          <w:spacing w:val="-1"/>
        </w:rPr>
        <w:t> </w:t>
      </w:r>
      <w:r>
        <w:rPr/>
        <w:t>a</w:t>
      </w:r>
      <w:r>
        <w:rPr>
          <w:spacing w:val="-1"/>
        </w:rPr>
        <w:t> </w:t>
      </w:r>
      <w:r>
        <w:rPr/>
        <w:t>promise</w:t>
      </w:r>
      <w:r>
        <w:rPr>
          <w:spacing w:val="-1"/>
        </w:rPr>
        <w:t> </w:t>
      </w:r>
      <w:r>
        <w:rPr/>
        <w:t>to</w:t>
      </w:r>
      <w:r>
        <w:rPr>
          <w:spacing w:val="-1"/>
        </w:rPr>
        <w:t> </w:t>
      </w:r>
      <w:r>
        <w:rPr/>
        <w:t>accept</w:t>
      </w:r>
      <w:r>
        <w:rPr>
          <w:spacing w:val="-1"/>
        </w:rPr>
        <w:t> </w:t>
      </w:r>
      <w:r>
        <w:rPr/>
        <w:t>part</w:t>
      </w:r>
      <w:r>
        <w:rPr>
          <w:spacing w:val="-1"/>
        </w:rPr>
        <w:t> </w:t>
      </w:r>
      <w:r>
        <w:rPr/>
        <w:t>payment</w:t>
      </w:r>
      <w:r>
        <w:rPr>
          <w:spacing w:val="-1"/>
        </w:rPr>
        <w:t> </w:t>
      </w:r>
      <w:r>
        <w:rPr/>
        <w:t>in </w:t>
      </w:r>
      <w:bookmarkStart w:name="_bookmark1341" w:id="1343"/>
      <w:bookmarkEnd w:id="1343"/>
      <w:r>
        <w:rPr/>
        <w:t>full</w:t>
      </w:r>
      <w:r>
        <w:rPr/>
        <w:t> settlement of a debt. An accrued debt can be discharged by the creditor’s promise only if the promise amounts, or gives rise, to an effective accord and satisfaction. </w:t>
      </w:r>
      <w:r>
        <w:rPr>
          <w:color w:val="005DA1"/>
          <w:u w:val="single" w:color="005DA1"/>
          <w:vertAlign w:val="superscript"/>
        </w:rPr>
        <w:t>714</w:t>
      </w:r>
      <w:r>
        <w:rPr>
          <w:color w:val="005DA1"/>
          <w:vertAlign w:val="baseline"/>
        </w:rPr>
        <w:t> </w:t>
      </w:r>
      <w:r>
        <w:rPr>
          <w:vertAlign w:val="baseline"/>
        </w:rPr>
        <w:t>A counter-promise by the debtor to pay only part of the debt provides no consideration for the accord, as it is merely a promise to perform part of an existing duty owed to the creditor. And the actual payment is no satisfaction </w:t>
      </w:r>
      <w:bookmarkStart w:name="_bookmark1342" w:id="1344"/>
      <w:bookmarkEnd w:id="1344"/>
      <w:r>
        <w:rPr>
          <w:vertAlign w:val="baseline"/>
        </w:rPr>
        <w:t>under</w:t>
      </w:r>
      <w:r>
        <w:rPr>
          <w:vertAlign w:val="baseline"/>
        </w:rPr>
        <w:t> the rule in </w:t>
      </w:r>
      <w:r>
        <w:rPr>
          <w:rFonts w:ascii="Arial" w:hAnsi="Arial"/>
          <w:i/>
          <w:vertAlign w:val="baseline"/>
        </w:rPr>
        <w:t>Pinnel’s Case </w:t>
      </w:r>
      <w:r>
        <w:rPr>
          <w:vertAlign w:val="baseline"/>
        </w:rPr>
        <w:t>that “Payment of a lesser sum on the day in satisfaction of a greater </w:t>
      </w:r>
      <w:bookmarkStart w:name="_bookmark1343" w:id="1345"/>
      <w:bookmarkEnd w:id="1345"/>
      <w:r>
        <w:rPr>
          <w:vertAlign w:val="baseline"/>
        </w:rPr>
        <w:t>sum</w:t>
      </w:r>
      <w:r>
        <w:rPr>
          <w:vertAlign w:val="baseline"/>
        </w:rPr>
        <w:t> cannot be any satisfaction for the whole.” </w:t>
      </w:r>
      <w:r>
        <w:rPr>
          <w:color w:val="005DA1"/>
          <w:u w:val="single" w:color="005DA1"/>
          <w:vertAlign w:val="superscript"/>
        </w:rPr>
        <w:t>715</w:t>
      </w:r>
      <w:r>
        <w:rPr>
          <w:color w:val="005DA1"/>
          <w:vertAlign w:val="baseline"/>
        </w:rPr>
        <w:t> </w:t>
      </w:r>
      <w:r>
        <w:rPr>
          <w:vertAlign w:val="baseline"/>
        </w:rPr>
        <w:t>This rule was approved by the House of Lords in </w:t>
      </w:r>
      <w:bookmarkStart w:name="_bookmark1344" w:id="1346"/>
      <w:bookmarkEnd w:id="1346"/>
      <w:r>
        <w:rPr>
          <w:vertAlign w:val="baseline"/>
        </w:rPr>
      </w:r>
      <w:r>
        <w:rPr>
          <w:rFonts w:ascii="Arial" w:hAnsi="Arial"/>
          <w:i/>
          <w:vertAlign w:val="baseline"/>
        </w:rPr>
        <w:t>Foakes v Beer</w:t>
      </w:r>
      <w:r>
        <w:rPr>
          <w:vertAlign w:val="baseline"/>
        </w:rPr>
        <w:t>. </w:t>
      </w:r>
      <w:r>
        <w:rPr>
          <w:color w:val="005DA1"/>
          <w:u w:val="single" w:color="005DA1"/>
          <w:vertAlign w:val="superscript"/>
        </w:rPr>
        <w:t>716</w:t>
      </w:r>
      <w:r>
        <w:rPr>
          <w:color w:val="005DA1"/>
          <w:vertAlign w:val="baseline"/>
        </w:rPr>
        <w:t> </w:t>
      </w:r>
      <w:r>
        <w:rPr>
          <w:vertAlign w:val="baseline"/>
        </w:rPr>
        <w:t>Mrs Beer had obtained a judgment against Dr Foakes for £2,090 19s. Sixteen months later, Dr Foakes asked for time to pay. A written agreement </w:t>
      </w:r>
      <w:r>
        <w:rPr>
          <w:color w:val="005DA1"/>
          <w:u w:val="single" w:color="005DA1"/>
          <w:vertAlign w:val="superscript"/>
        </w:rPr>
        <w:t>717</w:t>
      </w:r>
      <w:r>
        <w:rPr>
          <w:color w:val="005DA1"/>
          <w:vertAlign w:val="baseline"/>
        </w:rPr>
        <w:t> </w:t>
      </w:r>
      <w:r>
        <w:rPr>
          <w:vertAlign w:val="baseline"/>
        </w:rPr>
        <w:t>was made under which Mrs </w:t>
      </w:r>
      <w:bookmarkStart w:name="_bookmark1345" w:id="1347"/>
      <w:bookmarkEnd w:id="1347"/>
      <w:r>
        <w:rPr>
          <w:vertAlign w:val="baseline"/>
        </w:rPr>
        <w:t>Beer</w:t>
      </w:r>
      <w:r>
        <w:rPr>
          <w:vertAlign w:val="baseline"/>
        </w:rPr>
        <w:t> undertook not to take “any proceedings whatsoever” on the judgment, in consideration of an immediate payment by Dr Foakes of £500 and on condition </w:t>
      </w:r>
      <w:r>
        <w:rPr>
          <w:color w:val="005DA1"/>
          <w:u w:val="single" w:color="005DA1"/>
          <w:vertAlign w:val="superscript"/>
        </w:rPr>
        <w:t>718</w:t>
      </w:r>
      <w:r>
        <w:rPr>
          <w:color w:val="005DA1"/>
          <w:vertAlign w:val="baseline"/>
        </w:rPr>
        <w:t> </w:t>
      </w:r>
      <w:r>
        <w:rPr>
          <w:vertAlign w:val="baseline"/>
        </w:rPr>
        <w:t>of his paying specified instalments </w:t>
      </w:r>
      <w:bookmarkStart w:name="_bookmark1346" w:id="1348"/>
      <w:bookmarkEnd w:id="1348"/>
      <w:r>
        <w:rPr>
          <w:vertAlign w:val="baseline"/>
        </w:rPr>
        <w:t>“until</w:t>
      </w:r>
      <w:r>
        <w:rPr>
          <w:vertAlign w:val="baseline"/>
        </w:rPr>
        <w:t> the whole of the said sum of £2,090 19s. shall have been paid and satisfied.” Some five years later, when Dr Foakes had paid £2,090 19s., Mrs Beer claimed £360 </w:t>
      </w:r>
      <w:r>
        <w:rPr>
          <w:color w:val="005DA1"/>
          <w:u w:val="single" w:color="005DA1"/>
          <w:vertAlign w:val="superscript"/>
        </w:rPr>
        <w:t>719</w:t>
      </w:r>
      <w:r>
        <w:rPr>
          <w:color w:val="005DA1"/>
          <w:vertAlign w:val="baseline"/>
        </w:rPr>
        <w:t> </w:t>
      </w:r>
      <w:r>
        <w:rPr>
          <w:vertAlign w:val="baseline"/>
        </w:rPr>
        <w:t>for interest on the judgment debt. The House of Lords upheld her claim and the actual result does not appear to be unjust; for it </w:t>
      </w:r>
      <w:bookmarkStart w:name="_bookmark1347" w:id="1349"/>
      <w:bookmarkEnd w:id="1349"/>
      <w:r>
        <w:rPr>
          <w:vertAlign w:val="baseline"/>
        </w:rPr>
        <w:t>seems</w:t>
      </w:r>
      <w:r>
        <w:rPr>
          <w:vertAlign w:val="baseline"/>
        </w:rPr>
        <w:t> that in making the agreement Mrs Beer intended only to give Dr Foakes time to pay and not to forgive interest. </w:t>
      </w:r>
      <w:r>
        <w:rPr>
          <w:color w:val="005DA1"/>
          <w:u w:val="single" w:color="005DA1"/>
          <w:vertAlign w:val="superscript"/>
        </w:rPr>
        <w:t>720</w:t>
      </w:r>
    </w:p>
    <w:p>
      <w:pPr>
        <w:pStyle w:val="BodyText"/>
      </w:pPr>
    </w:p>
    <w:p>
      <w:pPr>
        <w:pStyle w:val="BodyText"/>
        <w:spacing w:before="32"/>
      </w:pPr>
    </w:p>
    <w:p>
      <w:pPr>
        <w:spacing w:before="0"/>
        <w:ind w:left="164" w:right="0" w:firstLine="0"/>
        <w:jc w:val="both"/>
        <w:rPr>
          <w:rFonts w:ascii="Arial"/>
          <w:b/>
          <w:sz w:val="18"/>
        </w:rPr>
      </w:pPr>
      <w:r>
        <w:rPr>
          <w:rFonts w:ascii="Arial"/>
          <w:b/>
          <w:sz w:val="18"/>
        </w:rPr>
        <w:t>Effects of the </w:t>
      </w:r>
      <w:r>
        <w:rPr>
          <w:rFonts w:ascii="Arial"/>
          <w:b/>
          <w:spacing w:val="-4"/>
          <w:sz w:val="18"/>
        </w:rPr>
        <w:t>rule</w:t>
      </w:r>
    </w:p>
    <w:p>
      <w:pPr>
        <w:pStyle w:val="BodyText"/>
        <w:spacing w:before="41"/>
        <w:rPr>
          <w:rFonts w:ascii="Arial"/>
          <w:b/>
          <w:sz w:val="18"/>
        </w:rPr>
      </w:pPr>
    </w:p>
    <w:p>
      <w:pPr>
        <w:pStyle w:val="Heading2"/>
        <w:spacing w:before="1"/>
        <w:ind w:left="164"/>
      </w:pPr>
      <w:r>
        <w:rPr/>
        <w:t>4-</w:t>
      </w:r>
      <w:r>
        <w:rPr>
          <w:spacing w:val="-5"/>
        </w:rPr>
        <w:t>118</w:t>
      </w:r>
    </w:p>
    <w:p>
      <w:pPr>
        <w:pStyle w:val="BodyText"/>
        <w:spacing w:line="235" w:lineRule="auto" w:before="202"/>
        <w:ind w:left="165" w:right="167"/>
        <w:jc w:val="both"/>
      </w:pPr>
      <w:r>
        <w:rPr/>
        <w:t>The rule established in </w:t>
      </w:r>
      <w:r>
        <w:rPr>
          <w:rFonts w:ascii="Arial" w:hAnsi="Arial"/>
          <w:i/>
        </w:rPr>
        <w:t>Foakes v Beer </w:t>
      </w:r>
      <w:r>
        <w:rPr/>
        <w:t>may sometimes have performed the useful function of </w:t>
      </w:r>
      <w:bookmarkStart w:name="_bookmark1348" w:id="1350"/>
      <w:bookmarkEnd w:id="1350"/>
      <w:r>
        <w:rPr/>
        <w:t>protecting</w:t>
      </w:r>
      <w:r>
        <w:rPr/>
        <w:t> a creditor against a debtor who too ruthlessly exploited the tactical advantage of being a potential defendant in litigation. This point is well illustrated by </w:t>
      </w:r>
      <w:r>
        <w:rPr>
          <w:rFonts w:ascii="Arial" w:hAnsi="Arial"/>
          <w:i/>
        </w:rPr>
        <w:t>D. &amp; C. Builders Ltd v Rees</w:t>
      </w:r>
      <w:r>
        <w:rPr/>
        <w:t>. </w:t>
      </w:r>
      <w:r>
        <w:rPr>
          <w:color w:val="005DA1"/>
          <w:u w:val="single" w:color="005DA1"/>
          <w:vertAlign w:val="superscript"/>
        </w:rPr>
        <w:t>721</w:t>
      </w:r>
      <w:r>
        <w:rPr>
          <w:color w:val="005DA1"/>
          <w:vertAlign w:val="baseline"/>
        </w:rPr>
        <w:t> </w:t>
      </w:r>
      <w:r>
        <w:rPr>
          <w:vertAlign w:val="baseline"/>
        </w:rPr>
        <w:t>The defendant owed £482 to a firm of builders. Six months after payment had first been demanded, the defendant’s wife (acting on his behalf) offered the builders £300 in full settlement. The builders </w:t>
      </w:r>
      <w:bookmarkStart w:name="_bookmark1349" w:id="1351"/>
      <w:bookmarkEnd w:id="1351"/>
      <w:r>
        <w:rPr>
          <w:vertAlign w:val="baseline"/>
        </w:rPr>
        <w:t>accepted</w:t>
      </w:r>
      <w:r>
        <w:rPr>
          <w:vertAlign w:val="baseline"/>
        </w:rPr>
        <w:t> this offer as they were in desperate straits financially and there was some evidence that the </w:t>
      </w:r>
      <w:bookmarkStart w:name="_bookmark1350" w:id="1352"/>
      <w:bookmarkEnd w:id="1352"/>
      <w:r>
        <w:rPr>
          <w:vertAlign w:val="baseline"/>
        </w:rPr>
        <w:t>defendant’s</w:t>
      </w:r>
      <w:r>
        <w:rPr>
          <w:vertAlign w:val="baseline"/>
        </w:rPr>
        <w:t> wife knew this. </w:t>
      </w:r>
      <w:r>
        <w:rPr>
          <w:color w:val="005DA1"/>
          <w:u w:val="single" w:color="005DA1"/>
          <w:vertAlign w:val="superscript"/>
        </w:rPr>
        <w:t>722</w:t>
      </w:r>
      <w:r>
        <w:rPr>
          <w:color w:val="005DA1"/>
          <w:vertAlign w:val="baseline"/>
        </w:rPr>
        <w:t> </w:t>
      </w:r>
      <w:r>
        <w:rPr>
          <w:vertAlign w:val="baseline"/>
        </w:rPr>
        <w:t>It was held that they were nevertheless entitled to the balance; and the majority </w:t>
      </w:r>
      <w:r>
        <w:rPr>
          <w:color w:val="005DA1"/>
          <w:u w:val="single" w:color="005DA1"/>
          <w:vertAlign w:val="superscript"/>
        </w:rPr>
        <w:t>723</w:t>
      </w:r>
      <w:r>
        <w:rPr>
          <w:color w:val="005DA1"/>
          <w:vertAlign w:val="baseline"/>
        </w:rPr>
        <w:t> </w:t>
      </w:r>
      <w:r>
        <w:rPr>
          <w:vertAlign w:val="baseline"/>
        </w:rPr>
        <w:t>of the Court of Appeal based their decision to this effect on the rule in </w:t>
      </w:r>
      <w:r>
        <w:rPr>
          <w:rFonts w:ascii="Arial" w:hAnsi="Arial"/>
          <w:i/>
          <w:vertAlign w:val="baseline"/>
        </w:rPr>
        <w:t>Foakes v Beer</w:t>
      </w:r>
      <w:r>
        <w:rPr>
          <w:vertAlign w:val="baseline"/>
        </w:rPr>
        <w:t>.</w:t>
      </w:r>
    </w:p>
    <w:p>
      <w:pPr>
        <w:pStyle w:val="BodyText"/>
        <w:spacing w:before="78"/>
      </w:pPr>
    </w:p>
    <w:p>
      <w:pPr>
        <w:pStyle w:val="Heading2"/>
        <w:spacing w:before="1"/>
      </w:pPr>
      <w:r>
        <w:rPr/>
        <w:t>4-</w:t>
      </w:r>
      <w:r>
        <w:rPr>
          <w:spacing w:val="-5"/>
        </w:rPr>
        <w:t>119</w:t>
      </w:r>
    </w:p>
    <w:p>
      <w:pPr>
        <w:pStyle w:val="BodyText"/>
        <w:spacing w:line="235" w:lineRule="auto" w:before="202"/>
        <w:ind w:left="165" w:right="167"/>
        <w:jc w:val="both"/>
      </w:pPr>
      <w:bookmarkStart w:name="_bookmark1351" w:id="1353"/>
      <w:bookmarkEnd w:id="1353"/>
      <w:r>
        <w:rPr/>
      </w:r>
      <w:r>
        <w:rPr/>
        <w:t>On the other hand, it is arguable that the function of protecting the creditor in such a situation is now more satisfactorily performed by the expanding concept of economic duress </w:t>
      </w:r>
      <w:r>
        <w:rPr>
          <w:color w:val="005DA1"/>
          <w:u w:val="single" w:color="005DA1"/>
          <w:vertAlign w:val="superscript"/>
        </w:rPr>
        <w:t>724</w:t>
      </w:r>
      <w:r>
        <w:rPr>
          <w:color w:val="005DA1"/>
          <w:vertAlign w:val="baseline"/>
        </w:rPr>
        <w:t> </w:t>
      </w:r>
      <w:r>
        <w:rPr>
          <w:vertAlign w:val="baseline"/>
        </w:rPr>
        <w:t>than by the rule </w:t>
      </w:r>
      <w:r>
        <w:rPr>
          <w:vertAlign w:val="baseline"/>
        </w:rPr>
        <w:t>in </w:t>
      </w:r>
      <w:r>
        <w:rPr>
          <w:rFonts w:ascii="Arial" w:hAnsi="Arial"/>
          <w:i/>
          <w:vertAlign w:val="baseline"/>
        </w:rPr>
        <w:t>Pinnel’s Case</w:t>
      </w:r>
      <w:r>
        <w:rPr>
          <w:vertAlign w:val="baseline"/>
        </w:rPr>
        <w:t>; and that the rule therefore no longer serves any useful purpose. In some </w:t>
      </w:r>
      <w:bookmarkStart w:name="_bookmark1352" w:id="1354"/>
      <w:bookmarkEnd w:id="1354"/>
      <w:r>
        <w:rPr>
          <w:vertAlign w:val="baseline"/>
        </w:rPr>
        <w:t>circumstances,</w:t>
      </w:r>
      <w:r>
        <w:rPr>
          <w:vertAlign w:val="baseline"/>
        </w:rPr>
        <w:t> an agreement to accept part payment of a debt in full settlement may be a perfectly fair and reasonable transaction. </w:t>
      </w:r>
      <w:r>
        <w:rPr>
          <w:color w:val="005DA1"/>
          <w:u w:val="single" w:color="005DA1"/>
          <w:vertAlign w:val="superscript"/>
        </w:rPr>
        <w:t>725</w:t>
      </w:r>
      <w:r>
        <w:rPr>
          <w:color w:val="005DA1"/>
          <w:vertAlign w:val="baseline"/>
        </w:rPr>
        <w:t> </w:t>
      </w:r>
      <w:r>
        <w:rPr>
          <w:vertAlign w:val="baseline"/>
        </w:rPr>
        <w:t>Moreover, in </w:t>
      </w:r>
      <w:r>
        <w:rPr>
          <w:rFonts w:ascii="Arial" w:hAnsi="Arial"/>
          <w:i/>
          <w:vertAlign w:val="baseline"/>
        </w:rPr>
        <w:t>Foakes v Beer </w:t>
      </w:r>
      <w:r>
        <w:rPr>
          <w:vertAlign w:val="baseline"/>
        </w:rPr>
        <w:t>the rule was criticised </w:t>
      </w:r>
      <w:r>
        <w:rPr>
          <w:color w:val="005DA1"/>
          <w:u w:val="single" w:color="005DA1"/>
          <w:vertAlign w:val="superscript"/>
        </w:rPr>
        <w:t>726</w:t>
      </w:r>
      <w:r>
        <w:rPr>
          <w:color w:val="005DA1"/>
          <w:vertAlign w:val="baseline"/>
        </w:rPr>
        <w:t> </w:t>
      </w:r>
      <w:r>
        <w:rPr>
          <w:vertAlign w:val="baseline"/>
        </w:rPr>
        <w:t>on the ground</w:t>
      </w:r>
      <w:r>
        <w:rPr>
          <w:spacing w:val="7"/>
          <w:vertAlign w:val="baseline"/>
        </w:rPr>
        <w:t> </w:t>
      </w:r>
      <w:r>
        <w:rPr>
          <w:vertAlign w:val="baseline"/>
        </w:rPr>
        <w:t>that</w:t>
      </w:r>
      <w:r>
        <w:rPr>
          <w:spacing w:val="7"/>
          <w:vertAlign w:val="baseline"/>
        </w:rPr>
        <w:t> </w:t>
      </w:r>
      <w:r>
        <w:rPr>
          <w:vertAlign w:val="baseline"/>
        </w:rPr>
        <w:t>part</w:t>
      </w:r>
      <w:r>
        <w:rPr>
          <w:spacing w:val="7"/>
          <w:vertAlign w:val="baseline"/>
        </w:rPr>
        <w:t> </w:t>
      </w:r>
      <w:r>
        <w:rPr>
          <w:vertAlign w:val="baseline"/>
        </w:rPr>
        <w:t>payment</w:t>
      </w:r>
      <w:r>
        <w:rPr>
          <w:spacing w:val="7"/>
          <w:vertAlign w:val="baseline"/>
        </w:rPr>
        <w:t> </w:t>
      </w:r>
      <w:r>
        <w:rPr>
          <w:vertAlign w:val="baseline"/>
        </w:rPr>
        <w:t>was</w:t>
      </w:r>
      <w:r>
        <w:rPr>
          <w:spacing w:val="7"/>
          <w:vertAlign w:val="baseline"/>
        </w:rPr>
        <w:t> </w:t>
      </w:r>
      <w:r>
        <w:rPr>
          <w:vertAlign w:val="baseline"/>
        </w:rPr>
        <w:t>often</w:t>
      </w:r>
      <w:r>
        <w:rPr>
          <w:spacing w:val="7"/>
          <w:vertAlign w:val="baseline"/>
        </w:rPr>
        <w:t> </w:t>
      </w:r>
      <w:r>
        <w:rPr>
          <w:vertAlign w:val="baseline"/>
        </w:rPr>
        <w:t>in</w:t>
      </w:r>
      <w:r>
        <w:rPr>
          <w:spacing w:val="7"/>
          <w:vertAlign w:val="baseline"/>
        </w:rPr>
        <w:t> </w:t>
      </w:r>
      <w:r>
        <w:rPr>
          <w:vertAlign w:val="baseline"/>
        </w:rPr>
        <w:t>fact</w:t>
      </w:r>
      <w:r>
        <w:rPr>
          <w:spacing w:val="7"/>
          <w:vertAlign w:val="baseline"/>
        </w:rPr>
        <w:t> </w:t>
      </w:r>
      <w:r>
        <w:rPr>
          <w:vertAlign w:val="baseline"/>
        </w:rPr>
        <w:t>more</w:t>
      </w:r>
      <w:r>
        <w:rPr>
          <w:spacing w:val="7"/>
          <w:vertAlign w:val="baseline"/>
        </w:rPr>
        <w:t> </w:t>
      </w:r>
      <w:r>
        <w:rPr>
          <w:vertAlign w:val="baseline"/>
        </w:rPr>
        <w:t>beneficial</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creditor</w:t>
      </w:r>
      <w:r>
        <w:rPr>
          <w:spacing w:val="7"/>
          <w:vertAlign w:val="baseline"/>
        </w:rPr>
        <w:t> </w:t>
      </w:r>
      <w:r>
        <w:rPr>
          <w:vertAlign w:val="baseline"/>
        </w:rPr>
        <w:t>than</w:t>
      </w:r>
      <w:r>
        <w:rPr>
          <w:spacing w:val="7"/>
          <w:vertAlign w:val="baseline"/>
        </w:rPr>
        <w:t> </w:t>
      </w:r>
      <w:r>
        <w:rPr>
          <w:vertAlign w:val="baseline"/>
        </w:rPr>
        <w:t>strict</w:t>
      </w:r>
      <w:r>
        <w:rPr>
          <w:spacing w:val="7"/>
          <w:vertAlign w:val="baseline"/>
        </w:rPr>
        <w:t> </w:t>
      </w:r>
      <w:r>
        <w:rPr>
          <w:vertAlign w:val="baseline"/>
        </w:rPr>
        <w:t>insistence</w:t>
      </w:r>
      <w:r>
        <w:rPr>
          <w:spacing w:val="7"/>
          <w:vertAlign w:val="baseline"/>
        </w:rPr>
        <w:t> </w:t>
      </w:r>
      <w:r>
        <w:rPr>
          <w:vertAlign w:val="baseline"/>
        </w:rPr>
        <w:t>on</w:t>
      </w:r>
      <w:r>
        <w:rPr>
          <w:spacing w:val="7"/>
          <w:vertAlign w:val="baseline"/>
        </w:rPr>
        <w:t> </w:t>
      </w:r>
      <w:r>
        <w:rPr>
          <w:spacing w:val="-5"/>
          <w:vertAlign w:val="baseline"/>
        </w:rPr>
        <w:t>his</w:t>
      </w:r>
    </w:p>
    <w:p>
      <w:pPr>
        <w:pStyle w:val="BodyText"/>
        <w:spacing w:after="0" w:line="235" w:lineRule="auto"/>
        <w:jc w:val="both"/>
        <w:sectPr>
          <w:headerReference w:type="default" r:id="rId44"/>
          <w:headerReference w:type="even" r:id="rId45"/>
          <w:pgSz w:w="11900" w:h="16840"/>
          <w:pgMar w:header="971" w:footer="0" w:top="1160" w:bottom="280" w:left="1275" w:right="1275"/>
          <w:pgNumType w:start="1"/>
        </w:sectPr>
      </w:pPr>
    </w:p>
    <w:p>
      <w:pPr>
        <w:pStyle w:val="BodyText"/>
        <w:spacing w:before="24"/>
      </w:pPr>
    </w:p>
    <w:p>
      <w:pPr>
        <w:pStyle w:val="BodyText"/>
        <w:spacing w:line="235" w:lineRule="auto" w:before="1"/>
        <w:ind w:left="164" w:right="166"/>
        <w:jc w:val="both"/>
      </w:pPr>
      <w:bookmarkStart w:name="_bookmark1353" w:id="1355"/>
      <w:bookmarkEnd w:id="1355"/>
      <w:r>
        <w:rPr/>
      </w:r>
      <w:r>
        <w:rPr/>
        <w:t>legal rights. A factual benefit </w:t>
      </w:r>
      <w:r>
        <w:rPr>
          <w:color w:val="005DA1"/>
          <w:u w:val="single" w:color="005DA1"/>
          <w:vertAlign w:val="superscript"/>
        </w:rPr>
        <w:t>727</w:t>
      </w:r>
      <w:r>
        <w:rPr>
          <w:color w:val="005DA1"/>
          <w:vertAlign w:val="baseline"/>
        </w:rPr>
        <w:t> </w:t>
      </w:r>
      <w:r>
        <w:rPr>
          <w:vertAlign w:val="baseline"/>
        </w:rPr>
        <w:t>of a similar kind has been accepted as sufficient consideration for a </w:t>
      </w:r>
      <w:bookmarkStart w:name="_bookmark1354" w:id="1356"/>
      <w:bookmarkEnd w:id="1356"/>
      <w:r>
        <w:rPr>
          <w:vertAlign w:val="baseline"/>
        </w:rPr>
        <w:t>promise</w:t>
      </w:r>
      <w:r>
        <w:rPr>
          <w:vertAlign w:val="baseline"/>
        </w:rPr>
        <w:t> to make an extra payment for the performance of an existing contractual duty owed by the promisee to the promisor</w:t>
      </w:r>
      <w:r>
        <w:rPr>
          <w:spacing w:val="-1"/>
          <w:vertAlign w:val="baseline"/>
        </w:rPr>
        <w:t> </w:t>
      </w:r>
      <w:r>
        <w:rPr>
          <w:color w:val="005DA1"/>
          <w:u w:val="single" w:color="005DA1"/>
          <w:vertAlign w:val="superscript"/>
        </w:rPr>
        <w:t>728</w:t>
      </w:r>
      <w:r>
        <w:rPr>
          <w:vertAlign w:val="baseline"/>
        </w:rPr>
        <w:t>; and the law would be more consistent, as well as more satisfactory in </w:t>
      </w:r>
      <w:r>
        <w:rPr>
          <w:vertAlign w:val="baseline"/>
        </w:rPr>
        <w:t>its practical operation, if it adopted the same approach to cases of part payment of a debt. Agreements</w:t>
      </w:r>
      <w:r>
        <w:rPr>
          <w:spacing w:val="40"/>
          <w:vertAlign w:val="baseline"/>
        </w:rPr>
        <w:t> </w:t>
      </w:r>
      <w:r>
        <w:rPr>
          <w:vertAlign w:val="baseline"/>
        </w:rPr>
        <w:t>of the kind here under discussion would then be binding unless they had been made under duress. </w:t>
      </w:r>
      <w:bookmarkStart w:name="_bookmark1355" w:id="1357"/>
      <w:bookmarkEnd w:id="1357"/>
      <w:r>
        <w:rPr>
          <w:vertAlign w:val="baseline"/>
        </w:rPr>
        <w:t>But</w:t>
      </w:r>
      <w:r>
        <w:rPr>
          <w:vertAlign w:val="baseline"/>
        </w:rPr>
        <w:t> it has been held that this departure from the rule in </w:t>
      </w:r>
      <w:r>
        <w:rPr>
          <w:rFonts w:ascii="Arial"/>
          <w:i/>
          <w:vertAlign w:val="baseline"/>
        </w:rPr>
        <w:t>Foakes v Beer </w:t>
      </w:r>
      <w:r>
        <w:rPr>
          <w:vertAlign w:val="baseline"/>
        </w:rPr>
        <w:t>could be made only by the </w:t>
      </w:r>
      <w:bookmarkStart w:name="_bookmark1356" w:id="1358"/>
      <w:bookmarkEnd w:id="1358"/>
      <w:r>
        <w:rPr>
          <w:vertAlign w:val="baseline"/>
        </w:rPr>
        <w:t>House</w:t>
      </w:r>
      <w:r>
        <w:rPr>
          <w:vertAlign w:val="baseline"/>
        </w:rPr>
        <w:t> of Lords </w:t>
      </w:r>
      <w:r>
        <w:rPr>
          <w:color w:val="005DA1"/>
          <w:u w:val="single" w:color="005DA1"/>
          <w:vertAlign w:val="superscript"/>
        </w:rPr>
        <w:t>729</w:t>
      </w:r>
      <w:r>
        <w:rPr>
          <w:color w:val="005DA1"/>
          <w:vertAlign w:val="baseline"/>
        </w:rPr>
        <w:t> </w:t>
      </w:r>
      <w:r>
        <w:rPr>
          <w:vertAlign w:val="baseline"/>
        </w:rPr>
        <w:t>(or now by the Supreme Court). In the meantime, its operation is mitigated by limitations on its scope at common law </w:t>
      </w:r>
      <w:r>
        <w:rPr>
          <w:color w:val="005DA1"/>
          <w:u w:val="single" w:color="005DA1"/>
          <w:vertAlign w:val="superscript"/>
        </w:rPr>
        <w:t>730</w:t>
      </w:r>
      <w:r>
        <w:rPr>
          <w:color w:val="005DA1"/>
          <w:vertAlign w:val="baseline"/>
        </w:rPr>
        <w:t> </w:t>
      </w:r>
      <w:r>
        <w:rPr>
          <w:vertAlign w:val="baseline"/>
        </w:rPr>
        <w:t>and in equity. These are discussed in the following </w:t>
      </w:r>
      <w:r>
        <w:rPr>
          <w:spacing w:val="-2"/>
          <w:vertAlign w:val="baseline"/>
        </w:rPr>
        <w:t>paragraphs.</w:t>
      </w:r>
    </w:p>
    <w:p>
      <w:pPr>
        <w:pStyle w:val="BodyText"/>
        <w:spacing w:before="78"/>
      </w:pPr>
    </w:p>
    <w:p>
      <w:pPr>
        <w:pStyle w:val="Heading2"/>
        <w:ind w:left="164"/>
      </w:pPr>
      <w:r>
        <w:rPr/>
        <w:t>4-</w:t>
      </w:r>
      <w:r>
        <w:rPr>
          <w:spacing w:val="-4"/>
        </w:rPr>
        <w:t>119A</w:t>
      </w:r>
    </w:p>
    <w:p>
      <w:pPr>
        <w:pStyle w:val="BodyText"/>
        <w:spacing w:before="88"/>
        <w:rPr>
          <w:rFonts w:ascii="Arial"/>
          <w:b/>
        </w:rPr>
      </w:pPr>
    </w:p>
    <w:p>
      <w:pPr>
        <w:pStyle w:val="BodyText"/>
        <w:spacing w:before="1"/>
        <w:ind w:left="165"/>
      </w:pPr>
      <w:r>
        <w:rPr>
          <w:position w:val="-2"/>
        </w:rPr>
        <w:drawing>
          <wp:inline distT="0" distB="0" distL="0" distR="0">
            <wp:extent cx="107988" cy="107988"/>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1"/>
        </w:rPr>
        <w:t> </w:t>
      </w:r>
      <w:bookmarkStart w:name="_bookmark1357" w:id="1359"/>
      <w:bookmarkEnd w:id="1359"/>
      <w:r>
        <w:rPr>
          <w:rFonts w:ascii="Times New Roman"/>
          <w:spacing w:val="11"/>
        </w:rPr>
      </w:r>
      <w:r>
        <w:rPr/>
        <w:t>The</w:t>
      </w:r>
      <w:r>
        <w:rPr>
          <w:spacing w:val="6"/>
        </w:rPr>
        <w:t> </w:t>
      </w:r>
      <w:r>
        <w:rPr/>
        <w:t>discussion</w:t>
      </w:r>
      <w:r>
        <w:rPr>
          <w:spacing w:val="6"/>
        </w:rPr>
        <w:t> </w:t>
      </w:r>
      <w:r>
        <w:rPr/>
        <w:t>in</w:t>
      </w:r>
      <w:r>
        <w:rPr>
          <w:spacing w:val="6"/>
        </w:rPr>
        <w:t> </w:t>
      </w:r>
      <w:r>
        <w:rPr/>
        <w:t>para.4-119</w:t>
      </w:r>
      <w:r>
        <w:rPr>
          <w:spacing w:val="6"/>
        </w:rPr>
        <w:t> </w:t>
      </w:r>
      <w:r>
        <w:rPr/>
        <w:t>of</w:t>
      </w:r>
      <w:r>
        <w:rPr>
          <w:spacing w:val="6"/>
        </w:rPr>
        <w:t> </w:t>
      </w:r>
      <w:r>
        <w:rPr/>
        <w:t>the</w:t>
      </w:r>
      <w:r>
        <w:rPr>
          <w:spacing w:val="6"/>
        </w:rPr>
        <w:t> </w:t>
      </w:r>
      <w:r>
        <w:rPr/>
        <w:t>Main</w:t>
      </w:r>
      <w:r>
        <w:rPr>
          <w:spacing w:val="6"/>
        </w:rPr>
        <w:t> </w:t>
      </w:r>
      <w:r>
        <w:rPr/>
        <w:t>Work</w:t>
      </w:r>
      <w:r>
        <w:rPr>
          <w:spacing w:val="6"/>
        </w:rPr>
        <w:t> </w:t>
      </w:r>
      <w:r>
        <w:rPr/>
        <w:t>of</w:t>
      </w:r>
      <w:r>
        <w:rPr>
          <w:spacing w:val="6"/>
        </w:rPr>
        <w:t> </w:t>
      </w:r>
      <w:r>
        <w:rPr/>
        <w:t>the</w:t>
      </w:r>
      <w:r>
        <w:rPr>
          <w:spacing w:val="6"/>
        </w:rPr>
        <w:t> </w:t>
      </w:r>
      <w:r>
        <w:rPr/>
        <w:t>likely</w:t>
      </w:r>
      <w:r>
        <w:rPr>
          <w:spacing w:val="6"/>
        </w:rPr>
        <w:t> </w:t>
      </w:r>
      <w:r>
        <w:rPr/>
        <w:t>relationship</w:t>
      </w:r>
      <w:r>
        <w:rPr>
          <w:spacing w:val="6"/>
        </w:rPr>
        <w:t> </w:t>
      </w:r>
      <w:r>
        <w:rPr/>
        <w:t>between,</w:t>
      </w:r>
      <w:r>
        <w:rPr>
          <w:spacing w:val="6"/>
        </w:rPr>
        <w:t> </w:t>
      </w:r>
      <w:r>
        <w:rPr/>
        <w:t>on</w:t>
      </w:r>
      <w:r>
        <w:rPr>
          <w:spacing w:val="6"/>
        </w:rPr>
        <w:t> </w:t>
      </w:r>
      <w:r>
        <w:rPr/>
        <w:t>the</w:t>
      </w:r>
      <w:r>
        <w:rPr>
          <w:spacing w:val="6"/>
        </w:rPr>
        <w:t> </w:t>
      </w:r>
      <w:r>
        <w:rPr/>
        <w:t>one</w:t>
      </w:r>
      <w:r>
        <w:rPr>
          <w:spacing w:val="6"/>
        </w:rPr>
        <w:t> </w:t>
      </w:r>
      <w:r>
        <w:rPr/>
        <w:t>hand,</w:t>
      </w:r>
    </w:p>
    <w:p>
      <w:pPr>
        <w:tabs>
          <w:tab w:pos="3707" w:val="left" w:leader="none"/>
          <w:tab w:pos="6961" w:val="left" w:leader="none"/>
        </w:tabs>
        <w:spacing w:line="340" w:lineRule="atLeast" w:before="125"/>
        <w:ind w:left="165" w:right="168" w:firstLine="0"/>
        <w:jc w:val="left"/>
        <w:rPr>
          <w:position w:val="-2"/>
          <w:sz w:val="20"/>
        </w:rPr>
      </w:pPr>
      <w:bookmarkStart w:name="_bookmark1358" w:id="1360"/>
      <w:bookmarkEnd w:id="1360"/>
      <w:r>
        <w:rPr/>
      </w:r>
      <w:bookmarkStart w:name="_bookmark1359" w:id="1361"/>
      <w:bookmarkEnd w:id="1361"/>
      <w:r>
        <w:rPr/>
      </w:r>
      <w:r>
        <w:rPr>
          <w:sz w:val="20"/>
        </w:rPr>
        <w:t>the general rule stated in </w:t>
      </w:r>
      <w:r>
        <w:rPr>
          <w:rFonts w:ascii="Arial" w:hAnsi="Arial"/>
          <w:i/>
          <w:sz w:val="20"/>
        </w:rPr>
        <w:t>Pinnel’s </w:t>
      </w:r>
      <w:r>
        <w:rPr>
          <w:color w:val="005DA1"/>
          <w:sz w:val="20"/>
          <w:u w:val="single" w:color="005DA1"/>
          <w:vertAlign w:val="superscript"/>
        </w:rPr>
        <w:t>731</w:t>
      </w:r>
      <w:r>
        <w:rPr>
          <w:color w:val="005DA1"/>
          <w:sz w:val="20"/>
          <w:vertAlign w:val="baseline"/>
        </w:rPr>
        <w:tab/>
      </w:r>
      <w:r>
        <w:rPr>
          <w:color w:val="005DA1"/>
          <w:position w:val="-2"/>
          <w:sz w:val="20"/>
          <w:vertAlign w:val="baseline"/>
        </w:rPr>
        <w:drawing>
          <wp:inline distT="0" distB="0" distL="0" distR="0">
            <wp:extent cx="107988" cy="107988"/>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sz w:val="20"/>
          <w:vertAlign w:val="baseline"/>
        </w:rPr>
      </w:r>
      <w:r>
        <w:rPr>
          <w:rFonts w:ascii="Times New Roman" w:hAnsi="Times New Roman"/>
          <w:color w:val="005DA1"/>
          <w:sz w:val="20"/>
          <w:vertAlign w:val="baseline"/>
        </w:rPr>
        <w:t> </w:t>
      </w:r>
      <w:r>
        <w:rPr>
          <w:sz w:val="20"/>
          <w:vertAlign w:val="baseline"/>
        </w:rPr>
        <w:t>case and in </w:t>
      </w:r>
      <w:r>
        <w:rPr>
          <w:rFonts w:ascii="Arial" w:hAnsi="Arial"/>
          <w:i/>
          <w:sz w:val="20"/>
          <w:vertAlign w:val="baseline"/>
        </w:rPr>
        <w:t>Foakes v Beer</w:t>
      </w:r>
      <w:r>
        <w:rPr>
          <w:sz w:val="20"/>
          <w:vertAlign w:val="baseline"/>
        </w:rPr>
        <w:t>, </w:t>
      </w:r>
      <w:r>
        <w:rPr>
          <w:color w:val="005DA1"/>
          <w:sz w:val="20"/>
          <w:u w:val="single" w:color="005DA1"/>
          <w:vertAlign w:val="superscript"/>
        </w:rPr>
        <w:t>732</w:t>
      </w:r>
      <w:r>
        <w:rPr>
          <w:color w:val="005DA1"/>
          <w:sz w:val="20"/>
          <w:vertAlign w:val="baseline"/>
        </w:rPr>
        <w:tab/>
      </w:r>
      <w:r>
        <w:rPr>
          <w:color w:val="005DA1"/>
          <w:position w:val="-2"/>
          <w:sz w:val="20"/>
          <w:vertAlign w:val="baseline"/>
        </w:rPr>
        <w:drawing>
          <wp:inline distT="0" distB="0" distL="0" distR="0">
            <wp:extent cx="107988" cy="107988"/>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sz w:val="20"/>
          <w:vertAlign w:val="baseline"/>
        </w:rPr>
      </w:r>
      <w:r>
        <w:rPr>
          <w:rFonts w:ascii="Times New Roman" w:hAnsi="Times New Roman"/>
          <w:color w:val="005DA1"/>
          <w:sz w:val="20"/>
          <w:vertAlign w:val="baseline"/>
        </w:rPr>
        <w:t> </w:t>
      </w:r>
      <w:r>
        <w:rPr>
          <w:sz w:val="20"/>
          <w:vertAlign w:val="baseline"/>
        </w:rPr>
        <w:t>and, on the other, </w:t>
      </w:r>
      <w:r>
        <w:rPr>
          <w:sz w:val="20"/>
          <w:vertAlign w:val="baseline"/>
        </w:rPr>
        <w:t>the more recently developed view stated in </w:t>
      </w:r>
      <w:r>
        <w:rPr>
          <w:rFonts w:ascii="Arial" w:hAnsi="Arial"/>
          <w:i/>
          <w:sz w:val="20"/>
          <w:vertAlign w:val="baseline"/>
        </w:rPr>
        <w:t>Williams v Roffey Brothers &amp; Nicholls (Contractors) Ltd </w:t>
      </w:r>
      <w:r>
        <w:rPr>
          <w:color w:val="005DA1"/>
          <w:sz w:val="20"/>
          <w:u w:val="single" w:color="005DA1"/>
          <w:vertAlign w:val="superscript"/>
        </w:rPr>
        <w:t>733</w:t>
      </w:r>
      <w:r>
        <w:rPr>
          <w:color w:val="005DA1"/>
          <w:spacing w:val="29"/>
          <w:sz w:val="20"/>
          <w:vertAlign w:val="baseline"/>
        </w:rPr>
        <w:t>  </w:t>
      </w:r>
      <w:r>
        <w:rPr>
          <w:color w:val="005DA1"/>
          <w:spacing w:val="11"/>
          <w:position w:val="-2"/>
          <w:sz w:val="20"/>
          <w:vertAlign w:val="baseline"/>
        </w:rPr>
        <w:drawing>
          <wp:inline distT="0" distB="0" distL="0" distR="0">
            <wp:extent cx="107988" cy="107988"/>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1"/>
          <w:position w:val="-2"/>
          <w:sz w:val="20"/>
          <w:vertAlign w:val="baseline"/>
        </w:rPr>
      </w:r>
    </w:p>
    <w:p>
      <w:pPr>
        <w:pStyle w:val="BodyText"/>
        <w:ind w:left="165"/>
        <w:rPr>
          <w:rFonts w:ascii="Arial"/>
          <w:i/>
        </w:rPr>
      </w:pPr>
      <w:bookmarkStart w:name="_bookmark1360" w:id="1362"/>
      <w:bookmarkEnd w:id="1362"/>
      <w:r>
        <w:rPr/>
      </w:r>
      <w:r>
        <w:rPr/>
        <w:t>now</w:t>
      </w:r>
      <w:r>
        <w:rPr>
          <w:spacing w:val="19"/>
        </w:rPr>
        <w:t> </w:t>
      </w:r>
      <w:r>
        <w:rPr/>
        <w:t>calls</w:t>
      </w:r>
      <w:r>
        <w:rPr>
          <w:spacing w:val="19"/>
        </w:rPr>
        <w:t> </w:t>
      </w:r>
      <w:r>
        <w:rPr/>
        <w:t>for</w:t>
      </w:r>
      <w:r>
        <w:rPr>
          <w:spacing w:val="19"/>
        </w:rPr>
        <w:t> </w:t>
      </w:r>
      <w:r>
        <w:rPr/>
        <w:t>further</w:t>
      </w:r>
      <w:r>
        <w:rPr>
          <w:spacing w:val="19"/>
        </w:rPr>
        <w:t> </w:t>
      </w:r>
      <w:r>
        <w:rPr/>
        <w:t>discussion</w:t>
      </w:r>
      <w:r>
        <w:rPr>
          <w:spacing w:val="19"/>
        </w:rPr>
        <w:t> </w:t>
      </w:r>
      <w:r>
        <w:rPr/>
        <w:t>in</w:t>
      </w:r>
      <w:r>
        <w:rPr>
          <w:spacing w:val="19"/>
        </w:rPr>
        <w:t> </w:t>
      </w:r>
      <w:r>
        <w:rPr/>
        <w:t>the</w:t>
      </w:r>
      <w:r>
        <w:rPr>
          <w:spacing w:val="19"/>
        </w:rPr>
        <w:t> </w:t>
      </w:r>
      <w:r>
        <w:rPr/>
        <w:t>light</w:t>
      </w:r>
      <w:r>
        <w:rPr>
          <w:spacing w:val="19"/>
        </w:rPr>
        <w:t> </w:t>
      </w:r>
      <w:r>
        <w:rPr/>
        <w:t>of</w:t>
      </w:r>
      <w:r>
        <w:rPr>
          <w:spacing w:val="19"/>
        </w:rPr>
        <w:t> </w:t>
      </w:r>
      <w:r>
        <w:rPr/>
        <w:t>the</w:t>
      </w:r>
      <w:r>
        <w:rPr>
          <w:spacing w:val="19"/>
        </w:rPr>
        <w:t> </w:t>
      </w:r>
      <w:r>
        <w:rPr/>
        <w:t>decision</w:t>
      </w:r>
      <w:r>
        <w:rPr>
          <w:spacing w:val="19"/>
        </w:rPr>
        <w:t> </w:t>
      </w:r>
      <w:r>
        <w:rPr/>
        <w:t>of</w:t>
      </w:r>
      <w:r>
        <w:rPr>
          <w:spacing w:val="19"/>
        </w:rPr>
        <w:t> </w:t>
      </w:r>
      <w:r>
        <w:rPr/>
        <w:t>the</w:t>
      </w:r>
      <w:r>
        <w:rPr>
          <w:spacing w:val="19"/>
        </w:rPr>
        <w:t> </w:t>
      </w:r>
      <w:r>
        <w:rPr/>
        <w:t>Court</w:t>
      </w:r>
      <w:r>
        <w:rPr>
          <w:spacing w:val="19"/>
        </w:rPr>
        <w:t> </w:t>
      </w:r>
      <w:r>
        <w:rPr/>
        <w:t>of</w:t>
      </w:r>
      <w:r>
        <w:rPr>
          <w:spacing w:val="19"/>
        </w:rPr>
        <w:t> </w:t>
      </w:r>
      <w:r>
        <w:rPr/>
        <w:t>Appeal</w:t>
      </w:r>
      <w:r>
        <w:rPr>
          <w:spacing w:val="19"/>
        </w:rPr>
        <w:t> </w:t>
      </w:r>
      <w:r>
        <w:rPr/>
        <w:t>in</w:t>
      </w:r>
      <w:r>
        <w:rPr>
          <w:spacing w:val="18"/>
        </w:rPr>
        <w:t> </w:t>
      </w:r>
      <w:r>
        <w:rPr>
          <w:rFonts w:ascii="Arial"/>
          <w:i/>
        </w:rPr>
        <w:t>MWB</w:t>
      </w:r>
      <w:r>
        <w:rPr>
          <w:rFonts w:ascii="Arial"/>
          <w:i/>
          <w:spacing w:val="19"/>
        </w:rPr>
        <w:t> </w:t>
      </w:r>
      <w:r>
        <w:rPr>
          <w:rFonts w:ascii="Arial"/>
          <w:i/>
          <w:spacing w:val="-2"/>
        </w:rPr>
        <w:t>Business</w:t>
      </w:r>
    </w:p>
    <w:p>
      <w:pPr>
        <w:pStyle w:val="BodyText"/>
        <w:spacing w:line="235" w:lineRule="auto" w:before="118"/>
        <w:ind w:left="164" w:right="167"/>
        <w:jc w:val="both"/>
      </w:pPr>
      <w:r>
        <w:rPr>
          <w:rFonts w:ascii="Arial" w:hAnsi="Arial"/>
          <w:i/>
        </w:rPr>
        <w:t>Exchange Centres Ltd v Rock Advertising Ltd </w:t>
      </w:r>
      <w:r>
        <w:rPr>
          <w:color w:val="005DA1"/>
          <w:u w:val="single" w:color="005DA1"/>
          <w:vertAlign w:val="superscript"/>
        </w:rPr>
        <w:t>734</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36"/>
          <w:vertAlign w:val="baseline"/>
        </w:rPr>
        <w:t> </w:t>
      </w:r>
      <w:r>
        <w:rPr>
          <w:vertAlign w:val="baseline"/>
        </w:rPr>
        <w:t>(“the </w:t>
      </w:r>
      <w:r>
        <w:rPr>
          <w:rFonts w:ascii="Arial" w:hAnsi="Arial"/>
          <w:i/>
          <w:vertAlign w:val="baseline"/>
        </w:rPr>
        <w:t>MWB </w:t>
      </w:r>
      <w:r>
        <w:rPr>
          <w:vertAlign w:val="baseline"/>
        </w:rPr>
        <w:t>case”). In that case, office </w:t>
      </w:r>
      <w:r>
        <w:rPr>
          <w:vertAlign w:val="baseline"/>
        </w:rPr>
        <w:t>premises managed by the claimants were occupied by the defendants under a licence agreement between themselves and the claimants. The defendants having fallen into arrears with payments due from them to the claimants, the parties agreed on February 27, 2012 to vary their original licence agreement by “re-scheduling” the payments due from the defendants to the claimants (so as in effect to give the defendants extra time to pay). One of the re-scheduled payments (of £3,500) was made</w:t>
      </w:r>
      <w:r>
        <w:rPr>
          <w:spacing w:val="80"/>
          <w:vertAlign w:val="baseline"/>
        </w:rPr>
        <w:t> </w:t>
      </w:r>
      <w:bookmarkStart w:name="_bookmark1361" w:id="1363"/>
      <w:bookmarkEnd w:id="1363"/>
      <w:r>
        <w:rPr>
          <w:vertAlign w:val="baseline"/>
        </w:rPr>
        <w:t>on</w:t>
      </w:r>
      <w:r>
        <w:rPr>
          <w:spacing w:val="16"/>
          <w:vertAlign w:val="baseline"/>
        </w:rPr>
        <w:t> </w:t>
      </w:r>
      <w:r>
        <w:rPr>
          <w:vertAlign w:val="baseline"/>
        </w:rPr>
        <w:t>that</w:t>
      </w:r>
      <w:r>
        <w:rPr>
          <w:spacing w:val="16"/>
          <w:vertAlign w:val="baseline"/>
        </w:rPr>
        <w:t> </w:t>
      </w:r>
      <w:r>
        <w:rPr>
          <w:vertAlign w:val="baseline"/>
        </w:rPr>
        <w:t>day,</w:t>
      </w:r>
      <w:r>
        <w:rPr>
          <w:spacing w:val="16"/>
          <w:vertAlign w:val="baseline"/>
        </w:rPr>
        <w:t> </w:t>
      </w:r>
      <w:r>
        <w:rPr>
          <w:vertAlign w:val="baseline"/>
        </w:rPr>
        <w:t>but</w:t>
      </w:r>
      <w:r>
        <w:rPr>
          <w:spacing w:val="16"/>
          <w:vertAlign w:val="baseline"/>
        </w:rPr>
        <w:t> </w:t>
      </w:r>
      <w:r>
        <w:rPr>
          <w:vertAlign w:val="baseline"/>
        </w:rPr>
        <w:t>on</w:t>
      </w:r>
      <w:r>
        <w:rPr>
          <w:spacing w:val="16"/>
          <w:vertAlign w:val="baseline"/>
        </w:rPr>
        <w:t> </w:t>
      </w:r>
      <w:r>
        <w:rPr>
          <w:vertAlign w:val="baseline"/>
        </w:rPr>
        <w:t>March</w:t>
      </w:r>
      <w:r>
        <w:rPr>
          <w:spacing w:val="16"/>
          <w:vertAlign w:val="baseline"/>
        </w:rPr>
        <w:t> </w:t>
      </w:r>
      <w:r>
        <w:rPr>
          <w:vertAlign w:val="baseline"/>
        </w:rPr>
        <w:t>30,</w:t>
      </w:r>
      <w:r>
        <w:rPr>
          <w:spacing w:val="16"/>
          <w:vertAlign w:val="baseline"/>
        </w:rPr>
        <w:t> </w:t>
      </w:r>
      <w:r>
        <w:rPr>
          <w:vertAlign w:val="baseline"/>
        </w:rPr>
        <w:t>2012</w:t>
      </w:r>
      <w:r>
        <w:rPr>
          <w:spacing w:val="16"/>
          <w:vertAlign w:val="baseline"/>
        </w:rPr>
        <w:t> </w:t>
      </w:r>
      <w:r>
        <w:rPr>
          <w:vertAlign w:val="baseline"/>
        </w:rPr>
        <w:t>the</w:t>
      </w:r>
      <w:r>
        <w:rPr>
          <w:spacing w:val="16"/>
          <w:vertAlign w:val="baseline"/>
        </w:rPr>
        <w:t> </w:t>
      </w:r>
      <w:r>
        <w:rPr>
          <w:vertAlign w:val="baseline"/>
        </w:rPr>
        <w:t>claimants</w:t>
      </w:r>
      <w:r>
        <w:rPr>
          <w:spacing w:val="16"/>
          <w:vertAlign w:val="baseline"/>
        </w:rPr>
        <w:t> </w:t>
      </w:r>
      <w:r>
        <w:rPr>
          <w:vertAlign w:val="baseline"/>
        </w:rPr>
        <w:t>exercised</w:t>
      </w:r>
      <w:r>
        <w:rPr>
          <w:spacing w:val="16"/>
          <w:vertAlign w:val="baseline"/>
        </w:rPr>
        <w:t> </w:t>
      </w:r>
      <w:r>
        <w:rPr>
          <w:vertAlign w:val="baseline"/>
        </w:rPr>
        <w:t>their</w:t>
      </w:r>
      <w:r>
        <w:rPr>
          <w:spacing w:val="16"/>
          <w:vertAlign w:val="baseline"/>
        </w:rPr>
        <w:t> </w:t>
      </w:r>
      <w:r>
        <w:rPr>
          <w:vertAlign w:val="baseline"/>
        </w:rPr>
        <w:t>right</w:t>
      </w:r>
      <w:r>
        <w:rPr>
          <w:spacing w:val="16"/>
          <w:vertAlign w:val="baseline"/>
        </w:rPr>
        <w:t> </w:t>
      </w:r>
      <w:r>
        <w:rPr>
          <w:vertAlign w:val="baseline"/>
        </w:rPr>
        <w:t>under</w:t>
      </w:r>
      <w:r>
        <w:rPr>
          <w:spacing w:val="16"/>
          <w:vertAlign w:val="baseline"/>
        </w:rPr>
        <w:t> </w:t>
      </w:r>
      <w:r>
        <w:rPr>
          <w:vertAlign w:val="baseline"/>
        </w:rPr>
        <w:t>the</w:t>
      </w:r>
      <w:r>
        <w:rPr>
          <w:spacing w:val="16"/>
          <w:vertAlign w:val="baseline"/>
        </w:rPr>
        <w:t> </w:t>
      </w:r>
      <w:r>
        <w:rPr>
          <w:vertAlign w:val="baseline"/>
        </w:rPr>
        <w:t>original</w:t>
      </w:r>
      <w:r>
        <w:rPr>
          <w:spacing w:val="16"/>
          <w:vertAlign w:val="baseline"/>
        </w:rPr>
        <w:t> </w:t>
      </w:r>
      <w:r>
        <w:rPr>
          <w:vertAlign w:val="baseline"/>
        </w:rPr>
        <w:t>contract</w:t>
      </w:r>
      <w:r>
        <w:rPr>
          <w:spacing w:val="16"/>
          <w:vertAlign w:val="baseline"/>
        </w:rPr>
        <w:t> </w:t>
      </w:r>
      <w:r>
        <w:rPr>
          <w:spacing w:val="-5"/>
          <w:vertAlign w:val="baseline"/>
        </w:rPr>
        <w:t>to</w:t>
      </w:r>
    </w:p>
    <w:p>
      <w:pPr>
        <w:pStyle w:val="BodyText"/>
        <w:spacing w:before="114"/>
        <w:ind w:left="164"/>
        <w:jc w:val="both"/>
      </w:pPr>
      <w:bookmarkStart w:name="_bookmark1362" w:id="1364"/>
      <w:bookmarkEnd w:id="1364"/>
      <w:r>
        <w:rPr/>
      </w:r>
      <w:r>
        <w:rPr/>
        <w:t>lock</w:t>
      </w:r>
      <w:r>
        <w:rPr>
          <w:spacing w:val="42"/>
        </w:rPr>
        <w:t> </w:t>
      </w:r>
      <w:r>
        <w:rPr/>
        <w:t>the</w:t>
      </w:r>
      <w:r>
        <w:rPr>
          <w:spacing w:val="42"/>
        </w:rPr>
        <w:t> </w:t>
      </w:r>
      <w:r>
        <w:rPr/>
        <w:t>defendants</w:t>
      </w:r>
      <w:r>
        <w:rPr>
          <w:spacing w:val="42"/>
        </w:rPr>
        <w:t> </w:t>
      </w:r>
      <w:r>
        <w:rPr/>
        <w:t>out</w:t>
      </w:r>
      <w:r>
        <w:rPr>
          <w:spacing w:val="42"/>
        </w:rPr>
        <w:t> </w:t>
      </w:r>
      <w:r>
        <w:rPr/>
        <w:t>of</w:t>
      </w:r>
      <w:r>
        <w:rPr>
          <w:spacing w:val="42"/>
        </w:rPr>
        <w:t> </w:t>
      </w:r>
      <w:r>
        <w:rPr/>
        <w:t>the</w:t>
      </w:r>
      <w:r>
        <w:rPr>
          <w:spacing w:val="42"/>
        </w:rPr>
        <w:t> </w:t>
      </w:r>
      <w:r>
        <w:rPr/>
        <w:t>premises.</w:t>
      </w:r>
      <w:r>
        <w:rPr>
          <w:spacing w:val="42"/>
        </w:rPr>
        <w:t> </w:t>
      </w:r>
      <w:r>
        <w:rPr>
          <w:color w:val="005DA1"/>
          <w:u w:val="single" w:color="005DA1"/>
          <w:vertAlign w:val="superscript"/>
        </w:rPr>
        <w:t>735</w:t>
      </w:r>
      <w:r>
        <w:rPr>
          <w:color w:val="005DA1"/>
          <w:spacing w:val="64"/>
          <w:w w:val="150"/>
          <w:vertAlign w:val="baseline"/>
        </w:rPr>
        <w:t>  </w:t>
      </w:r>
      <w:r>
        <w:rPr>
          <w:color w:val="005DA1"/>
          <w:spacing w:val="21"/>
          <w:position w:val="-2"/>
          <w:vertAlign w:val="baseline"/>
        </w:rPr>
        <w:drawing>
          <wp:inline distT="0" distB="0" distL="0" distR="0">
            <wp:extent cx="107988" cy="107988"/>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28"/>
          <w:vertAlign w:val="baseline"/>
        </w:rPr>
        <w:t> </w:t>
      </w:r>
      <w:r>
        <w:rPr>
          <w:vertAlign w:val="baseline"/>
        </w:rPr>
        <w:t>On</w:t>
      </w:r>
      <w:r>
        <w:rPr>
          <w:spacing w:val="42"/>
          <w:vertAlign w:val="baseline"/>
        </w:rPr>
        <w:t> </w:t>
      </w:r>
      <w:r>
        <w:rPr>
          <w:vertAlign w:val="baseline"/>
        </w:rPr>
        <w:t>March</w:t>
      </w:r>
      <w:r>
        <w:rPr>
          <w:spacing w:val="42"/>
          <w:vertAlign w:val="baseline"/>
        </w:rPr>
        <w:t> </w:t>
      </w:r>
      <w:r>
        <w:rPr>
          <w:vertAlign w:val="baseline"/>
        </w:rPr>
        <w:t>30,</w:t>
      </w:r>
      <w:r>
        <w:rPr>
          <w:spacing w:val="42"/>
          <w:vertAlign w:val="baseline"/>
        </w:rPr>
        <w:t> </w:t>
      </w:r>
      <w:r>
        <w:rPr>
          <w:vertAlign w:val="baseline"/>
        </w:rPr>
        <w:t>2012</w:t>
      </w:r>
      <w:r>
        <w:rPr>
          <w:spacing w:val="42"/>
          <w:vertAlign w:val="baseline"/>
        </w:rPr>
        <w:t> </w:t>
      </w:r>
      <w:r>
        <w:rPr>
          <w:vertAlign w:val="baseline"/>
        </w:rPr>
        <w:t>the</w:t>
      </w:r>
      <w:r>
        <w:rPr>
          <w:spacing w:val="42"/>
          <w:vertAlign w:val="baseline"/>
        </w:rPr>
        <w:t> </w:t>
      </w:r>
      <w:r>
        <w:rPr>
          <w:vertAlign w:val="baseline"/>
        </w:rPr>
        <w:t>claimants</w:t>
      </w:r>
      <w:r>
        <w:rPr>
          <w:spacing w:val="42"/>
          <w:vertAlign w:val="baseline"/>
        </w:rPr>
        <w:t> </w:t>
      </w:r>
      <w:r>
        <w:rPr>
          <w:vertAlign w:val="baseline"/>
        </w:rPr>
        <w:t>gave</w:t>
      </w:r>
      <w:r>
        <w:rPr>
          <w:spacing w:val="42"/>
          <w:vertAlign w:val="baseline"/>
        </w:rPr>
        <w:t> </w:t>
      </w:r>
      <w:r>
        <w:rPr>
          <w:spacing w:val="-2"/>
          <w:vertAlign w:val="baseline"/>
        </w:rPr>
        <w:t>notice</w:t>
      </w:r>
    </w:p>
    <w:p>
      <w:pPr>
        <w:pStyle w:val="BodyText"/>
        <w:spacing w:line="235" w:lineRule="auto" w:before="119"/>
        <w:ind w:left="165" w:right="167"/>
        <w:jc w:val="both"/>
      </w:pPr>
      <w:r>
        <w:rPr/>
        <w:t>terminating the (original) agreement </w:t>
      </w:r>
      <w:r>
        <w:rPr>
          <w:color w:val="005DA1"/>
          <w:u w:val="single" w:color="005DA1"/>
          <w:vertAlign w:val="superscript"/>
        </w:rPr>
        <w:t>736</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vertAlign w:val="baseline"/>
        </w:rPr>
        <w:t>; they then sued for arrears of licence fees and damages. The defendants relied on the variation agreement (re-scheduling their payments); and one of the issues before the Court of Appeal was whether the claimants’ promise to (in effect) give </w:t>
      </w:r>
      <w:r>
        <w:rPr>
          <w:vertAlign w:val="baseline"/>
        </w:rPr>
        <w:t>the </w:t>
      </w:r>
      <w:bookmarkStart w:name="_bookmark1363" w:id="1365"/>
      <w:bookmarkEnd w:id="1365"/>
      <w:r>
        <w:rPr>
          <w:vertAlign w:val="baseline"/>
        </w:rPr>
        <w:t>defendants</w:t>
      </w:r>
      <w:r>
        <w:rPr>
          <w:spacing w:val="46"/>
          <w:vertAlign w:val="baseline"/>
        </w:rPr>
        <w:t> </w:t>
      </w:r>
      <w:r>
        <w:rPr>
          <w:vertAlign w:val="baseline"/>
        </w:rPr>
        <w:t>extra</w:t>
      </w:r>
      <w:r>
        <w:rPr>
          <w:spacing w:val="46"/>
          <w:vertAlign w:val="baseline"/>
        </w:rPr>
        <w:t> </w:t>
      </w:r>
      <w:r>
        <w:rPr>
          <w:vertAlign w:val="baseline"/>
        </w:rPr>
        <w:t>time</w:t>
      </w:r>
      <w:r>
        <w:rPr>
          <w:spacing w:val="46"/>
          <w:vertAlign w:val="baseline"/>
        </w:rPr>
        <w:t> </w:t>
      </w:r>
      <w:r>
        <w:rPr>
          <w:vertAlign w:val="baseline"/>
        </w:rPr>
        <w:t>to</w:t>
      </w:r>
      <w:r>
        <w:rPr>
          <w:spacing w:val="46"/>
          <w:vertAlign w:val="baseline"/>
        </w:rPr>
        <w:t> </w:t>
      </w:r>
      <w:r>
        <w:rPr>
          <w:vertAlign w:val="baseline"/>
        </w:rPr>
        <w:t>pay</w:t>
      </w:r>
      <w:r>
        <w:rPr>
          <w:spacing w:val="46"/>
          <w:vertAlign w:val="baseline"/>
        </w:rPr>
        <w:t> </w:t>
      </w:r>
      <w:r>
        <w:rPr>
          <w:vertAlign w:val="baseline"/>
        </w:rPr>
        <w:t>was</w:t>
      </w:r>
      <w:r>
        <w:rPr>
          <w:spacing w:val="46"/>
          <w:vertAlign w:val="baseline"/>
        </w:rPr>
        <w:t> </w:t>
      </w:r>
      <w:r>
        <w:rPr>
          <w:vertAlign w:val="baseline"/>
        </w:rPr>
        <w:t>supported</w:t>
      </w:r>
      <w:r>
        <w:rPr>
          <w:spacing w:val="46"/>
          <w:vertAlign w:val="baseline"/>
        </w:rPr>
        <w:t> </w:t>
      </w:r>
      <w:r>
        <w:rPr>
          <w:vertAlign w:val="baseline"/>
        </w:rPr>
        <w:t>by</w:t>
      </w:r>
      <w:r>
        <w:rPr>
          <w:spacing w:val="46"/>
          <w:vertAlign w:val="baseline"/>
        </w:rPr>
        <w:t> </w:t>
      </w:r>
      <w:r>
        <w:rPr>
          <w:vertAlign w:val="baseline"/>
        </w:rPr>
        <w:t>consideration.</w:t>
      </w:r>
      <w:r>
        <w:rPr>
          <w:spacing w:val="46"/>
          <w:vertAlign w:val="baseline"/>
        </w:rPr>
        <w:t> </w:t>
      </w:r>
      <w:r>
        <w:rPr>
          <w:vertAlign w:val="baseline"/>
        </w:rPr>
        <w:t>In</w:t>
      </w:r>
      <w:r>
        <w:rPr>
          <w:spacing w:val="46"/>
          <w:vertAlign w:val="baseline"/>
        </w:rPr>
        <w:t> </w:t>
      </w:r>
      <w:r>
        <w:rPr>
          <w:vertAlign w:val="baseline"/>
        </w:rPr>
        <w:t>answering</w:t>
      </w:r>
      <w:r>
        <w:rPr>
          <w:spacing w:val="46"/>
          <w:vertAlign w:val="baseline"/>
        </w:rPr>
        <w:t> </w:t>
      </w:r>
      <w:r>
        <w:rPr>
          <w:vertAlign w:val="baseline"/>
        </w:rPr>
        <w:t>this</w:t>
      </w:r>
      <w:r>
        <w:rPr>
          <w:spacing w:val="46"/>
          <w:vertAlign w:val="baseline"/>
        </w:rPr>
        <w:t> </w:t>
      </w:r>
      <w:r>
        <w:rPr>
          <w:vertAlign w:val="baseline"/>
        </w:rPr>
        <w:t>question</w:t>
      </w:r>
      <w:r>
        <w:rPr>
          <w:spacing w:val="46"/>
          <w:vertAlign w:val="baseline"/>
        </w:rPr>
        <w:t> </w:t>
      </w:r>
      <w:r>
        <w:rPr>
          <w:vertAlign w:val="baseline"/>
        </w:rPr>
        <w:t>in</w:t>
      </w:r>
      <w:r>
        <w:rPr>
          <w:spacing w:val="46"/>
          <w:vertAlign w:val="baseline"/>
        </w:rPr>
        <w:t> </w:t>
      </w:r>
      <w:r>
        <w:rPr>
          <w:spacing w:val="-5"/>
          <w:vertAlign w:val="baseline"/>
        </w:rPr>
        <w:t>the</w:t>
      </w:r>
    </w:p>
    <w:p>
      <w:pPr>
        <w:pStyle w:val="BodyText"/>
        <w:spacing w:before="8"/>
      </w:pPr>
    </w:p>
    <w:p>
      <w:pPr>
        <w:pStyle w:val="BodyText"/>
        <w:spacing w:line="235" w:lineRule="auto"/>
        <w:ind w:left="165" w:right="167"/>
        <w:jc w:val="both"/>
      </w:pPr>
      <w:bookmarkStart w:name="_bookmark1364" w:id="1366"/>
      <w:bookmarkEnd w:id="1366"/>
      <w:r>
        <w:rPr/>
      </w:r>
      <w:r>
        <w:rPr/>
        <w:t>affirmative, </w:t>
      </w:r>
      <w:r>
        <w:rPr>
          <w:color w:val="005DA1"/>
          <w:u w:val="single" w:color="005DA1"/>
          <w:vertAlign w:val="superscript"/>
        </w:rPr>
        <w:t>737</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9"/>
          <w:vertAlign w:val="baseline"/>
        </w:rPr>
        <w:t> </w:t>
      </w:r>
      <w:r>
        <w:rPr>
          <w:vertAlign w:val="baseline"/>
        </w:rPr>
        <w:t>the Court applied the reasoning of the </w:t>
      </w:r>
      <w:r>
        <w:rPr>
          <w:rFonts w:ascii="Arial" w:hAnsi="Arial"/>
          <w:i/>
          <w:vertAlign w:val="baseline"/>
        </w:rPr>
        <w:t>Williams </w:t>
      </w:r>
      <w:r>
        <w:rPr>
          <w:vertAlign w:val="baseline"/>
        </w:rPr>
        <w:t>case </w:t>
      </w:r>
      <w:r>
        <w:rPr>
          <w:color w:val="005DA1"/>
          <w:u w:val="single" w:color="005DA1"/>
          <w:vertAlign w:val="superscript"/>
        </w:rPr>
        <w:t>738</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vertAlign w:val="baseline"/>
        </w:rPr>
        <w:t>: that is, it held that the </w:t>
      </w:r>
      <w:bookmarkStart w:name="_bookmark1365" w:id="1367"/>
      <w:bookmarkEnd w:id="1367"/>
      <w:r>
        <w:rPr>
          <w:vertAlign w:val="baseline"/>
        </w:rPr>
        <w:t>requirement</w:t>
      </w:r>
      <w:r>
        <w:rPr>
          <w:spacing w:val="14"/>
          <w:vertAlign w:val="baseline"/>
        </w:rPr>
        <w:t> </w:t>
      </w:r>
      <w:r>
        <w:rPr>
          <w:vertAlign w:val="baseline"/>
        </w:rPr>
        <w:t>of</w:t>
      </w:r>
      <w:r>
        <w:rPr>
          <w:spacing w:val="14"/>
          <w:vertAlign w:val="baseline"/>
        </w:rPr>
        <w:t> </w:t>
      </w:r>
      <w:r>
        <w:rPr>
          <w:vertAlign w:val="baseline"/>
        </w:rPr>
        <w:t>consideration</w:t>
      </w:r>
      <w:r>
        <w:rPr>
          <w:spacing w:val="14"/>
          <w:vertAlign w:val="baseline"/>
        </w:rPr>
        <w:t> </w:t>
      </w:r>
      <w:r>
        <w:rPr>
          <w:vertAlign w:val="baseline"/>
        </w:rPr>
        <w:t>was</w:t>
      </w:r>
      <w:r>
        <w:rPr>
          <w:spacing w:val="14"/>
          <w:vertAlign w:val="baseline"/>
        </w:rPr>
        <w:t> </w:t>
      </w:r>
      <w:r>
        <w:rPr>
          <w:vertAlign w:val="baseline"/>
        </w:rPr>
        <w:t>satisfied</w:t>
      </w:r>
      <w:r>
        <w:rPr>
          <w:spacing w:val="14"/>
          <w:vertAlign w:val="baseline"/>
        </w:rPr>
        <w:t> </w:t>
      </w:r>
      <w:r>
        <w:rPr>
          <w:vertAlign w:val="baseline"/>
        </w:rPr>
        <w:t>because</w:t>
      </w:r>
      <w:r>
        <w:rPr>
          <w:spacing w:val="14"/>
          <w:vertAlign w:val="baseline"/>
        </w:rPr>
        <w:t> </w:t>
      </w:r>
      <w:r>
        <w:rPr>
          <w:vertAlign w:val="baseline"/>
        </w:rPr>
        <w:t>the</w:t>
      </w:r>
      <w:r>
        <w:rPr>
          <w:spacing w:val="14"/>
          <w:vertAlign w:val="baseline"/>
        </w:rPr>
        <w:t> </w:t>
      </w:r>
      <w:r>
        <w:rPr>
          <w:vertAlign w:val="baseline"/>
        </w:rPr>
        <w:t>variation</w:t>
      </w:r>
      <w:r>
        <w:rPr>
          <w:spacing w:val="14"/>
          <w:vertAlign w:val="baseline"/>
        </w:rPr>
        <w:t> </w:t>
      </w:r>
      <w:r>
        <w:rPr>
          <w:vertAlign w:val="baseline"/>
        </w:rPr>
        <w:t>agreement</w:t>
      </w:r>
      <w:r>
        <w:rPr>
          <w:spacing w:val="14"/>
          <w:vertAlign w:val="baseline"/>
        </w:rPr>
        <w:t> </w:t>
      </w:r>
      <w:r>
        <w:rPr>
          <w:vertAlign w:val="baseline"/>
        </w:rPr>
        <w:t>had</w:t>
      </w:r>
      <w:r>
        <w:rPr>
          <w:spacing w:val="14"/>
          <w:vertAlign w:val="baseline"/>
        </w:rPr>
        <w:t> </w:t>
      </w:r>
      <w:r>
        <w:rPr>
          <w:vertAlign w:val="baseline"/>
        </w:rPr>
        <w:t>conferred</w:t>
      </w:r>
      <w:r>
        <w:rPr>
          <w:spacing w:val="14"/>
          <w:vertAlign w:val="baseline"/>
        </w:rPr>
        <w:t> </w:t>
      </w:r>
      <w:r>
        <w:rPr>
          <w:spacing w:val="-2"/>
          <w:vertAlign w:val="baseline"/>
        </w:rPr>
        <w:t>“practical</w:t>
      </w:r>
    </w:p>
    <w:p>
      <w:pPr>
        <w:pStyle w:val="BodyText"/>
        <w:spacing w:before="129"/>
      </w:pPr>
    </w:p>
    <w:p>
      <w:pPr>
        <w:pStyle w:val="BodyText"/>
        <w:spacing w:line="235" w:lineRule="auto"/>
        <w:ind w:left="165" w:right="167"/>
        <w:jc w:val="both"/>
      </w:pPr>
      <w:bookmarkStart w:name="_bookmark1366" w:id="1368"/>
      <w:bookmarkEnd w:id="1368"/>
      <w:r>
        <w:rPr/>
      </w:r>
      <w:bookmarkStart w:name="_bookmark1367" w:id="1369"/>
      <w:bookmarkEnd w:id="1369"/>
      <w:r>
        <w:rPr/>
      </w:r>
      <w:r>
        <w:rPr/>
        <w:t>benefits”</w:t>
      </w:r>
      <w:r>
        <w:rPr>
          <w:spacing w:val="-2"/>
        </w:rPr>
        <w:t> </w:t>
      </w:r>
      <w:r>
        <w:rPr>
          <w:color w:val="005DA1"/>
          <w:u w:val="single" w:color="005DA1"/>
          <w:vertAlign w:val="superscript"/>
        </w:rPr>
        <w:t>739</w:t>
      </w:r>
      <w:r>
        <w:rPr>
          <w:color w:val="005DA1"/>
          <w:spacing w:val="80"/>
          <w:vertAlign w:val="baseline"/>
        </w:rPr>
        <w:t> </w:t>
      </w:r>
      <w:r>
        <w:rPr>
          <w:color w:val="005DA1"/>
          <w:spacing w:val="5"/>
          <w:position w:val="-2"/>
          <w:vertAlign w:val="baseline"/>
        </w:rPr>
        <w:drawing>
          <wp:inline distT="0" distB="0" distL="0" distR="0">
            <wp:extent cx="107988" cy="107988"/>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spacing w:val="-1"/>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claimants.</w:t>
      </w:r>
      <w:r>
        <w:rPr>
          <w:spacing w:val="-2"/>
          <w:vertAlign w:val="baseline"/>
        </w:rPr>
        <w:t> </w:t>
      </w:r>
      <w:r>
        <w:rPr>
          <w:rFonts w:ascii="Arial" w:hAnsi="Arial"/>
          <w:i/>
          <w:vertAlign w:val="baseline"/>
        </w:rPr>
        <w:t>Foakes</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Beer</w:t>
      </w:r>
      <w:r>
        <w:rPr>
          <w:rFonts w:ascii="Arial" w:hAnsi="Arial"/>
          <w:i/>
          <w:spacing w:val="-2"/>
          <w:vertAlign w:val="baseline"/>
        </w:rPr>
        <w:t> </w:t>
      </w:r>
      <w:r>
        <w:rPr>
          <w:color w:val="005DA1"/>
          <w:u w:val="single" w:color="005DA1"/>
          <w:vertAlign w:val="superscript"/>
        </w:rPr>
        <w:t>740</w:t>
      </w:r>
      <w:r>
        <w:rPr>
          <w:color w:val="005DA1"/>
          <w:spacing w:val="80"/>
          <w:vertAlign w:val="baseline"/>
        </w:rPr>
        <w:t> </w:t>
      </w:r>
      <w:r>
        <w:rPr>
          <w:color w:val="005DA1"/>
          <w:spacing w:val="5"/>
          <w:position w:val="-2"/>
          <w:vertAlign w:val="baseline"/>
        </w:rPr>
        <w:drawing>
          <wp:inline distT="0" distB="0" distL="0" distR="0">
            <wp:extent cx="107988" cy="107988"/>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spacing w:val="-1"/>
          <w:vertAlign w:val="baseline"/>
        </w:rPr>
        <w:t> </w:t>
      </w:r>
      <w:r>
        <w:rPr>
          <w:vertAlign w:val="baseline"/>
        </w:rPr>
        <w:t>and</w:t>
      </w:r>
      <w:r>
        <w:rPr>
          <w:spacing w:val="-2"/>
          <w:vertAlign w:val="baseline"/>
        </w:rPr>
        <w:t> </w:t>
      </w:r>
      <w:r>
        <w:rPr>
          <w:rFonts w:ascii="Arial" w:hAnsi="Arial"/>
          <w:i/>
          <w:vertAlign w:val="baseline"/>
        </w:rPr>
        <w:t>Re</w:t>
      </w:r>
      <w:r>
        <w:rPr>
          <w:rFonts w:ascii="Arial" w:hAnsi="Arial"/>
          <w:i/>
          <w:spacing w:val="-2"/>
          <w:vertAlign w:val="baseline"/>
        </w:rPr>
        <w:t> </w:t>
      </w:r>
      <w:r>
        <w:rPr>
          <w:rFonts w:ascii="Arial" w:hAnsi="Arial"/>
          <w:i/>
          <w:vertAlign w:val="baseline"/>
        </w:rPr>
        <w:t>Selectmove</w:t>
      </w:r>
      <w:r>
        <w:rPr>
          <w:rFonts w:ascii="Arial" w:hAnsi="Arial"/>
          <w:i/>
          <w:spacing w:val="-2"/>
          <w:vertAlign w:val="baseline"/>
        </w:rPr>
        <w:t> </w:t>
      </w:r>
      <w:r>
        <w:rPr>
          <w:color w:val="005DA1"/>
          <w:u w:val="single" w:color="005DA1"/>
          <w:vertAlign w:val="superscript"/>
        </w:rPr>
        <w:t>741</w:t>
      </w:r>
      <w:r>
        <w:rPr>
          <w:color w:val="005DA1"/>
          <w:spacing w:val="80"/>
          <w:vertAlign w:val="baseline"/>
        </w:rPr>
        <w:t> </w:t>
      </w:r>
      <w:r>
        <w:rPr>
          <w:color w:val="005DA1"/>
          <w:spacing w:val="5"/>
          <w:position w:val="-2"/>
          <w:vertAlign w:val="baseline"/>
        </w:rPr>
        <w:drawing>
          <wp:inline distT="0" distB="0" distL="0" distR="0">
            <wp:extent cx="107988" cy="107988"/>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spacing w:val="-1"/>
          <w:vertAlign w:val="baseline"/>
        </w:rPr>
        <w:t> </w:t>
      </w:r>
      <w:r>
        <w:rPr>
          <w:vertAlign w:val="baseline"/>
        </w:rPr>
        <w:t>were</w:t>
      </w:r>
      <w:r>
        <w:rPr>
          <w:spacing w:val="-2"/>
          <w:vertAlign w:val="baseline"/>
        </w:rPr>
        <w:t> </w:t>
      </w:r>
      <w:r>
        <w:rPr>
          <w:vertAlign w:val="baseline"/>
        </w:rPr>
        <w:t>distinguished on the ground that they applied only where the sole benefit accruing to the creditor from </w:t>
      </w:r>
      <w:r>
        <w:rPr>
          <w:vertAlign w:val="baseline"/>
        </w:rPr>
        <w:t>the </w:t>
      </w:r>
      <w:bookmarkStart w:name="_bookmark1368" w:id="1370"/>
      <w:bookmarkEnd w:id="1370"/>
      <w:r>
        <w:rPr>
          <w:vertAlign w:val="baseline"/>
        </w:rPr>
        <w:t>performance</w:t>
      </w:r>
      <w:r>
        <w:rPr>
          <w:spacing w:val="27"/>
          <w:vertAlign w:val="baseline"/>
        </w:rPr>
        <w:t> </w:t>
      </w:r>
      <w:r>
        <w:rPr>
          <w:vertAlign w:val="baseline"/>
        </w:rPr>
        <w:t>of</w:t>
      </w:r>
      <w:r>
        <w:rPr>
          <w:spacing w:val="29"/>
          <w:vertAlign w:val="baseline"/>
        </w:rPr>
        <w:t> </w:t>
      </w:r>
      <w:r>
        <w:rPr>
          <w:vertAlign w:val="baseline"/>
        </w:rPr>
        <w:t>the</w:t>
      </w:r>
      <w:r>
        <w:rPr>
          <w:spacing w:val="29"/>
          <w:vertAlign w:val="baseline"/>
        </w:rPr>
        <w:t> </w:t>
      </w:r>
      <w:r>
        <w:rPr>
          <w:vertAlign w:val="baseline"/>
        </w:rPr>
        <w:t>variation</w:t>
      </w:r>
      <w:r>
        <w:rPr>
          <w:spacing w:val="29"/>
          <w:vertAlign w:val="baseline"/>
        </w:rPr>
        <w:t> </w:t>
      </w:r>
      <w:r>
        <w:rPr>
          <w:vertAlign w:val="baseline"/>
        </w:rPr>
        <w:t>agreement</w:t>
      </w:r>
      <w:r>
        <w:rPr>
          <w:spacing w:val="29"/>
          <w:vertAlign w:val="baseline"/>
        </w:rPr>
        <w:t> </w:t>
      </w:r>
      <w:r>
        <w:rPr>
          <w:vertAlign w:val="baseline"/>
        </w:rPr>
        <w:t>took</w:t>
      </w:r>
      <w:r>
        <w:rPr>
          <w:spacing w:val="29"/>
          <w:vertAlign w:val="baseline"/>
        </w:rPr>
        <w:t> </w:t>
      </w:r>
      <w:r>
        <w:rPr>
          <w:vertAlign w:val="baseline"/>
        </w:rPr>
        <w:t>the</w:t>
      </w:r>
      <w:r>
        <w:rPr>
          <w:spacing w:val="29"/>
          <w:vertAlign w:val="baseline"/>
        </w:rPr>
        <w:t> </w:t>
      </w:r>
      <w:r>
        <w:rPr>
          <w:vertAlign w:val="baseline"/>
        </w:rPr>
        <w:t>form</w:t>
      </w:r>
      <w:r>
        <w:rPr>
          <w:spacing w:val="29"/>
          <w:vertAlign w:val="baseline"/>
        </w:rPr>
        <w:t> </w:t>
      </w:r>
      <w:r>
        <w:rPr>
          <w:vertAlign w:val="baseline"/>
        </w:rPr>
        <w:t>of</w:t>
      </w:r>
      <w:r>
        <w:rPr>
          <w:spacing w:val="29"/>
          <w:vertAlign w:val="baseline"/>
        </w:rPr>
        <w:t> </w:t>
      </w:r>
      <w:r>
        <w:rPr>
          <w:vertAlign w:val="baseline"/>
        </w:rPr>
        <w:t>receiving</w:t>
      </w:r>
      <w:r>
        <w:rPr>
          <w:spacing w:val="29"/>
          <w:vertAlign w:val="baseline"/>
        </w:rPr>
        <w:t> </w:t>
      </w:r>
      <w:r>
        <w:rPr>
          <w:vertAlign w:val="baseline"/>
        </w:rPr>
        <w:t>part</w:t>
      </w:r>
      <w:r>
        <w:rPr>
          <w:spacing w:val="29"/>
          <w:vertAlign w:val="baseline"/>
        </w:rPr>
        <w:t> </w:t>
      </w:r>
      <w:r>
        <w:rPr>
          <w:vertAlign w:val="baseline"/>
        </w:rPr>
        <w:t>payment</w:t>
      </w:r>
      <w:r>
        <w:rPr>
          <w:spacing w:val="29"/>
          <w:vertAlign w:val="baseline"/>
        </w:rPr>
        <w:t> </w:t>
      </w:r>
      <w:r>
        <w:rPr>
          <w:vertAlign w:val="baseline"/>
        </w:rPr>
        <w:t>of</w:t>
      </w:r>
      <w:r>
        <w:rPr>
          <w:spacing w:val="29"/>
          <w:vertAlign w:val="baseline"/>
        </w:rPr>
        <w:t> </w:t>
      </w:r>
      <w:r>
        <w:rPr>
          <w:vertAlign w:val="baseline"/>
        </w:rPr>
        <w:t>a</w:t>
      </w:r>
      <w:r>
        <w:rPr>
          <w:spacing w:val="29"/>
          <w:vertAlign w:val="baseline"/>
        </w:rPr>
        <w:t> </w:t>
      </w:r>
      <w:r>
        <w:rPr>
          <w:vertAlign w:val="baseline"/>
        </w:rPr>
        <w:t>debt</w:t>
      </w:r>
      <w:r>
        <w:rPr>
          <w:spacing w:val="29"/>
          <w:vertAlign w:val="baseline"/>
        </w:rPr>
        <w:t> </w:t>
      </w:r>
      <w:r>
        <w:rPr>
          <w:spacing w:val="-2"/>
          <w:vertAlign w:val="baseline"/>
        </w:rPr>
        <w:t>already</w:t>
      </w:r>
    </w:p>
    <w:p>
      <w:pPr>
        <w:pStyle w:val="BodyText"/>
        <w:spacing w:line="235" w:lineRule="auto" w:before="119"/>
        <w:ind w:left="165" w:right="168"/>
        <w:jc w:val="both"/>
      </w:pPr>
      <w:r>
        <w:rPr/>
        <w:t>legally due to him, instead of insisting on payment of the whole. </w:t>
      </w:r>
      <w:r>
        <w:rPr>
          <w:color w:val="005DA1"/>
          <w:u w:val="single" w:color="005DA1"/>
          <w:vertAlign w:val="superscript"/>
        </w:rPr>
        <w:t>742</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hAnsi="Times New Roman"/>
          <w:color w:val="005DA1"/>
          <w:spacing w:val="-3"/>
          <w:vertAlign w:val="baseline"/>
        </w:rPr>
        <w:t> </w:t>
      </w:r>
      <w:r>
        <w:rPr>
          <w:vertAlign w:val="baseline"/>
        </w:rPr>
        <w:t>Indeed, this view is supported, as Arden L.J. points out in the </w:t>
      </w:r>
      <w:r>
        <w:rPr>
          <w:rFonts w:ascii="Arial" w:hAnsi="Arial"/>
          <w:i/>
          <w:vertAlign w:val="baseline"/>
        </w:rPr>
        <w:t>MWB </w:t>
      </w:r>
      <w:r>
        <w:rPr>
          <w:vertAlign w:val="baseline"/>
        </w:rPr>
        <w:t>case, by the well known statement in </w:t>
      </w:r>
      <w:r>
        <w:rPr>
          <w:rFonts w:ascii="Arial" w:hAnsi="Arial"/>
          <w:i/>
          <w:vertAlign w:val="baseline"/>
        </w:rPr>
        <w:t>Pinnel’s </w:t>
      </w:r>
      <w:r>
        <w:rPr>
          <w:vertAlign w:val="baseline"/>
        </w:rPr>
        <w:t>case that the rule </w:t>
      </w:r>
      <w:bookmarkStart w:name="_bookmark1369" w:id="1371"/>
      <w:bookmarkEnd w:id="1371"/>
      <w:r>
        <w:rPr>
          <w:vertAlign w:val="baseline"/>
        </w:rPr>
        <w:t>there</w:t>
      </w:r>
      <w:r>
        <w:rPr>
          <w:spacing w:val="1"/>
          <w:vertAlign w:val="baseline"/>
        </w:rPr>
        <w:t> </w:t>
      </w:r>
      <w:r>
        <w:rPr>
          <w:vertAlign w:val="baseline"/>
        </w:rPr>
        <w:t>laid</w:t>
      </w:r>
      <w:r>
        <w:rPr>
          <w:spacing w:val="2"/>
          <w:vertAlign w:val="baseline"/>
        </w:rPr>
        <w:t> </w:t>
      </w:r>
      <w:r>
        <w:rPr>
          <w:vertAlign w:val="baseline"/>
        </w:rPr>
        <w:t>down,</w:t>
      </w:r>
      <w:r>
        <w:rPr>
          <w:spacing w:val="2"/>
          <w:vertAlign w:val="baseline"/>
        </w:rPr>
        <w:t> </w:t>
      </w:r>
      <w:r>
        <w:rPr>
          <w:vertAlign w:val="baseline"/>
        </w:rPr>
        <w:t>and</w:t>
      </w:r>
      <w:r>
        <w:rPr>
          <w:spacing w:val="2"/>
          <w:vertAlign w:val="baseline"/>
        </w:rPr>
        <w:t> </w:t>
      </w:r>
      <w:r>
        <w:rPr>
          <w:vertAlign w:val="baseline"/>
        </w:rPr>
        <w:t>approved</w:t>
      </w:r>
      <w:r>
        <w:rPr>
          <w:spacing w:val="2"/>
          <w:vertAlign w:val="baseline"/>
        </w:rPr>
        <w:t> </w:t>
      </w:r>
      <w:r>
        <w:rPr>
          <w:vertAlign w:val="baseline"/>
        </w:rPr>
        <w:t>in</w:t>
      </w:r>
      <w:r>
        <w:rPr>
          <w:spacing w:val="1"/>
          <w:vertAlign w:val="baseline"/>
        </w:rPr>
        <w:t> </w:t>
      </w:r>
      <w:r>
        <w:rPr>
          <w:rFonts w:ascii="Arial" w:hAnsi="Arial"/>
          <w:i/>
          <w:vertAlign w:val="baseline"/>
        </w:rPr>
        <w:t>Foakes</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Beer</w:t>
      </w:r>
      <w:r>
        <w:rPr>
          <w:vertAlign w:val="baseline"/>
        </w:rPr>
        <w:t>,</w:t>
      </w:r>
      <w:r>
        <w:rPr>
          <w:spacing w:val="2"/>
          <w:vertAlign w:val="baseline"/>
        </w:rPr>
        <w:t> </w:t>
      </w:r>
      <w:r>
        <w:rPr>
          <w:vertAlign w:val="baseline"/>
        </w:rPr>
        <w:t>is</w:t>
      </w:r>
      <w:r>
        <w:rPr>
          <w:spacing w:val="2"/>
          <w:vertAlign w:val="baseline"/>
        </w:rPr>
        <w:t> </w:t>
      </w:r>
      <w:r>
        <w:rPr>
          <w:vertAlign w:val="baseline"/>
        </w:rPr>
        <w:t>subject</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“rider”</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gift</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horse,</w:t>
      </w:r>
      <w:r>
        <w:rPr>
          <w:spacing w:val="2"/>
          <w:vertAlign w:val="baseline"/>
        </w:rPr>
        <w:t> </w:t>
      </w:r>
      <w:r>
        <w:rPr>
          <w:spacing w:val="-4"/>
          <w:vertAlign w:val="baseline"/>
        </w:rPr>
        <w:t>hawk</w:t>
      </w:r>
    </w:p>
    <w:p>
      <w:pPr>
        <w:pStyle w:val="BodyText"/>
        <w:spacing w:line="235" w:lineRule="auto" w:before="119"/>
        <w:ind w:left="165" w:right="167"/>
        <w:jc w:val="both"/>
      </w:pPr>
      <w:r>
        <w:rPr/>
        <w:t>or robe etc. shall be good satisfaction …”. </w:t>
      </w:r>
      <w:r>
        <w:rPr>
          <w:color w:val="005DA1"/>
          <w:u w:val="single" w:color="005DA1"/>
          <w:vertAlign w:val="superscript"/>
        </w:rPr>
        <w:t>743</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37"/>
          <w:vertAlign w:val="baseline"/>
        </w:rPr>
        <w:t> </w:t>
      </w:r>
      <w:r>
        <w:rPr>
          <w:vertAlign w:val="baseline"/>
        </w:rPr>
        <w:t>It is sometimes assumed that the provision of </w:t>
      </w:r>
      <w:r>
        <w:rPr>
          <w:vertAlign w:val="baseline"/>
        </w:rPr>
        <w:t>such </w:t>
      </w:r>
      <w:bookmarkStart w:name="_bookmark1370" w:id="1372"/>
      <w:bookmarkEnd w:id="1372"/>
      <w:r>
        <w:rPr>
          <w:vertAlign w:val="baseline"/>
        </w:rPr>
        <w:t>benefits</w:t>
      </w:r>
      <w:r>
        <w:rPr>
          <w:spacing w:val="13"/>
          <w:vertAlign w:val="baseline"/>
        </w:rPr>
        <w:t> </w:t>
      </w:r>
      <w:r>
        <w:rPr>
          <w:vertAlign w:val="baseline"/>
        </w:rPr>
        <w:t>satisfies</w:t>
      </w:r>
      <w:r>
        <w:rPr>
          <w:spacing w:val="13"/>
          <w:vertAlign w:val="baseline"/>
        </w:rPr>
        <w:t> </w:t>
      </w:r>
      <w:r>
        <w:rPr>
          <w:vertAlign w:val="baseline"/>
        </w:rPr>
        <w:t>the</w:t>
      </w:r>
      <w:r>
        <w:rPr>
          <w:spacing w:val="13"/>
          <w:vertAlign w:val="baseline"/>
        </w:rPr>
        <w:t> </w:t>
      </w:r>
      <w:r>
        <w:rPr>
          <w:vertAlign w:val="baseline"/>
        </w:rPr>
        <w:t>requirement</w:t>
      </w:r>
      <w:r>
        <w:rPr>
          <w:spacing w:val="13"/>
          <w:vertAlign w:val="baseline"/>
        </w:rPr>
        <w:t> </w:t>
      </w:r>
      <w:r>
        <w:rPr>
          <w:vertAlign w:val="baseline"/>
        </w:rPr>
        <w:t>of</w:t>
      </w:r>
      <w:r>
        <w:rPr>
          <w:spacing w:val="13"/>
          <w:vertAlign w:val="baseline"/>
        </w:rPr>
        <w:t> </w:t>
      </w:r>
      <w:r>
        <w:rPr>
          <w:vertAlign w:val="baseline"/>
        </w:rPr>
        <w:t>consideration</w:t>
      </w:r>
      <w:r>
        <w:rPr>
          <w:spacing w:val="13"/>
          <w:vertAlign w:val="baseline"/>
        </w:rPr>
        <w:t> </w:t>
      </w:r>
      <w:r>
        <w:rPr>
          <w:vertAlign w:val="baseline"/>
        </w:rPr>
        <w:t>because</w:t>
      </w:r>
      <w:r>
        <w:rPr>
          <w:spacing w:val="13"/>
          <w:vertAlign w:val="baseline"/>
        </w:rPr>
        <w:t> </w:t>
      </w:r>
      <w:r>
        <w:rPr>
          <w:vertAlign w:val="baseline"/>
        </w:rPr>
        <w:t>the</w:t>
      </w:r>
      <w:r>
        <w:rPr>
          <w:spacing w:val="13"/>
          <w:vertAlign w:val="baseline"/>
        </w:rPr>
        <w:t> </w:t>
      </w:r>
      <w:r>
        <w:rPr>
          <w:vertAlign w:val="baseline"/>
        </w:rPr>
        <w:t>debtor</w:t>
      </w:r>
      <w:r>
        <w:rPr>
          <w:spacing w:val="13"/>
          <w:vertAlign w:val="baseline"/>
        </w:rPr>
        <w:t> </w:t>
      </w:r>
      <w:r>
        <w:rPr>
          <w:vertAlign w:val="baseline"/>
        </w:rPr>
        <w:t>was</w:t>
      </w:r>
      <w:r>
        <w:rPr>
          <w:spacing w:val="13"/>
          <w:vertAlign w:val="baseline"/>
        </w:rPr>
        <w:t> </w:t>
      </w:r>
      <w:r>
        <w:rPr>
          <w:vertAlign w:val="baseline"/>
        </w:rPr>
        <w:t>not</w:t>
      </w:r>
      <w:r>
        <w:rPr>
          <w:spacing w:val="13"/>
          <w:vertAlign w:val="baseline"/>
        </w:rPr>
        <w:t> </w:t>
      </w:r>
      <w:r>
        <w:rPr>
          <w:vertAlign w:val="baseline"/>
        </w:rPr>
        <w:t>bound</w:t>
      </w:r>
      <w:r>
        <w:rPr>
          <w:spacing w:val="13"/>
          <w:vertAlign w:val="baseline"/>
        </w:rPr>
        <w:t> </w:t>
      </w:r>
      <w:r>
        <w:rPr>
          <w:vertAlign w:val="baseline"/>
        </w:rPr>
        <w:t>by</w:t>
      </w:r>
      <w:r>
        <w:rPr>
          <w:spacing w:val="13"/>
          <w:vertAlign w:val="baseline"/>
        </w:rPr>
        <w:t> </w:t>
      </w:r>
      <w:r>
        <w:rPr>
          <w:vertAlign w:val="baseline"/>
        </w:rPr>
        <w:t>the</w:t>
      </w:r>
      <w:r>
        <w:rPr>
          <w:spacing w:val="13"/>
          <w:vertAlign w:val="baseline"/>
        </w:rPr>
        <w:t> </w:t>
      </w:r>
      <w:r>
        <w:rPr>
          <w:spacing w:val="-2"/>
          <w:vertAlign w:val="baseline"/>
        </w:rPr>
        <w:t>original</w:t>
      </w:r>
    </w:p>
    <w:p>
      <w:pPr>
        <w:pStyle w:val="BodyText"/>
        <w:spacing w:line="235" w:lineRule="auto" w:before="119"/>
        <w:ind w:left="165" w:right="167"/>
        <w:jc w:val="both"/>
      </w:pPr>
      <w:r>
        <w:rPr/>
        <w:t>contract to provide them </w:t>
      </w:r>
      <w:r>
        <w:rPr>
          <w:color w:val="005DA1"/>
          <w:u w:val="single" w:color="005DA1"/>
          <w:vertAlign w:val="superscript"/>
        </w:rPr>
        <w:t>744</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240" name="Image 240"/>
            <wp:cNvGraphicFramePr>
              <a:graphicFrameLocks/>
            </wp:cNvGraphicFramePr>
            <a:graphic>
              <a:graphicData uri="http://schemas.openxmlformats.org/drawingml/2006/picture">
                <pic:pic>
                  <pic:nvPicPr>
                    <pic:cNvPr id="240" name="Image 24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vertAlign w:val="baseline"/>
        </w:rPr>
        <w:t>; but the ensuing discussion will show that the requirement of consideration may (though it will not necessarily) be satisfied where the debtor’s performance </w:t>
      </w:r>
      <w:r>
        <w:rPr>
          <w:vertAlign w:val="baseline"/>
        </w:rPr>
        <w:t>which confers the “practical benefit” on the creditor was already due from the debtor to the creditor under</w:t>
      </w:r>
      <w:r>
        <w:rPr>
          <w:spacing w:val="80"/>
          <w:vertAlign w:val="baseline"/>
        </w:rPr>
        <w:t> </w:t>
      </w:r>
      <w:bookmarkStart w:name="_bookmark1371" w:id="1373"/>
      <w:bookmarkEnd w:id="1373"/>
      <w:r>
        <w:rPr>
          <w:vertAlign w:val="baseline"/>
        </w:rPr>
        <w:t>the</w:t>
      </w:r>
      <w:r>
        <w:rPr>
          <w:spacing w:val="26"/>
          <w:vertAlign w:val="baseline"/>
        </w:rPr>
        <w:t> </w:t>
      </w:r>
      <w:r>
        <w:rPr>
          <w:vertAlign w:val="baseline"/>
        </w:rPr>
        <w:t>original</w:t>
      </w:r>
      <w:r>
        <w:rPr>
          <w:spacing w:val="28"/>
          <w:vertAlign w:val="baseline"/>
        </w:rPr>
        <w:t> </w:t>
      </w:r>
      <w:r>
        <w:rPr>
          <w:vertAlign w:val="baseline"/>
        </w:rPr>
        <w:t>contract</w:t>
      </w:r>
      <w:r>
        <w:rPr>
          <w:spacing w:val="28"/>
          <w:vertAlign w:val="baseline"/>
        </w:rPr>
        <w:t> </w:t>
      </w:r>
      <w:r>
        <w:rPr>
          <w:vertAlign w:val="baseline"/>
        </w:rPr>
        <w:t>between</w:t>
      </w:r>
      <w:r>
        <w:rPr>
          <w:spacing w:val="28"/>
          <w:vertAlign w:val="baseline"/>
        </w:rPr>
        <w:t> </w:t>
      </w:r>
      <w:r>
        <w:rPr>
          <w:vertAlign w:val="baseline"/>
        </w:rPr>
        <w:t>these</w:t>
      </w:r>
      <w:r>
        <w:rPr>
          <w:spacing w:val="28"/>
          <w:vertAlign w:val="baseline"/>
        </w:rPr>
        <w:t> </w:t>
      </w:r>
      <w:r>
        <w:rPr>
          <w:vertAlign w:val="baseline"/>
        </w:rPr>
        <w:t>parties</w:t>
      </w:r>
      <w:r>
        <w:rPr>
          <w:spacing w:val="28"/>
          <w:vertAlign w:val="baseline"/>
        </w:rPr>
        <w:t> </w:t>
      </w:r>
      <w:r>
        <w:rPr>
          <w:vertAlign w:val="baseline"/>
        </w:rPr>
        <w:t>before</w:t>
      </w:r>
      <w:r>
        <w:rPr>
          <w:spacing w:val="28"/>
          <w:vertAlign w:val="baseline"/>
        </w:rPr>
        <w:t> </w:t>
      </w:r>
      <w:r>
        <w:rPr>
          <w:vertAlign w:val="baseline"/>
        </w:rPr>
        <w:t>that</w:t>
      </w:r>
      <w:r>
        <w:rPr>
          <w:spacing w:val="28"/>
          <w:vertAlign w:val="baseline"/>
        </w:rPr>
        <w:t> </w:t>
      </w:r>
      <w:r>
        <w:rPr>
          <w:vertAlign w:val="baseline"/>
        </w:rPr>
        <w:t>contract</w:t>
      </w:r>
      <w:r>
        <w:rPr>
          <w:spacing w:val="28"/>
          <w:vertAlign w:val="baseline"/>
        </w:rPr>
        <w:t> </w:t>
      </w:r>
      <w:r>
        <w:rPr>
          <w:vertAlign w:val="baseline"/>
        </w:rPr>
        <w:t>was</w:t>
      </w:r>
      <w:r>
        <w:rPr>
          <w:spacing w:val="28"/>
          <w:vertAlign w:val="baseline"/>
        </w:rPr>
        <w:t> </w:t>
      </w:r>
      <w:r>
        <w:rPr>
          <w:vertAlign w:val="baseline"/>
        </w:rPr>
        <w:t>varied</w:t>
      </w:r>
      <w:r>
        <w:rPr>
          <w:spacing w:val="28"/>
          <w:vertAlign w:val="baseline"/>
        </w:rPr>
        <w:t> </w:t>
      </w:r>
      <w:r>
        <w:rPr>
          <w:vertAlign w:val="baseline"/>
        </w:rPr>
        <w:t>by</w:t>
      </w:r>
      <w:r>
        <w:rPr>
          <w:spacing w:val="28"/>
          <w:vertAlign w:val="baseline"/>
        </w:rPr>
        <w:t> </w:t>
      </w:r>
      <w:r>
        <w:rPr>
          <w:vertAlign w:val="baseline"/>
        </w:rPr>
        <w:t>agreement</w:t>
      </w:r>
      <w:r>
        <w:rPr>
          <w:spacing w:val="28"/>
          <w:vertAlign w:val="baseline"/>
        </w:rPr>
        <w:t> </w:t>
      </w:r>
      <w:r>
        <w:rPr>
          <w:spacing w:val="-2"/>
          <w:vertAlign w:val="baseline"/>
        </w:rPr>
        <w:t>between</w:t>
      </w:r>
    </w:p>
    <w:p>
      <w:pPr>
        <w:pStyle w:val="BodyText"/>
        <w:spacing w:line="235" w:lineRule="auto" w:before="119"/>
        <w:ind w:left="164" w:right="167"/>
        <w:jc w:val="both"/>
      </w:pPr>
      <w:r>
        <w:rPr/>
        <w:t>them; indeed that was the position in the </w:t>
      </w:r>
      <w:r>
        <w:rPr>
          <w:rFonts w:ascii="Arial" w:hAnsi="Arial"/>
          <w:i/>
        </w:rPr>
        <w:t>Williams </w:t>
      </w:r>
      <w:r>
        <w:rPr/>
        <w:t>case </w:t>
      </w:r>
      <w:r>
        <w:rPr>
          <w:color w:val="005DA1"/>
          <w:u w:val="single" w:color="005DA1"/>
          <w:vertAlign w:val="superscript"/>
        </w:rPr>
        <w:t>745</w:t>
      </w:r>
      <w:r>
        <w:rPr>
          <w:color w:val="005DA1"/>
          <w:spacing w:val="80"/>
          <w:vertAlign w:val="baseline"/>
        </w:rPr>
        <w:t> </w:t>
      </w:r>
      <w:r>
        <w:rPr>
          <w:color w:val="005DA1"/>
          <w:spacing w:val="13"/>
          <w:position w:val="-2"/>
          <w:vertAlign w:val="baseline"/>
        </w:rPr>
        <w:drawing>
          <wp:inline distT="0" distB="0" distL="0" distR="0">
            <wp:extent cx="107988" cy="107988"/>
            <wp:effectExtent l="0" t="0" r="0" b="0"/>
            <wp:docPr id="241" name="Image 241"/>
            <wp:cNvGraphicFramePr>
              <a:graphicFrameLocks/>
            </wp:cNvGraphicFramePr>
            <a:graphic>
              <a:graphicData uri="http://schemas.openxmlformats.org/drawingml/2006/picture">
                <pic:pic>
                  <pic:nvPicPr>
                    <pic:cNvPr id="241" name="Image 24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hAnsi="Times New Roman"/>
          <w:color w:val="005DA1"/>
          <w:spacing w:val="-5"/>
          <w:vertAlign w:val="baseline"/>
        </w:rPr>
        <w:t> </w:t>
      </w:r>
      <w:r>
        <w:rPr>
          <w:vertAlign w:val="baseline"/>
        </w:rPr>
        <w:t>itself. It is convenient here to begin the discussion of the consideration issue in the </w:t>
      </w:r>
      <w:r>
        <w:rPr>
          <w:rFonts w:ascii="Arial" w:hAnsi="Arial"/>
          <w:i/>
          <w:vertAlign w:val="baseline"/>
        </w:rPr>
        <w:t>MWB </w:t>
      </w:r>
      <w:r>
        <w:rPr>
          <w:vertAlign w:val="baseline"/>
        </w:rPr>
        <w:t>case by reference to the way in which Arden </w:t>
      </w:r>
      <w:r>
        <w:rPr>
          <w:vertAlign w:val="baseline"/>
        </w:rPr>
        <w:t>L.J. there discusses this question. Her starting point is to refer to the way in which the judge in the Court below had dealt with the point: he had found that the “variation agreement conferred on [the claimant] the practical benefit of continuing occupation by” the defendant and thus (in Arden L.J.’s own words) that “of avoiding a void”, the noun “void” being here used “in the sense in which it is used in property </w:t>
      </w:r>
      <w:bookmarkStart w:name="_bookmark1372" w:id="1374"/>
      <w:bookmarkEnd w:id="1374"/>
      <w:r>
        <w:rPr>
          <w:vertAlign w:val="baseline"/>
        </w:rPr>
        <w:t>management</w:t>
      </w:r>
      <w:r>
        <w:rPr>
          <w:spacing w:val="1"/>
          <w:vertAlign w:val="baseline"/>
        </w:rPr>
        <w:t> </w:t>
      </w:r>
      <w:r>
        <w:rPr>
          <w:vertAlign w:val="baseline"/>
        </w:rPr>
        <w:t>to</w:t>
      </w:r>
      <w:r>
        <w:rPr>
          <w:spacing w:val="1"/>
          <w:vertAlign w:val="baseline"/>
        </w:rPr>
        <w:t> </w:t>
      </w:r>
      <w:r>
        <w:rPr>
          <w:vertAlign w:val="baseline"/>
        </w:rPr>
        <w:t>refer</w:t>
      </w:r>
      <w:r>
        <w:rPr>
          <w:spacing w:val="1"/>
          <w:vertAlign w:val="baseline"/>
        </w:rPr>
        <w:t> </w:t>
      </w:r>
      <w:r>
        <w:rPr>
          <w:vertAlign w:val="baseline"/>
        </w:rPr>
        <w:t>to</w:t>
      </w:r>
      <w:r>
        <w:rPr>
          <w:spacing w:val="1"/>
          <w:vertAlign w:val="baseline"/>
        </w:rPr>
        <w:t> </w:t>
      </w:r>
      <w:r>
        <w:rPr>
          <w:vertAlign w:val="baseline"/>
        </w:rPr>
        <w:t>unoccupied</w:t>
      </w:r>
      <w:r>
        <w:rPr>
          <w:spacing w:val="1"/>
          <w:vertAlign w:val="baseline"/>
        </w:rPr>
        <w:t> </w:t>
      </w:r>
      <w:r>
        <w:rPr>
          <w:vertAlign w:val="baseline"/>
        </w:rPr>
        <w:t>and</w:t>
      </w:r>
      <w:r>
        <w:rPr>
          <w:spacing w:val="1"/>
          <w:vertAlign w:val="baseline"/>
        </w:rPr>
        <w:t> </w:t>
      </w:r>
      <w:r>
        <w:rPr>
          <w:vertAlign w:val="baseline"/>
        </w:rPr>
        <w:t>therefore</w:t>
      </w:r>
      <w:r>
        <w:rPr>
          <w:spacing w:val="1"/>
          <w:vertAlign w:val="baseline"/>
        </w:rPr>
        <w:t> </w:t>
      </w:r>
      <w:r>
        <w:rPr>
          <w:vertAlign w:val="baseline"/>
        </w:rPr>
        <w:t>unproductive</w:t>
      </w:r>
      <w:r>
        <w:rPr>
          <w:spacing w:val="1"/>
          <w:vertAlign w:val="baseline"/>
        </w:rPr>
        <w:t> </w:t>
      </w:r>
      <w:r>
        <w:rPr>
          <w:vertAlign w:val="baseline"/>
        </w:rPr>
        <w:t>property,</w:t>
      </w:r>
      <w:r>
        <w:rPr>
          <w:spacing w:val="1"/>
          <w:vertAlign w:val="baseline"/>
        </w:rPr>
        <w:t> </w:t>
      </w:r>
      <w:r>
        <w:rPr>
          <w:vertAlign w:val="baseline"/>
        </w:rPr>
        <w:t>which</w:t>
      </w:r>
      <w:r>
        <w:rPr>
          <w:spacing w:val="1"/>
          <w:vertAlign w:val="baseline"/>
        </w:rPr>
        <w:t> </w:t>
      </w:r>
      <w:r>
        <w:rPr>
          <w:vertAlign w:val="baseline"/>
        </w:rPr>
        <w:t>may</w:t>
      </w:r>
      <w:r>
        <w:rPr>
          <w:spacing w:val="1"/>
          <w:vertAlign w:val="baseline"/>
        </w:rPr>
        <w:t> </w:t>
      </w:r>
      <w:r>
        <w:rPr>
          <w:vertAlign w:val="baseline"/>
        </w:rPr>
        <w:t>cause</w:t>
      </w:r>
      <w:r>
        <w:rPr>
          <w:spacing w:val="1"/>
          <w:vertAlign w:val="baseline"/>
        </w:rPr>
        <w:t> </w:t>
      </w:r>
      <w:r>
        <w:rPr>
          <w:vertAlign w:val="baseline"/>
        </w:rPr>
        <w:t>loss</w:t>
      </w:r>
      <w:r>
        <w:rPr>
          <w:spacing w:val="1"/>
          <w:vertAlign w:val="baseline"/>
        </w:rPr>
        <w:t> </w:t>
      </w:r>
      <w:r>
        <w:rPr>
          <w:vertAlign w:val="baseline"/>
        </w:rPr>
        <w:t>in</w:t>
      </w:r>
      <w:r>
        <w:rPr>
          <w:spacing w:val="1"/>
          <w:vertAlign w:val="baseline"/>
        </w:rPr>
        <w:t> </w:t>
      </w:r>
      <w:r>
        <w:rPr>
          <w:spacing w:val="-5"/>
          <w:vertAlign w:val="baseline"/>
        </w:rPr>
        <w:t>the</w:t>
      </w:r>
    </w:p>
    <w:p>
      <w:pPr>
        <w:pStyle w:val="BodyText"/>
        <w:spacing w:before="113"/>
        <w:ind w:left="164"/>
        <w:jc w:val="both"/>
      </w:pPr>
      <w:bookmarkStart w:name="_bookmark1373" w:id="1375"/>
      <w:bookmarkEnd w:id="1375"/>
      <w:r>
        <w:rPr/>
      </w:r>
      <w:r>
        <w:rPr/>
        <w:t>form</w:t>
      </w:r>
      <w:r>
        <w:rPr>
          <w:spacing w:val="3"/>
        </w:rPr>
        <w:t> </w:t>
      </w:r>
      <w:r>
        <w:rPr/>
        <w:t>of</w:t>
      </w:r>
      <w:r>
        <w:rPr>
          <w:spacing w:val="3"/>
        </w:rPr>
        <w:t> </w:t>
      </w:r>
      <w:r>
        <w:rPr/>
        <w:t>loss</w:t>
      </w:r>
      <w:r>
        <w:rPr>
          <w:spacing w:val="3"/>
        </w:rPr>
        <w:t> </w:t>
      </w:r>
      <w:r>
        <w:rPr/>
        <w:t>of</w:t>
      </w:r>
      <w:r>
        <w:rPr>
          <w:spacing w:val="3"/>
        </w:rPr>
        <w:t> </w:t>
      </w:r>
      <w:r>
        <w:rPr/>
        <w:t>rent</w:t>
      </w:r>
      <w:r>
        <w:rPr>
          <w:spacing w:val="3"/>
        </w:rPr>
        <w:t> </w:t>
      </w:r>
      <w:r>
        <w:rPr>
          <w:rFonts w:ascii="Arial" w:hAnsi="Arial"/>
          <w:i/>
        </w:rPr>
        <w:t>and</w:t>
      </w:r>
      <w:r>
        <w:rPr>
          <w:rFonts w:ascii="Arial" w:hAnsi="Arial"/>
          <w:i/>
          <w:spacing w:val="3"/>
        </w:rPr>
        <w:t> </w:t>
      </w:r>
      <w:r>
        <w:rPr>
          <w:rFonts w:ascii="Arial" w:hAnsi="Arial"/>
          <w:i/>
        </w:rPr>
        <w:t>in</w:t>
      </w:r>
      <w:r>
        <w:rPr>
          <w:rFonts w:ascii="Arial" w:hAnsi="Arial"/>
          <w:i/>
          <w:spacing w:val="4"/>
        </w:rPr>
        <w:t> </w:t>
      </w:r>
      <w:r>
        <w:rPr>
          <w:rFonts w:ascii="Arial" w:hAnsi="Arial"/>
          <w:i/>
        </w:rPr>
        <w:t>other</w:t>
      </w:r>
      <w:r>
        <w:rPr>
          <w:rFonts w:ascii="Arial" w:hAnsi="Arial"/>
          <w:i/>
          <w:spacing w:val="3"/>
        </w:rPr>
        <w:t> </w:t>
      </w:r>
      <w:r>
        <w:rPr>
          <w:rFonts w:ascii="Arial" w:hAnsi="Arial"/>
          <w:i/>
        </w:rPr>
        <w:t>ways</w:t>
      </w:r>
      <w:r>
        <w:rPr/>
        <w:t>.”</w:t>
      </w:r>
      <w:r>
        <w:rPr>
          <w:spacing w:val="3"/>
        </w:rPr>
        <w:t> </w:t>
      </w:r>
      <w:r>
        <w:rPr>
          <w:color w:val="005DA1"/>
          <w:u w:val="single" w:color="005DA1"/>
          <w:vertAlign w:val="superscript"/>
        </w:rPr>
        <w:t>746</w:t>
      </w:r>
      <w:r>
        <w:rPr>
          <w:color w:val="005DA1"/>
          <w:spacing w:val="33"/>
          <w:vertAlign w:val="baseline"/>
        </w:rPr>
        <w:t>  </w:t>
      </w:r>
      <w:r>
        <w:rPr>
          <w:color w:val="005DA1"/>
          <w:spacing w:val="13"/>
          <w:position w:val="-2"/>
          <w:vertAlign w:val="baseline"/>
        </w:rPr>
        <w:drawing>
          <wp:inline distT="0" distB="0" distL="0" distR="0">
            <wp:extent cx="107988" cy="107988"/>
            <wp:effectExtent l="0" t="0" r="0" b="0"/>
            <wp:docPr id="242" name="Image 242"/>
            <wp:cNvGraphicFramePr>
              <a:graphicFrameLocks/>
            </wp:cNvGraphicFramePr>
            <a:graphic>
              <a:graphicData uri="http://schemas.openxmlformats.org/drawingml/2006/picture">
                <pic:pic>
                  <pic:nvPicPr>
                    <pic:cNvPr id="242" name="Image 24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hAnsi="Times New Roman"/>
          <w:color w:val="005DA1"/>
          <w:spacing w:val="-5"/>
          <w:vertAlign w:val="baseline"/>
        </w:rPr>
        <w:t> </w:t>
      </w:r>
      <w:r>
        <w:rPr>
          <w:vertAlign w:val="baseline"/>
        </w:rPr>
        <w:t>Substantially</w:t>
      </w:r>
      <w:r>
        <w:rPr>
          <w:spacing w:val="3"/>
          <w:vertAlign w:val="baseline"/>
        </w:rPr>
        <w:t> </w:t>
      </w:r>
      <w:r>
        <w:rPr>
          <w:vertAlign w:val="baseline"/>
        </w:rPr>
        <w:t>the</w:t>
      </w:r>
      <w:r>
        <w:rPr>
          <w:spacing w:val="3"/>
          <w:vertAlign w:val="baseline"/>
        </w:rPr>
        <w:t> </w:t>
      </w:r>
      <w:r>
        <w:rPr>
          <w:vertAlign w:val="baseline"/>
        </w:rPr>
        <w:t>same</w:t>
      </w:r>
      <w:r>
        <w:rPr>
          <w:spacing w:val="4"/>
          <w:vertAlign w:val="baseline"/>
        </w:rPr>
        <w:t> </w:t>
      </w:r>
      <w:r>
        <w:rPr>
          <w:vertAlign w:val="baseline"/>
        </w:rPr>
        <w:t>point</w:t>
      </w:r>
      <w:r>
        <w:rPr>
          <w:spacing w:val="3"/>
          <w:vertAlign w:val="baseline"/>
        </w:rPr>
        <w:t> </w:t>
      </w:r>
      <w:r>
        <w:rPr>
          <w:vertAlign w:val="baseline"/>
        </w:rPr>
        <w:t>is</w:t>
      </w:r>
      <w:r>
        <w:rPr>
          <w:spacing w:val="3"/>
          <w:vertAlign w:val="baseline"/>
        </w:rPr>
        <w:t> </w:t>
      </w:r>
      <w:r>
        <w:rPr>
          <w:vertAlign w:val="baseline"/>
        </w:rPr>
        <w:t>made</w:t>
      </w:r>
      <w:r>
        <w:rPr>
          <w:spacing w:val="3"/>
          <w:vertAlign w:val="baseline"/>
        </w:rPr>
        <w:t> </w:t>
      </w:r>
      <w:r>
        <w:rPr>
          <w:vertAlign w:val="baseline"/>
        </w:rPr>
        <w:t>by</w:t>
      </w:r>
      <w:r>
        <w:rPr>
          <w:spacing w:val="3"/>
          <w:vertAlign w:val="baseline"/>
        </w:rPr>
        <w:t> </w:t>
      </w:r>
      <w:r>
        <w:rPr>
          <w:vertAlign w:val="baseline"/>
        </w:rPr>
        <w:t>Kitchin</w:t>
      </w:r>
      <w:r>
        <w:rPr>
          <w:spacing w:val="3"/>
          <w:vertAlign w:val="baseline"/>
        </w:rPr>
        <w:t> </w:t>
      </w:r>
      <w:r>
        <w:rPr>
          <w:vertAlign w:val="baseline"/>
        </w:rPr>
        <w:t>L.J.,</w:t>
      </w:r>
      <w:r>
        <w:rPr>
          <w:spacing w:val="3"/>
          <w:vertAlign w:val="baseline"/>
        </w:rPr>
        <w:t> </w:t>
      </w:r>
      <w:r>
        <w:rPr>
          <w:color w:val="005DA1"/>
          <w:spacing w:val="-5"/>
          <w:u w:val="single" w:color="005DA1"/>
          <w:vertAlign w:val="superscript"/>
        </w:rPr>
        <w:t>747</w:t>
      </w:r>
    </w:p>
    <w:p>
      <w:pPr>
        <w:pStyle w:val="BodyText"/>
        <w:spacing w:before="5"/>
      </w:pPr>
    </w:p>
    <w:p>
      <w:pPr>
        <w:pStyle w:val="BodyText"/>
        <w:spacing w:before="1"/>
        <w:ind w:left="283"/>
        <w:jc w:val="both"/>
      </w:pPr>
      <w:r>
        <w:rPr>
          <w:position w:val="-2"/>
        </w:rPr>
        <w:drawing>
          <wp:inline distT="0" distB="0" distL="0" distR="0">
            <wp:extent cx="107988" cy="107988"/>
            <wp:effectExtent l="0" t="0" r="0" b="0"/>
            <wp:docPr id="243" name="Image 243"/>
            <wp:cNvGraphicFramePr>
              <a:graphicFrameLocks/>
            </wp:cNvGraphicFramePr>
            <a:graphic>
              <a:graphicData uri="http://schemas.openxmlformats.org/drawingml/2006/picture">
                <pic:pic>
                  <pic:nvPicPr>
                    <pic:cNvPr id="243" name="Image 243"/>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9"/>
        </w:rPr>
        <w:t> </w:t>
      </w:r>
      <w:bookmarkStart w:name="_bookmark1374" w:id="1376"/>
      <w:bookmarkEnd w:id="1376"/>
      <w:r>
        <w:rPr>
          <w:rFonts w:ascii="Times New Roman"/>
          <w:spacing w:val="9"/>
        </w:rPr>
      </w:r>
      <w:r>
        <w:rPr/>
        <w:t>who</w:t>
      </w:r>
      <w:r>
        <w:rPr>
          <w:spacing w:val="3"/>
        </w:rPr>
        <w:t> </w:t>
      </w:r>
      <w:r>
        <w:rPr/>
        <w:t>in</w:t>
      </w:r>
      <w:r>
        <w:rPr>
          <w:spacing w:val="3"/>
        </w:rPr>
        <w:t> </w:t>
      </w:r>
      <w:r>
        <w:rPr/>
        <w:t>addition</w:t>
      </w:r>
      <w:r>
        <w:rPr>
          <w:spacing w:val="3"/>
        </w:rPr>
        <w:t> </w:t>
      </w:r>
      <w:r>
        <w:rPr/>
        <w:t>agreed</w:t>
      </w:r>
      <w:r>
        <w:rPr>
          <w:spacing w:val="3"/>
        </w:rPr>
        <w:t> </w:t>
      </w:r>
      <w:r>
        <w:rPr/>
        <w:t>with</w:t>
      </w:r>
      <w:r>
        <w:rPr>
          <w:spacing w:val="3"/>
        </w:rPr>
        <w:t> </w:t>
      </w:r>
      <w:r>
        <w:rPr/>
        <w:t>Arden</w:t>
      </w:r>
      <w:r>
        <w:rPr>
          <w:spacing w:val="3"/>
        </w:rPr>
        <w:t> </w:t>
      </w:r>
      <w:r>
        <w:rPr/>
        <w:t>L.J.</w:t>
      </w:r>
      <w:r>
        <w:rPr>
          <w:spacing w:val="3"/>
        </w:rPr>
        <w:t> </w:t>
      </w:r>
      <w:r>
        <w:rPr/>
        <w:t>on</w:t>
      </w:r>
      <w:r>
        <w:rPr>
          <w:spacing w:val="3"/>
        </w:rPr>
        <w:t> </w:t>
      </w:r>
      <w:r>
        <w:rPr/>
        <w:t>this</w:t>
      </w:r>
      <w:r>
        <w:rPr>
          <w:spacing w:val="3"/>
        </w:rPr>
        <w:t> </w:t>
      </w:r>
      <w:r>
        <w:rPr/>
        <w:t>issue</w:t>
      </w:r>
      <w:r>
        <w:rPr>
          <w:spacing w:val="2"/>
        </w:rPr>
        <w:t> </w:t>
      </w:r>
      <w:r>
        <w:rPr>
          <w:color w:val="005DA1"/>
          <w:u w:val="single" w:color="005DA1"/>
          <w:vertAlign w:val="superscript"/>
        </w:rPr>
        <w:t>748</w:t>
      </w:r>
      <w:r>
        <w:rPr>
          <w:color w:val="005DA1"/>
          <w:spacing w:val="33"/>
          <w:vertAlign w:val="baseline"/>
        </w:rPr>
        <w:t>  </w:t>
      </w:r>
      <w:r>
        <w:rPr>
          <w:color w:val="005DA1"/>
          <w:spacing w:val="11"/>
          <w:position w:val="-2"/>
          <w:vertAlign w:val="baseline"/>
        </w:rPr>
        <w:drawing>
          <wp:inline distT="0" distB="0" distL="0" distR="0">
            <wp:extent cx="107988" cy="107988"/>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vertAlign w:val="baseline"/>
        </w:rPr>
        <w:t>;</w:t>
      </w:r>
      <w:r>
        <w:rPr>
          <w:spacing w:val="3"/>
          <w:vertAlign w:val="baseline"/>
        </w:rPr>
        <w:t> </w:t>
      </w:r>
      <w:r>
        <w:rPr>
          <w:vertAlign w:val="baseline"/>
        </w:rPr>
        <w:t>while</w:t>
      </w:r>
      <w:r>
        <w:rPr>
          <w:spacing w:val="3"/>
          <w:vertAlign w:val="baseline"/>
        </w:rPr>
        <w:t> </w:t>
      </w:r>
      <w:r>
        <w:rPr>
          <w:vertAlign w:val="baseline"/>
        </w:rPr>
        <w:t>McCombe</w:t>
      </w:r>
      <w:r>
        <w:rPr>
          <w:spacing w:val="3"/>
          <w:vertAlign w:val="baseline"/>
        </w:rPr>
        <w:t> </w:t>
      </w:r>
      <w:r>
        <w:rPr>
          <w:vertAlign w:val="baseline"/>
        </w:rPr>
        <w:t>L.J.</w:t>
      </w:r>
      <w:r>
        <w:rPr>
          <w:spacing w:val="3"/>
          <w:vertAlign w:val="baseline"/>
        </w:rPr>
        <w:t> </w:t>
      </w:r>
      <w:r>
        <w:rPr>
          <w:vertAlign w:val="baseline"/>
        </w:rPr>
        <w:t>agreed</w:t>
      </w:r>
      <w:r>
        <w:rPr>
          <w:spacing w:val="3"/>
          <w:vertAlign w:val="baseline"/>
        </w:rPr>
        <w:t> </w:t>
      </w:r>
      <w:r>
        <w:rPr>
          <w:vertAlign w:val="baseline"/>
        </w:rPr>
        <w:t>with</w:t>
      </w:r>
      <w:r>
        <w:rPr>
          <w:spacing w:val="3"/>
          <w:vertAlign w:val="baseline"/>
        </w:rPr>
        <w:t> </w:t>
      </w:r>
      <w:r>
        <w:rPr>
          <w:vertAlign w:val="baseline"/>
        </w:rPr>
        <w:t>both</w:t>
      </w:r>
    </w:p>
    <w:p>
      <w:pPr>
        <w:pStyle w:val="BodyText"/>
        <w:spacing w:after="0"/>
        <w:jc w:val="both"/>
        <w:sectPr>
          <w:pgSz w:w="11900" w:h="16840"/>
          <w:pgMar w:header="971" w:footer="0" w:top="1160" w:bottom="280" w:left="1275" w:right="1275"/>
        </w:sectPr>
      </w:pPr>
    </w:p>
    <w:p>
      <w:pPr>
        <w:pStyle w:val="BodyText"/>
        <w:spacing w:before="144"/>
      </w:pPr>
    </w:p>
    <w:p>
      <w:pPr>
        <w:pStyle w:val="BodyText"/>
        <w:spacing w:line="235" w:lineRule="auto" w:before="1"/>
        <w:ind w:left="165" w:right="167"/>
        <w:jc w:val="both"/>
      </w:pPr>
      <w:bookmarkStart w:name="_bookmark1375" w:id="1377"/>
      <w:bookmarkEnd w:id="1377"/>
      <w:r>
        <w:rPr/>
      </w:r>
      <w:r>
        <w:rPr/>
        <w:t>of the other judgments. </w:t>
      </w:r>
      <w:r>
        <w:rPr>
          <w:color w:val="005DA1"/>
          <w:u w:val="single" w:color="005DA1"/>
          <w:vertAlign w:val="superscript"/>
        </w:rPr>
        <w:t>749</w:t>
      </w:r>
      <w:r>
        <w:rPr>
          <w:color w:val="005DA1"/>
          <w:spacing w:val="80"/>
          <w:w w:val="150"/>
          <w:vertAlign w:val="baseline"/>
        </w:rPr>
        <w:t> </w:t>
      </w:r>
      <w:r>
        <w:rPr>
          <w:color w:val="005DA1"/>
          <w:spacing w:val="-14"/>
          <w:position w:val="-2"/>
          <w:vertAlign w:val="baseline"/>
        </w:rPr>
        <w:drawing>
          <wp:inline distT="0" distB="0" distL="0" distR="0">
            <wp:extent cx="107988" cy="107988"/>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40"/>
          <w:vertAlign w:val="baseline"/>
        </w:rPr>
        <w:t> </w:t>
      </w:r>
      <w:r>
        <w:rPr>
          <w:vertAlign w:val="baseline"/>
        </w:rPr>
        <w:t>Both these judgments also identify a second “practical </w:t>
      </w:r>
      <w:r>
        <w:rPr>
          <w:vertAlign w:val="baseline"/>
        </w:rPr>
        <w:t>benefit” obtained by the claimants. This was the benefit which they obtained by reason of the facts that, in performance of the variation agreement they had received a payment of £3,500 and that they would, </w:t>
      </w:r>
      <w:bookmarkStart w:name="_bookmark1376" w:id="1378"/>
      <w:bookmarkEnd w:id="1378"/>
      <w:r>
        <w:rPr>
          <w:vertAlign w:val="baseline"/>
        </w:rPr>
        <w:t>under</w:t>
      </w:r>
      <w:r>
        <w:rPr>
          <w:spacing w:val="36"/>
          <w:vertAlign w:val="baseline"/>
        </w:rPr>
        <w:t> </w:t>
      </w:r>
      <w:r>
        <w:rPr>
          <w:vertAlign w:val="baseline"/>
        </w:rPr>
        <w:t>that</w:t>
      </w:r>
      <w:r>
        <w:rPr>
          <w:spacing w:val="36"/>
          <w:vertAlign w:val="baseline"/>
        </w:rPr>
        <w:t> </w:t>
      </w:r>
      <w:r>
        <w:rPr>
          <w:vertAlign w:val="baseline"/>
        </w:rPr>
        <w:t>agreement,</w:t>
      </w:r>
      <w:r>
        <w:rPr>
          <w:spacing w:val="36"/>
          <w:vertAlign w:val="baseline"/>
        </w:rPr>
        <w:t> </w:t>
      </w:r>
      <w:r>
        <w:rPr>
          <w:vertAlign w:val="baseline"/>
        </w:rPr>
        <w:t>be</w:t>
      </w:r>
      <w:r>
        <w:rPr>
          <w:spacing w:val="36"/>
          <w:vertAlign w:val="baseline"/>
        </w:rPr>
        <w:t> </w:t>
      </w:r>
      <w:r>
        <w:rPr>
          <w:vertAlign w:val="baseline"/>
        </w:rPr>
        <w:t>“likely</w:t>
      </w:r>
      <w:r>
        <w:rPr>
          <w:spacing w:val="36"/>
          <w:vertAlign w:val="baseline"/>
        </w:rPr>
        <w:t> </w:t>
      </w:r>
      <w:r>
        <w:rPr>
          <w:vertAlign w:val="baseline"/>
        </w:rPr>
        <w:t>to</w:t>
      </w:r>
      <w:r>
        <w:rPr>
          <w:spacing w:val="36"/>
          <w:vertAlign w:val="baseline"/>
        </w:rPr>
        <w:t> </w:t>
      </w:r>
      <w:r>
        <w:rPr>
          <w:vertAlign w:val="baseline"/>
        </w:rPr>
        <w:t>recover</w:t>
      </w:r>
      <w:r>
        <w:rPr>
          <w:spacing w:val="36"/>
          <w:vertAlign w:val="baseline"/>
        </w:rPr>
        <w:t> </w:t>
      </w:r>
      <w:r>
        <w:rPr>
          <w:vertAlign w:val="baseline"/>
        </w:rPr>
        <w:t>more</w:t>
      </w:r>
      <w:r>
        <w:rPr>
          <w:spacing w:val="36"/>
          <w:vertAlign w:val="baseline"/>
        </w:rPr>
        <w:t> </w:t>
      </w:r>
      <w:r>
        <w:rPr>
          <w:vertAlign w:val="baseline"/>
        </w:rPr>
        <w:t>than</w:t>
      </w:r>
      <w:r>
        <w:rPr>
          <w:spacing w:val="36"/>
          <w:vertAlign w:val="baseline"/>
        </w:rPr>
        <w:t> </w:t>
      </w:r>
      <w:r>
        <w:rPr>
          <w:vertAlign w:val="baseline"/>
        </w:rPr>
        <w:t>[they]</w:t>
      </w:r>
      <w:r>
        <w:rPr>
          <w:spacing w:val="36"/>
          <w:vertAlign w:val="baseline"/>
        </w:rPr>
        <w:t> </w:t>
      </w:r>
      <w:r>
        <w:rPr>
          <w:vertAlign w:val="baseline"/>
        </w:rPr>
        <w:t>would</w:t>
      </w:r>
      <w:r>
        <w:rPr>
          <w:spacing w:val="36"/>
          <w:vertAlign w:val="baseline"/>
        </w:rPr>
        <w:t> </w:t>
      </w:r>
      <w:r>
        <w:rPr>
          <w:vertAlign w:val="baseline"/>
        </w:rPr>
        <w:t>by</w:t>
      </w:r>
      <w:r>
        <w:rPr>
          <w:spacing w:val="36"/>
          <w:vertAlign w:val="baseline"/>
        </w:rPr>
        <w:t> </w:t>
      </w:r>
      <w:r>
        <w:rPr>
          <w:vertAlign w:val="baseline"/>
        </w:rPr>
        <w:t>enforcing</w:t>
      </w:r>
      <w:r>
        <w:rPr>
          <w:spacing w:val="36"/>
          <w:vertAlign w:val="baseline"/>
        </w:rPr>
        <w:t> </w:t>
      </w:r>
      <w:r>
        <w:rPr>
          <w:vertAlign w:val="baseline"/>
        </w:rPr>
        <w:t>the</w:t>
      </w:r>
      <w:r>
        <w:rPr>
          <w:spacing w:val="36"/>
          <w:vertAlign w:val="baseline"/>
        </w:rPr>
        <w:t> </w:t>
      </w:r>
      <w:r>
        <w:rPr>
          <w:vertAlign w:val="baseline"/>
        </w:rPr>
        <w:t>terms</w:t>
      </w:r>
      <w:r>
        <w:rPr>
          <w:spacing w:val="36"/>
          <w:vertAlign w:val="baseline"/>
        </w:rPr>
        <w:t> </w:t>
      </w:r>
      <w:r>
        <w:rPr>
          <w:vertAlign w:val="baseline"/>
        </w:rPr>
        <w:t>of</w:t>
      </w:r>
      <w:r>
        <w:rPr>
          <w:spacing w:val="36"/>
          <w:vertAlign w:val="baseline"/>
        </w:rPr>
        <w:t> </w:t>
      </w:r>
      <w:r>
        <w:rPr>
          <w:spacing w:val="-5"/>
          <w:vertAlign w:val="baseline"/>
        </w:rPr>
        <w:t>the</w:t>
      </w:r>
    </w:p>
    <w:p>
      <w:pPr>
        <w:pStyle w:val="BodyText"/>
        <w:spacing w:line="360" w:lineRule="auto" w:before="114"/>
        <w:ind w:left="164" w:right="167"/>
        <w:jc w:val="both"/>
      </w:pPr>
      <w:bookmarkStart w:name="_bookmark1377" w:id="1379"/>
      <w:bookmarkEnd w:id="1379"/>
      <w:r>
        <w:rPr/>
      </w:r>
      <w:r>
        <w:rPr/>
        <w:t>original agreement.” </w:t>
      </w:r>
      <w:r>
        <w:rPr>
          <w:color w:val="005DA1"/>
          <w:u w:val="single" w:color="005DA1"/>
          <w:vertAlign w:val="superscript"/>
        </w:rPr>
        <w:t>750</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vertAlign w:val="baseline"/>
        </w:rPr>
        <w:t> </w:t>
      </w:r>
      <w:r>
        <w:rPr>
          <w:vertAlign w:val="baseline"/>
        </w:rPr>
        <w:t>This second “practical benefit” seems closely to resemble the </w:t>
      </w:r>
      <w:r>
        <w:rPr>
          <w:vertAlign w:val="baseline"/>
        </w:rPr>
        <w:t>benefit </w:t>
      </w:r>
      <w:bookmarkStart w:name="_bookmark1378" w:id="1380"/>
      <w:bookmarkEnd w:id="1380"/>
      <w:r>
        <w:rPr>
          <w:vertAlign w:val="baseline"/>
        </w:rPr>
        <w:t>described</w:t>
      </w:r>
      <w:r>
        <w:rPr>
          <w:spacing w:val="18"/>
          <w:vertAlign w:val="baseline"/>
        </w:rPr>
        <w:t> </w:t>
      </w:r>
      <w:r>
        <w:rPr>
          <w:vertAlign w:val="baseline"/>
        </w:rPr>
        <w:t>by</w:t>
      </w:r>
      <w:r>
        <w:rPr>
          <w:spacing w:val="18"/>
          <w:vertAlign w:val="baseline"/>
        </w:rPr>
        <w:t> </w:t>
      </w:r>
      <w:r>
        <w:rPr>
          <w:vertAlign w:val="baseline"/>
        </w:rPr>
        <w:t>Lord</w:t>
      </w:r>
      <w:r>
        <w:rPr>
          <w:spacing w:val="18"/>
          <w:vertAlign w:val="baseline"/>
        </w:rPr>
        <w:t> </w:t>
      </w:r>
      <w:r>
        <w:rPr>
          <w:vertAlign w:val="baseline"/>
        </w:rPr>
        <w:t>Blackburn</w:t>
      </w:r>
      <w:r>
        <w:rPr>
          <w:spacing w:val="18"/>
          <w:vertAlign w:val="baseline"/>
        </w:rPr>
        <w:t> </w:t>
      </w:r>
      <w:r>
        <w:rPr>
          <w:vertAlign w:val="baseline"/>
        </w:rPr>
        <w:t>in</w:t>
      </w:r>
      <w:r>
        <w:rPr>
          <w:spacing w:val="17"/>
          <w:vertAlign w:val="baseline"/>
        </w:rPr>
        <w:t> </w:t>
      </w:r>
      <w:r>
        <w:rPr>
          <w:rFonts w:ascii="Arial" w:hAnsi="Arial"/>
          <w:i/>
          <w:vertAlign w:val="baseline"/>
        </w:rPr>
        <w:t>Foakes</w:t>
      </w:r>
      <w:r>
        <w:rPr>
          <w:rFonts w:ascii="Arial" w:hAnsi="Arial"/>
          <w:i/>
          <w:spacing w:val="18"/>
          <w:vertAlign w:val="baseline"/>
        </w:rPr>
        <w:t> </w:t>
      </w:r>
      <w:r>
        <w:rPr>
          <w:rFonts w:ascii="Arial" w:hAnsi="Arial"/>
          <w:i/>
          <w:vertAlign w:val="baseline"/>
        </w:rPr>
        <w:t>v</w:t>
      </w:r>
      <w:r>
        <w:rPr>
          <w:rFonts w:ascii="Arial" w:hAnsi="Arial"/>
          <w:i/>
          <w:spacing w:val="18"/>
          <w:vertAlign w:val="baseline"/>
        </w:rPr>
        <w:t> </w:t>
      </w:r>
      <w:r>
        <w:rPr>
          <w:rFonts w:ascii="Arial" w:hAnsi="Arial"/>
          <w:i/>
          <w:vertAlign w:val="baseline"/>
        </w:rPr>
        <w:t>Beer</w:t>
      </w:r>
      <w:r>
        <w:rPr>
          <w:vertAlign w:val="baseline"/>
        </w:rPr>
        <w:t>,</w:t>
      </w:r>
      <w:r>
        <w:rPr>
          <w:spacing w:val="18"/>
          <w:vertAlign w:val="baseline"/>
        </w:rPr>
        <w:t> </w:t>
      </w:r>
      <w:r>
        <w:rPr>
          <w:color w:val="005DA1"/>
          <w:u w:val="single" w:color="005DA1"/>
          <w:vertAlign w:val="superscript"/>
        </w:rPr>
        <w:t>751</w:t>
      </w:r>
      <w:r>
        <w:rPr>
          <w:color w:val="005DA1"/>
          <w:spacing w:val="54"/>
          <w:vertAlign w:val="baseline"/>
        </w:rPr>
        <w:t>  </w:t>
      </w:r>
      <w:r>
        <w:rPr>
          <w:color w:val="005DA1"/>
          <w:spacing w:val="1"/>
          <w:position w:val="-2"/>
          <w:vertAlign w:val="baseline"/>
        </w:rPr>
        <w:drawing>
          <wp:inline distT="0" distB="0" distL="0" distR="0">
            <wp:extent cx="107988" cy="107988"/>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22"/>
          <w:vertAlign w:val="baseline"/>
        </w:rPr>
        <w:t> </w:t>
      </w:r>
      <w:r>
        <w:rPr>
          <w:vertAlign w:val="baseline"/>
        </w:rPr>
        <w:t>but</w:t>
      </w:r>
      <w:r>
        <w:rPr>
          <w:spacing w:val="18"/>
          <w:vertAlign w:val="baseline"/>
        </w:rPr>
        <w:t> </w:t>
      </w:r>
      <w:r>
        <w:rPr>
          <w:vertAlign w:val="baseline"/>
        </w:rPr>
        <w:t>reluctantly</w:t>
      </w:r>
      <w:r>
        <w:rPr>
          <w:spacing w:val="18"/>
          <w:vertAlign w:val="baseline"/>
        </w:rPr>
        <w:t> </w:t>
      </w:r>
      <w:r>
        <w:rPr>
          <w:vertAlign w:val="baseline"/>
        </w:rPr>
        <w:t>there</w:t>
      </w:r>
      <w:r>
        <w:rPr>
          <w:spacing w:val="18"/>
          <w:vertAlign w:val="baseline"/>
        </w:rPr>
        <w:t> </w:t>
      </w:r>
      <w:r>
        <w:rPr>
          <w:vertAlign w:val="baseline"/>
        </w:rPr>
        <w:t>regarded</w:t>
      </w:r>
      <w:r>
        <w:rPr>
          <w:spacing w:val="18"/>
          <w:vertAlign w:val="baseline"/>
        </w:rPr>
        <w:t> </w:t>
      </w:r>
      <w:r>
        <w:rPr>
          <w:vertAlign w:val="baseline"/>
        </w:rPr>
        <w:t>by</w:t>
      </w:r>
      <w:r>
        <w:rPr>
          <w:spacing w:val="19"/>
          <w:vertAlign w:val="baseline"/>
        </w:rPr>
        <w:t> </w:t>
      </w:r>
      <w:r>
        <w:rPr>
          <w:vertAlign w:val="baseline"/>
        </w:rPr>
        <w:t>him</w:t>
      </w:r>
      <w:r>
        <w:rPr>
          <w:spacing w:val="18"/>
          <w:vertAlign w:val="baseline"/>
        </w:rPr>
        <w:t> </w:t>
      </w:r>
      <w:r>
        <w:rPr>
          <w:vertAlign w:val="baseline"/>
        </w:rPr>
        <w:t>as</w:t>
      </w:r>
      <w:r>
        <w:rPr>
          <w:spacing w:val="18"/>
          <w:vertAlign w:val="baseline"/>
        </w:rPr>
        <w:t> </w:t>
      </w:r>
      <w:r>
        <w:rPr>
          <w:spacing w:val="-5"/>
          <w:vertAlign w:val="baseline"/>
        </w:rPr>
        <w:t>not</w:t>
      </w:r>
    </w:p>
    <w:p>
      <w:pPr>
        <w:pStyle w:val="BodyText"/>
        <w:spacing w:line="235" w:lineRule="auto" w:before="4"/>
        <w:ind w:left="165" w:right="167"/>
        <w:jc w:val="both"/>
      </w:pPr>
      <w:r>
        <w:rPr/>
        <w:t>amounting to consideration, a point on which that case was followed in </w:t>
      </w:r>
      <w:r>
        <w:rPr>
          <w:rFonts w:ascii="Arial" w:hAnsi="Arial"/>
          <w:i/>
        </w:rPr>
        <w:t>Re Selectmove</w:t>
      </w:r>
      <w:r>
        <w:rPr/>
        <w:t>. </w:t>
      </w:r>
      <w:r>
        <w:rPr>
          <w:color w:val="005DA1"/>
          <w:u w:val="single" w:color="005DA1"/>
          <w:vertAlign w:val="superscript"/>
        </w:rPr>
        <w:t>752</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It is therefore hard to accept that the second “practical benefit” identified in the </w:t>
      </w:r>
      <w:r>
        <w:rPr>
          <w:rFonts w:ascii="Arial" w:hAnsi="Arial"/>
          <w:i/>
          <w:vertAlign w:val="baseline"/>
        </w:rPr>
        <w:t>MWB </w:t>
      </w:r>
      <w:r>
        <w:rPr>
          <w:vertAlign w:val="baseline"/>
        </w:rPr>
        <w:t>case would, on </w:t>
      </w:r>
      <w:r>
        <w:rPr>
          <w:vertAlign w:val="baseline"/>
        </w:rPr>
        <w:t>its </w:t>
      </w:r>
      <w:bookmarkStart w:name="_bookmark1379" w:id="1381"/>
      <w:bookmarkEnd w:id="1381"/>
      <w:r>
        <w:rPr>
          <w:vertAlign w:val="baseline"/>
        </w:rPr>
        <w:t>own,</w:t>
      </w:r>
      <w:r>
        <w:rPr>
          <w:spacing w:val="39"/>
          <w:vertAlign w:val="baseline"/>
        </w:rPr>
        <w:t> </w:t>
      </w:r>
      <w:r>
        <w:rPr>
          <w:vertAlign w:val="baseline"/>
        </w:rPr>
        <w:t>have</w:t>
      </w:r>
      <w:r>
        <w:rPr>
          <w:spacing w:val="39"/>
          <w:vertAlign w:val="baseline"/>
        </w:rPr>
        <w:t> </w:t>
      </w:r>
      <w:r>
        <w:rPr>
          <w:vertAlign w:val="baseline"/>
        </w:rPr>
        <w:t>satisfied</w:t>
      </w:r>
      <w:r>
        <w:rPr>
          <w:spacing w:val="39"/>
          <w:vertAlign w:val="baseline"/>
        </w:rPr>
        <w:t> </w:t>
      </w:r>
      <w:r>
        <w:rPr>
          <w:vertAlign w:val="baseline"/>
        </w:rPr>
        <w:t>the</w:t>
      </w:r>
      <w:r>
        <w:rPr>
          <w:spacing w:val="39"/>
          <w:vertAlign w:val="baseline"/>
        </w:rPr>
        <w:t> </w:t>
      </w:r>
      <w:r>
        <w:rPr>
          <w:vertAlign w:val="baseline"/>
        </w:rPr>
        <w:t>requirement</w:t>
      </w:r>
      <w:r>
        <w:rPr>
          <w:spacing w:val="39"/>
          <w:vertAlign w:val="baseline"/>
        </w:rPr>
        <w:t> </w:t>
      </w:r>
      <w:r>
        <w:rPr>
          <w:vertAlign w:val="baseline"/>
        </w:rPr>
        <w:t>of</w:t>
      </w:r>
      <w:r>
        <w:rPr>
          <w:spacing w:val="39"/>
          <w:vertAlign w:val="baseline"/>
        </w:rPr>
        <w:t> </w:t>
      </w:r>
      <w:r>
        <w:rPr>
          <w:vertAlign w:val="baseline"/>
        </w:rPr>
        <w:t>consideration.</w:t>
      </w:r>
      <w:r>
        <w:rPr>
          <w:spacing w:val="39"/>
          <w:vertAlign w:val="baseline"/>
        </w:rPr>
        <w:t> </w:t>
      </w:r>
      <w:r>
        <w:rPr>
          <w:vertAlign w:val="baseline"/>
        </w:rPr>
        <w:t>That</w:t>
      </w:r>
      <w:r>
        <w:rPr>
          <w:spacing w:val="39"/>
          <w:vertAlign w:val="baseline"/>
        </w:rPr>
        <w:t> </w:t>
      </w:r>
      <w:r>
        <w:rPr>
          <w:vertAlign w:val="baseline"/>
        </w:rPr>
        <w:t>benefit</w:t>
      </w:r>
      <w:r>
        <w:rPr>
          <w:spacing w:val="39"/>
          <w:vertAlign w:val="baseline"/>
        </w:rPr>
        <w:t> </w:t>
      </w:r>
      <w:r>
        <w:rPr>
          <w:vertAlign w:val="baseline"/>
        </w:rPr>
        <w:t>differs,</w:t>
      </w:r>
      <w:r>
        <w:rPr>
          <w:spacing w:val="39"/>
          <w:vertAlign w:val="baseline"/>
        </w:rPr>
        <w:t> </w:t>
      </w:r>
      <w:r>
        <w:rPr>
          <w:vertAlign w:val="baseline"/>
        </w:rPr>
        <w:t>or</w:t>
      </w:r>
      <w:r>
        <w:rPr>
          <w:spacing w:val="39"/>
          <w:vertAlign w:val="baseline"/>
        </w:rPr>
        <w:t> </w:t>
      </w:r>
      <w:r>
        <w:rPr>
          <w:vertAlign w:val="baseline"/>
        </w:rPr>
        <w:t>may</w:t>
      </w:r>
      <w:r>
        <w:rPr>
          <w:spacing w:val="39"/>
          <w:vertAlign w:val="baseline"/>
        </w:rPr>
        <w:t> </w:t>
      </w:r>
      <w:r>
        <w:rPr>
          <w:vertAlign w:val="baseline"/>
        </w:rPr>
        <w:t>differ,</w:t>
      </w:r>
      <w:r>
        <w:rPr>
          <w:spacing w:val="39"/>
          <w:vertAlign w:val="baseline"/>
        </w:rPr>
        <w:t> </w:t>
      </w:r>
      <w:r>
        <w:rPr>
          <w:vertAlign w:val="baseline"/>
        </w:rPr>
        <w:t>from</w:t>
      </w:r>
      <w:r>
        <w:rPr>
          <w:spacing w:val="39"/>
          <w:vertAlign w:val="baseline"/>
        </w:rPr>
        <w:t> </w:t>
      </w:r>
      <w:r>
        <w:rPr>
          <w:spacing w:val="-5"/>
          <w:vertAlign w:val="baseline"/>
        </w:rPr>
        <w:t>the</w:t>
      </w:r>
    </w:p>
    <w:p>
      <w:pPr>
        <w:pStyle w:val="BodyText"/>
        <w:spacing w:before="115"/>
        <w:ind w:left="165"/>
        <w:jc w:val="both"/>
      </w:pPr>
      <w:bookmarkStart w:name="_bookmark1380" w:id="1382"/>
      <w:bookmarkEnd w:id="1382"/>
      <w:r>
        <w:rPr/>
      </w:r>
      <w:r>
        <w:rPr/>
        <w:t>benefit that a debtor</w:t>
      </w:r>
      <w:r>
        <w:rPr>
          <w:spacing w:val="1"/>
        </w:rPr>
        <w:t> </w:t>
      </w:r>
      <w:r>
        <w:rPr/>
        <w:t>may provide by way</w:t>
      </w:r>
      <w:r>
        <w:rPr>
          <w:spacing w:val="1"/>
        </w:rPr>
        <w:t> </w:t>
      </w:r>
      <w:r>
        <w:rPr/>
        <w:t>of a horse,</w:t>
      </w:r>
      <w:r>
        <w:rPr>
          <w:spacing w:val="1"/>
        </w:rPr>
        <w:t> </w:t>
      </w:r>
      <w:r>
        <w:rPr/>
        <w:t>a hawk or a</w:t>
      </w:r>
      <w:r>
        <w:rPr>
          <w:spacing w:val="1"/>
        </w:rPr>
        <w:t> </w:t>
      </w:r>
      <w:r>
        <w:rPr/>
        <w:t>robe</w:t>
      </w:r>
      <w:r>
        <w:rPr>
          <w:spacing w:val="-1"/>
        </w:rPr>
        <w:t> </w:t>
      </w:r>
      <w:r>
        <w:rPr>
          <w:color w:val="005DA1"/>
          <w:u w:val="single" w:color="005DA1"/>
          <w:vertAlign w:val="superscript"/>
        </w:rPr>
        <w:t>753</w:t>
      </w:r>
      <w:r>
        <w:rPr>
          <w:color w:val="005DA1"/>
          <w:spacing w:val="28"/>
          <w:vertAlign w:val="baseline"/>
        </w:rPr>
        <w:t>  </w:t>
      </w:r>
      <w:r>
        <w:rPr>
          <w:color w:val="005DA1"/>
          <w:spacing w:val="3"/>
          <w:position w:val="-2"/>
          <w:vertAlign w:val="baseline"/>
        </w:rPr>
        <w:drawing>
          <wp:inline distT="0" distB="0" distL="0" distR="0">
            <wp:extent cx="107988" cy="107988"/>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color w:val="005DA1"/>
          <w:spacing w:val="2"/>
          <w:vertAlign w:val="baseline"/>
        </w:rPr>
        <w:t> </w:t>
      </w:r>
      <w:r>
        <w:rPr>
          <w:vertAlign w:val="baseline"/>
        </w:rPr>
        <w:t>in</w:t>
      </w:r>
      <w:r>
        <w:rPr>
          <w:spacing w:val="1"/>
          <w:vertAlign w:val="baseline"/>
        </w:rPr>
        <w:t> </w:t>
      </w:r>
      <w:r>
        <w:rPr>
          <w:vertAlign w:val="baseline"/>
        </w:rPr>
        <w:t>that those benefits</w:t>
      </w:r>
      <w:r>
        <w:rPr>
          <w:spacing w:val="1"/>
          <w:vertAlign w:val="baseline"/>
        </w:rPr>
        <w:t> </w:t>
      </w:r>
      <w:r>
        <w:rPr>
          <w:spacing w:val="-5"/>
          <w:vertAlign w:val="baseline"/>
        </w:rPr>
        <w:t>are</w:t>
      </w:r>
    </w:p>
    <w:p>
      <w:pPr>
        <w:pStyle w:val="BodyText"/>
        <w:spacing w:line="235" w:lineRule="auto" w:before="119"/>
        <w:ind w:left="165" w:right="167"/>
        <w:jc w:val="both"/>
      </w:pPr>
      <w:r>
        <w:rPr/>
        <w:t>assumed to be of a kind that the debtor is </w:t>
      </w:r>
      <w:r>
        <w:rPr>
          <w:rFonts w:ascii="Arial" w:hAnsi="Arial"/>
          <w:i/>
        </w:rPr>
        <w:t>not </w:t>
      </w:r>
      <w:r>
        <w:rPr/>
        <w:t>obliged under the original contract to provide </w:t>
      </w:r>
      <w:r>
        <w:rPr>
          <w:color w:val="005DA1"/>
          <w:u w:val="single" w:color="005DA1"/>
          <w:vertAlign w:val="superscript"/>
        </w:rPr>
        <w:t>754</w:t>
      </w:r>
      <w:r>
        <w:rPr>
          <w:color w:val="005DA1"/>
          <w:spacing w:val="80"/>
          <w:w w:val="150"/>
          <w:vertAlign w:val="baseline"/>
        </w:rPr>
        <w:t> </w:t>
      </w:r>
      <w:r>
        <w:rPr>
          <w:color w:val="005DA1"/>
          <w:spacing w:val="-4"/>
          <w:position w:val="-2"/>
          <w:vertAlign w:val="baseline"/>
        </w:rPr>
        <w:drawing>
          <wp:inline distT="0" distB="0" distL="0" distR="0">
            <wp:extent cx="107988" cy="107988"/>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vertAlign w:val="baseline"/>
        </w:rPr>
        <w:t>;</w:t>
      </w:r>
      <w:r>
        <w:rPr>
          <w:spacing w:val="40"/>
          <w:vertAlign w:val="baseline"/>
        </w:rPr>
        <w:t> </w:t>
      </w:r>
      <w:r>
        <w:rPr>
          <w:vertAlign w:val="baseline"/>
        </w:rPr>
        <w:t>and it is not clear from the report of the Court of Appeal’s decision in the </w:t>
      </w:r>
      <w:r>
        <w:rPr>
          <w:rFonts w:ascii="Arial" w:hAnsi="Arial"/>
          <w:i/>
          <w:vertAlign w:val="baseline"/>
        </w:rPr>
        <w:t>MWB </w:t>
      </w:r>
      <w:r>
        <w:rPr>
          <w:vertAlign w:val="baseline"/>
        </w:rPr>
        <w:t>case whether the </w:t>
      </w:r>
      <w:bookmarkStart w:name="_bookmark1381" w:id="1383"/>
      <w:bookmarkEnd w:id="1383"/>
      <w:r>
        <w:rPr>
          <w:vertAlign w:val="baseline"/>
        </w:rPr>
        <w:t>original</w:t>
      </w:r>
      <w:r>
        <w:rPr>
          <w:spacing w:val="31"/>
          <w:vertAlign w:val="baseline"/>
        </w:rPr>
        <w:t> </w:t>
      </w:r>
      <w:r>
        <w:rPr>
          <w:vertAlign w:val="baseline"/>
        </w:rPr>
        <w:t>contract</w:t>
      </w:r>
      <w:r>
        <w:rPr>
          <w:spacing w:val="31"/>
          <w:vertAlign w:val="baseline"/>
        </w:rPr>
        <w:t> </w:t>
      </w:r>
      <w:r>
        <w:rPr>
          <w:vertAlign w:val="baseline"/>
        </w:rPr>
        <w:t>in</w:t>
      </w:r>
      <w:r>
        <w:rPr>
          <w:spacing w:val="31"/>
          <w:vertAlign w:val="baseline"/>
        </w:rPr>
        <w:t> </w:t>
      </w:r>
      <w:r>
        <w:rPr>
          <w:vertAlign w:val="baseline"/>
        </w:rPr>
        <w:t>that</w:t>
      </w:r>
      <w:r>
        <w:rPr>
          <w:spacing w:val="31"/>
          <w:vertAlign w:val="baseline"/>
        </w:rPr>
        <w:t> </w:t>
      </w:r>
      <w:r>
        <w:rPr>
          <w:vertAlign w:val="baseline"/>
        </w:rPr>
        <w:t>case</w:t>
      </w:r>
      <w:r>
        <w:rPr>
          <w:spacing w:val="31"/>
          <w:vertAlign w:val="baseline"/>
        </w:rPr>
        <w:t> </w:t>
      </w:r>
      <w:r>
        <w:rPr>
          <w:vertAlign w:val="baseline"/>
        </w:rPr>
        <w:t>imposed</w:t>
      </w:r>
      <w:r>
        <w:rPr>
          <w:spacing w:val="31"/>
          <w:vertAlign w:val="baseline"/>
        </w:rPr>
        <w:t> </w:t>
      </w:r>
      <w:r>
        <w:rPr>
          <w:vertAlign w:val="baseline"/>
        </w:rPr>
        <w:t>any</w:t>
      </w:r>
      <w:r>
        <w:rPr>
          <w:spacing w:val="31"/>
          <w:vertAlign w:val="baseline"/>
        </w:rPr>
        <w:t> </w:t>
      </w:r>
      <w:r>
        <w:rPr>
          <w:vertAlign w:val="baseline"/>
        </w:rPr>
        <w:t>obligation</w:t>
      </w:r>
      <w:r>
        <w:rPr>
          <w:spacing w:val="31"/>
          <w:vertAlign w:val="baseline"/>
        </w:rPr>
        <w:t> </w:t>
      </w:r>
      <w:r>
        <w:rPr>
          <w:vertAlign w:val="baseline"/>
        </w:rPr>
        <w:t>on</w:t>
      </w:r>
      <w:r>
        <w:rPr>
          <w:spacing w:val="31"/>
          <w:vertAlign w:val="baseline"/>
        </w:rPr>
        <w:t> </w:t>
      </w:r>
      <w:r>
        <w:rPr>
          <w:vertAlign w:val="baseline"/>
        </w:rPr>
        <w:t>the</w:t>
      </w:r>
      <w:r>
        <w:rPr>
          <w:spacing w:val="31"/>
          <w:vertAlign w:val="baseline"/>
        </w:rPr>
        <w:t> </w:t>
      </w:r>
      <w:r>
        <w:rPr>
          <w:vertAlign w:val="baseline"/>
        </w:rPr>
        <w:t>defendants</w:t>
      </w:r>
      <w:r>
        <w:rPr>
          <w:spacing w:val="31"/>
          <w:vertAlign w:val="baseline"/>
        </w:rPr>
        <w:t> </w:t>
      </w:r>
      <w:r>
        <w:rPr>
          <w:vertAlign w:val="baseline"/>
        </w:rPr>
        <w:t>to</w:t>
      </w:r>
      <w:r>
        <w:rPr>
          <w:spacing w:val="31"/>
          <w:vertAlign w:val="baseline"/>
        </w:rPr>
        <w:t> </w:t>
      </w:r>
      <w:r>
        <w:rPr>
          <w:vertAlign w:val="baseline"/>
        </w:rPr>
        <w:t>continue</w:t>
      </w:r>
      <w:r>
        <w:rPr>
          <w:spacing w:val="31"/>
          <w:vertAlign w:val="baseline"/>
        </w:rPr>
        <w:t> </w:t>
      </w:r>
      <w:r>
        <w:rPr>
          <w:vertAlign w:val="baseline"/>
        </w:rPr>
        <w:t>to</w:t>
      </w:r>
      <w:r>
        <w:rPr>
          <w:spacing w:val="31"/>
          <w:vertAlign w:val="baseline"/>
        </w:rPr>
        <w:t> </w:t>
      </w:r>
      <w:r>
        <w:rPr>
          <w:vertAlign w:val="baseline"/>
        </w:rPr>
        <w:t>occupy</w:t>
      </w:r>
      <w:r>
        <w:rPr>
          <w:spacing w:val="31"/>
          <w:vertAlign w:val="baseline"/>
        </w:rPr>
        <w:t> </w:t>
      </w:r>
      <w:r>
        <w:rPr>
          <w:spacing w:val="-5"/>
          <w:vertAlign w:val="baseline"/>
        </w:rPr>
        <w:t>the</w:t>
      </w:r>
    </w:p>
    <w:p>
      <w:pPr>
        <w:pStyle w:val="BodyText"/>
        <w:spacing w:before="9"/>
      </w:pPr>
    </w:p>
    <w:p>
      <w:pPr>
        <w:pStyle w:val="BodyText"/>
        <w:spacing w:line="235" w:lineRule="auto"/>
        <w:ind w:left="165" w:right="167"/>
        <w:jc w:val="both"/>
      </w:pPr>
      <w:bookmarkStart w:name="_bookmark1382" w:id="1384"/>
      <w:bookmarkEnd w:id="1384"/>
      <w:r>
        <w:rPr/>
      </w:r>
      <w:r>
        <w:rPr/>
        <w:t>premises for the term of the licence. </w:t>
      </w:r>
      <w:r>
        <w:rPr>
          <w:color w:val="005DA1"/>
          <w:u w:val="single" w:color="005DA1"/>
          <w:vertAlign w:val="superscript"/>
        </w:rPr>
        <w:t>755</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29"/>
          <w:vertAlign w:val="baseline"/>
        </w:rPr>
        <w:t> </w:t>
      </w:r>
      <w:r>
        <w:rPr>
          <w:vertAlign w:val="baseline"/>
        </w:rPr>
        <w:t>The </w:t>
      </w:r>
      <w:r>
        <w:rPr>
          <w:rFonts w:ascii="Arial" w:hAnsi="Arial"/>
          <w:i/>
          <w:vertAlign w:val="baseline"/>
        </w:rPr>
        <w:t>Anangel Atlas </w:t>
      </w:r>
      <w:r>
        <w:rPr>
          <w:vertAlign w:val="baseline"/>
        </w:rPr>
        <w:t>case </w:t>
      </w:r>
      <w:r>
        <w:rPr>
          <w:color w:val="005DA1"/>
          <w:u w:val="single" w:color="005DA1"/>
          <w:vertAlign w:val="superscript"/>
        </w:rPr>
        <w:t>756</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29"/>
          <w:vertAlign w:val="baseline"/>
        </w:rPr>
        <w:t> </w:t>
      </w:r>
      <w:r>
        <w:rPr>
          <w:vertAlign w:val="baseline"/>
        </w:rPr>
        <w:t>supports the view that </w:t>
      </w:r>
      <w:r>
        <w:rPr>
          <w:vertAlign w:val="baseline"/>
        </w:rPr>
        <w:t>a benefit may satisfy the requirement of consideration even though it takes the form of an act which the debtor</w:t>
      </w:r>
      <w:r>
        <w:rPr>
          <w:spacing w:val="40"/>
          <w:vertAlign w:val="baseline"/>
        </w:rPr>
        <w:t> </w:t>
      </w:r>
      <w:r>
        <w:rPr>
          <w:rFonts w:ascii="Arial" w:hAnsi="Arial"/>
          <w:i/>
          <w:vertAlign w:val="baseline"/>
        </w:rPr>
        <w:t>was</w:t>
      </w:r>
      <w:r>
        <w:rPr>
          <w:rFonts w:ascii="Arial" w:hAnsi="Arial"/>
          <w:i/>
          <w:spacing w:val="40"/>
          <w:vertAlign w:val="baseline"/>
        </w:rPr>
        <w:t> </w:t>
      </w:r>
      <w:r>
        <w:rPr>
          <w:vertAlign w:val="baseline"/>
        </w:rPr>
        <w:t>bound</w:t>
      </w:r>
      <w:r>
        <w:rPr>
          <w:spacing w:val="40"/>
          <w:vertAlign w:val="baseline"/>
        </w:rPr>
        <w:t> </w:t>
      </w:r>
      <w:r>
        <w:rPr>
          <w:vertAlign w:val="baseline"/>
        </w:rPr>
        <w:t>under</w:t>
      </w:r>
      <w:r>
        <w:rPr>
          <w:spacing w:val="40"/>
          <w:vertAlign w:val="baseline"/>
        </w:rPr>
        <w:t> </w:t>
      </w:r>
      <w:r>
        <w:rPr>
          <w:vertAlign w:val="baseline"/>
        </w:rPr>
        <w:t>the</w:t>
      </w:r>
      <w:r>
        <w:rPr>
          <w:spacing w:val="40"/>
          <w:vertAlign w:val="baseline"/>
        </w:rPr>
        <w:t> </w:t>
      </w:r>
      <w:r>
        <w:rPr>
          <w:vertAlign w:val="baseline"/>
        </w:rPr>
        <w:t>contract</w:t>
      </w:r>
      <w:r>
        <w:rPr>
          <w:spacing w:val="40"/>
          <w:vertAlign w:val="baseline"/>
        </w:rPr>
        <w:t> </w:t>
      </w:r>
      <w:r>
        <w:rPr>
          <w:vertAlign w:val="baseline"/>
        </w:rPr>
        <w:t>to</w:t>
      </w:r>
      <w:r>
        <w:rPr>
          <w:spacing w:val="40"/>
          <w:vertAlign w:val="baseline"/>
        </w:rPr>
        <w:t> </w:t>
      </w:r>
      <w:r>
        <w:rPr>
          <w:vertAlign w:val="baseline"/>
        </w:rPr>
        <w:t>do,</w:t>
      </w:r>
      <w:r>
        <w:rPr>
          <w:spacing w:val="40"/>
          <w:vertAlign w:val="baseline"/>
        </w:rPr>
        <w:t> </w:t>
      </w:r>
      <w:r>
        <w:rPr>
          <w:vertAlign w:val="baseline"/>
        </w:rPr>
        <w:t>in</w:t>
      </w:r>
      <w:r>
        <w:rPr>
          <w:spacing w:val="40"/>
          <w:vertAlign w:val="baseline"/>
        </w:rPr>
        <w:t> </w:t>
      </w:r>
      <w:r>
        <w:rPr>
          <w:vertAlign w:val="baseline"/>
        </w:rPr>
        <w:t>that</w:t>
      </w:r>
      <w:r>
        <w:rPr>
          <w:spacing w:val="40"/>
          <w:vertAlign w:val="baseline"/>
        </w:rPr>
        <w:t> </w:t>
      </w:r>
      <w:r>
        <w:rPr>
          <w:vertAlign w:val="baseline"/>
        </w:rPr>
        <w:t>case</w:t>
      </w:r>
      <w:r>
        <w:rPr>
          <w:spacing w:val="40"/>
          <w:vertAlign w:val="baseline"/>
        </w:rPr>
        <w:t> </w:t>
      </w:r>
      <w:r>
        <w:rPr>
          <w:vertAlign w:val="baseline"/>
        </w:rPr>
        <w:t>taking</w:t>
      </w:r>
      <w:r>
        <w:rPr>
          <w:spacing w:val="40"/>
          <w:vertAlign w:val="baseline"/>
        </w:rPr>
        <w:t> </w:t>
      </w:r>
      <w:r>
        <w:rPr>
          <w:vertAlign w:val="baseline"/>
        </w:rPr>
        <w:t>delivery</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contractual subject-matter. This benefited the creditor in that the debtor’s refusal to take delivery might have prejudiced the creditor’s relations with other actual or potential customers; and from a commercial </w:t>
      </w:r>
      <w:bookmarkStart w:name="_bookmark1383" w:id="1385"/>
      <w:bookmarkEnd w:id="1385"/>
      <w:r>
        <w:rPr>
          <w:vertAlign w:val="baseline"/>
        </w:rPr>
        <w:t>point</w:t>
      </w:r>
      <w:r>
        <w:rPr>
          <w:spacing w:val="3"/>
          <w:vertAlign w:val="baseline"/>
        </w:rPr>
        <w:t> </w:t>
      </w:r>
      <w:r>
        <w:rPr>
          <w:vertAlign w:val="baseline"/>
        </w:rPr>
        <w:t>of</w:t>
      </w:r>
      <w:r>
        <w:rPr>
          <w:spacing w:val="3"/>
          <w:vertAlign w:val="baseline"/>
        </w:rPr>
        <w:t> </w:t>
      </w:r>
      <w:r>
        <w:rPr>
          <w:vertAlign w:val="baseline"/>
        </w:rPr>
        <w:t>view</w:t>
      </w:r>
      <w:r>
        <w:rPr>
          <w:spacing w:val="3"/>
          <w:vertAlign w:val="baseline"/>
        </w:rPr>
        <w:t> </w:t>
      </w:r>
      <w:r>
        <w:rPr>
          <w:vertAlign w:val="baseline"/>
        </w:rPr>
        <w:t>this</w:t>
      </w:r>
      <w:r>
        <w:rPr>
          <w:spacing w:val="3"/>
          <w:vertAlign w:val="baseline"/>
        </w:rPr>
        <w:t> </w:t>
      </w:r>
      <w:r>
        <w:rPr>
          <w:vertAlign w:val="baseline"/>
        </w:rPr>
        <w:t>resembled</w:t>
      </w:r>
      <w:r>
        <w:rPr>
          <w:spacing w:val="3"/>
          <w:vertAlign w:val="baseline"/>
        </w:rPr>
        <w:t> </w:t>
      </w:r>
      <w:r>
        <w:rPr>
          <w:vertAlign w:val="baseline"/>
        </w:rPr>
        <w:t>the</w:t>
      </w:r>
      <w:r>
        <w:rPr>
          <w:spacing w:val="3"/>
          <w:vertAlign w:val="baseline"/>
        </w:rPr>
        <w:t> </w:t>
      </w:r>
      <w:r>
        <w:rPr>
          <w:vertAlign w:val="baseline"/>
        </w:rPr>
        <w:t>benefit</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claimants</w:t>
      </w:r>
      <w:r>
        <w:rPr>
          <w:spacing w:val="3"/>
          <w:vertAlign w:val="baseline"/>
        </w:rPr>
        <w:t> </w:t>
      </w:r>
      <w:r>
        <w:rPr>
          <w:vertAlign w:val="baseline"/>
        </w:rPr>
        <w:t>in</w:t>
      </w:r>
      <w:r>
        <w:rPr>
          <w:spacing w:val="3"/>
          <w:vertAlign w:val="baseline"/>
        </w:rPr>
        <w:t> </w:t>
      </w:r>
      <w:r>
        <w:rPr>
          <w:vertAlign w:val="baseline"/>
        </w:rPr>
        <w:t>the</w:t>
      </w:r>
      <w:r>
        <w:rPr>
          <w:spacing w:val="2"/>
          <w:vertAlign w:val="baseline"/>
        </w:rPr>
        <w:t> </w:t>
      </w:r>
      <w:r>
        <w:rPr>
          <w:rFonts w:ascii="Arial" w:hAnsi="Arial"/>
          <w:i/>
          <w:vertAlign w:val="baseline"/>
        </w:rPr>
        <w:t>MWB</w:t>
      </w:r>
      <w:r>
        <w:rPr>
          <w:rFonts w:ascii="Arial" w:hAnsi="Arial"/>
          <w:i/>
          <w:spacing w:val="3"/>
          <w:vertAlign w:val="baseline"/>
        </w:rPr>
        <w:t> </w:t>
      </w:r>
      <w:r>
        <w:rPr>
          <w:vertAlign w:val="baseline"/>
        </w:rPr>
        <w:t>case</w:t>
      </w:r>
      <w:r>
        <w:rPr>
          <w:spacing w:val="3"/>
          <w:vertAlign w:val="baseline"/>
        </w:rPr>
        <w:t> </w:t>
      </w:r>
      <w:r>
        <w:rPr>
          <w:vertAlign w:val="baseline"/>
        </w:rPr>
        <w:t>obtained</w:t>
      </w:r>
      <w:r>
        <w:rPr>
          <w:spacing w:val="3"/>
          <w:vertAlign w:val="baseline"/>
        </w:rPr>
        <w:t> </w:t>
      </w:r>
      <w:r>
        <w:rPr>
          <w:vertAlign w:val="baseline"/>
        </w:rPr>
        <w:t>from</w:t>
      </w:r>
      <w:r>
        <w:rPr>
          <w:spacing w:val="3"/>
          <w:vertAlign w:val="baseline"/>
        </w:rPr>
        <w:t> </w:t>
      </w:r>
      <w:r>
        <w:rPr>
          <w:vertAlign w:val="baseline"/>
        </w:rPr>
        <w:t>“avoiding</w:t>
      </w:r>
      <w:r>
        <w:rPr>
          <w:spacing w:val="3"/>
          <w:vertAlign w:val="baseline"/>
        </w:rPr>
        <w:t> </w:t>
      </w:r>
      <w:r>
        <w:rPr>
          <w:spacing w:val="-10"/>
          <w:vertAlign w:val="baseline"/>
        </w:rPr>
        <w:t>a</w:t>
      </w:r>
    </w:p>
    <w:p>
      <w:pPr>
        <w:pStyle w:val="BodyText"/>
        <w:spacing w:line="235" w:lineRule="auto" w:before="118"/>
        <w:ind w:left="165" w:right="167"/>
        <w:jc w:val="both"/>
      </w:pPr>
      <w:r>
        <w:rPr/>
        <w:t>void.” </w:t>
      </w:r>
      <w:r>
        <w:rPr>
          <w:color w:val="005DA1"/>
          <w:u w:val="single" w:color="005DA1"/>
          <w:vertAlign w:val="superscript"/>
        </w:rPr>
        <w:t>757</w:t>
      </w:r>
      <w:r>
        <w:rPr>
          <w:color w:val="005DA1"/>
          <w:spacing w:val="80"/>
          <w:w w:val="150"/>
          <w:vertAlign w:val="baseline"/>
        </w:rPr>
        <w:t> </w:t>
      </w:r>
      <w:r>
        <w:rPr>
          <w:color w:val="005DA1"/>
          <w:spacing w:val="-6"/>
          <w:position w:val="-2"/>
          <w:vertAlign w:val="baseline"/>
        </w:rPr>
        <w:drawing>
          <wp:inline distT="0" distB="0" distL="0" distR="0">
            <wp:extent cx="107988" cy="107988"/>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25"/>
          <w:vertAlign w:val="baseline"/>
        </w:rPr>
        <w:t> </w:t>
      </w:r>
      <w:r>
        <w:rPr>
          <w:vertAlign w:val="baseline"/>
        </w:rPr>
        <w:t>The only situation in which a “practical benefit” conferred by the debtor on the </w:t>
      </w:r>
      <w:r>
        <w:rPr>
          <w:vertAlign w:val="baseline"/>
        </w:rPr>
        <w:t>creditor will </w:t>
      </w:r>
      <w:r>
        <w:rPr>
          <w:rFonts w:ascii="Arial" w:hAnsi="Arial"/>
          <w:i/>
          <w:vertAlign w:val="baseline"/>
        </w:rPr>
        <w:t>not </w:t>
      </w:r>
      <w:r>
        <w:rPr>
          <w:vertAlign w:val="baseline"/>
        </w:rPr>
        <w:t>satisfy the requirement of consideration because the debtor was already bound by the</w:t>
      </w:r>
      <w:r>
        <w:rPr>
          <w:spacing w:val="40"/>
          <w:vertAlign w:val="baseline"/>
        </w:rPr>
        <w:t> </w:t>
      </w:r>
      <w:r>
        <w:rPr>
          <w:vertAlign w:val="baseline"/>
        </w:rPr>
        <w:t>contract to confer that benefit on the creditor is that in which the benefit consists of part payment (or </w:t>
      </w:r>
      <w:bookmarkStart w:name="_bookmark1384" w:id="1386"/>
      <w:bookmarkEnd w:id="1386"/>
      <w:r>
        <w:rPr>
          <w:vertAlign w:val="baseline"/>
        </w:rPr>
        <w:t>the</w:t>
      </w:r>
      <w:r>
        <w:rPr>
          <w:spacing w:val="18"/>
          <w:vertAlign w:val="baseline"/>
        </w:rPr>
        <w:t> </w:t>
      </w:r>
      <w:r>
        <w:rPr>
          <w:vertAlign w:val="baseline"/>
        </w:rPr>
        <w:t>promise</w:t>
      </w:r>
      <w:r>
        <w:rPr>
          <w:spacing w:val="18"/>
          <w:vertAlign w:val="baseline"/>
        </w:rPr>
        <w:t> </w:t>
      </w:r>
      <w:r>
        <w:rPr>
          <w:vertAlign w:val="baseline"/>
        </w:rPr>
        <w:t>of</w:t>
      </w:r>
      <w:r>
        <w:rPr>
          <w:spacing w:val="18"/>
          <w:vertAlign w:val="baseline"/>
        </w:rPr>
        <w:t> </w:t>
      </w:r>
      <w:r>
        <w:rPr>
          <w:vertAlign w:val="baseline"/>
        </w:rPr>
        <w:t>part</w:t>
      </w:r>
      <w:r>
        <w:rPr>
          <w:spacing w:val="18"/>
          <w:vertAlign w:val="baseline"/>
        </w:rPr>
        <w:t> </w:t>
      </w:r>
      <w:r>
        <w:rPr>
          <w:vertAlign w:val="baseline"/>
        </w:rPr>
        <w:t>payment)</w:t>
      </w:r>
      <w:r>
        <w:rPr>
          <w:spacing w:val="18"/>
          <w:vertAlign w:val="baseline"/>
        </w:rPr>
        <w:t> </w:t>
      </w:r>
      <w:r>
        <w:rPr>
          <w:vertAlign w:val="baseline"/>
        </w:rPr>
        <w:t>of</w:t>
      </w:r>
      <w:r>
        <w:rPr>
          <w:spacing w:val="18"/>
          <w:vertAlign w:val="baseline"/>
        </w:rPr>
        <w:t> </w:t>
      </w:r>
      <w:r>
        <w:rPr>
          <w:vertAlign w:val="baseline"/>
        </w:rPr>
        <w:t>a</w:t>
      </w:r>
      <w:r>
        <w:rPr>
          <w:spacing w:val="18"/>
          <w:vertAlign w:val="baseline"/>
        </w:rPr>
        <w:t> </w:t>
      </w:r>
      <w:r>
        <w:rPr>
          <w:vertAlign w:val="baseline"/>
        </w:rPr>
        <w:t>debt</w:t>
      </w:r>
      <w:r>
        <w:rPr>
          <w:spacing w:val="18"/>
          <w:vertAlign w:val="baseline"/>
        </w:rPr>
        <w:t> </w:t>
      </w:r>
      <w:r>
        <w:rPr>
          <w:vertAlign w:val="baseline"/>
        </w:rPr>
        <w:t>already</w:t>
      </w:r>
      <w:r>
        <w:rPr>
          <w:spacing w:val="18"/>
          <w:vertAlign w:val="baseline"/>
        </w:rPr>
        <w:t> </w:t>
      </w:r>
      <w:r>
        <w:rPr>
          <w:vertAlign w:val="baseline"/>
        </w:rPr>
        <w:t>due.</w:t>
      </w:r>
      <w:r>
        <w:rPr>
          <w:spacing w:val="18"/>
          <w:vertAlign w:val="baseline"/>
        </w:rPr>
        <w:t> </w:t>
      </w:r>
      <w:r>
        <w:rPr>
          <w:vertAlign w:val="baseline"/>
        </w:rPr>
        <w:t>In</w:t>
      </w:r>
      <w:r>
        <w:rPr>
          <w:spacing w:val="18"/>
          <w:vertAlign w:val="baseline"/>
        </w:rPr>
        <w:t> </w:t>
      </w:r>
      <w:r>
        <w:rPr>
          <w:vertAlign w:val="baseline"/>
        </w:rPr>
        <w:t>the</w:t>
      </w:r>
      <w:r>
        <w:rPr>
          <w:spacing w:val="18"/>
          <w:vertAlign w:val="baseline"/>
        </w:rPr>
        <w:t> </w:t>
      </w:r>
      <w:r>
        <w:rPr>
          <w:rFonts w:ascii="Arial" w:hAnsi="Arial"/>
          <w:i/>
          <w:vertAlign w:val="baseline"/>
        </w:rPr>
        <w:t>MWB</w:t>
      </w:r>
      <w:r>
        <w:rPr>
          <w:rFonts w:ascii="Arial" w:hAnsi="Arial"/>
          <w:i/>
          <w:spacing w:val="18"/>
          <w:vertAlign w:val="baseline"/>
        </w:rPr>
        <w:t> </w:t>
      </w:r>
      <w:r>
        <w:rPr>
          <w:vertAlign w:val="baseline"/>
        </w:rPr>
        <w:t>case,</w:t>
      </w:r>
      <w:r>
        <w:rPr>
          <w:spacing w:val="18"/>
          <w:vertAlign w:val="baseline"/>
        </w:rPr>
        <w:t> </w:t>
      </w:r>
      <w:r>
        <w:rPr>
          <w:vertAlign w:val="baseline"/>
        </w:rPr>
        <w:t>this</w:t>
      </w:r>
      <w:r>
        <w:rPr>
          <w:spacing w:val="18"/>
          <w:vertAlign w:val="baseline"/>
        </w:rPr>
        <w:t> </w:t>
      </w:r>
      <w:r>
        <w:rPr>
          <w:vertAlign w:val="baseline"/>
        </w:rPr>
        <w:t>was</w:t>
      </w:r>
      <w:r>
        <w:rPr>
          <w:spacing w:val="18"/>
          <w:vertAlign w:val="baseline"/>
        </w:rPr>
        <w:t> </w:t>
      </w:r>
      <w:r>
        <w:rPr>
          <w:vertAlign w:val="baseline"/>
        </w:rPr>
        <w:t>said</w:t>
      </w:r>
      <w:r>
        <w:rPr>
          <w:spacing w:val="18"/>
          <w:vertAlign w:val="baseline"/>
        </w:rPr>
        <w:t> </w:t>
      </w:r>
      <w:r>
        <w:rPr>
          <w:vertAlign w:val="baseline"/>
        </w:rPr>
        <w:t>to</w:t>
      </w:r>
      <w:r>
        <w:rPr>
          <w:spacing w:val="18"/>
          <w:vertAlign w:val="baseline"/>
        </w:rPr>
        <w:t> </w:t>
      </w:r>
      <w:r>
        <w:rPr>
          <w:vertAlign w:val="baseline"/>
        </w:rPr>
        <w:t>be</w:t>
      </w:r>
      <w:r>
        <w:rPr>
          <w:spacing w:val="18"/>
          <w:vertAlign w:val="baseline"/>
        </w:rPr>
        <w:t> </w:t>
      </w:r>
      <w:r>
        <w:rPr>
          <w:vertAlign w:val="baseline"/>
        </w:rPr>
        <w:t>the</w:t>
      </w:r>
      <w:r>
        <w:rPr>
          <w:spacing w:val="18"/>
          <w:vertAlign w:val="baseline"/>
        </w:rPr>
        <w:t> </w:t>
      </w:r>
      <w:r>
        <w:rPr>
          <w:spacing w:val="-4"/>
          <w:vertAlign w:val="baseline"/>
        </w:rPr>
        <w:t>only</w:t>
      </w:r>
    </w:p>
    <w:p>
      <w:pPr>
        <w:pStyle w:val="BodyText"/>
        <w:spacing w:line="235" w:lineRule="auto" w:before="118"/>
        <w:ind w:left="165" w:right="167"/>
        <w:jc w:val="both"/>
      </w:pPr>
      <w:r>
        <w:rPr/>
        <w:t>situation squarely covered by </w:t>
      </w:r>
      <w:r>
        <w:rPr>
          <w:rFonts w:ascii="Arial" w:hAnsi="Arial"/>
          <w:i/>
        </w:rPr>
        <w:t>Foakes v Beer </w:t>
      </w:r>
      <w:r>
        <w:rPr/>
        <w:t>and </w:t>
      </w:r>
      <w:r>
        <w:rPr>
          <w:rFonts w:ascii="Arial" w:hAnsi="Arial"/>
          <w:i/>
        </w:rPr>
        <w:t>Re Select-move</w:t>
      </w:r>
      <w:r>
        <w:rPr/>
        <w:t>. </w:t>
      </w:r>
      <w:r>
        <w:rPr>
          <w:color w:val="005DA1"/>
          <w:u w:val="single" w:color="005DA1"/>
          <w:vertAlign w:val="superscript"/>
        </w:rPr>
        <w:t>758</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spacing w:val="-2"/>
          <w:vertAlign w:val="baseline"/>
        </w:rPr>
        <w:t> </w:t>
      </w:r>
      <w:r>
        <w:rPr>
          <w:vertAlign w:val="baseline"/>
        </w:rPr>
        <w:t>Where the benefit is of a different kind, the </w:t>
      </w:r>
      <w:r>
        <w:rPr>
          <w:rFonts w:ascii="Arial" w:hAnsi="Arial"/>
          <w:i/>
          <w:vertAlign w:val="baseline"/>
        </w:rPr>
        <w:t>MWB </w:t>
      </w:r>
      <w:r>
        <w:rPr>
          <w:vertAlign w:val="baseline"/>
        </w:rPr>
        <w:t>case recognises that it can constitute consideration for the creditor’s </w:t>
      </w:r>
      <w:r>
        <w:rPr>
          <w:vertAlign w:val="baseline"/>
        </w:rPr>
        <w:t>promise and it can do so whether or not the debtor was already bound by the original contract to confer that benefit on the creditor. The remaining puzzle arising from this part of the reasoning of the </w:t>
      </w:r>
      <w:r>
        <w:rPr>
          <w:rFonts w:ascii="Arial" w:hAnsi="Arial"/>
          <w:i/>
          <w:vertAlign w:val="baseline"/>
        </w:rPr>
        <w:t>MWB </w:t>
      </w:r>
      <w:r>
        <w:rPr>
          <w:vertAlign w:val="baseline"/>
        </w:rPr>
        <w:t>case is that the defendants’ continuing in occupation was regarded as a benefit to the claimants in spite of </w:t>
      </w:r>
      <w:bookmarkStart w:name="_bookmark1385" w:id="1387"/>
      <w:bookmarkEnd w:id="1387"/>
      <w:r>
        <w:rPr>
          <w:vertAlign w:val="baseline"/>
        </w:rPr>
        <w:t>the</w:t>
      </w:r>
      <w:r>
        <w:rPr>
          <w:spacing w:val="2"/>
          <w:vertAlign w:val="baseline"/>
        </w:rPr>
        <w:t> </w:t>
      </w:r>
      <w:r>
        <w:rPr>
          <w:vertAlign w:val="baseline"/>
        </w:rPr>
        <w:t>fact</w:t>
      </w:r>
      <w:r>
        <w:rPr>
          <w:spacing w:val="2"/>
          <w:vertAlign w:val="baseline"/>
        </w:rPr>
        <w:t> </w:t>
      </w:r>
      <w:r>
        <w:rPr>
          <w:vertAlign w:val="baseline"/>
        </w:rPr>
        <w:t>that,</w:t>
      </w:r>
      <w:r>
        <w:rPr>
          <w:spacing w:val="2"/>
          <w:vertAlign w:val="baseline"/>
        </w:rPr>
        <w:t> </w:t>
      </w:r>
      <w:r>
        <w:rPr>
          <w:vertAlign w:val="baseline"/>
        </w:rPr>
        <w:t>by</w:t>
      </w:r>
      <w:r>
        <w:rPr>
          <w:spacing w:val="2"/>
          <w:vertAlign w:val="baseline"/>
        </w:rPr>
        <w:t> </w:t>
      </w:r>
      <w:r>
        <w:rPr>
          <w:vertAlign w:val="baseline"/>
        </w:rPr>
        <w:t>locking</w:t>
      </w:r>
      <w:r>
        <w:rPr>
          <w:spacing w:val="2"/>
          <w:vertAlign w:val="baseline"/>
        </w:rPr>
        <w:t> </w:t>
      </w:r>
      <w:r>
        <w:rPr>
          <w:vertAlign w:val="baseline"/>
        </w:rPr>
        <w:t>the</w:t>
      </w:r>
      <w:r>
        <w:rPr>
          <w:spacing w:val="2"/>
          <w:vertAlign w:val="baseline"/>
        </w:rPr>
        <w:t> </w:t>
      </w:r>
      <w:r>
        <w:rPr>
          <w:vertAlign w:val="baseline"/>
        </w:rPr>
        <w:t>defendants</w:t>
      </w:r>
      <w:r>
        <w:rPr>
          <w:spacing w:val="2"/>
          <w:vertAlign w:val="baseline"/>
        </w:rPr>
        <w:t> </w:t>
      </w:r>
      <w:r>
        <w:rPr>
          <w:vertAlign w:val="baseline"/>
        </w:rPr>
        <w:t>out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premises,</w:t>
      </w:r>
      <w:r>
        <w:rPr>
          <w:spacing w:val="2"/>
          <w:vertAlign w:val="baseline"/>
        </w:rPr>
        <w:t> </w:t>
      </w:r>
      <w:r>
        <w:rPr>
          <w:vertAlign w:val="baseline"/>
        </w:rPr>
        <w:t>the</w:t>
      </w:r>
      <w:r>
        <w:rPr>
          <w:spacing w:val="2"/>
          <w:vertAlign w:val="baseline"/>
        </w:rPr>
        <w:t> </w:t>
      </w:r>
      <w:r>
        <w:rPr>
          <w:vertAlign w:val="baseline"/>
        </w:rPr>
        <w:t>claimants</w:t>
      </w:r>
      <w:r>
        <w:rPr>
          <w:spacing w:val="2"/>
          <w:vertAlign w:val="baseline"/>
        </w:rPr>
        <w:t> </w:t>
      </w:r>
      <w:r>
        <w:rPr>
          <w:vertAlign w:val="baseline"/>
        </w:rPr>
        <w:t>had</w:t>
      </w:r>
      <w:r>
        <w:rPr>
          <w:spacing w:val="2"/>
          <w:vertAlign w:val="baseline"/>
        </w:rPr>
        <w:t> </w:t>
      </w:r>
      <w:r>
        <w:rPr>
          <w:vertAlign w:val="baseline"/>
        </w:rPr>
        <w:t>shown</w:t>
      </w:r>
      <w:r>
        <w:rPr>
          <w:spacing w:val="2"/>
          <w:vertAlign w:val="baseline"/>
        </w:rPr>
        <w:t> </w:t>
      </w:r>
      <w:r>
        <w:rPr>
          <w:vertAlign w:val="baseline"/>
        </w:rPr>
        <w:t>that</w:t>
      </w:r>
      <w:r>
        <w:rPr>
          <w:spacing w:val="2"/>
          <w:vertAlign w:val="baseline"/>
        </w:rPr>
        <w:t> </w:t>
      </w:r>
      <w:r>
        <w:rPr>
          <w:vertAlign w:val="baseline"/>
        </w:rPr>
        <w:t>they</w:t>
      </w:r>
      <w:r>
        <w:rPr>
          <w:spacing w:val="2"/>
          <w:vertAlign w:val="baseline"/>
        </w:rPr>
        <w:t> </w:t>
      </w:r>
      <w:r>
        <w:rPr>
          <w:vertAlign w:val="baseline"/>
        </w:rPr>
        <w:t>did</w:t>
      </w:r>
      <w:r>
        <w:rPr>
          <w:spacing w:val="2"/>
          <w:vertAlign w:val="baseline"/>
        </w:rPr>
        <w:t> </w:t>
      </w:r>
      <w:r>
        <w:rPr>
          <w:spacing w:val="-5"/>
          <w:vertAlign w:val="baseline"/>
        </w:rPr>
        <w:t>not</w:t>
      </w:r>
    </w:p>
    <w:p>
      <w:pPr>
        <w:pStyle w:val="BodyText"/>
        <w:spacing w:before="114"/>
        <w:ind w:left="165"/>
        <w:jc w:val="both"/>
        <w:rPr>
          <w:position w:val="-2"/>
        </w:rPr>
      </w:pPr>
      <w:r>
        <w:rPr/>
        <w:t>themselves so regard it. </w:t>
      </w:r>
      <w:r>
        <w:rPr>
          <w:color w:val="005DA1"/>
          <w:u w:val="single" w:color="005DA1"/>
          <w:vertAlign w:val="superscript"/>
        </w:rPr>
        <w:t>759</w:t>
      </w:r>
      <w:r>
        <w:rPr>
          <w:color w:val="005DA1"/>
          <w:spacing w:val="80"/>
          <w:w w:val="150"/>
          <w:vertAlign w:val="baseline"/>
        </w:rPr>
        <w:t> </w:t>
      </w:r>
      <w:r>
        <w:rPr>
          <w:color w:val="005DA1"/>
          <w:position w:val="-2"/>
          <w:vertAlign w:val="baseline"/>
        </w:rPr>
        <w:drawing>
          <wp:inline distT="0" distB="0" distL="0" distR="0">
            <wp:extent cx="107988" cy="107988"/>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39"/>
      </w:pPr>
      <w:r>
        <w:rPr/>
        <mc:AlternateContent>
          <mc:Choice Requires="wps">
            <w:drawing>
              <wp:anchor distT="0" distB="0" distL="0" distR="0" allowOverlap="1" layoutInCell="1" locked="0" behindDoc="1" simplePos="0" relativeHeight="487645184">
                <wp:simplePos x="0" y="0"/>
                <wp:positionH relativeFrom="page">
                  <wp:posOffset>914400</wp:posOffset>
                </wp:positionH>
                <wp:positionV relativeFrom="paragraph">
                  <wp:posOffset>186097</wp:posOffset>
                </wp:positionV>
                <wp:extent cx="5724525" cy="1270"/>
                <wp:effectExtent l="0" t="0" r="0" b="0"/>
                <wp:wrapTopAndBottom/>
                <wp:docPr id="256" name="Graphic 256"/>
                <wp:cNvGraphicFramePr>
                  <a:graphicFrameLocks/>
                </wp:cNvGraphicFramePr>
                <a:graphic>
                  <a:graphicData uri="http://schemas.microsoft.com/office/word/2010/wordprocessingShape">
                    <wps:wsp>
                      <wps:cNvPr id="256" name="Graphic 25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3383pt;width:450.75pt;height:.1pt;mso-position-horizontal-relative:page;mso-position-vertical-relative:paragraph;z-index:-15671296;mso-wrap-distance-left:0;mso-wrap-distance-right:0" id="docshape63"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212352">
                <wp:simplePos x="0" y="0"/>
                <wp:positionH relativeFrom="page">
                  <wp:posOffset>914400</wp:posOffset>
                </wp:positionH>
                <wp:positionV relativeFrom="paragraph">
                  <wp:posOffset>97116</wp:posOffset>
                </wp:positionV>
                <wp:extent cx="49530"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04128"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before="9"/>
      </w:pPr>
    </w:p>
    <w:p>
      <w:pPr>
        <w:spacing w:line="235" w:lineRule="auto" w:before="0"/>
        <w:ind w:left="705" w:right="167" w:hanging="541"/>
        <w:jc w:val="both"/>
        <w:rPr>
          <w:sz w:val="20"/>
        </w:rPr>
      </w:pPr>
      <w:bookmarkStart w:name="_bookmark1386" w:id="1388"/>
      <w:bookmarkEnd w:id="1388"/>
      <w:r>
        <w:rPr/>
      </w:r>
      <w:hyperlink w:history="true" w:anchor="_bookmark1341">
        <w:r>
          <w:rPr>
            <w:color w:val="005DA1"/>
            <w:position w:val="5"/>
            <w:sz w:val="14"/>
            <w:u w:val="single" w:color="005DA1"/>
          </w:rPr>
          <w:t>714</w:t>
        </w:r>
      </w:hyperlink>
      <w:r>
        <w:rPr>
          <w:position w:val="5"/>
          <w:sz w:val="14"/>
        </w:rPr>
        <w:t>.</w:t>
      </w:r>
      <w:r>
        <w:rPr>
          <w:spacing w:val="40"/>
          <w:position w:val="5"/>
          <w:sz w:val="14"/>
        </w:rPr>
        <w:t>  </w:t>
      </w:r>
      <w:r>
        <w:rPr>
          <w:rFonts w:ascii="Arial" w:hAnsi="Arial"/>
          <w:i/>
          <w:sz w:val="20"/>
        </w:rPr>
        <w:t>Commissioners</w:t>
      </w:r>
      <w:r>
        <w:rPr>
          <w:rFonts w:ascii="Arial" w:hAnsi="Arial"/>
          <w:i/>
          <w:spacing w:val="40"/>
          <w:sz w:val="20"/>
        </w:rPr>
        <w:t> </w:t>
      </w:r>
      <w:r>
        <w:rPr>
          <w:rFonts w:ascii="Arial" w:hAnsi="Arial"/>
          <w:i/>
          <w:sz w:val="20"/>
        </w:rPr>
        <w:t>of</w:t>
      </w:r>
      <w:r>
        <w:rPr>
          <w:rFonts w:ascii="Arial" w:hAnsi="Arial"/>
          <w:i/>
          <w:spacing w:val="40"/>
          <w:sz w:val="20"/>
        </w:rPr>
        <w:t> </w:t>
      </w:r>
      <w:r>
        <w:rPr>
          <w:rFonts w:ascii="Arial" w:hAnsi="Arial"/>
          <w:i/>
          <w:sz w:val="20"/>
        </w:rPr>
        <w:t>Stamp</w:t>
      </w:r>
      <w:r>
        <w:rPr>
          <w:rFonts w:ascii="Arial" w:hAnsi="Arial"/>
          <w:i/>
          <w:spacing w:val="40"/>
          <w:sz w:val="20"/>
        </w:rPr>
        <w:t> </w:t>
      </w:r>
      <w:r>
        <w:rPr>
          <w:rFonts w:ascii="Arial" w:hAnsi="Arial"/>
          <w:i/>
          <w:sz w:val="20"/>
        </w:rPr>
        <w:t>Duties</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Bone</w:t>
      </w:r>
      <w:r>
        <w:rPr>
          <w:rFonts w:ascii="Arial" w:hAnsi="Arial"/>
          <w:i/>
          <w:spacing w:val="40"/>
          <w:sz w:val="20"/>
        </w:rPr>
        <w:t> </w:t>
      </w:r>
      <w:r>
        <w:rPr>
          <w:rFonts w:ascii="Arial" w:hAnsi="Arial"/>
          <w:i/>
          <w:sz w:val="20"/>
        </w:rPr>
        <w:t>[1977]</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511,</w:t>
      </w:r>
      <w:r>
        <w:rPr>
          <w:rFonts w:ascii="Arial" w:hAnsi="Arial"/>
          <w:i/>
          <w:spacing w:val="40"/>
          <w:sz w:val="20"/>
        </w:rPr>
        <w:t> </w:t>
      </w:r>
      <w:r>
        <w:rPr>
          <w:rFonts w:ascii="Arial" w:hAnsi="Arial"/>
          <w:i/>
          <w:sz w:val="20"/>
        </w:rPr>
        <w:t>519</w:t>
      </w:r>
      <w:r>
        <w:rPr>
          <w:rFonts w:ascii="Arial" w:hAnsi="Arial"/>
          <w:i/>
          <w:spacing w:val="40"/>
          <w:sz w:val="20"/>
        </w:rPr>
        <w:t> </w:t>
      </w:r>
      <w:r>
        <w:rPr>
          <w:sz w:val="20"/>
        </w:rPr>
        <w:t>(“A</w:t>
      </w:r>
      <w:r>
        <w:rPr>
          <w:spacing w:val="40"/>
          <w:sz w:val="20"/>
        </w:rPr>
        <w:t> </w:t>
      </w:r>
      <w:r>
        <w:rPr>
          <w:sz w:val="20"/>
        </w:rPr>
        <w:t>debt</w:t>
      </w:r>
      <w:r>
        <w:rPr>
          <w:spacing w:val="40"/>
          <w:sz w:val="20"/>
        </w:rPr>
        <w:t> </w:t>
      </w:r>
      <w:r>
        <w:rPr>
          <w:sz w:val="20"/>
        </w:rPr>
        <w:t>can</w:t>
      </w:r>
      <w:r>
        <w:rPr>
          <w:spacing w:val="40"/>
          <w:sz w:val="20"/>
        </w:rPr>
        <w:t> </w:t>
      </w:r>
      <w:r>
        <w:rPr>
          <w:sz w:val="20"/>
        </w:rPr>
        <w:t>only</w:t>
      </w:r>
      <w:r>
        <w:rPr>
          <w:spacing w:val="40"/>
          <w:sz w:val="20"/>
        </w:rPr>
        <w:t> </w:t>
      </w:r>
      <w:r>
        <w:rPr>
          <w:sz w:val="20"/>
        </w:rPr>
        <w:t>be</w:t>
      </w:r>
      <w:r>
        <w:rPr>
          <w:spacing w:val="40"/>
          <w:sz w:val="20"/>
        </w:rPr>
        <w:t> </w:t>
      </w:r>
      <w:r>
        <w:rPr>
          <w:sz w:val="20"/>
        </w:rPr>
        <w:t>truly released by agreement for valuable consideration or under seal.”) This principle appears to</w:t>
      </w:r>
      <w:r>
        <w:rPr>
          <w:spacing w:val="40"/>
          <w:sz w:val="20"/>
        </w:rPr>
        <w:t> </w:t>
      </w:r>
      <w:r>
        <w:rPr>
          <w:sz w:val="20"/>
        </w:rPr>
        <w:t>have been overlooked in a dictum in </w:t>
      </w:r>
      <w:r>
        <w:rPr>
          <w:rFonts w:ascii="Arial" w:hAnsi="Arial"/>
          <w:i/>
          <w:sz w:val="20"/>
        </w:rPr>
        <w:t>Brikom Investments Ltd v Carr [1979] Q.B. 467, 488</w:t>
      </w:r>
      <w:r>
        <w:rPr>
          <w:sz w:val="20"/>
        </w:rPr>
        <w:t>, according to which a “waiver” of instalments of rent would bind the landlord. The actual </w:t>
      </w:r>
      <w:r>
        <w:rPr>
          <w:sz w:val="20"/>
        </w:rPr>
        <w:t>promise of</w:t>
      </w:r>
      <w:r>
        <w:rPr>
          <w:spacing w:val="40"/>
          <w:sz w:val="20"/>
        </w:rPr>
        <w:t> </w:t>
      </w:r>
      <w:r>
        <w:rPr>
          <w:sz w:val="20"/>
        </w:rPr>
        <w:t>the</w:t>
      </w:r>
      <w:r>
        <w:rPr>
          <w:spacing w:val="40"/>
          <w:sz w:val="20"/>
        </w:rPr>
        <w:t> </w:t>
      </w:r>
      <w:r>
        <w:rPr>
          <w:sz w:val="20"/>
        </w:rPr>
        <w:t>landlord</w:t>
      </w:r>
      <w:r>
        <w:rPr>
          <w:spacing w:val="40"/>
          <w:sz w:val="20"/>
        </w:rPr>
        <w:t> </w:t>
      </w:r>
      <w:r>
        <w:rPr>
          <w:sz w:val="20"/>
        </w:rPr>
        <w:t>in</w:t>
      </w:r>
      <w:r>
        <w:rPr>
          <w:spacing w:val="40"/>
          <w:sz w:val="20"/>
        </w:rPr>
        <w:t> </w:t>
      </w:r>
      <w:r>
        <w:rPr>
          <w:sz w:val="20"/>
        </w:rPr>
        <w:t>that</w:t>
      </w:r>
      <w:r>
        <w:rPr>
          <w:spacing w:val="40"/>
          <w:sz w:val="20"/>
        </w:rPr>
        <w:t> </w:t>
      </w:r>
      <w:r>
        <w:rPr>
          <w:sz w:val="20"/>
        </w:rPr>
        <w:t>case</w:t>
      </w:r>
      <w:r>
        <w:rPr>
          <w:spacing w:val="40"/>
          <w:sz w:val="20"/>
        </w:rPr>
        <w:t> </w:t>
      </w:r>
      <w:r>
        <w:rPr>
          <w:sz w:val="20"/>
        </w:rPr>
        <w:t>was</w:t>
      </w:r>
      <w:r>
        <w:rPr>
          <w:spacing w:val="40"/>
          <w:sz w:val="20"/>
        </w:rPr>
        <w:t> </w:t>
      </w:r>
      <w:r>
        <w:rPr>
          <w:sz w:val="20"/>
        </w:rPr>
        <w:t>supported</w:t>
      </w:r>
      <w:r>
        <w:rPr>
          <w:spacing w:val="40"/>
          <w:sz w:val="20"/>
        </w:rPr>
        <w:t> </w:t>
      </w:r>
      <w:r>
        <w:rPr>
          <w:sz w:val="20"/>
        </w:rPr>
        <w:t>by</w:t>
      </w:r>
      <w:r>
        <w:rPr>
          <w:spacing w:val="40"/>
          <w:sz w:val="20"/>
        </w:rPr>
        <w:t> </w:t>
      </w:r>
      <w:r>
        <w:rPr>
          <w:sz w:val="20"/>
        </w:rPr>
        <w:t>consideration:</w:t>
      </w:r>
      <w:r>
        <w:rPr>
          <w:spacing w:val="40"/>
          <w:sz w:val="20"/>
        </w:rPr>
        <w:t> </w:t>
      </w:r>
      <w:r>
        <w:rPr>
          <w:sz w:val="20"/>
        </w:rPr>
        <w:t>above,</w:t>
      </w:r>
      <w:r>
        <w:rPr>
          <w:spacing w:val="40"/>
          <w:sz w:val="20"/>
        </w:rPr>
        <w:t> </w:t>
      </w:r>
      <w:r>
        <w:rPr>
          <w:sz w:val="20"/>
        </w:rPr>
        <w:t>para.4-081;</w:t>
      </w:r>
      <w:r>
        <w:rPr>
          <w:spacing w:val="40"/>
          <w:sz w:val="20"/>
        </w:rPr>
        <w:t> </w:t>
      </w:r>
      <w:r>
        <w:rPr>
          <w:sz w:val="20"/>
        </w:rPr>
        <w:t>below, </w:t>
      </w:r>
      <w:r>
        <w:rPr>
          <w:spacing w:val="-2"/>
          <w:sz w:val="20"/>
        </w:rPr>
        <w:t>para.4-135.</w:t>
      </w:r>
    </w:p>
    <w:p>
      <w:pPr>
        <w:pStyle w:val="BodyText"/>
        <w:spacing w:before="4"/>
      </w:pPr>
    </w:p>
    <w:p>
      <w:pPr>
        <w:spacing w:line="227" w:lineRule="exact" w:before="0"/>
        <w:ind w:left="165" w:right="0" w:firstLine="0"/>
        <w:jc w:val="both"/>
        <w:rPr>
          <w:rFonts w:ascii="Arial"/>
          <w:i/>
          <w:sz w:val="20"/>
        </w:rPr>
      </w:pPr>
      <w:bookmarkStart w:name="_bookmark1387" w:id="1389"/>
      <w:bookmarkEnd w:id="1389"/>
      <w:r>
        <w:rPr/>
      </w:r>
      <w:hyperlink w:history="true" w:anchor="_bookmark1342">
        <w:r>
          <w:rPr>
            <w:color w:val="005DA1"/>
            <w:position w:val="5"/>
            <w:sz w:val="14"/>
            <w:u w:val="single" w:color="005DA1"/>
          </w:rPr>
          <w:t>715</w:t>
        </w:r>
      </w:hyperlink>
      <w:r>
        <w:rPr>
          <w:position w:val="5"/>
          <w:sz w:val="14"/>
        </w:rPr>
        <w:t>.</w:t>
      </w:r>
      <w:r>
        <w:rPr>
          <w:spacing w:val="75"/>
          <w:w w:val="150"/>
          <w:position w:val="5"/>
          <w:sz w:val="14"/>
        </w:rPr>
        <w:t>  </w:t>
      </w:r>
      <w:r>
        <w:rPr>
          <w:rFonts w:ascii="Arial"/>
          <w:i/>
          <w:sz w:val="20"/>
        </w:rPr>
        <w:t>(1602)</w:t>
      </w:r>
      <w:r>
        <w:rPr>
          <w:rFonts w:ascii="Arial"/>
          <w:i/>
          <w:spacing w:val="2"/>
          <w:sz w:val="20"/>
        </w:rPr>
        <w:t> </w:t>
      </w:r>
      <w:r>
        <w:rPr>
          <w:rFonts w:ascii="Arial"/>
          <w:i/>
          <w:sz w:val="20"/>
        </w:rPr>
        <w:t>5</w:t>
      </w:r>
      <w:r>
        <w:rPr>
          <w:rFonts w:ascii="Arial"/>
          <w:i/>
          <w:spacing w:val="2"/>
          <w:sz w:val="20"/>
        </w:rPr>
        <w:t> </w:t>
      </w:r>
      <w:r>
        <w:rPr>
          <w:rFonts w:ascii="Arial"/>
          <w:i/>
          <w:sz w:val="20"/>
        </w:rPr>
        <w:t>Co.Rep.</w:t>
      </w:r>
      <w:r>
        <w:rPr>
          <w:rFonts w:ascii="Arial"/>
          <w:i/>
          <w:spacing w:val="2"/>
          <w:sz w:val="20"/>
        </w:rPr>
        <w:t> </w:t>
      </w:r>
      <w:r>
        <w:rPr>
          <w:rFonts w:ascii="Arial"/>
          <w:i/>
          <w:sz w:val="20"/>
        </w:rPr>
        <w:t>117a</w:t>
      </w:r>
      <w:r>
        <w:rPr>
          <w:sz w:val="20"/>
        </w:rPr>
        <w:t>;</w:t>
      </w:r>
      <w:r>
        <w:rPr>
          <w:spacing w:val="2"/>
          <w:sz w:val="20"/>
        </w:rPr>
        <w:t> </w:t>
      </w:r>
      <w:r>
        <w:rPr>
          <w:rFonts w:ascii="Arial"/>
          <w:i/>
          <w:sz w:val="20"/>
        </w:rPr>
        <w:t>Cumber</w:t>
      </w:r>
      <w:r>
        <w:rPr>
          <w:rFonts w:ascii="Arial"/>
          <w:i/>
          <w:spacing w:val="1"/>
          <w:sz w:val="20"/>
        </w:rPr>
        <w:t> </w:t>
      </w:r>
      <w:r>
        <w:rPr>
          <w:rFonts w:ascii="Arial"/>
          <w:i/>
          <w:sz w:val="20"/>
        </w:rPr>
        <w:t>v</w:t>
      </w:r>
      <w:r>
        <w:rPr>
          <w:rFonts w:ascii="Arial"/>
          <w:i/>
          <w:spacing w:val="2"/>
          <w:sz w:val="20"/>
        </w:rPr>
        <w:t> </w:t>
      </w:r>
      <w:r>
        <w:rPr>
          <w:rFonts w:ascii="Arial"/>
          <w:i/>
          <w:sz w:val="20"/>
        </w:rPr>
        <w:t>Wane</w:t>
      </w:r>
      <w:r>
        <w:rPr>
          <w:rFonts w:ascii="Arial"/>
          <w:i/>
          <w:spacing w:val="2"/>
          <w:sz w:val="20"/>
        </w:rPr>
        <w:t> </w:t>
      </w:r>
      <w:r>
        <w:rPr>
          <w:rFonts w:ascii="Arial"/>
          <w:i/>
          <w:sz w:val="20"/>
        </w:rPr>
        <w:t>(1721)</w:t>
      </w:r>
      <w:r>
        <w:rPr>
          <w:rFonts w:ascii="Arial"/>
          <w:i/>
          <w:spacing w:val="2"/>
          <w:sz w:val="20"/>
        </w:rPr>
        <w:t> </w:t>
      </w:r>
      <w:r>
        <w:rPr>
          <w:rFonts w:ascii="Arial"/>
          <w:i/>
          <w:sz w:val="20"/>
        </w:rPr>
        <w:t>1</w:t>
      </w:r>
      <w:r>
        <w:rPr>
          <w:rFonts w:ascii="Arial"/>
          <w:i/>
          <w:spacing w:val="2"/>
          <w:sz w:val="20"/>
        </w:rPr>
        <w:t> </w:t>
      </w:r>
      <w:r>
        <w:rPr>
          <w:rFonts w:ascii="Arial"/>
          <w:i/>
          <w:sz w:val="20"/>
        </w:rPr>
        <w:t>Stra.</w:t>
      </w:r>
      <w:r>
        <w:rPr>
          <w:rFonts w:ascii="Arial"/>
          <w:i/>
          <w:spacing w:val="2"/>
          <w:sz w:val="20"/>
        </w:rPr>
        <w:t> </w:t>
      </w:r>
      <w:r>
        <w:rPr>
          <w:rFonts w:ascii="Arial"/>
          <w:i/>
          <w:sz w:val="20"/>
        </w:rPr>
        <w:t>426</w:t>
      </w:r>
      <w:r>
        <w:rPr>
          <w:sz w:val="20"/>
        </w:rPr>
        <w:t>;</w:t>
      </w:r>
      <w:r>
        <w:rPr>
          <w:spacing w:val="2"/>
          <w:sz w:val="20"/>
        </w:rPr>
        <w:t> </w:t>
      </w:r>
      <w:r>
        <w:rPr>
          <w:rFonts w:ascii="Arial"/>
          <w:i/>
          <w:sz w:val="20"/>
        </w:rPr>
        <w:t>McManus</w:t>
      </w:r>
      <w:r>
        <w:rPr>
          <w:rFonts w:ascii="Arial"/>
          <w:i/>
          <w:spacing w:val="1"/>
          <w:sz w:val="20"/>
        </w:rPr>
        <w:t> </w:t>
      </w:r>
      <w:r>
        <w:rPr>
          <w:rFonts w:ascii="Arial"/>
          <w:i/>
          <w:sz w:val="20"/>
        </w:rPr>
        <w:t>v</w:t>
      </w:r>
      <w:r>
        <w:rPr>
          <w:rFonts w:ascii="Arial"/>
          <w:i/>
          <w:spacing w:val="2"/>
          <w:sz w:val="20"/>
        </w:rPr>
        <w:t> </w:t>
      </w:r>
      <w:r>
        <w:rPr>
          <w:rFonts w:ascii="Arial"/>
          <w:i/>
          <w:sz w:val="20"/>
        </w:rPr>
        <w:t>Bark</w:t>
      </w:r>
      <w:r>
        <w:rPr>
          <w:rFonts w:ascii="Arial"/>
          <w:i/>
          <w:spacing w:val="2"/>
          <w:sz w:val="20"/>
        </w:rPr>
        <w:t> </w:t>
      </w:r>
      <w:r>
        <w:rPr>
          <w:rFonts w:ascii="Arial"/>
          <w:i/>
          <w:sz w:val="20"/>
        </w:rPr>
        <w:t>(1870)</w:t>
      </w:r>
      <w:r>
        <w:rPr>
          <w:rFonts w:ascii="Arial"/>
          <w:i/>
          <w:spacing w:val="2"/>
          <w:sz w:val="20"/>
        </w:rPr>
        <w:t> </w:t>
      </w:r>
      <w:r>
        <w:rPr>
          <w:rFonts w:ascii="Arial"/>
          <w:i/>
          <w:sz w:val="20"/>
        </w:rPr>
        <w:t>L.R.</w:t>
      </w:r>
      <w:r>
        <w:rPr>
          <w:rFonts w:ascii="Arial"/>
          <w:i/>
          <w:spacing w:val="2"/>
          <w:sz w:val="20"/>
        </w:rPr>
        <w:t> </w:t>
      </w:r>
      <w:r>
        <w:rPr>
          <w:rFonts w:ascii="Arial"/>
          <w:i/>
          <w:sz w:val="20"/>
        </w:rPr>
        <w:t>5</w:t>
      </w:r>
      <w:r>
        <w:rPr>
          <w:rFonts w:ascii="Arial"/>
          <w:i/>
          <w:spacing w:val="2"/>
          <w:sz w:val="20"/>
        </w:rPr>
        <w:t> </w:t>
      </w:r>
      <w:r>
        <w:rPr>
          <w:rFonts w:ascii="Arial"/>
          <w:i/>
          <w:spacing w:val="-5"/>
          <w:sz w:val="20"/>
        </w:rPr>
        <w:t>Ex.</w:t>
      </w:r>
    </w:p>
    <w:p>
      <w:pPr>
        <w:spacing w:line="235" w:lineRule="auto" w:before="1"/>
        <w:ind w:left="705" w:right="168" w:firstLine="0"/>
        <w:jc w:val="both"/>
        <w:rPr>
          <w:sz w:val="20"/>
        </w:rPr>
      </w:pPr>
      <w:r>
        <w:rPr>
          <w:rFonts w:ascii="Arial" w:hAnsi="Arial"/>
          <w:i/>
          <w:sz w:val="20"/>
        </w:rPr>
        <w:t>65</w:t>
      </w:r>
      <w:r>
        <w:rPr>
          <w:sz w:val="20"/>
        </w:rPr>
        <w:t>; </w:t>
      </w:r>
      <w:r>
        <w:rPr>
          <w:rFonts w:ascii="Arial" w:hAnsi="Arial"/>
          <w:i/>
          <w:sz w:val="20"/>
        </w:rPr>
        <w:t>Underwood v Underwood [1894] P. 204</w:t>
      </w:r>
      <w:r>
        <w:rPr>
          <w:sz w:val="20"/>
        </w:rPr>
        <w:t>; </w:t>
      </w:r>
      <w:r>
        <w:rPr>
          <w:rFonts w:ascii="Arial" w:hAnsi="Arial"/>
          <w:i/>
          <w:sz w:val="20"/>
        </w:rPr>
        <w:t>Re Broderick [1986] N.I.J.B. 36, 49–55</w:t>
      </w:r>
      <w:r>
        <w:rPr>
          <w:sz w:val="20"/>
        </w:rPr>
        <w:t>; </w:t>
      </w:r>
      <w:r>
        <w:rPr>
          <w:rFonts w:ascii="Arial" w:hAnsi="Arial"/>
          <w:i/>
          <w:sz w:val="20"/>
        </w:rPr>
        <w:t>Tilney Engineering v Admods Knitting Machinery [1987] C.L.Y. 412</w:t>
      </w:r>
      <w:r>
        <w:rPr>
          <w:sz w:val="20"/>
        </w:rPr>
        <w:t>; cf. </w:t>
      </w:r>
      <w:r>
        <w:rPr>
          <w:rFonts w:ascii="Arial" w:hAnsi="Arial"/>
          <w:i/>
          <w:sz w:val="20"/>
        </w:rPr>
        <w:t>Bagge v Slade (1616) 3 </w:t>
      </w:r>
      <w:r>
        <w:rPr>
          <w:rFonts w:ascii="Arial" w:hAnsi="Arial"/>
          <w:i/>
          <w:sz w:val="20"/>
        </w:rPr>
        <w:t>Bulst. </w:t>
      </w:r>
      <w:r>
        <w:rPr>
          <w:rFonts w:ascii="Arial" w:hAnsi="Arial"/>
          <w:i/>
          <w:spacing w:val="-4"/>
          <w:sz w:val="20"/>
        </w:rPr>
        <w:t>162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88" w:id="1390"/>
      <w:bookmarkEnd w:id="1390"/>
      <w:r>
        <w:rPr/>
      </w:r>
      <w:hyperlink w:history="true" w:anchor="_bookmark1343">
        <w:r>
          <w:rPr>
            <w:color w:val="005DA1"/>
            <w:spacing w:val="-4"/>
            <w:position w:val="5"/>
            <w:sz w:val="14"/>
            <w:u w:val="single" w:color="005DA1"/>
          </w:rPr>
          <w:t>716</w:t>
        </w:r>
      </w:hyperlink>
      <w:r>
        <w:rPr>
          <w:spacing w:val="-4"/>
          <w:position w:val="5"/>
          <w:sz w:val="14"/>
        </w:rPr>
        <w:t>.</w:t>
      </w:r>
      <w:r>
        <w:rPr>
          <w:position w:val="5"/>
          <w:sz w:val="14"/>
        </w:rPr>
        <w:tab/>
      </w:r>
      <w:r>
        <w:rPr>
          <w:rFonts w:ascii="Arial"/>
          <w:i/>
          <w:sz w:val="20"/>
        </w:rPr>
        <w:t>(1884)</w:t>
      </w:r>
      <w:r>
        <w:rPr>
          <w:rFonts w:ascii="Arial"/>
          <w:i/>
          <w:spacing w:val="-2"/>
          <w:sz w:val="20"/>
        </w:rPr>
        <w:t> </w:t>
      </w:r>
      <w:r>
        <w:rPr>
          <w:rFonts w:ascii="Arial"/>
          <w:i/>
          <w:sz w:val="20"/>
        </w:rPr>
        <w:t>9 App. Cas. </w:t>
      </w:r>
      <w:r>
        <w:rPr>
          <w:rFonts w:ascii="Arial"/>
          <w:i/>
          <w:spacing w:val="-4"/>
          <w:sz w:val="20"/>
        </w:rPr>
        <w:t>605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89" w:id="1391"/>
      <w:bookmarkEnd w:id="1391"/>
      <w:r>
        <w:rPr/>
      </w:r>
      <w:hyperlink w:history="true" w:anchor="_bookmark1344">
        <w:r>
          <w:rPr>
            <w:color w:val="005DA1"/>
            <w:spacing w:val="-4"/>
            <w:position w:val="5"/>
            <w:sz w:val="14"/>
            <w:u w:val="single" w:color="005DA1"/>
          </w:rPr>
          <w:t>717</w:t>
        </w:r>
      </w:hyperlink>
      <w:r>
        <w:rPr>
          <w:spacing w:val="-4"/>
          <w:position w:val="5"/>
          <w:sz w:val="14"/>
        </w:rPr>
        <w:t>.</w:t>
      </w:r>
      <w:r>
        <w:rPr>
          <w:position w:val="5"/>
          <w:sz w:val="14"/>
        </w:rPr>
        <w:tab/>
      </w:r>
      <w:r>
        <w:rPr>
          <w:sz w:val="20"/>
        </w:rPr>
        <w:t>Drawn up by Dr Foakes’ solicitor:</w:t>
      </w:r>
      <w:r>
        <w:rPr>
          <w:spacing w:val="-1"/>
          <w:sz w:val="20"/>
        </w:rPr>
        <w:t> </w:t>
      </w:r>
      <w:r>
        <w:rPr>
          <w:rFonts w:ascii="Arial" w:hAnsi="Arial"/>
          <w:i/>
          <w:sz w:val="20"/>
        </w:rPr>
        <w:t>(1884) 9 App. Cas.</w:t>
      </w:r>
      <w:r>
        <w:rPr>
          <w:rFonts w:ascii="Arial" w:hAnsi="Arial"/>
          <w:i/>
          <w:spacing w:val="-1"/>
          <w:sz w:val="20"/>
        </w:rPr>
        <w:t> </w:t>
      </w:r>
      <w:r>
        <w:rPr>
          <w:sz w:val="20"/>
        </w:rPr>
        <w:t>at </w:t>
      </w:r>
      <w:r>
        <w:rPr>
          <w:spacing w:val="-4"/>
          <w:sz w:val="20"/>
        </w:rPr>
        <w:t>625.</w:t>
      </w:r>
    </w:p>
    <w:p>
      <w:pPr>
        <w:pStyle w:val="BodyText"/>
        <w:spacing w:before="5"/>
      </w:pPr>
    </w:p>
    <w:p>
      <w:pPr>
        <w:tabs>
          <w:tab w:pos="705" w:val="left" w:leader="none"/>
        </w:tabs>
        <w:spacing w:before="0"/>
        <w:ind w:left="165" w:right="0" w:firstLine="0"/>
        <w:jc w:val="left"/>
        <w:rPr>
          <w:sz w:val="20"/>
        </w:rPr>
      </w:pPr>
      <w:bookmarkStart w:name="_bookmark1390" w:id="1392"/>
      <w:bookmarkEnd w:id="1392"/>
      <w:r>
        <w:rPr/>
      </w:r>
      <w:hyperlink w:history="true" w:anchor="_bookmark1345">
        <w:r>
          <w:rPr>
            <w:color w:val="005DA1"/>
            <w:spacing w:val="-4"/>
            <w:position w:val="5"/>
            <w:sz w:val="14"/>
            <w:u w:val="single" w:color="005DA1"/>
          </w:rPr>
          <w:t>718</w:t>
        </w:r>
      </w:hyperlink>
      <w:r>
        <w:rPr>
          <w:spacing w:val="-4"/>
          <w:position w:val="5"/>
          <w:sz w:val="14"/>
        </w:rPr>
        <w:t>.</w:t>
      </w:r>
      <w:r>
        <w:rPr>
          <w:position w:val="5"/>
          <w:sz w:val="14"/>
        </w:rPr>
        <w:tab/>
      </w:r>
      <w:r>
        <w:rPr>
          <w:sz w:val="20"/>
        </w:rPr>
        <w:t>Dr</w:t>
      </w:r>
      <w:r>
        <w:rPr>
          <w:spacing w:val="-2"/>
          <w:sz w:val="20"/>
        </w:rPr>
        <w:t> </w:t>
      </w:r>
      <w:r>
        <w:rPr>
          <w:sz w:val="20"/>
        </w:rPr>
        <w:t>Foakes made no</w:t>
      </w:r>
      <w:r>
        <w:rPr>
          <w:spacing w:val="-1"/>
          <w:sz w:val="20"/>
        </w:rPr>
        <w:t> </w:t>
      </w:r>
      <w:r>
        <w:rPr>
          <w:rFonts w:ascii="Arial"/>
          <w:i/>
          <w:sz w:val="20"/>
        </w:rPr>
        <w:t>promise</w:t>
      </w:r>
      <w:r>
        <w:rPr>
          <w:rFonts w:ascii="Arial"/>
          <w:i/>
          <w:spacing w:val="-1"/>
          <w:sz w:val="20"/>
        </w:rPr>
        <w:t> </w:t>
      </w:r>
      <w:r>
        <w:rPr>
          <w:sz w:val="20"/>
        </w:rPr>
        <w:t>to pay the </w:t>
      </w:r>
      <w:r>
        <w:rPr>
          <w:spacing w:val="-2"/>
          <w:sz w:val="20"/>
        </w:rPr>
        <w:t>instalments.</w:t>
      </w:r>
    </w:p>
    <w:p>
      <w:pPr>
        <w:spacing w:after="0"/>
        <w:jc w:val="left"/>
        <w:rPr>
          <w:sz w:val="20"/>
        </w:rPr>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1346">
        <w:r>
          <w:rPr>
            <w:color w:val="005DA1"/>
            <w:spacing w:val="-4"/>
            <w:position w:val="5"/>
            <w:sz w:val="14"/>
            <w:u w:val="single" w:color="005DA1"/>
          </w:rPr>
          <w:t>719</w:t>
        </w:r>
      </w:hyperlink>
      <w:r>
        <w:rPr>
          <w:spacing w:val="-4"/>
          <w:position w:val="5"/>
          <w:sz w:val="14"/>
        </w:rPr>
        <w:t>.</w:t>
      </w:r>
      <w:r>
        <w:rPr>
          <w:position w:val="5"/>
          <w:sz w:val="14"/>
        </w:rPr>
        <w:tab/>
      </w:r>
      <w:r>
        <w:rPr>
          <w:rFonts w:ascii="Arial"/>
          <w:i/>
          <w:sz w:val="20"/>
        </w:rPr>
        <w:t>Beer v Foakes (1883) 11 Q.B.D. 221, </w:t>
      </w:r>
      <w:r>
        <w:rPr>
          <w:rFonts w:ascii="Arial"/>
          <w:i/>
          <w:spacing w:val="-4"/>
          <w:sz w:val="20"/>
        </w:rPr>
        <w:t>222</w:t>
      </w:r>
      <w:r>
        <w:rPr>
          <w:spacing w:val="-4"/>
          <w:sz w:val="20"/>
        </w:rPr>
        <w:t>.</w:t>
      </w:r>
    </w:p>
    <w:p>
      <w:pPr>
        <w:pStyle w:val="BodyText"/>
        <w:spacing w:before="9"/>
      </w:pPr>
    </w:p>
    <w:p>
      <w:pPr>
        <w:pStyle w:val="BodyText"/>
        <w:spacing w:line="235" w:lineRule="auto"/>
        <w:ind w:left="705" w:right="167" w:hanging="541"/>
        <w:jc w:val="both"/>
      </w:pPr>
      <w:bookmarkStart w:name="_bookmark1391" w:id="1393"/>
      <w:bookmarkEnd w:id="1393"/>
      <w:r>
        <w:rPr/>
      </w:r>
      <w:hyperlink w:history="true" w:anchor="_bookmark1347">
        <w:r>
          <w:rPr>
            <w:color w:val="005DA1"/>
            <w:position w:val="5"/>
            <w:sz w:val="14"/>
            <w:u w:val="single" w:color="005DA1"/>
          </w:rPr>
          <w:t>720</w:t>
        </w:r>
      </w:hyperlink>
      <w:r>
        <w:rPr>
          <w:position w:val="5"/>
          <w:sz w:val="14"/>
        </w:rPr>
        <w:t>.</w:t>
      </w:r>
      <w:r>
        <w:rPr>
          <w:spacing w:val="40"/>
          <w:position w:val="5"/>
          <w:sz w:val="14"/>
        </w:rPr>
        <w:t>  </w:t>
      </w:r>
      <w:r>
        <w:rPr/>
        <w:t>Lords Fitzgerald and Watson thought that the agreement did not, on its true construction, cover interest. Lords Selborne and Blackburn sympathised with this view but felt unable to adopt it </w:t>
      </w:r>
      <w:r>
        <w:rPr/>
        <w:t>as the operative part of the document was too “clear” to be controlled by the recital: see </w:t>
      </w:r>
      <w:r>
        <w:rPr>
          <w:rFonts w:ascii="Arial" w:hAnsi="Arial"/>
          <w:i/>
        </w:rPr>
        <w:t>(1884) 9 App. Cas. </w:t>
      </w:r>
      <w:r>
        <w:rPr/>
        <w:t>at 610, 614, 615.</w:t>
      </w:r>
    </w:p>
    <w:p>
      <w:pPr>
        <w:pStyle w:val="BodyText"/>
        <w:spacing w:before="4"/>
      </w:pPr>
    </w:p>
    <w:p>
      <w:pPr>
        <w:tabs>
          <w:tab w:pos="705" w:val="left" w:leader="none"/>
        </w:tabs>
        <w:spacing w:line="227" w:lineRule="exact" w:before="0"/>
        <w:ind w:left="165" w:right="0" w:firstLine="0"/>
        <w:jc w:val="left"/>
        <w:rPr>
          <w:sz w:val="20"/>
        </w:rPr>
      </w:pPr>
      <w:bookmarkStart w:name="_bookmark1392" w:id="1394"/>
      <w:bookmarkEnd w:id="1394"/>
      <w:r>
        <w:rPr/>
      </w:r>
      <w:hyperlink w:history="true" w:anchor="_bookmark1348">
        <w:r>
          <w:rPr>
            <w:color w:val="005DA1"/>
            <w:spacing w:val="-4"/>
            <w:position w:val="5"/>
            <w:sz w:val="14"/>
            <w:u w:val="single" w:color="005DA1"/>
          </w:rPr>
          <w:t>721</w:t>
        </w:r>
      </w:hyperlink>
      <w:r>
        <w:rPr>
          <w:spacing w:val="-4"/>
          <w:position w:val="5"/>
          <w:sz w:val="14"/>
        </w:rPr>
        <w:t>.</w:t>
      </w:r>
      <w:r>
        <w:rPr>
          <w:position w:val="5"/>
          <w:sz w:val="14"/>
        </w:rPr>
        <w:tab/>
      </w:r>
      <w:r>
        <w:rPr>
          <w:rFonts w:ascii="Arial"/>
          <w:i/>
          <w:sz w:val="20"/>
        </w:rPr>
        <w:t>[1966]</w:t>
      </w:r>
      <w:r>
        <w:rPr>
          <w:rFonts w:ascii="Arial"/>
          <w:i/>
          <w:spacing w:val="35"/>
          <w:sz w:val="20"/>
        </w:rPr>
        <w:t> </w:t>
      </w:r>
      <w:r>
        <w:rPr>
          <w:rFonts w:ascii="Arial"/>
          <w:i/>
          <w:sz w:val="20"/>
        </w:rPr>
        <w:t>2</w:t>
      </w:r>
      <w:r>
        <w:rPr>
          <w:rFonts w:ascii="Arial"/>
          <w:i/>
          <w:spacing w:val="38"/>
          <w:sz w:val="20"/>
        </w:rPr>
        <w:t> </w:t>
      </w:r>
      <w:r>
        <w:rPr>
          <w:rFonts w:ascii="Arial"/>
          <w:i/>
          <w:sz w:val="20"/>
        </w:rPr>
        <w:t>Q.B.</w:t>
      </w:r>
      <w:r>
        <w:rPr>
          <w:rFonts w:ascii="Arial"/>
          <w:i/>
          <w:spacing w:val="38"/>
          <w:sz w:val="20"/>
        </w:rPr>
        <w:t> </w:t>
      </w:r>
      <w:r>
        <w:rPr>
          <w:rFonts w:ascii="Arial"/>
          <w:i/>
          <w:sz w:val="20"/>
        </w:rPr>
        <w:t>617</w:t>
      </w:r>
      <w:r>
        <w:rPr>
          <w:sz w:val="20"/>
        </w:rPr>
        <w:t>;</w:t>
      </w:r>
      <w:r>
        <w:rPr>
          <w:spacing w:val="38"/>
          <w:sz w:val="20"/>
        </w:rPr>
        <w:t> </w:t>
      </w:r>
      <w:r>
        <w:rPr>
          <w:sz w:val="20"/>
        </w:rPr>
        <w:t>Chorley</w:t>
      </w:r>
      <w:r>
        <w:rPr>
          <w:spacing w:val="38"/>
          <w:sz w:val="20"/>
        </w:rPr>
        <w:t> </w:t>
      </w:r>
      <w:r>
        <w:rPr>
          <w:sz w:val="20"/>
        </w:rPr>
        <w:t>(1966)</w:t>
      </w:r>
      <w:r>
        <w:rPr>
          <w:spacing w:val="38"/>
          <w:sz w:val="20"/>
        </w:rPr>
        <w:t> </w:t>
      </w:r>
      <w:r>
        <w:rPr>
          <w:sz w:val="20"/>
        </w:rPr>
        <w:t>29</w:t>
      </w:r>
      <w:r>
        <w:rPr>
          <w:spacing w:val="38"/>
          <w:sz w:val="20"/>
        </w:rPr>
        <w:t> </w:t>
      </w:r>
      <w:r>
        <w:rPr>
          <w:sz w:val="20"/>
        </w:rPr>
        <w:t>M.L.R.</w:t>
      </w:r>
      <w:r>
        <w:rPr>
          <w:spacing w:val="38"/>
          <w:sz w:val="20"/>
        </w:rPr>
        <w:t> </w:t>
      </w:r>
      <w:r>
        <w:rPr>
          <w:sz w:val="20"/>
        </w:rPr>
        <w:t>165;</w:t>
      </w:r>
      <w:r>
        <w:rPr>
          <w:spacing w:val="38"/>
          <w:sz w:val="20"/>
        </w:rPr>
        <w:t> </w:t>
      </w:r>
      <w:r>
        <w:rPr>
          <w:sz w:val="20"/>
        </w:rPr>
        <w:t>Cornish</w:t>
      </w:r>
      <w:r>
        <w:rPr>
          <w:spacing w:val="38"/>
          <w:sz w:val="20"/>
        </w:rPr>
        <w:t> </w:t>
      </w:r>
      <w:r>
        <w:rPr>
          <w:sz w:val="20"/>
        </w:rPr>
        <w:t>(1966)</w:t>
      </w:r>
      <w:r>
        <w:rPr>
          <w:spacing w:val="38"/>
          <w:sz w:val="20"/>
        </w:rPr>
        <w:t> </w:t>
      </w:r>
      <w:r>
        <w:rPr>
          <w:sz w:val="20"/>
        </w:rPr>
        <w:t>29</w:t>
      </w:r>
      <w:r>
        <w:rPr>
          <w:spacing w:val="38"/>
          <w:sz w:val="20"/>
        </w:rPr>
        <w:t> </w:t>
      </w:r>
      <w:r>
        <w:rPr>
          <w:sz w:val="20"/>
        </w:rPr>
        <w:t>M.L.R.</w:t>
      </w:r>
      <w:r>
        <w:rPr>
          <w:spacing w:val="38"/>
          <w:sz w:val="20"/>
        </w:rPr>
        <w:t> </w:t>
      </w:r>
      <w:r>
        <w:rPr>
          <w:sz w:val="20"/>
        </w:rPr>
        <w:t>428;</w:t>
      </w:r>
      <w:r>
        <w:rPr>
          <w:spacing w:val="38"/>
          <w:sz w:val="20"/>
        </w:rPr>
        <w:t> </w:t>
      </w:r>
      <w:r>
        <w:rPr>
          <w:sz w:val="20"/>
        </w:rPr>
        <w:t>and</w:t>
      </w:r>
      <w:r>
        <w:rPr>
          <w:spacing w:val="38"/>
          <w:sz w:val="20"/>
        </w:rPr>
        <w:t> </w:t>
      </w:r>
      <w:r>
        <w:rPr>
          <w:spacing w:val="-5"/>
          <w:sz w:val="20"/>
        </w:rPr>
        <w:t>see</w:t>
      </w:r>
    </w:p>
    <w:p>
      <w:pPr>
        <w:pStyle w:val="BodyText"/>
        <w:spacing w:line="227" w:lineRule="exact"/>
        <w:ind w:left="705"/>
      </w:pPr>
      <w:r>
        <w:rPr/>
        <w:t>below, para.4-</w:t>
      </w:r>
      <w:r>
        <w:rPr>
          <w:spacing w:val="-4"/>
        </w:rPr>
        <w:t>138.</w:t>
      </w:r>
    </w:p>
    <w:p>
      <w:pPr>
        <w:pStyle w:val="BodyText"/>
        <w:spacing w:before="5"/>
      </w:pPr>
    </w:p>
    <w:p>
      <w:pPr>
        <w:tabs>
          <w:tab w:pos="705" w:val="left" w:leader="none"/>
        </w:tabs>
        <w:spacing w:before="1"/>
        <w:ind w:left="165" w:right="0" w:firstLine="0"/>
        <w:jc w:val="left"/>
        <w:rPr>
          <w:sz w:val="20"/>
        </w:rPr>
      </w:pPr>
      <w:bookmarkStart w:name="_bookmark1393" w:id="1395"/>
      <w:bookmarkEnd w:id="1395"/>
      <w:r>
        <w:rPr/>
      </w:r>
      <w:hyperlink w:history="true" w:anchor="_bookmark1349">
        <w:r>
          <w:rPr>
            <w:color w:val="005DA1"/>
            <w:spacing w:val="-4"/>
            <w:position w:val="5"/>
            <w:sz w:val="14"/>
            <w:u w:val="single" w:color="005DA1"/>
          </w:rPr>
          <w:t>722</w:t>
        </w:r>
      </w:hyperlink>
      <w:r>
        <w:rPr>
          <w:spacing w:val="-4"/>
          <w:position w:val="5"/>
          <w:sz w:val="14"/>
        </w:rPr>
        <w:t>.</w:t>
      </w:r>
      <w:r>
        <w:rPr>
          <w:position w:val="5"/>
          <w:sz w:val="14"/>
        </w:rPr>
        <w:tab/>
      </w:r>
      <w:r>
        <w:rPr>
          <w:rFonts w:ascii="Arial"/>
          <w:i/>
          <w:sz w:val="20"/>
        </w:rPr>
        <w:t>[1966] 2 Q.B. </w:t>
      </w:r>
      <w:r>
        <w:rPr>
          <w:sz w:val="20"/>
        </w:rPr>
        <w:t>at </w:t>
      </w:r>
      <w:r>
        <w:rPr>
          <w:spacing w:val="-4"/>
          <w:sz w:val="20"/>
        </w:rPr>
        <w:t>625.</w:t>
      </w:r>
    </w:p>
    <w:p>
      <w:pPr>
        <w:pStyle w:val="BodyText"/>
        <w:spacing w:before="4"/>
      </w:pPr>
    </w:p>
    <w:p>
      <w:pPr>
        <w:pStyle w:val="BodyText"/>
        <w:tabs>
          <w:tab w:pos="705" w:val="left" w:leader="none"/>
        </w:tabs>
        <w:spacing w:before="1"/>
        <w:ind w:left="165"/>
      </w:pPr>
      <w:bookmarkStart w:name="_bookmark1394" w:id="1396"/>
      <w:bookmarkEnd w:id="1396"/>
      <w:r>
        <w:rPr/>
      </w:r>
      <w:hyperlink w:history="true" w:anchor="_bookmark1350">
        <w:r>
          <w:rPr>
            <w:color w:val="005DA1"/>
            <w:spacing w:val="-4"/>
            <w:position w:val="5"/>
            <w:sz w:val="14"/>
            <w:u w:val="single" w:color="005DA1"/>
          </w:rPr>
          <w:t>723</w:t>
        </w:r>
      </w:hyperlink>
      <w:r>
        <w:rPr>
          <w:spacing w:val="-4"/>
          <w:position w:val="5"/>
          <w:sz w:val="14"/>
        </w:rPr>
        <w:t>.</w:t>
      </w:r>
      <w:r>
        <w:rPr>
          <w:position w:val="5"/>
          <w:sz w:val="14"/>
        </w:rPr>
        <w:tab/>
      </w:r>
      <w:r>
        <w:rPr/>
        <w:t>Lord Denning, M.R. based his decision on a different ground: below, para.4-</w:t>
      </w:r>
      <w:r>
        <w:rPr>
          <w:spacing w:val="-4"/>
        </w:rPr>
        <w:t>138.</w:t>
      </w:r>
    </w:p>
    <w:p>
      <w:pPr>
        <w:pStyle w:val="BodyText"/>
        <w:spacing w:before="4"/>
      </w:pPr>
    </w:p>
    <w:p>
      <w:pPr>
        <w:pStyle w:val="BodyText"/>
        <w:tabs>
          <w:tab w:pos="705" w:val="left" w:leader="none"/>
        </w:tabs>
        <w:spacing w:before="1"/>
        <w:ind w:left="165"/>
      </w:pPr>
      <w:bookmarkStart w:name="_bookmark1395" w:id="1397"/>
      <w:bookmarkEnd w:id="1397"/>
      <w:r>
        <w:rPr/>
      </w:r>
      <w:hyperlink w:history="true" w:anchor="_bookmark1351">
        <w:r>
          <w:rPr>
            <w:color w:val="005DA1"/>
            <w:spacing w:val="-4"/>
            <w:position w:val="5"/>
            <w:sz w:val="14"/>
            <w:u w:val="single" w:color="005DA1"/>
          </w:rPr>
          <w:t>724</w:t>
        </w:r>
      </w:hyperlink>
      <w:r>
        <w:rPr>
          <w:spacing w:val="-4"/>
          <w:position w:val="5"/>
          <w:sz w:val="14"/>
        </w:rPr>
        <w:t>.</w:t>
      </w:r>
      <w:r>
        <w:rPr>
          <w:position w:val="5"/>
          <w:sz w:val="14"/>
        </w:rPr>
        <w:tab/>
      </w:r>
      <w:r>
        <w:rPr/>
        <w:t>cf. above, para.4-</w:t>
      </w:r>
      <w:r>
        <w:rPr>
          <w:spacing w:val="-4"/>
        </w:rPr>
        <w:t>068.</w:t>
      </w:r>
    </w:p>
    <w:p>
      <w:pPr>
        <w:pStyle w:val="BodyText"/>
        <w:spacing w:before="8"/>
      </w:pPr>
    </w:p>
    <w:p>
      <w:pPr>
        <w:tabs>
          <w:tab w:pos="705" w:val="left" w:leader="none"/>
        </w:tabs>
        <w:spacing w:line="235" w:lineRule="auto" w:before="0"/>
        <w:ind w:left="705" w:right="168" w:hanging="541"/>
        <w:jc w:val="left"/>
        <w:rPr>
          <w:sz w:val="20"/>
        </w:rPr>
      </w:pPr>
      <w:bookmarkStart w:name="_bookmark1396" w:id="1398"/>
      <w:bookmarkEnd w:id="1398"/>
      <w:r>
        <w:rPr/>
      </w:r>
      <w:hyperlink w:history="true" w:anchor="_bookmark1352">
        <w:r>
          <w:rPr>
            <w:color w:val="005DA1"/>
            <w:spacing w:val="-4"/>
            <w:position w:val="5"/>
            <w:sz w:val="14"/>
            <w:u w:val="single" w:color="005DA1"/>
          </w:rPr>
          <w:t>725</w:t>
        </w:r>
      </w:hyperlink>
      <w:r>
        <w:rPr>
          <w:spacing w:val="-4"/>
          <w:position w:val="5"/>
          <w:sz w:val="14"/>
        </w:rPr>
        <w:t>.</w:t>
      </w:r>
      <w:r>
        <w:rPr>
          <w:position w:val="5"/>
          <w:sz w:val="14"/>
        </w:rPr>
        <w:tab/>
      </w:r>
      <w:r>
        <w:rPr>
          <w:sz w:val="20"/>
        </w:rPr>
        <w:t>e.g. on the facts of </w:t>
      </w:r>
      <w:r>
        <w:rPr>
          <w:rFonts w:ascii="Arial"/>
          <w:i/>
          <w:sz w:val="20"/>
        </w:rPr>
        <w:t>Central London Property Trust Ltd v High Trees House Ltd [1947] K.B. </w:t>
      </w:r>
      <w:r>
        <w:rPr>
          <w:rFonts w:ascii="Arial"/>
          <w:i/>
          <w:sz w:val="20"/>
        </w:rPr>
        <w:t>130</w:t>
      </w:r>
      <w:r>
        <w:rPr>
          <w:sz w:val="20"/>
        </w:rPr>
        <w:t>; below, para.4-130.</w:t>
      </w:r>
    </w:p>
    <w:p>
      <w:pPr>
        <w:pStyle w:val="BodyText"/>
        <w:spacing w:before="9"/>
      </w:pPr>
    </w:p>
    <w:p>
      <w:pPr>
        <w:spacing w:line="235" w:lineRule="auto" w:before="1"/>
        <w:ind w:left="705" w:right="168" w:hanging="541"/>
        <w:jc w:val="both"/>
        <w:rPr>
          <w:sz w:val="20"/>
        </w:rPr>
      </w:pPr>
      <w:bookmarkStart w:name="_bookmark1397" w:id="1399"/>
      <w:bookmarkEnd w:id="1399"/>
      <w:r>
        <w:rPr/>
      </w:r>
      <w:hyperlink w:history="true" w:anchor="_bookmark1352">
        <w:r>
          <w:rPr>
            <w:color w:val="005DA1"/>
            <w:position w:val="5"/>
            <w:sz w:val="14"/>
            <w:u w:val="single" w:color="005DA1"/>
          </w:rPr>
          <w:t>726</w:t>
        </w:r>
      </w:hyperlink>
      <w:r>
        <w:rPr>
          <w:position w:val="5"/>
          <w:sz w:val="14"/>
        </w:rPr>
        <w:t>.</w:t>
      </w:r>
      <w:r>
        <w:rPr>
          <w:spacing w:val="80"/>
          <w:position w:val="5"/>
          <w:sz w:val="14"/>
        </w:rPr>
        <w:t>  </w:t>
      </w:r>
      <w:r>
        <w:rPr>
          <w:sz w:val="20"/>
        </w:rPr>
        <w:t>Especially by Lord Blackburn: </w:t>
      </w:r>
      <w:r>
        <w:rPr>
          <w:rFonts w:ascii="Arial" w:hAnsi="Arial"/>
          <w:i/>
          <w:sz w:val="20"/>
        </w:rPr>
        <w:t>(1884) 9 App. Cas. </w:t>
      </w:r>
      <w:r>
        <w:rPr>
          <w:sz w:val="20"/>
        </w:rPr>
        <w:t>at 617–622; see also Lord Selborne at 613 and </w:t>
      </w:r>
      <w:r>
        <w:rPr>
          <w:rFonts w:ascii="Arial" w:hAnsi="Arial"/>
          <w:i/>
          <w:sz w:val="20"/>
        </w:rPr>
        <w:t>Couldery v Bartrum (1881) 19 Ch.D. 394, 399</w:t>
      </w:r>
      <w:r>
        <w:rPr>
          <w:sz w:val="20"/>
        </w:rPr>
        <w:t>, where Jessel, M.R. called the rule “a most extraordinary peculiarity of English law.”</w:t>
      </w:r>
    </w:p>
    <w:p>
      <w:pPr>
        <w:pStyle w:val="BodyText"/>
        <w:spacing w:before="5"/>
      </w:pPr>
    </w:p>
    <w:p>
      <w:pPr>
        <w:tabs>
          <w:tab w:pos="705" w:val="left" w:leader="none"/>
        </w:tabs>
        <w:spacing w:before="0"/>
        <w:ind w:left="165" w:right="0" w:firstLine="0"/>
        <w:jc w:val="left"/>
        <w:rPr>
          <w:sz w:val="20"/>
        </w:rPr>
      </w:pPr>
      <w:bookmarkStart w:name="_bookmark1398" w:id="1400"/>
      <w:bookmarkEnd w:id="1400"/>
      <w:r>
        <w:rPr/>
      </w:r>
      <w:hyperlink w:history="true" w:anchor="_bookmark1353">
        <w:r>
          <w:rPr>
            <w:color w:val="005DA1"/>
            <w:spacing w:val="-4"/>
            <w:position w:val="5"/>
            <w:sz w:val="14"/>
            <w:u w:val="single" w:color="005DA1"/>
          </w:rPr>
          <w:t>727</w:t>
        </w:r>
      </w:hyperlink>
      <w:r>
        <w:rPr>
          <w:spacing w:val="-4"/>
          <w:position w:val="5"/>
          <w:sz w:val="14"/>
        </w:rPr>
        <w:t>.</w:t>
      </w:r>
      <w:r>
        <w:rPr>
          <w:position w:val="5"/>
          <w:sz w:val="14"/>
        </w:rPr>
        <w:tab/>
      </w:r>
      <w:r>
        <w:rPr>
          <w:sz w:val="20"/>
        </w:rPr>
        <w:t>Above, para.4-</w:t>
      </w:r>
      <w:r>
        <w:rPr>
          <w:spacing w:val="-4"/>
          <w:sz w:val="20"/>
        </w:rPr>
        <w:t>004.</w:t>
      </w:r>
    </w:p>
    <w:p>
      <w:pPr>
        <w:pStyle w:val="BodyText"/>
        <w:spacing w:before="5"/>
      </w:pPr>
    </w:p>
    <w:p>
      <w:pPr>
        <w:tabs>
          <w:tab w:pos="705" w:val="left" w:leader="none"/>
        </w:tabs>
        <w:spacing w:before="0"/>
        <w:ind w:left="165" w:right="0" w:firstLine="0"/>
        <w:jc w:val="left"/>
        <w:rPr>
          <w:sz w:val="20"/>
        </w:rPr>
      </w:pPr>
      <w:bookmarkStart w:name="_bookmark1399" w:id="1401"/>
      <w:bookmarkEnd w:id="1401"/>
      <w:r>
        <w:rPr/>
      </w:r>
      <w:hyperlink w:history="true" w:anchor="_bookmark1354">
        <w:r>
          <w:rPr>
            <w:color w:val="005DA1"/>
            <w:spacing w:val="-4"/>
            <w:position w:val="5"/>
            <w:sz w:val="14"/>
            <w:u w:val="single" w:color="005DA1"/>
          </w:rPr>
          <w:t>728</w:t>
        </w:r>
      </w:hyperlink>
      <w:r>
        <w:rPr>
          <w:spacing w:val="-4"/>
          <w:position w:val="5"/>
          <w:sz w:val="14"/>
        </w:rPr>
        <w:t>.</w:t>
      </w:r>
      <w:r>
        <w:rPr>
          <w:position w:val="5"/>
          <w:sz w:val="14"/>
        </w:rPr>
        <w:tab/>
      </w:r>
      <w:r>
        <w:rPr>
          <w:rFonts w:ascii="Arial"/>
          <w:i/>
          <w:sz w:val="20"/>
        </w:rPr>
        <w:t>Williams</w:t>
      </w:r>
      <w:r>
        <w:rPr>
          <w:rFonts w:ascii="Arial"/>
          <w:i/>
          <w:spacing w:val="-1"/>
          <w:sz w:val="20"/>
        </w:rPr>
        <w:t> </w:t>
      </w:r>
      <w:r>
        <w:rPr>
          <w:rFonts w:ascii="Arial"/>
          <w:i/>
          <w:sz w:val="20"/>
        </w:rPr>
        <w:t>v Roffey Bros. &amp; Nicholls (Contractors) Ltd [1991] 1 Q.B. 1</w:t>
      </w:r>
      <w:r>
        <w:rPr>
          <w:sz w:val="20"/>
        </w:rPr>
        <w:t>, above para.4-</w:t>
      </w:r>
      <w:r>
        <w:rPr>
          <w:spacing w:val="-4"/>
          <w:sz w:val="20"/>
        </w:rPr>
        <w:t>069.</w:t>
      </w:r>
    </w:p>
    <w:p>
      <w:pPr>
        <w:pStyle w:val="BodyText"/>
        <w:spacing w:before="8"/>
      </w:pPr>
    </w:p>
    <w:p>
      <w:pPr>
        <w:spacing w:line="235" w:lineRule="auto" w:before="1"/>
        <w:ind w:left="705" w:right="168" w:hanging="541"/>
        <w:jc w:val="both"/>
        <w:rPr>
          <w:rFonts w:ascii="Arial"/>
          <w:i/>
          <w:sz w:val="20"/>
        </w:rPr>
      </w:pPr>
      <w:bookmarkStart w:name="_bookmark1400" w:id="1402"/>
      <w:bookmarkEnd w:id="1402"/>
      <w:r>
        <w:rPr/>
      </w:r>
      <w:hyperlink w:history="true" w:anchor="_bookmark1355">
        <w:r>
          <w:rPr>
            <w:color w:val="005DA1"/>
            <w:position w:val="5"/>
            <w:sz w:val="14"/>
            <w:u w:val="single" w:color="005DA1"/>
          </w:rPr>
          <w:t>729</w:t>
        </w:r>
      </w:hyperlink>
      <w:r>
        <w:rPr>
          <w:position w:val="5"/>
          <w:sz w:val="14"/>
        </w:rPr>
        <w:t>.</w:t>
      </w:r>
      <w:r>
        <w:rPr>
          <w:spacing w:val="80"/>
          <w:position w:val="5"/>
          <w:sz w:val="14"/>
        </w:rPr>
        <w:t>  </w:t>
      </w:r>
      <w:r>
        <w:rPr>
          <w:rFonts w:ascii="Arial"/>
          <w:i/>
          <w:sz w:val="20"/>
        </w:rPr>
        <w:t>Re</w:t>
      </w:r>
      <w:r>
        <w:rPr>
          <w:rFonts w:ascii="Arial"/>
          <w:i/>
          <w:spacing w:val="-2"/>
          <w:sz w:val="20"/>
        </w:rPr>
        <w:t> </w:t>
      </w:r>
      <w:r>
        <w:rPr>
          <w:rFonts w:ascii="Arial"/>
          <w:i/>
          <w:sz w:val="20"/>
        </w:rPr>
        <w:t>Selectmove</w:t>
      </w:r>
      <w:r>
        <w:rPr>
          <w:rFonts w:ascii="Arial"/>
          <w:i/>
          <w:spacing w:val="-2"/>
          <w:sz w:val="20"/>
        </w:rPr>
        <w:t> </w:t>
      </w:r>
      <w:r>
        <w:rPr>
          <w:rFonts w:ascii="Arial"/>
          <w:i/>
          <w:sz w:val="20"/>
        </w:rPr>
        <w:t>[1995]</w:t>
      </w:r>
      <w:r>
        <w:rPr>
          <w:rFonts w:ascii="Arial"/>
          <w:i/>
          <w:spacing w:val="-2"/>
          <w:sz w:val="20"/>
        </w:rPr>
        <w:t> </w:t>
      </w:r>
      <w:r>
        <w:rPr>
          <w:rFonts w:ascii="Arial"/>
          <w:i/>
          <w:sz w:val="20"/>
        </w:rPr>
        <w:t>1</w:t>
      </w:r>
      <w:r>
        <w:rPr>
          <w:rFonts w:ascii="Arial"/>
          <w:i/>
          <w:spacing w:val="-2"/>
          <w:sz w:val="20"/>
        </w:rPr>
        <w:t> </w:t>
      </w:r>
      <w:r>
        <w:rPr>
          <w:rFonts w:ascii="Arial"/>
          <w:i/>
          <w:sz w:val="20"/>
        </w:rPr>
        <w:t>W.L.R.</w:t>
      </w:r>
      <w:r>
        <w:rPr>
          <w:rFonts w:ascii="Arial"/>
          <w:i/>
          <w:spacing w:val="-2"/>
          <w:sz w:val="20"/>
        </w:rPr>
        <w:t> </w:t>
      </w:r>
      <w:r>
        <w:rPr>
          <w:rFonts w:ascii="Arial"/>
          <w:i/>
          <w:sz w:val="20"/>
        </w:rPr>
        <w:t>474</w:t>
      </w:r>
      <w:r>
        <w:rPr>
          <w:sz w:val="20"/>
        </w:rPr>
        <w:t>,</w:t>
      </w:r>
      <w:r>
        <w:rPr>
          <w:spacing w:val="-2"/>
          <w:sz w:val="20"/>
        </w:rPr>
        <w:t> </w:t>
      </w:r>
      <w:r>
        <w:rPr>
          <w:sz w:val="20"/>
        </w:rPr>
        <w:t>where</w:t>
      </w:r>
      <w:r>
        <w:rPr>
          <w:spacing w:val="-2"/>
          <w:sz w:val="20"/>
        </w:rPr>
        <w:t> </w:t>
      </w:r>
      <w:r>
        <w:rPr>
          <w:sz w:val="20"/>
        </w:rPr>
        <w:t>the</w:t>
      </w:r>
      <w:r>
        <w:rPr>
          <w:spacing w:val="-2"/>
          <w:sz w:val="20"/>
        </w:rPr>
        <w:t> </w:t>
      </w:r>
      <w:r>
        <w:rPr>
          <w:sz w:val="20"/>
        </w:rPr>
        <w:t>Court</w:t>
      </w:r>
      <w:r>
        <w:rPr>
          <w:spacing w:val="-2"/>
          <w:sz w:val="20"/>
        </w:rPr>
        <w:t> </w:t>
      </w:r>
      <w:r>
        <w:rPr>
          <w:sz w:val="20"/>
        </w:rPr>
        <w:t>of</w:t>
      </w:r>
      <w:r>
        <w:rPr>
          <w:spacing w:val="-2"/>
          <w:sz w:val="20"/>
        </w:rPr>
        <w:t> </w:t>
      </w:r>
      <w:r>
        <w:rPr>
          <w:sz w:val="20"/>
        </w:rPr>
        <w:t>Appeal</w:t>
      </w:r>
      <w:r>
        <w:rPr>
          <w:spacing w:val="-2"/>
          <w:sz w:val="20"/>
        </w:rPr>
        <w:t> </w:t>
      </w:r>
      <w:r>
        <w:rPr>
          <w:sz w:val="20"/>
        </w:rPr>
        <w:t>refused</w:t>
      </w:r>
      <w:r>
        <w:rPr>
          <w:spacing w:val="-2"/>
          <w:sz w:val="20"/>
        </w:rPr>
        <w:t> </w:t>
      </w:r>
      <w:r>
        <w:rPr>
          <w:sz w:val="20"/>
        </w:rPr>
        <w:t>to</w:t>
      </w:r>
      <w:r>
        <w:rPr>
          <w:spacing w:val="-2"/>
          <w:sz w:val="20"/>
        </w:rPr>
        <w:t> </w:t>
      </w:r>
      <w:r>
        <w:rPr>
          <w:sz w:val="20"/>
        </w:rPr>
        <w:t>apply</w:t>
      </w:r>
      <w:r>
        <w:rPr>
          <w:spacing w:val="-2"/>
          <w:sz w:val="20"/>
        </w:rPr>
        <w:t> </w:t>
      </w:r>
      <w:r>
        <w:rPr>
          <w:sz w:val="20"/>
        </w:rPr>
        <w:t>the</w:t>
      </w:r>
      <w:r>
        <w:rPr>
          <w:spacing w:val="-2"/>
          <w:sz w:val="20"/>
        </w:rPr>
        <w:t> </w:t>
      </w:r>
      <w:r>
        <w:rPr>
          <w:sz w:val="20"/>
        </w:rPr>
        <w:t>principle</w:t>
      </w:r>
      <w:r>
        <w:rPr>
          <w:spacing w:val="-2"/>
          <w:sz w:val="20"/>
        </w:rPr>
        <w:t> </w:t>
      </w:r>
      <w:r>
        <w:rPr>
          <w:sz w:val="20"/>
        </w:rPr>
        <w:t>of the </w:t>
      </w:r>
      <w:r>
        <w:rPr>
          <w:rFonts w:ascii="Arial"/>
          <w:i/>
          <w:sz w:val="20"/>
        </w:rPr>
        <w:t>Williams </w:t>
      </w:r>
      <w:r>
        <w:rPr>
          <w:sz w:val="20"/>
        </w:rPr>
        <w:t>case, above n.712, in the present context; Peel, (1994) 110 L.Q.R. 353; </w:t>
      </w:r>
      <w:r>
        <w:rPr>
          <w:rFonts w:ascii="Arial"/>
          <w:i/>
          <w:sz w:val="20"/>
        </w:rPr>
        <w:t>Collier v P &amp; M.J. Wright (Holdings) Ltd [2007] EWCA Civ 1329, [2008] 1 W.L.R. 643 </w:t>
      </w:r>
      <w:r>
        <w:rPr>
          <w:sz w:val="20"/>
        </w:rPr>
        <w:t>at [27(i)], [44] (as to which see also below, n.714);</w:t>
      </w:r>
      <w:r>
        <w:rPr>
          <w:spacing w:val="-1"/>
          <w:sz w:val="20"/>
        </w:rPr>
        <w:t> </w:t>
      </w:r>
      <w:r>
        <w:rPr>
          <w:rFonts w:ascii="Arial"/>
          <w:i/>
          <w:sz w:val="20"/>
        </w:rPr>
        <w:t>Birmingham City Council v Forde [2009] EWHC 12 (QB), [2009] </w:t>
      </w:r>
      <w:r>
        <w:rPr>
          <w:rFonts w:ascii="Arial"/>
          <w:i/>
          <w:spacing w:val="-10"/>
          <w:sz w:val="20"/>
        </w:rPr>
        <w:t>1</w:t>
      </w:r>
    </w:p>
    <w:p>
      <w:pPr>
        <w:spacing w:line="225" w:lineRule="exact" w:before="0"/>
        <w:ind w:left="705" w:right="0" w:firstLine="0"/>
        <w:jc w:val="left"/>
        <w:rPr>
          <w:sz w:val="20"/>
        </w:rPr>
      </w:pPr>
      <w:r>
        <w:rPr>
          <w:rFonts w:ascii="Arial"/>
          <w:i/>
          <w:sz w:val="20"/>
        </w:rPr>
        <w:t>W.L.R. 2732</w:t>
      </w:r>
      <w:r>
        <w:rPr>
          <w:rFonts w:ascii="Arial"/>
          <w:i/>
          <w:spacing w:val="-1"/>
          <w:sz w:val="20"/>
        </w:rPr>
        <w:t> </w:t>
      </w:r>
      <w:r>
        <w:rPr>
          <w:sz w:val="20"/>
        </w:rPr>
        <w:t>at </w:t>
      </w:r>
      <w:r>
        <w:rPr>
          <w:spacing w:val="-2"/>
          <w:sz w:val="20"/>
        </w:rPr>
        <w:t>[89].</w:t>
      </w:r>
    </w:p>
    <w:p>
      <w:pPr>
        <w:pStyle w:val="BodyText"/>
        <w:spacing w:before="8"/>
      </w:pPr>
    </w:p>
    <w:p>
      <w:pPr>
        <w:pStyle w:val="BodyText"/>
        <w:spacing w:line="235" w:lineRule="auto"/>
        <w:ind w:left="705" w:right="167" w:hanging="541"/>
        <w:jc w:val="both"/>
      </w:pPr>
      <w:bookmarkStart w:name="_bookmark1401" w:id="1403"/>
      <w:bookmarkEnd w:id="1403"/>
      <w:r>
        <w:rPr/>
      </w:r>
      <w:hyperlink w:history="true" w:anchor="_bookmark1356">
        <w:r>
          <w:rPr>
            <w:color w:val="005DA1"/>
            <w:position w:val="5"/>
            <w:sz w:val="14"/>
            <w:u w:val="single" w:color="005DA1"/>
          </w:rPr>
          <w:t>730</w:t>
        </w:r>
      </w:hyperlink>
      <w:r>
        <w:rPr>
          <w:position w:val="5"/>
          <w:sz w:val="14"/>
        </w:rPr>
        <w:t>.</w:t>
      </w:r>
      <w:r>
        <w:rPr>
          <w:spacing w:val="80"/>
          <w:position w:val="5"/>
          <w:sz w:val="14"/>
        </w:rPr>
        <w:t>  </w:t>
      </w:r>
      <w:r>
        <w:rPr/>
        <w:t>In</w:t>
      </w:r>
      <w:r>
        <w:rPr>
          <w:spacing w:val="-1"/>
        </w:rPr>
        <w:t> </w:t>
      </w:r>
      <w:r>
        <w:rPr>
          <w:rFonts w:ascii="Arial" w:hAnsi="Arial"/>
          <w:i/>
        </w:rPr>
        <w:t>Collier</w:t>
      </w:r>
      <w:r>
        <w:rPr>
          <w:rFonts w:ascii="Arial" w:hAnsi="Arial"/>
          <w:i/>
          <w:spacing w:val="-1"/>
        </w:rPr>
        <w:t> </w:t>
      </w:r>
      <w:r>
        <w:rPr>
          <w:rFonts w:ascii="Arial" w:hAnsi="Arial"/>
          <w:i/>
        </w:rPr>
        <w:t>v</w:t>
      </w:r>
      <w:r>
        <w:rPr>
          <w:rFonts w:ascii="Arial" w:hAnsi="Arial"/>
          <w:i/>
          <w:spacing w:val="-1"/>
        </w:rPr>
        <w:t> </w:t>
      </w:r>
      <w:r>
        <w:rPr>
          <w:rFonts w:ascii="Arial" w:hAnsi="Arial"/>
          <w:i/>
        </w:rPr>
        <w:t>P</w:t>
      </w:r>
      <w:r>
        <w:rPr>
          <w:rFonts w:ascii="Arial" w:hAnsi="Arial"/>
          <w:i/>
          <w:spacing w:val="-1"/>
        </w:rPr>
        <w:t> </w:t>
      </w:r>
      <w:r>
        <w:rPr>
          <w:rFonts w:ascii="Arial" w:hAnsi="Arial"/>
          <w:i/>
        </w:rPr>
        <w:t>&amp;</w:t>
      </w:r>
      <w:r>
        <w:rPr>
          <w:rFonts w:ascii="Arial" w:hAnsi="Arial"/>
          <w:i/>
          <w:spacing w:val="-1"/>
        </w:rPr>
        <w:t> </w:t>
      </w:r>
      <w:r>
        <w:rPr>
          <w:rFonts w:ascii="Arial" w:hAnsi="Arial"/>
          <w:i/>
        </w:rPr>
        <w:t>M.J.</w:t>
      </w:r>
      <w:r>
        <w:rPr>
          <w:rFonts w:ascii="Arial" w:hAnsi="Arial"/>
          <w:i/>
          <w:spacing w:val="-1"/>
        </w:rPr>
        <w:t> </w:t>
      </w:r>
      <w:r>
        <w:rPr>
          <w:rFonts w:ascii="Arial" w:hAnsi="Arial"/>
          <w:i/>
        </w:rPr>
        <w:t>Wright</w:t>
      </w:r>
      <w:r>
        <w:rPr>
          <w:rFonts w:ascii="Arial" w:hAnsi="Arial"/>
          <w:i/>
          <w:spacing w:val="-1"/>
        </w:rPr>
        <w:t> </w:t>
      </w:r>
      <w:r>
        <w:rPr>
          <w:rFonts w:ascii="Arial" w:hAnsi="Arial"/>
          <w:i/>
        </w:rPr>
        <w:t>(Holdings)</w:t>
      </w:r>
      <w:r>
        <w:rPr>
          <w:rFonts w:ascii="Arial" w:hAnsi="Arial"/>
          <w:i/>
          <w:spacing w:val="-1"/>
        </w:rPr>
        <w:t> </w:t>
      </w:r>
      <w:r>
        <w:rPr>
          <w:rFonts w:ascii="Arial" w:hAnsi="Arial"/>
          <w:i/>
        </w:rPr>
        <w:t>Ltd</w:t>
      </w:r>
      <w:r>
        <w:rPr>
          <w:rFonts w:ascii="Arial" w:hAnsi="Arial"/>
          <w:i/>
          <w:spacing w:val="-1"/>
        </w:rPr>
        <w:t> </w:t>
      </w:r>
      <w:r>
        <w:rPr/>
        <w:t>above,</w:t>
      </w:r>
      <w:r>
        <w:rPr>
          <w:spacing w:val="-1"/>
        </w:rPr>
        <w:t> </w:t>
      </w:r>
      <w:r>
        <w:rPr/>
        <w:t>n.713</w:t>
      </w:r>
      <w:r>
        <w:rPr>
          <w:spacing w:val="-1"/>
        </w:rPr>
        <w:t> </w:t>
      </w:r>
      <w:r>
        <w:rPr/>
        <w:t>Arden</w:t>
      </w:r>
      <w:r>
        <w:rPr>
          <w:spacing w:val="-1"/>
        </w:rPr>
        <w:t> </w:t>
      </w:r>
      <w:r>
        <w:rPr/>
        <w:t>L.J.</w:t>
      </w:r>
      <w:r>
        <w:rPr>
          <w:spacing w:val="-1"/>
        </w:rPr>
        <w:t> </w:t>
      </w:r>
      <w:r>
        <w:rPr/>
        <w:t>said</w:t>
      </w:r>
      <w:r>
        <w:rPr>
          <w:spacing w:val="-1"/>
        </w:rPr>
        <w:t> </w:t>
      </w:r>
      <w:r>
        <w:rPr/>
        <w:t>at</w:t>
      </w:r>
      <w:r>
        <w:rPr>
          <w:spacing w:val="-1"/>
        </w:rPr>
        <w:t> </w:t>
      </w:r>
      <w:r>
        <w:rPr/>
        <w:t>[3]</w:t>
      </w:r>
      <w:r>
        <w:rPr>
          <w:spacing w:val="-1"/>
        </w:rPr>
        <w:t> </w:t>
      </w:r>
      <w:r>
        <w:rPr/>
        <w:t>that</w:t>
      </w:r>
      <w:r>
        <w:rPr>
          <w:spacing w:val="-1"/>
        </w:rPr>
        <w:t> </w:t>
      </w:r>
      <w:r>
        <w:rPr/>
        <w:t>“the</w:t>
      </w:r>
      <w:r>
        <w:rPr>
          <w:spacing w:val="-1"/>
        </w:rPr>
        <w:t> </w:t>
      </w:r>
      <w:r>
        <w:rPr/>
        <w:t>rule</w:t>
      </w:r>
      <w:r>
        <w:rPr>
          <w:spacing w:val="-1"/>
        </w:rPr>
        <w:t> </w:t>
      </w:r>
      <w:r>
        <w:rPr/>
        <w:t>does not apply where the debt arises from the provision of services: </w:t>
      </w:r>
      <w:r>
        <w:rPr>
          <w:rFonts w:ascii="Arial" w:hAnsi="Arial"/>
          <w:i/>
        </w:rPr>
        <w:t>Williams v Roffey [1991] 1 Q.B. 1</w:t>
      </w:r>
      <w:r>
        <w:rPr/>
        <w:t>”; but that </w:t>
      </w:r>
      <w:r>
        <w:rPr>
          <w:rFonts w:ascii="Arial" w:hAnsi="Arial"/>
          <w:i/>
        </w:rPr>
        <w:t>Re Selectmove [1995] 1 W.L.R 474 </w:t>
      </w:r>
      <w:r>
        <w:rPr/>
        <w:t>had “confirmed that a promise to pay part of </w:t>
      </w:r>
      <w:r>
        <w:rPr/>
        <w:t>the money to which the creditor is already entitled is not good consideration.” The reference to “the rule” in the first part of this statement appears to be to “the rule in </w:t>
      </w:r>
      <w:r>
        <w:rPr>
          <w:rFonts w:ascii="Arial" w:hAnsi="Arial"/>
          <w:i/>
        </w:rPr>
        <w:t>Pinnel’s case</w:t>
      </w:r>
      <w:r>
        <w:rPr/>
        <w:t>” (at [3]) </w:t>
      </w:r>
      <w:r>
        <w:rPr>
          <w:rFonts w:ascii="Arial" w:hAnsi="Arial"/>
          <w:i/>
        </w:rPr>
        <w:t>(1603)</w:t>
      </w:r>
      <w:r>
        <w:rPr>
          <w:rFonts w:ascii="Arial" w:hAnsi="Arial"/>
          <w:i/>
          <w:spacing w:val="40"/>
        </w:rPr>
        <w:t> </w:t>
      </w:r>
      <w:r>
        <w:rPr>
          <w:rFonts w:ascii="Arial" w:hAnsi="Arial"/>
          <w:i/>
        </w:rPr>
        <w:t>5 Co.Rep. 117a</w:t>
      </w:r>
      <w:r>
        <w:rPr/>
        <w:t>, (above, para.4-117) but it is respectfully submitted that this rule was not under consideration in the </w:t>
      </w:r>
      <w:r>
        <w:rPr>
          <w:rFonts w:ascii="Arial" w:hAnsi="Arial"/>
          <w:i/>
        </w:rPr>
        <w:t>Williams </w:t>
      </w:r>
      <w:r>
        <w:rPr/>
        <w:t>case. The issue in that case was not whether payment of </w:t>
      </w:r>
      <w:r>
        <w:rPr>
          <w:rFonts w:ascii="Arial" w:hAnsi="Arial"/>
          <w:i/>
        </w:rPr>
        <w:t>less</w:t>
      </w:r>
      <w:r>
        <w:rPr>
          <w:rFonts w:ascii="Arial" w:hAnsi="Arial"/>
          <w:i/>
          <w:spacing w:val="40"/>
        </w:rPr>
        <w:t> </w:t>
      </w:r>
      <w:r>
        <w:rPr/>
        <w:t>than the amount due could be good consideration for the creditor’s promise to forgo the balance.</w:t>
      </w:r>
      <w:r>
        <w:rPr>
          <w:spacing w:val="-3"/>
        </w:rPr>
        <w:t> </w:t>
      </w:r>
      <w:r>
        <w:rPr/>
        <w:t>It</w:t>
      </w:r>
      <w:r>
        <w:rPr>
          <w:spacing w:val="-3"/>
        </w:rPr>
        <w:t> </w:t>
      </w:r>
      <w:r>
        <w:rPr/>
        <w:t>was</w:t>
      </w:r>
      <w:r>
        <w:rPr>
          <w:spacing w:val="-3"/>
        </w:rPr>
        <w:t> </w:t>
      </w:r>
      <w:r>
        <w:rPr/>
        <w:t>whether</w:t>
      </w:r>
      <w:r>
        <w:rPr>
          <w:spacing w:val="-3"/>
        </w:rPr>
        <w:t> </w:t>
      </w:r>
      <w:r>
        <w:rPr/>
        <w:t>performance</w:t>
      </w:r>
      <w:r>
        <w:rPr>
          <w:spacing w:val="-3"/>
        </w:rPr>
        <w:t> </w:t>
      </w:r>
      <w:r>
        <w:rPr/>
        <w:t>(in</w:t>
      </w:r>
      <w:r>
        <w:rPr>
          <w:spacing w:val="-3"/>
        </w:rPr>
        <w:t> </w:t>
      </w:r>
      <w:r>
        <w:rPr/>
        <w:t>full)</w:t>
      </w:r>
      <w:r>
        <w:rPr>
          <w:spacing w:val="-3"/>
        </w:rPr>
        <w:t> </w:t>
      </w:r>
      <w:r>
        <w:rPr/>
        <w:t>of</w:t>
      </w:r>
      <w:r>
        <w:rPr>
          <w:spacing w:val="-3"/>
        </w:rPr>
        <w:t> </w:t>
      </w:r>
      <w:r>
        <w:rPr/>
        <w:t>the</w:t>
      </w:r>
      <w:r>
        <w:rPr>
          <w:spacing w:val="-3"/>
        </w:rPr>
        <w:t> </w:t>
      </w:r>
      <w:r>
        <w:rPr/>
        <w:t>agreed</w:t>
      </w:r>
      <w:r>
        <w:rPr>
          <w:spacing w:val="-3"/>
        </w:rPr>
        <w:t> </w:t>
      </w:r>
      <w:r>
        <w:rPr/>
        <w:t>services</w:t>
      </w:r>
      <w:r>
        <w:rPr>
          <w:spacing w:val="-3"/>
        </w:rPr>
        <w:t> </w:t>
      </w:r>
      <w:r>
        <w:rPr/>
        <w:t>could</w:t>
      </w:r>
      <w:r>
        <w:rPr>
          <w:spacing w:val="-3"/>
        </w:rPr>
        <w:t> </w:t>
      </w:r>
      <w:r>
        <w:rPr/>
        <w:t>be</w:t>
      </w:r>
      <w:r>
        <w:rPr>
          <w:spacing w:val="-3"/>
        </w:rPr>
        <w:t> </w:t>
      </w:r>
      <w:r>
        <w:rPr/>
        <w:t>consideration</w:t>
      </w:r>
      <w:r>
        <w:rPr>
          <w:spacing w:val="-3"/>
        </w:rPr>
        <w:t> </w:t>
      </w:r>
      <w:r>
        <w:rPr/>
        <w:t>for</w:t>
      </w:r>
      <w:r>
        <w:rPr>
          <w:spacing w:val="-3"/>
        </w:rPr>
        <w:t> </w:t>
      </w:r>
      <w:r>
        <w:rPr/>
        <w:t>a promise</w:t>
      </w:r>
      <w:r>
        <w:rPr>
          <w:spacing w:val="-2"/>
        </w:rPr>
        <w:t> </w:t>
      </w:r>
      <w:r>
        <w:rPr/>
        <w:t>by</w:t>
      </w:r>
      <w:r>
        <w:rPr>
          <w:spacing w:val="-2"/>
        </w:rPr>
        <w:t> </w:t>
      </w:r>
      <w:r>
        <w:rPr/>
        <w:t>the</w:t>
      </w:r>
      <w:r>
        <w:rPr>
          <w:spacing w:val="-2"/>
        </w:rPr>
        <w:t> </w:t>
      </w:r>
      <w:r>
        <w:rPr/>
        <w:t>recipient</w:t>
      </w:r>
      <w:r>
        <w:rPr>
          <w:spacing w:val="-2"/>
        </w:rPr>
        <w:t> </w:t>
      </w:r>
      <w:r>
        <w:rPr/>
        <w:t>of</w:t>
      </w:r>
      <w:r>
        <w:rPr>
          <w:spacing w:val="-2"/>
        </w:rPr>
        <w:t> </w:t>
      </w:r>
      <w:r>
        <w:rPr/>
        <w:t>the</w:t>
      </w:r>
      <w:r>
        <w:rPr>
          <w:spacing w:val="-2"/>
        </w:rPr>
        <w:t> </w:t>
      </w:r>
      <w:r>
        <w:rPr/>
        <w:t>services</w:t>
      </w:r>
      <w:r>
        <w:rPr>
          <w:spacing w:val="-2"/>
        </w:rPr>
        <w:t> </w:t>
      </w:r>
      <w:r>
        <w:rPr/>
        <w:t>(the</w:t>
      </w:r>
      <w:r>
        <w:rPr>
          <w:spacing w:val="-2"/>
        </w:rPr>
        <w:t> </w:t>
      </w:r>
      <w:r>
        <w:rPr/>
        <w:t>debtor)</w:t>
      </w:r>
      <w:r>
        <w:rPr>
          <w:spacing w:val="-2"/>
        </w:rPr>
        <w:t> </w:t>
      </w:r>
      <w:r>
        <w:rPr/>
        <w:t>to</w:t>
      </w:r>
      <w:r>
        <w:rPr>
          <w:spacing w:val="-2"/>
        </w:rPr>
        <w:t> </w:t>
      </w:r>
      <w:r>
        <w:rPr/>
        <w:t>pay</w:t>
      </w:r>
      <w:r>
        <w:rPr>
          <w:spacing w:val="-2"/>
        </w:rPr>
        <w:t> </w:t>
      </w:r>
      <w:r>
        <w:rPr>
          <w:rFonts w:ascii="Arial" w:hAnsi="Arial"/>
          <w:i/>
        </w:rPr>
        <w:t>more</w:t>
      </w:r>
      <w:r>
        <w:rPr>
          <w:rFonts w:ascii="Arial" w:hAnsi="Arial"/>
          <w:i/>
          <w:spacing w:val="-2"/>
        </w:rPr>
        <w:t> </w:t>
      </w:r>
      <w:r>
        <w:rPr/>
        <w:t>than</w:t>
      </w:r>
      <w:r>
        <w:rPr>
          <w:spacing w:val="-2"/>
        </w:rPr>
        <w:t> </w:t>
      </w:r>
      <w:r>
        <w:rPr/>
        <w:t>the</w:t>
      </w:r>
      <w:r>
        <w:rPr>
          <w:spacing w:val="-2"/>
        </w:rPr>
        <w:t> </w:t>
      </w:r>
      <w:r>
        <w:rPr/>
        <w:t>originally</w:t>
      </w:r>
      <w:r>
        <w:rPr>
          <w:spacing w:val="-2"/>
        </w:rPr>
        <w:t> </w:t>
      </w:r>
      <w:r>
        <w:rPr/>
        <w:t>agreed</w:t>
      </w:r>
      <w:r>
        <w:rPr>
          <w:spacing w:val="-2"/>
        </w:rPr>
        <w:t> </w:t>
      </w:r>
      <w:r>
        <w:rPr/>
        <w:t>sum: see above, para.4-069. In the </w:t>
      </w:r>
      <w:r>
        <w:rPr>
          <w:rFonts w:ascii="Arial" w:hAnsi="Arial"/>
          <w:i/>
        </w:rPr>
        <w:t>Collier </w:t>
      </w:r>
      <w:r>
        <w:rPr/>
        <w:t>case, the actual decision was that the debtor had an arguable case based on the doctrine of promissory estoppel: see below, para.4-134.</w:t>
      </w:r>
    </w:p>
    <w:p>
      <w:pPr>
        <w:pStyle w:val="BodyText"/>
        <w:spacing w:before="6"/>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bookmarkStart w:name="_bookmark1402" w:id="1404"/>
      <w:bookmarkEnd w:id="1404"/>
      <w:r>
        <w:rPr/>
      </w:r>
      <w:hyperlink w:history="true" w:anchor="_bookmark1357">
        <w:r>
          <w:rPr>
            <w:color w:val="005DA1"/>
            <w:spacing w:val="-4"/>
            <w:sz w:val="14"/>
            <w:u w:val="single" w:color="005DA1"/>
          </w:rPr>
          <w:t>731</w:t>
        </w:r>
      </w:hyperlink>
      <w:r>
        <w:rPr>
          <w:spacing w:val="-4"/>
          <w:sz w:val="14"/>
        </w:rPr>
        <w:t>.</w:t>
      </w:r>
    </w:p>
    <w:p>
      <w:pPr>
        <w:spacing w:before="208"/>
        <w:ind w:left="335" w:right="0" w:firstLine="0"/>
        <w:jc w:val="left"/>
        <w:rPr>
          <w:sz w:val="20"/>
        </w:rPr>
      </w:pPr>
      <w:r>
        <w:rPr/>
        <w:br w:type="column"/>
      </w:r>
      <w:r>
        <w:rPr>
          <w:rFonts w:ascii="Arial"/>
          <w:i/>
          <w:sz w:val="20"/>
        </w:rPr>
        <w:t>(1602)</w:t>
      </w:r>
      <w:r>
        <w:rPr>
          <w:rFonts w:ascii="Arial"/>
          <w:i/>
          <w:spacing w:val="-1"/>
          <w:sz w:val="20"/>
        </w:rPr>
        <w:t> </w:t>
      </w:r>
      <w:r>
        <w:rPr>
          <w:rFonts w:ascii="Arial"/>
          <w:i/>
          <w:sz w:val="20"/>
        </w:rPr>
        <w:t>5 Co. Rep. 117a</w:t>
      </w:r>
      <w:r>
        <w:rPr>
          <w:sz w:val="20"/>
        </w:rPr>
        <w:t>; Vol.I, para.4-</w:t>
      </w:r>
      <w:r>
        <w:rPr>
          <w:spacing w:val="-4"/>
          <w:sz w:val="20"/>
        </w:rPr>
        <w:t>117.</w:t>
      </w:r>
    </w:p>
    <w:p>
      <w:pPr>
        <w:spacing w:after="0"/>
        <w:jc w:val="left"/>
        <w:rPr>
          <w:sz w:val="20"/>
        </w:rPr>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7008">
            <wp:simplePos x="0" y="0"/>
            <wp:positionH relativeFrom="page">
              <wp:posOffset>1257846</wp:posOffset>
            </wp:positionH>
            <wp:positionV relativeFrom="paragraph">
              <wp:posOffset>-211200</wp:posOffset>
            </wp:positionV>
            <wp:extent cx="107988" cy="107988"/>
            <wp:effectExtent l="0" t="0" r="0" b="0"/>
            <wp:wrapNone/>
            <wp:docPr id="258" name="Image 258"/>
            <wp:cNvGraphicFramePr>
              <a:graphicFrameLocks/>
            </wp:cNvGraphicFramePr>
            <a:graphic>
              <a:graphicData uri="http://schemas.openxmlformats.org/drawingml/2006/picture">
                <pic:pic>
                  <pic:nvPicPr>
                    <pic:cNvPr id="258" name="Image 25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03" w:id="1405"/>
      <w:bookmarkEnd w:id="1405"/>
      <w:r>
        <w:rPr/>
      </w:r>
      <w:hyperlink w:history="true" w:anchor="_bookmark1358">
        <w:r>
          <w:rPr>
            <w:color w:val="005DA1"/>
            <w:spacing w:val="-4"/>
            <w:sz w:val="14"/>
            <w:u w:val="single" w:color="005DA1"/>
          </w:rPr>
          <w:t>732</w:t>
        </w:r>
      </w:hyperlink>
      <w:r>
        <w:rPr>
          <w:spacing w:val="-4"/>
          <w:sz w:val="14"/>
        </w:rPr>
        <w:t>.</w:t>
      </w:r>
    </w:p>
    <w:p>
      <w:pPr>
        <w:spacing w:before="208"/>
        <w:ind w:left="335" w:right="0" w:firstLine="0"/>
        <w:jc w:val="left"/>
        <w:rPr>
          <w:sz w:val="20"/>
        </w:rPr>
      </w:pPr>
      <w:r>
        <w:rPr/>
        <w:br w:type="column"/>
      </w:r>
      <w:r>
        <w:rPr>
          <w:rFonts w:ascii="Arial"/>
          <w:i/>
          <w:sz w:val="20"/>
        </w:rPr>
        <w:t>(1884)</w:t>
      </w:r>
      <w:r>
        <w:rPr>
          <w:rFonts w:ascii="Arial"/>
          <w:i/>
          <w:spacing w:val="-1"/>
          <w:sz w:val="20"/>
        </w:rPr>
        <w:t> </w:t>
      </w:r>
      <w:r>
        <w:rPr>
          <w:rFonts w:ascii="Arial"/>
          <w:i/>
          <w:sz w:val="20"/>
        </w:rPr>
        <w:t>9 App. Cas. 605</w:t>
      </w:r>
      <w:r>
        <w:rPr>
          <w:sz w:val="20"/>
        </w:rPr>
        <w:t>; Vol.I, para.4-</w:t>
      </w:r>
      <w:r>
        <w:rPr>
          <w:spacing w:val="-4"/>
          <w:sz w:val="20"/>
        </w:rPr>
        <w:t>117.</w:t>
      </w:r>
    </w:p>
    <w:p>
      <w:pPr>
        <w:spacing w:after="0"/>
        <w:jc w:val="left"/>
        <w:rPr>
          <w:sz w:val="20"/>
        </w:rPr>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7520">
            <wp:simplePos x="0" y="0"/>
            <wp:positionH relativeFrom="page">
              <wp:posOffset>1257846</wp:posOffset>
            </wp:positionH>
            <wp:positionV relativeFrom="paragraph">
              <wp:posOffset>-211180</wp:posOffset>
            </wp:positionV>
            <wp:extent cx="107988" cy="107988"/>
            <wp:effectExtent l="0" t="0" r="0" b="0"/>
            <wp:wrapNone/>
            <wp:docPr id="259" name="Image 259"/>
            <wp:cNvGraphicFramePr>
              <a:graphicFrameLocks/>
            </wp:cNvGraphicFramePr>
            <a:graphic>
              <a:graphicData uri="http://schemas.openxmlformats.org/drawingml/2006/picture">
                <pic:pic>
                  <pic:nvPicPr>
                    <pic:cNvPr id="259" name="Image 25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04" w:id="1406"/>
      <w:bookmarkEnd w:id="1406"/>
      <w:r>
        <w:rPr/>
      </w:r>
      <w:hyperlink w:history="true" w:anchor="_bookmark1359">
        <w:r>
          <w:rPr>
            <w:color w:val="005DA1"/>
            <w:spacing w:val="-4"/>
            <w:sz w:val="14"/>
            <w:u w:val="single" w:color="005DA1"/>
          </w:rPr>
          <w:t>733</w:t>
        </w:r>
      </w:hyperlink>
      <w:r>
        <w:rPr>
          <w:spacing w:val="-4"/>
          <w:sz w:val="14"/>
        </w:rPr>
        <w:t>.</w:t>
      </w:r>
    </w:p>
    <w:p>
      <w:pPr>
        <w:spacing w:before="208"/>
        <w:ind w:left="335" w:right="0" w:firstLine="0"/>
        <w:jc w:val="left"/>
        <w:rPr>
          <w:sz w:val="20"/>
        </w:rPr>
      </w:pPr>
      <w:r>
        <w:rPr/>
        <w:br w:type="column"/>
      </w:r>
      <w:r>
        <w:rPr>
          <w:rFonts w:ascii="Arial"/>
          <w:i/>
          <w:sz w:val="20"/>
        </w:rPr>
        <w:t>[1991]</w:t>
      </w:r>
      <w:r>
        <w:rPr>
          <w:rFonts w:ascii="Arial"/>
          <w:i/>
          <w:spacing w:val="-1"/>
          <w:sz w:val="20"/>
        </w:rPr>
        <w:t> </w:t>
      </w:r>
      <w:r>
        <w:rPr>
          <w:rFonts w:ascii="Arial"/>
          <w:i/>
          <w:sz w:val="20"/>
        </w:rPr>
        <w:t>1 Q.B. 1</w:t>
      </w:r>
      <w:r>
        <w:rPr>
          <w:sz w:val="20"/>
        </w:rPr>
        <w:t>; Vol.I, paras 4-069, 4-</w:t>
      </w:r>
      <w:r>
        <w:rPr>
          <w:spacing w:val="-4"/>
          <w:sz w:val="20"/>
        </w:rPr>
        <w:t>070.</w:t>
      </w:r>
    </w:p>
    <w:p>
      <w:pPr>
        <w:spacing w:after="0"/>
        <w:jc w:val="left"/>
        <w:rPr>
          <w:sz w:val="20"/>
        </w:rPr>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8032">
            <wp:simplePos x="0" y="0"/>
            <wp:positionH relativeFrom="page">
              <wp:posOffset>1257846</wp:posOffset>
            </wp:positionH>
            <wp:positionV relativeFrom="paragraph">
              <wp:posOffset>-211160</wp:posOffset>
            </wp:positionV>
            <wp:extent cx="107988" cy="107988"/>
            <wp:effectExtent l="0" t="0" r="0" b="0"/>
            <wp:wrapNone/>
            <wp:docPr id="260" name="Image 260"/>
            <wp:cNvGraphicFramePr>
              <a:graphicFrameLocks/>
            </wp:cNvGraphicFramePr>
            <a:graphic>
              <a:graphicData uri="http://schemas.openxmlformats.org/drawingml/2006/picture">
                <pic:pic>
                  <pic:nvPicPr>
                    <pic:cNvPr id="260" name="Image 260"/>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88544">
            <wp:simplePos x="0" y="0"/>
            <wp:positionH relativeFrom="page">
              <wp:posOffset>1257846</wp:posOffset>
            </wp:positionH>
            <wp:positionV relativeFrom="paragraph">
              <wp:posOffset>160314</wp:posOffset>
            </wp:positionV>
            <wp:extent cx="107988" cy="107988"/>
            <wp:effectExtent l="0" t="0" r="0" b="0"/>
            <wp:wrapNone/>
            <wp:docPr id="261" name="Image 261"/>
            <wp:cNvGraphicFramePr>
              <a:graphicFrameLocks/>
            </wp:cNvGraphicFramePr>
            <a:graphic>
              <a:graphicData uri="http://schemas.openxmlformats.org/drawingml/2006/picture">
                <pic:pic>
                  <pic:nvPicPr>
                    <pic:cNvPr id="261" name="Image 26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05" w:id="1407"/>
      <w:bookmarkEnd w:id="1407"/>
      <w:r>
        <w:rPr/>
      </w:r>
      <w:hyperlink w:history="true" w:anchor="_bookmark1360">
        <w:r>
          <w:rPr>
            <w:color w:val="005DA1"/>
            <w:spacing w:val="-4"/>
            <w:sz w:val="14"/>
            <w:u w:val="single" w:color="005DA1"/>
          </w:rPr>
          <w:t>734</w:t>
        </w:r>
      </w:hyperlink>
      <w:r>
        <w:rPr>
          <w:spacing w:val="-4"/>
          <w:sz w:val="14"/>
        </w:rPr>
        <w:t>.</w:t>
      </w:r>
    </w:p>
    <w:p>
      <w:pPr>
        <w:spacing w:line="235" w:lineRule="auto" w:before="212"/>
        <w:ind w:left="165" w:right="168" w:firstLine="170"/>
        <w:jc w:val="left"/>
        <w:rPr>
          <w:sz w:val="20"/>
        </w:rPr>
      </w:pPr>
      <w:r>
        <w:rPr/>
        <w:br w:type="column"/>
      </w:r>
      <w:r>
        <w:rPr>
          <w:rFonts w:ascii="Arial"/>
          <w:i/>
          <w:sz w:val="20"/>
        </w:rPr>
        <w:t>[2016] EWCA Civ 553; [2017] Q.B. 604</w:t>
      </w:r>
      <w:r>
        <w:rPr>
          <w:sz w:val="20"/>
        </w:rPr>
        <w:t>. Leave to appeal to the Supreme Court was </w:t>
      </w:r>
      <w:r>
        <w:rPr>
          <w:sz w:val="20"/>
        </w:rPr>
        <w:t>granted on January 31, 2017.</w:t>
      </w:r>
    </w:p>
    <w:p>
      <w:pPr>
        <w:spacing w:after="0" w:line="235" w:lineRule="auto"/>
        <w:jc w:val="left"/>
        <w:rPr>
          <w:sz w:val="20"/>
        </w:rPr>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9056">
            <wp:simplePos x="0" y="0"/>
            <wp:positionH relativeFrom="page">
              <wp:posOffset>1257846</wp:posOffset>
            </wp:positionH>
            <wp:positionV relativeFrom="paragraph">
              <wp:posOffset>160473</wp:posOffset>
            </wp:positionV>
            <wp:extent cx="107988" cy="107988"/>
            <wp:effectExtent l="0" t="0" r="0" b="0"/>
            <wp:wrapNone/>
            <wp:docPr id="262" name="Image 262"/>
            <wp:cNvGraphicFramePr>
              <a:graphicFrameLocks/>
            </wp:cNvGraphicFramePr>
            <a:graphic>
              <a:graphicData uri="http://schemas.openxmlformats.org/drawingml/2006/picture">
                <pic:pic>
                  <pic:nvPicPr>
                    <pic:cNvPr id="262" name="Image 26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06" w:id="1408"/>
      <w:bookmarkEnd w:id="1408"/>
      <w:r>
        <w:rPr/>
      </w:r>
      <w:hyperlink w:history="true" w:anchor="_bookmark1361">
        <w:r>
          <w:rPr>
            <w:color w:val="005DA1"/>
            <w:spacing w:val="-4"/>
            <w:sz w:val="14"/>
            <w:u w:val="single" w:color="005DA1"/>
          </w:rPr>
          <w:t>735</w:t>
        </w:r>
      </w:hyperlink>
      <w:r>
        <w:rPr>
          <w:spacing w:val="-4"/>
          <w:sz w:val="14"/>
        </w:rPr>
        <w:t>.</w:t>
      </w:r>
    </w:p>
    <w:p>
      <w:pPr>
        <w:pStyle w:val="BodyText"/>
        <w:spacing w:before="208"/>
        <w:ind w:left="335"/>
      </w:pPr>
      <w:r>
        <w:rPr/>
        <w:br w:type="column"/>
      </w:r>
      <w:r>
        <w:rPr/>
        <w:t>At </w:t>
      </w:r>
      <w:r>
        <w:rPr>
          <w:spacing w:val="-4"/>
        </w:rPr>
        <w:t>[4].</w:t>
      </w:r>
    </w:p>
    <w:p>
      <w:pPr>
        <w:pStyle w:val="BodyText"/>
        <w:spacing w:after="0"/>
        <w:sectPr>
          <w:type w:val="continuous"/>
          <w:pgSz w:w="11900" w:h="16840"/>
          <w:pgMar w:header="971" w:footer="0" w:top="3760" w:bottom="280" w:left="1275" w:right="1275"/>
          <w:cols w:num="2" w:equalWidth="0">
            <w:col w:w="478" w:space="63"/>
            <w:col w:w="8809"/>
          </w:cols>
        </w:sectPr>
      </w:pPr>
    </w:p>
    <w:p>
      <w:pPr>
        <w:pStyle w:val="BodyText"/>
        <w:spacing w:before="4"/>
        <w:rPr>
          <w:sz w:val="19"/>
        </w:rPr>
      </w:pPr>
    </w:p>
    <w:p>
      <w:pPr>
        <w:pStyle w:val="BodyText"/>
        <w:spacing w:after="0"/>
        <w:rPr>
          <w:sz w:val="19"/>
        </w:rPr>
        <w:sectPr>
          <w:pgSz w:w="11900" w:h="16840"/>
          <w:pgMar w:header="971" w:footer="0" w:top="1160" w:bottom="280" w:left="1275" w:right="1275"/>
        </w:sectPr>
      </w:pPr>
    </w:p>
    <w:p>
      <w:pPr>
        <w:spacing w:before="96"/>
        <w:ind w:left="165" w:right="0" w:firstLine="0"/>
        <w:jc w:val="left"/>
        <w:rPr>
          <w:sz w:val="14"/>
        </w:rPr>
      </w:pPr>
      <w:hyperlink w:history="true" w:anchor="_bookmark1362">
        <w:r>
          <w:rPr>
            <w:color w:val="005DA1"/>
            <w:spacing w:val="-4"/>
            <w:sz w:val="14"/>
            <w:u w:val="single" w:color="005DA1"/>
          </w:rPr>
          <w:t>736</w:t>
        </w:r>
      </w:hyperlink>
      <w:r>
        <w:rPr>
          <w:spacing w:val="-4"/>
          <w:sz w:val="14"/>
        </w:rPr>
        <w:t>.</w:t>
      </w:r>
    </w:p>
    <w:p>
      <w:pPr>
        <w:pStyle w:val="BodyText"/>
        <w:spacing w:before="208"/>
        <w:ind w:left="335"/>
      </w:pPr>
      <w:r>
        <w:rPr/>
        <w:br w:type="column"/>
      </w:r>
      <w:r>
        <w:rPr>
          <w:spacing w:val="-2"/>
        </w:rPr>
        <w:t>ibid.</w:t>
      </w:r>
    </w:p>
    <w:p>
      <w:pPr>
        <w:pStyle w:val="BodyText"/>
        <w:spacing w:after="0"/>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9568">
            <wp:simplePos x="0" y="0"/>
            <wp:positionH relativeFrom="page">
              <wp:posOffset>1257846</wp:posOffset>
            </wp:positionH>
            <wp:positionV relativeFrom="paragraph">
              <wp:posOffset>-210970</wp:posOffset>
            </wp:positionV>
            <wp:extent cx="107988" cy="107988"/>
            <wp:effectExtent l="0" t="0" r="0" b="0"/>
            <wp:wrapNone/>
            <wp:docPr id="263" name="Image 263"/>
            <wp:cNvGraphicFramePr>
              <a:graphicFrameLocks/>
            </wp:cNvGraphicFramePr>
            <a:graphic>
              <a:graphicData uri="http://schemas.openxmlformats.org/drawingml/2006/picture">
                <pic:pic>
                  <pic:nvPicPr>
                    <pic:cNvPr id="263" name="Image 26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07" w:id="1409"/>
      <w:bookmarkEnd w:id="1409"/>
      <w:r>
        <w:rPr/>
      </w:r>
      <w:hyperlink w:history="true" w:anchor="_bookmark1363">
        <w:r>
          <w:rPr>
            <w:color w:val="005DA1"/>
            <w:spacing w:val="-4"/>
            <w:sz w:val="14"/>
            <w:u w:val="single" w:color="005DA1"/>
          </w:rPr>
          <w:t>737</w:t>
        </w:r>
      </w:hyperlink>
      <w:r>
        <w:rPr>
          <w:spacing w:val="-4"/>
          <w:sz w:val="14"/>
        </w:rPr>
        <w:t>.</w:t>
      </w:r>
    </w:p>
    <w:p>
      <w:pPr>
        <w:spacing w:before="208"/>
        <w:ind w:left="335" w:right="0" w:firstLine="0"/>
        <w:jc w:val="left"/>
        <w:rPr>
          <w:sz w:val="20"/>
        </w:rPr>
      </w:pPr>
      <w:r>
        <w:rPr/>
        <w:br w:type="column"/>
      </w:r>
      <w:r>
        <w:rPr>
          <w:rFonts w:ascii="Arial"/>
          <w:i/>
          <w:sz w:val="20"/>
        </w:rPr>
        <w:t>[2016] EWCA Civ 553</w:t>
      </w:r>
      <w:r>
        <w:rPr>
          <w:rFonts w:ascii="Arial"/>
          <w:i/>
          <w:spacing w:val="-1"/>
          <w:sz w:val="20"/>
        </w:rPr>
        <w:t> </w:t>
      </w:r>
      <w:r>
        <w:rPr>
          <w:sz w:val="20"/>
        </w:rPr>
        <w:t>at [49], [66], [67], </w:t>
      </w:r>
      <w:r>
        <w:rPr>
          <w:spacing w:val="-2"/>
          <w:sz w:val="20"/>
        </w:rPr>
        <w:t>[87].</w:t>
      </w:r>
    </w:p>
    <w:p>
      <w:pPr>
        <w:spacing w:after="0"/>
        <w:jc w:val="left"/>
        <w:rPr>
          <w:sz w:val="20"/>
        </w:rPr>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0080">
            <wp:simplePos x="0" y="0"/>
            <wp:positionH relativeFrom="page">
              <wp:posOffset>1257846</wp:posOffset>
            </wp:positionH>
            <wp:positionV relativeFrom="paragraph">
              <wp:posOffset>-210950</wp:posOffset>
            </wp:positionV>
            <wp:extent cx="107988" cy="107988"/>
            <wp:effectExtent l="0" t="0" r="0" b="0"/>
            <wp:wrapNone/>
            <wp:docPr id="264" name="Image 264"/>
            <wp:cNvGraphicFramePr>
              <a:graphicFrameLocks/>
            </wp:cNvGraphicFramePr>
            <a:graphic>
              <a:graphicData uri="http://schemas.openxmlformats.org/drawingml/2006/picture">
                <pic:pic>
                  <pic:nvPicPr>
                    <pic:cNvPr id="264" name="Image 26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08" w:id="1410"/>
      <w:bookmarkEnd w:id="1410"/>
      <w:r>
        <w:rPr/>
      </w:r>
      <w:hyperlink w:history="true" w:anchor="_bookmark1364">
        <w:r>
          <w:rPr>
            <w:color w:val="005DA1"/>
            <w:spacing w:val="-4"/>
            <w:sz w:val="14"/>
            <w:u w:val="single" w:color="005DA1"/>
          </w:rPr>
          <w:t>738</w:t>
        </w:r>
      </w:hyperlink>
      <w:r>
        <w:rPr>
          <w:spacing w:val="-4"/>
          <w:sz w:val="14"/>
        </w:rPr>
        <w:t>.</w:t>
      </w:r>
    </w:p>
    <w:p>
      <w:pPr>
        <w:pStyle w:val="BodyText"/>
        <w:spacing w:before="208"/>
        <w:ind w:left="335"/>
      </w:pPr>
      <w:r>
        <w:rPr/>
        <w:br w:type="column"/>
      </w:r>
      <w:r>
        <w:rPr/>
        <w:t>Above, at note </w:t>
      </w:r>
      <w:r>
        <w:rPr>
          <w:spacing w:val="-2"/>
        </w:rPr>
        <w:t>714c.</w:t>
      </w:r>
    </w:p>
    <w:p>
      <w:pPr>
        <w:pStyle w:val="BodyText"/>
        <w:spacing w:after="0"/>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0592">
            <wp:simplePos x="0" y="0"/>
            <wp:positionH relativeFrom="page">
              <wp:posOffset>1257846</wp:posOffset>
            </wp:positionH>
            <wp:positionV relativeFrom="paragraph">
              <wp:posOffset>-210930</wp:posOffset>
            </wp:positionV>
            <wp:extent cx="107988" cy="107988"/>
            <wp:effectExtent l="0" t="0" r="0" b="0"/>
            <wp:wrapNone/>
            <wp:docPr id="265" name="Image 265"/>
            <wp:cNvGraphicFramePr>
              <a:graphicFrameLocks/>
            </wp:cNvGraphicFramePr>
            <a:graphic>
              <a:graphicData uri="http://schemas.openxmlformats.org/drawingml/2006/picture">
                <pic:pic>
                  <pic:nvPicPr>
                    <pic:cNvPr id="265" name="Image 26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09" w:id="1411"/>
      <w:bookmarkEnd w:id="1411"/>
      <w:r>
        <w:rPr/>
      </w:r>
      <w:hyperlink w:history="true" w:anchor="_bookmark1365">
        <w:r>
          <w:rPr>
            <w:color w:val="005DA1"/>
            <w:spacing w:val="-4"/>
            <w:sz w:val="14"/>
            <w:u w:val="single" w:color="005DA1"/>
          </w:rPr>
          <w:t>739</w:t>
        </w:r>
      </w:hyperlink>
      <w:r>
        <w:rPr>
          <w:spacing w:val="-4"/>
          <w:sz w:val="14"/>
        </w:rPr>
        <w:t>.</w:t>
      </w:r>
    </w:p>
    <w:p>
      <w:pPr>
        <w:spacing w:before="209"/>
        <w:ind w:left="335" w:right="0" w:firstLine="0"/>
        <w:jc w:val="left"/>
        <w:rPr>
          <w:sz w:val="20"/>
        </w:rPr>
      </w:pPr>
      <w:r>
        <w:rPr/>
        <w:br w:type="column"/>
      </w:r>
      <w:r>
        <w:rPr>
          <w:rFonts w:ascii="Arial"/>
          <w:i/>
          <w:sz w:val="20"/>
        </w:rPr>
        <w:t>[2016] EWCA Civ 553</w:t>
      </w:r>
      <w:r>
        <w:rPr>
          <w:rFonts w:ascii="Arial"/>
          <w:i/>
          <w:spacing w:val="-1"/>
          <w:sz w:val="20"/>
        </w:rPr>
        <w:t> </w:t>
      </w:r>
      <w:r>
        <w:rPr>
          <w:sz w:val="20"/>
        </w:rPr>
        <w:t>at </w:t>
      </w:r>
      <w:r>
        <w:rPr>
          <w:spacing w:val="-2"/>
          <w:sz w:val="20"/>
        </w:rPr>
        <w:t>[42].</w:t>
      </w:r>
    </w:p>
    <w:p>
      <w:pPr>
        <w:spacing w:after="0"/>
        <w:jc w:val="left"/>
        <w:rPr>
          <w:sz w:val="20"/>
        </w:rPr>
        <w:sectPr>
          <w:type w:val="continuous"/>
          <w:pgSz w:w="11900" w:h="16840"/>
          <w:pgMar w:header="971" w:footer="0" w:top="37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1104">
            <wp:simplePos x="0" y="0"/>
            <wp:positionH relativeFrom="page">
              <wp:posOffset>1257846</wp:posOffset>
            </wp:positionH>
            <wp:positionV relativeFrom="paragraph">
              <wp:posOffset>-210910</wp:posOffset>
            </wp:positionV>
            <wp:extent cx="107988" cy="107988"/>
            <wp:effectExtent l="0" t="0" r="0" b="0"/>
            <wp:wrapNone/>
            <wp:docPr id="266" name="Image 266"/>
            <wp:cNvGraphicFramePr>
              <a:graphicFrameLocks/>
            </wp:cNvGraphicFramePr>
            <a:graphic>
              <a:graphicData uri="http://schemas.openxmlformats.org/drawingml/2006/picture">
                <pic:pic>
                  <pic:nvPicPr>
                    <pic:cNvPr id="266" name="Image 26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10" w:id="1412"/>
      <w:bookmarkEnd w:id="1412"/>
      <w:r>
        <w:rPr/>
      </w:r>
      <w:hyperlink w:history="true" w:anchor="_bookmark1366">
        <w:r>
          <w:rPr>
            <w:color w:val="005DA1"/>
            <w:spacing w:val="-4"/>
            <w:sz w:val="14"/>
            <w:u w:val="single" w:color="005DA1"/>
          </w:rPr>
          <w:t>740</w:t>
        </w:r>
      </w:hyperlink>
      <w:r>
        <w:rPr>
          <w:spacing w:val="-4"/>
          <w:sz w:val="14"/>
        </w:rPr>
        <w:t>.</w:t>
      </w:r>
    </w:p>
    <w:p>
      <w:pPr>
        <w:spacing w:before="209"/>
        <w:ind w:left="335" w:right="0" w:firstLine="0"/>
        <w:jc w:val="left"/>
        <w:rPr>
          <w:sz w:val="20"/>
        </w:rPr>
      </w:pPr>
      <w:r>
        <w:rPr/>
        <w:br w:type="column"/>
      </w:r>
      <w:r>
        <w:rPr>
          <w:rFonts w:ascii="Arial"/>
          <w:i/>
          <w:sz w:val="20"/>
        </w:rPr>
        <w:t>(1884)</w:t>
      </w:r>
      <w:r>
        <w:rPr>
          <w:rFonts w:ascii="Arial"/>
          <w:i/>
          <w:spacing w:val="-1"/>
          <w:sz w:val="20"/>
        </w:rPr>
        <w:t> </w:t>
      </w:r>
      <w:r>
        <w:rPr>
          <w:rFonts w:ascii="Arial"/>
          <w:i/>
          <w:sz w:val="20"/>
        </w:rPr>
        <w:t>9 App. Cas. 605</w:t>
      </w:r>
      <w:r>
        <w:rPr>
          <w:sz w:val="20"/>
        </w:rPr>
        <w:t>; para.4-</w:t>
      </w:r>
      <w:r>
        <w:rPr>
          <w:spacing w:val="-4"/>
          <w:sz w:val="20"/>
        </w:rPr>
        <w:t>117.</w:t>
      </w:r>
    </w:p>
    <w:p>
      <w:pPr>
        <w:spacing w:after="0"/>
        <w:jc w:val="left"/>
        <w:rPr>
          <w:sz w:val="20"/>
        </w:rPr>
        <w:sectPr>
          <w:type w:val="continuous"/>
          <w:pgSz w:w="11900" w:h="16840"/>
          <w:pgMar w:header="971" w:footer="0" w:top="37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1616">
            <wp:simplePos x="0" y="0"/>
            <wp:positionH relativeFrom="page">
              <wp:posOffset>1257846</wp:posOffset>
            </wp:positionH>
            <wp:positionV relativeFrom="paragraph">
              <wp:posOffset>-210890</wp:posOffset>
            </wp:positionV>
            <wp:extent cx="107988" cy="107988"/>
            <wp:effectExtent l="0" t="0" r="0" b="0"/>
            <wp:wrapNone/>
            <wp:docPr id="267" name="Image 267"/>
            <wp:cNvGraphicFramePr>
              <a:graphicFrameLocks/>
            </wp:cNvGraphicFramePr>
            <a:graphic>
              <a:graphicData uri="http://schemas.openxmlformats.org/drawingml/2006/picture">
                <pic:pic>
                  <pic:nvPicPr>
                    <pic:cNvPr id="267" name="Image 26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11" w:id="1413"/>
      <w:bookmarkEnd w:id="1413"/>
      <w:r>
        <w:rPr/>
      </w:r>
      <w:hyperlink w:history="true" w:anchor="_bookmark1367">
        <w:r>
          <w:rPr>
            <w:color w:val="005DA1"/>
            <w:spacing w:val="-4"/>
            <w:sz w:val="14"/>
            <w:u w:val="single" w:color="005DA1"/>
          </w:rPr>
          <w:t>741</w:t>
        </w:r>
      </w:hyperlink>
      <w:r>
        <w:rPr>
          <w:spacing w:val="-4"/>
          <w:sz w:val="14"/>
        </w:rPr>
        <w:t>.</w:t>
      </w:r>
    </w:p>
    <w:p>
      <w:pPr>
        <w:spacing w:before="209"/>
        <w:ind w:left="335" w:right="0" w:firstLine="0"/>
        <w:jc w:val="left"/>
        <w:rPr>
          <w:sz w:val="20"/>
        </w:rPr>
      </w:pPr>
      <w:r>
        <w:rPr/>
        <w:br w:type="column"/>
      </w:r>
      <w:r>
        <w:rPr>
          <w:rFonts w:ascii="Arial"/>
          <w:i/>
          <w:sz w:val="20"/>
        </w:rPr>
        <w:t>[1995]</w:t>
      </w:r>
      <w:r>
        <w:rPr>
          <w:rFonts w:ascii="Arial"/>
          <w:i/>
          <w:spacing w:val="-1"/>
          <w:sz w:val="20"/>
        </w:rPr>
        <w:t> </w:t>
      </w:r>
      <w:r>
        <w:rPr>
          <w:rFonts w:ascii="Arial"/>
          <w:i/>
          <w:sz w:val="20"/>
        </w:rPr>
        <w:t>1 W.L.R. 474</w:t>
      </w:r>
      <w:r>
        <w:rPr>
          <w:sz w:val="20"/>
        </w:rPr>
        <w:t>; para.4-119 </w:t>
      </w:r>
      <w:r>
        <w:rPr>
          <w:spacing w:val="-2"/>
          <w:sz w:val="20"/>
        </w:rPr>
        <w:t>n.713.</w:t>
      </w:r>
    </w:p>
    <w:p>
      <w:pPr>
        <w:spacing w:after="0"/>
        <w:jc w:val="left"/>
        <w:rPr>
          <w:sz w:val="20"/>
        </w:rPr>
        <w:sectPr>
          <w:type w:val="continuous"/>
          <w:pgSz w:w="11900" w:h="16840"/>
          <w:pgMar w:header="971" w:footer="0" w:top="37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2128">
            <wp:simplePos x="0" y="0"/>
            <wp:positionH relativeFrom="page">
              <wp:posOffset>1257846</wp:posOffset>
            </wp:positionH>
            <wp:positionV relativeFrom="paragraph">
              <wp:posOffset>-210870</wp:posOffset>
            </wp:positionV>
            <wp:extent cx="107988" cy="107988"/>
            <wp:effectExtent l="0" t="0" r="0" b="0"/>
            <wp:wrapNone/>
            <wp:docPr id="268" name="Image 268"/>
            <wp:cNvGraphicFramePr>
              <a:graphicFrameLocks/>
            </wp:cNvGraphicFramePr>
            <a:graphic>
              <a:graphicData uri="http://schemas.openxmlformats.org/drawingml/2006/picture">
                <pic:pic>
                  <pic:nvPicPr>
                    <pic:cNvPr id="268" name="Image 26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12" w:id="1414"/>
      <w:bookmarkEnd w:id="1414"/>
      <w:r>
        <w:rPr/>
      </w:r>
      <w:hyperlink w:history="true" w:anchor="_bookmark1368">
        <w:r>
          <w:rPr>
            <w:color w:val="005DA1"/>
            <w:spacing w:val="-4"/>
            <w:sz w:val="14"/>
            <w:u w:val="single" w:color="005DA1"/>
          </w:rPr>
          <w:t>742</w:t>
        </w:r>
      </w:hyperlink>
      <w:r>
        <w:rPr>
          <w:spacing w:val="-4"/>
          <w:sz w:val="14"/>
        </w:rPr>
        <w:t>.</w:t>
      </w:r>
    </w:p>
    <w:p>
      <w:pPr>
        <w:spacing w:before="209"/>
        <w:ind w:left="335" w:right="0" w:firstLine="0"/>
        <w:jc w:val="left"/>
        <w:rPr>
          <w:sz w:val="20"/>
        </w:rPr>
      </w:pPr>
      <w:r>
        <w:rPr/>
        <w:br w:type="column"/>
      </w:r>
      <w:r>
        <w:rPr>
          <w:sz w:val="20"/>
        </w:rPr>
        <w:t>See</w:t>
      </w:r>
      <w:r>
        <w:rPr>
          <w:spacing w:val="-1"/>
          <w:sz w:val="20"/>
        </w:rPr>
        <w:t> </w:t>
      </w:r>
      <w:r>
        <w:rPr>
          <w:rFonts w:ascii="Arial" w:hAnsi="Arial"/>
          <w:i/>
          <w:sz w:val="20"/>
        </w:rPr>
        <w:t>[2016] EWCA Civ 553</w:t>
      </w:r>
      <w:r>
        <w:rPr>
          <w:rFonts w:ascii="Arial" w:hAnsi="Arial"/>
          <w:i/>
          <w:spacing w:val="-1"/>
          <w:sz w:val="20"/>
        </w:rPr>
        <w:t> </w:t>
      </w:r>
      <w:r>
        <w:rPr>
          <w:sz w:val="20"/>
        </w:rPr>
        <w:t>at [39], </w:t>
      </w:r>
      <w:r>
        <w:rPr>
          <w:spacing w:val="-2"/>
          <w:sz w:val="20"/>
        </w:rPr>
        <w:t>[85]–[87].</w:t>
      </w:r>
    </w:p>
    <w:p>
      <w:pPr>
        <w:spacing w:after="0"/>
        <w:jc w:val="left"/>
        <w:rPr>
          <w:sz w:val="20"/>
        </w:rPr>
        <w:sectPr>
          <w:type w:val="continuous"/>
          <w:pgSz w:w="11900" w:h="16840"/>
          <w:pgMar w:header="971" w:footer="0" w:top="37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2640">
            <wp:simplePos x="0" y="0"/>
            <wp:positionH relativeFrom="page">
              <wp:posOffset>1257846</wp:posOffset>
            </wp:positionH>
            <wp:positionV relativeFrom="paragraph">
              <wp:posOffset>-210851</wp:posOffset>
            </wp:positionV>
            <wp:extent cx="107988" cy="107988"/>
            <wp:effectExtent l="0" t="0" r="0" b="0"/>
            <wp:wrapNone/>
            <wp:docPr id="269" name="Image 269"/>
            <wp:cNvGraphicFramePr>
              <a:graphicFrameLocks/>
            </wp:cNvGraphicFramePr>
            <a:graphic>
              <a:graphicData uri="http://schemas.openxmlformats.org/drawingml/2006/picture">
                <pic:pic>
                  <pic:nvPicPr>
                    <pic:cNvPr id="269" name="Image 26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13" w:id="1415"/>
      <w:bookmarkEnd w:id="1415"/>
      <w:r>
        <w:rPr/>
      </w:r>
      <w:hyperlink w:history="true" w:anchor="_bookmark1369">
        <w:r>
          <w:rPr>
            <w:color w:val="005DA1"/>
            <w:spacing w:val="-4"/>
            <w:sz w:val="14"/>
            <w:u w:val="single" w:color="005DA1"/>
          </w:rPr>
          <w:t>743</w:t>
        </w:r>
      </w:hyperlink>
      <w:r>
        <w:rPr>
          <w:spacing w:val="-4"/>
          <w:sz w:val="14"/>
        </w:rPr>
        <w:t>.</w:t>
      </w:r>
    </w:p>
    <w:p>
      <w:pPr>
        <w:pStyle w:val="BodyText"/>
        <w:spacing w:before="209"/>
        <w:ind w:left="335"/>
      </w:pPr>
      <w:r>
        <w:rPr/>
        <w:br w:type="column"/>
      </w:r>
      <w:r>
        <w:rPr/>
        <w:t>At </w:t>
      </w:r>
      <w:r>
        <w:rPr>
          <w:spacing w:val="-2"/>
        </w:rPr>
        <w:t>[85].</w:t>
      </w:r>
    </w:p>
    <w:p>
      <w:pPr>
        <w:pStyle w:val="BodyText"/>
        <w:spacing w:after="0"/>
        <w:sectPr>
          <w:type w:val="continuous"/>
          <w:pgSz w:w="11900" w:h="16840"/>
          <w:pgMar w:header="971" w:footer="0" w:top="37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3152">
            <wp:simplePos x="0" y="0"/>
            <wp:positionH relativeFrom="page">
              <wp:posOffset>1257846</wp:posOffset>
            </wp:positionH>
            <wp:positionV relativeFrom="paragraph">
              <wp:posOffset>-210831</wp:posOffset>
            </wp:positionV>
            <wp:extent cx="107988" cy="107988"/>
            <wp:effectExtent l="0" t="0" r="0" b="0"/>
            <wp:wrapNone/>
            <wp:docPr id="270" name="Image 270"/>
            <wp:cNvGraphicFramePr>
              <a:graphicFrameLocks/>
            </wp:cNvGraphicFramePr>
            <a:graphic>
              <a:graphicData uri="http://schemas.openxmlformats.org/drawingml/2006/picture">
                <pic:pic>
                  <pic:nvPicPr>
                    <pic:cNvPr id="270" name="Image 270"/>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93664">
            <wp:simplePos x="0" y="0"/>
            <wp:positionH relativeFrom="page">
              <wp:posOffset>1257846</wp:posOffset>
            </wp:positionH>
            <wp:positionV relativeFrom="paragraph">
              <wp:posOffset>160643</wp:posOffset>
            </wp:positionV>
            <wp:extent cx="107988" cy="107988"/>
            <wp:effectExtent l="0" t="0" r="0" b="0"/>
            <wp:wrapNone/>
            <wp:docPr id="271" name="Image 271"/>
            <wp:cNvGraphicFramePr>
              <a:graphicFrameLocks/>
            </wp:cNvGraphicFramePr>
            <a:graphic>
              <a:graphicData uri="http://schemas.openxmlformats.org/drawingml/2006/picture">
                <pic:pic>
                  <pic:nvPicPr>
                    <pic:cNvPr id="271" name="Image 27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14" w:id="1416"/>
      <w:bookmarkEnd w:id="1416"/>
      <w:r>
        <w:rPr/>
      </w:r>
      <w:hyperlink w:history="true" w:anchor="_bookmark1370">
        <w:r>
          <w:rPr>
            <w:color w:val="005DA1"/>
            <w:spacing w:val="-4"/>
            <w:sz w:val="14"/>
            <w:u w:val="single" w:color="005DA1"/>
          </w:rPr>
          <w:t>744</w:t>
        </w:r>
      </w:hyperlink>
      <w:r>
        <w:rPr>
          <w:spacing w:val="-4"/>
          <w:sz w:val="14"/>
        </w:rPr>
        <w:t>.</w:t>
      </w:r>
    </w:p>
    <w:p>
      <w:pPr>
        <w:pStyle w:val="BodyText"/>
        <w:spacing w:line="235" w:lineRule="auto" w:before="212"/>
        <w:ind w:left="165" w:right="168" w:firstLine="170"/>
        <w:jc w:val="both"/>
      </w:pPr>
      <w:r>
        <w:rPr/>
        <w:br w:type="column"/>
      </w:r>
      <w:r>
        <w:rPr/>
        <w:t>e.g. at [41] (“some other act that he was not bound by the contract to perform”); cf. at </w:t>
      </w:r>
      <w:r>
        <w:rPr/>
        <w:t>[84], explaining </w:t>
      </w:r>
      <w:r>
        <w:rPr>
          <w:rFonts w:ascii="Arial" w:hAnsi="Arial"/>
          <w:i/>
        </w:rPr>
        <w:t>Re Selectmove </w:t>
      </w:r>
      <w:r>
        <w:rPr/>
        <w:t>(above, n.714k) on the ground that there was no “extra” benefit </w:t>
      </w:r>
      <w:r>
        <w:rPr/>
        <w:t>to</w:t>
      </w:r>
      <w:r>
        <w:rPr>
          <w:spacing w:val="40"/>
        </w:rPr>
        <w:t> </w:t>
      </w:r>
      <w:r>
        <w:rPr/>
        <w:t>the promisor.</w:t>
      </w:r>
    </w:p>
    <w:p>
      <w:pPr>
        <w:pStyle w:val="BodyText"/>
        <w:spacing w:after="0" w:line="235" w:lineRule="auto"/>
        <w:jc w:val="both"/>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bookmarkStart w:name="_bookmark1415" w:id="1417"/>
      <w:bookmarkEnd w:id="1417"/>
      <w:r>
        <w:rPr/>
      </w:r>
      <w:hyperlink w:history="true" w:anchor="_bookmark1371">
        <w:r>
          <w:rPr>
            <w:color w:val="005DA1"/>
            <w:spacing w:val="-4"/>
            <w:sz w:val="14"/>
            <w:u w:val="single" w:color="005DA1"/>
          </w:rPr>
          <w:t>745</w:t>
        </w:r>
      </w:hyperlink>
      <w:r>
        <w:rPr>
          <w:spacing w:val="-4"/>
          <w:sz w:val="14"/>
        </w:rPr>
        <w:t>.</w:t>
      </w:r>
    </w:p>
    <w:p>
      <w:pPr>
        <w:spacing w:before="209"/>
        <w:ind w:left="335" w:right="0" w:firstLine="0"/>
        <w:jc w:val="left"/>
        <w:rPr>
          <w:sz w:val="20"/>
        </w:rPr>
      </w:pPr>
      <w:r>
        <w:rPr/>
        <w:br w:type="column"/>
      </w:r>
      <w:r>
        <w:rPr>
          <w:rFonts w:ascii="Arial"/>
          <w:i/>
          <w:sz w:val="20"/>
        </w:rPr>
        <w:t>[1991]</w:t>
      </w:r>
      <w:r>
        <w:rPr>
          <w:rFonts w:ascii="Arial"/>
          <w:i/>
          <w:spacing w:val="-1"/>
          <w:sz w:val="20"/>
        </w:rPr>
        <w:t> </w:t>
      </w:r>
      <w:r>
        <w:rPr>
          <w:rFonts w:ascii="Arial"/>
          <w:i/>
          <w:sz w:val="20"/>
        </w:rPr>
        <w:t>1 Q.B. 1</w:t>
      </w:r>
      <w:r>
        <w:rPr>
          <w:sz w:val="20"/>
        </w:rPr>
        <w:t>, paras 4-069, 4-</w:t>
      </w:r>
      <w:r>
        <w:rPr>
          <w:spacing w:val="-4"/>
          <w:sz w:val="20"/>
        </w:rPr>
        <w:t>070.</w:t>
      </w:r>
    </w:p>
    <w:p>
      <w:pPr>
        <w:spacing w:after="0"/>
        <w:jc w:val="left"/>
        <w:rPr>
          <w:sz w:val="20"/>
        </w:rPr>
        <w:sectPr>
          <w:type w:val="continuous"/>
          <w:pgSz w:w="11900" w:h="16840"/>
          <w:pgMar w:header="971" w:footer="0" w:top="37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4176">
            <wp:simplePos x="0" y="0"/>
            <wp:positionH relativeFrom="page">
              <wp:posOffset>1257846</wp:posOffset>
            </wp:positionH>
            <wp:positionV relativeFrom="paragraph">
              <wp:posOffset>-210894</wp:posOffset>
            </wp:positionV>
            <wp:extent cx="107988" cy="107988"/>
            <wp:effectExtent l="0" t="0" r="0" b="0"/>
            <wp:wrapNone/>
            <wp:docPr id="272" name="Image 272"/>
            <wp:cNvGraphicFramePr>
              <a:graphicFrameLocks/>
            </wp:cNvGraphicFramePr>
            <a:graphic>
              <a:graphicData uri="http://schemas.openxmlformats.org/drawingml/2006/picture">
                <pic:pic>
                  <pic:nvPicPr>
                    <pic:cNvPr id="272" name="Image 272"/>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94688">
            <wp:simplePos x="0" y="0"/>
            <wp:positionH relativeFrom="page">
              <wp:posOffset>1257846</wp:posOffset>
            </wp:positionH>
            <wp:positionV relativeFrom="paragraph">
              <wp:posOffset>160580</wp:posOffset>
            </wp:positionV>
            <wp:extent cx="107988" cy="107988"/>
            <wp:effectExtent l="0" t="0" r="0" b="0"/>
            <wp:wrapNone/>
            <wp:docPr id="273" name="Image 273"/>
            <wp:cNvGraphicFramePr>
              <a:graphicFrameLocks/>
            </wp:cNvGraphicFramePr>
            <a:graphic>
              <a:graphicData uri="http://schemas.openxmlformats.org/drawingml/2006/picture">
                <pic:pic>
                  <pic:nvPicPr>
                    <pic:cNvPr id="273" name="Image 27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16" w:id="1418"/>
      <w:bookmarkEnd w:id="1418"/>
      <w:r>
        <w:rPr/>
      </w:r>
      <w:hyperlink w:history="true" w:anchor="_bookmark1372">
        <w:r>
          <w:rPr>
            <w:color w:val="005DA1"/>
            <w:spacing w:val="-4"/>
            <w:sz w:val="14"/>
            <w:u w:val="single" w:color="005DA1"/>
          </w:rPr>
          <w:t>746</w:t>
        </w:r>
      </w:hyperlink>
      <w:r>
        <w:rPr>
          <w:spacing w:val="-4"/>
          <w:sz w:val="14"/>
        </w:rPr>
        <w:t>.</w:t>
      </w:r>
    </w:p>
    <w:p>
      <w:pPr>
        <w:pStyle w:val="BodyText"/>
        <w:spacing w:line="235" w:lineRule="auto" w:before="212"/>
        <w:ind w:left="165" w:right="168" w:firstLine="170"/>
      </w:pPr>
      <w:r>
        <w:rPr/>
        <w:br w:type="column"/>
      </w:r>
      <w:r>
        <w:rPr>
          <w:rFonts w:ascii="Arial"/>
          <w:i/>
        </w:rPr>
        <w:t>[2016]</w:t>
      </w:r>
      <w:r>
        <w:rPr>
          <w:rFonts w:ascii="Arial"/>
          <w:i/>
          <w:spacing w:val="18"/>
        </w:rPr>
        <w:t> </w:t>
      </w:r>
      <w:r>
        <w:rPr>
          <w:rFonts w:ascii="Arial"/>
          <w:i/>
        </w:rPr>
        <w:t>EWCA</w:t>
      </w:r>
      <w:r>
        <w:rPr>
          <w:rFonts w:ascii="Arial"/>
          <w:i/>
          <w:spacing w:val="18"/>
        </w:rPr>
        <w:t> </w:t>
      </w:r>
      <w:r>
        <w:rPr>
          <w:rFonts w:ascii="Arial"/>
          <w:i/>
        </w:rPr>
        <w:t>Civ</w:t>
      </w:r>
      <w:r>
        <w:rPr>
          <w:rFonts w:ascii="Arial"/>
          <w:i/>
          <w:spacing w:val="18"/>
        </w:rPr>
        <w:t> </w:t>
      </w:r>
      <w:r>
        <w:rPr>
          <w:rFonts w:ascii="Arial"/>
          <w:i/>
        </w:rPr>
        <w:t>553</w:t>
      </w:r>
      <w:r>
        <w:rPr>
          <w:rFonts w:ascii="Arial"/>
          <w:i/>
          <w:spacing w:val="18"/>
        </w:rPr>
        <w:t> </w:t>
      </w:r>
      <w:r>
        <w:rPr/>
        <w:t>at</w:t>
      </w:r>
      <w:r>
        <w:rPr>
          <w:spacing w:val="18"/>
        </w:rPr>
        <w:t> </w:t>
      </w:r>
      <w:r>
        <w:rPr/>
        <w:t>[72],</w:t>
      </w:r>
      <w:r>
        <w:rPr>
          <w:spacing w:val="18"/>
        </w:rPr>
        <w:t> </w:t>
      </w:r>
      <w:r>
        <w:rPr/>
        <w:t>italics</w:t>
      </w:r>
      <w:r>
        <w:rPr>
          <w:spacing w:val="18"/>
        </w:rPr>
        <w:t> </w:t>
      </w:r>
      <w:r>
        <w:rPr/>
        <w:t>supplied;</w:t>
      </w:r>
      <w:r>
        <w:rPr>
          <w:spacing w:val="18"/>
        </w:rPr>
        <w:t> </w:t>
      </w:r>
      <w:r>
        <w:rPr/>
        <w:t>e.g.,</w:t>
      </w:r>
      <w:r>
        <w:rPr>
          <w:spacing w:val="18"/>
        </w:rPr>
        <w:t> </w:t>
      </w:r>
      <w:r>
        <w:rPr/>
        <w:t>perhaps</w:t>
      </w:r>
      <w:r>
        <w:rPr>
          <w:spacing w:val="18"/>
        </w:rPr>
        <w:t> </w:t>
      </w:r>
      <w:r>
        <w:rPr/>
        <w:t>by</w:t>
      </w:r>
      <w:r>
        <w:rPr>
          <w:spacing w:val="18"/>
        </w:rPr>
        <w:t> </w:t>
      </w:r>
      <w:r>
        <w:rPr/>
        <w:t>reducing</w:t>
      </w:r>
      <w:r>
        <w:rPr>
          <w:spacing w:val="18"/>
        </w:rPr>
        <w:t> </w:t>
      </w:r>
      <w:r>
        <w:rPr/>
        <w:t>the</w:t>
      </w:r>
      <w:r>
        <w:rPr>
          <w:spacing w:val="18"/>
        </w:rPr>
        <w:t> </w:t>
      </w:r>
      <w:r>
        <w:rPr/>
        <w:t>rental</w:t>
      </w:r>
      <w:r>
        <w:rPr>
          <w:spacing w:val="18"/>
        </w:rPr>
        <w:t> </w:t>
      </w:r>
      <w:r>
        <w:rPr/>
        <w:t>value</w:t>
      </w:r>
      <w:r>
        <w:rPr>
          <w:spacing w:val="18"/>
        </w:rPr>
        <w:t> </w:t>
      </w:r>
      <w:r>
        <w:rPr/>
        <w:t>of other units in the same building.</w:t>
      </w:r>
    </w:p>
    <w:p>
      <w:pPr>
        <w:pStyle w:val="BodyText"/>
        <w:spacing w:after="0" w:line="235" w:lineRule="auto"/>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bookmarkStart w:name="_bookmark1417" w:id="1419"/>
      <w:bookmarkEnd w:id="1419"/>
      <w:r>
        <w:rPr/>
      </w:r>
      <w:hyperlink w:history="true" w:anchor="_bookmark1373">
        <w:r>
          <w:rPr>
            <w:color w:val="005DA1"/>
            <w:spacing w:val="-4"/>
            <w:sz w:val="14"/>
            <w:u w:val="single" w:color="005DA1"/>
          </w:rPr>
          <w:t>747</w:t>
        </w:r>
      </w:hyperlink>
      <w:r>
        <w:rPr>
          <w:spacing w:val="-4"/>
          <w:sz w:val="14"/>
        </w:rPr>
        <w:t>.</w:t>
      </w:r>
    </w:p>
    <w:p>
      <w:pPr>
        <w:pStyle w:val="BodyText"/>
        <w:spacing w:before="209"/>
        <w:ind w:left="335"/>
      </w:pPr>
      <w:r>
        <w:rPr/>
        <w:br w:type="column"/>
      </w:r>
      <w:r>
        <w:rPr/>
        <w:t>At [48] (“would retain [the defendant] as </w:t>
      </w:r>
      <w:r>
        <w:rPr>
          <w:spacing w:val="-2"/>
        </w:rPr>
        <w:t>licensee”).</w:t>
      </w:r>
    </w:p>
    <w:p>
      <w:pPr>
        <w:pStyle w:val="BodyText"/>
        <w:spacing w:after="0"/>
        <w:sectPr>
          <w:type w:val="continuous"/>
          <w:pgSz w:w="11900" w:h="16840"/>
          <w:pgMar w:header="971" w:footer="0" w:top="37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5200">
            <wp:simplePos x="0" y="0"/>
            <wp:positionH relativeFrom="page">
              <wp:posOffset>1257846</wp:posOffset>
            </wp:positionH>
            <wp:positionV relativeFrom="paragraph">
              <wp:posOffset>-210715</wp:posOffset>
            </wp:positionV>
            <wp:extent cx="107988" cy="107988"/>
            <wp:effectExtent l="0" t="0" r="0" b="0"/>
            <wp:wrapNone/>
            <wp:docPr id="274" name="Image 274"/>
            <wp:cNvGraphicFramePr>
              <a:graphicFrameLocks/>
            </wp:cNvGraphicFramePr>
            <a:graphic>
              <a:graphicData uri="http://schemas.openxmlformats.org/drawingml/2006/picture">
                <pic:pic>
                  <pic:nvPicPr>
                    <pic:cNvPr id="274" name="Image 27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18" w:id="1420"/>
      <w:bookmarkEnd w:id="1420"/>
      <w:r>
        <w:rPr/>
      </w:r>
      <w:hyperlink w:history="true" w:anchor="_bookmark1374">
        <w:r>
          <w:rPr>
            <w:color w:val="005DA1"/>
            <w:spacing w:val="-4"/>
            <w:sz w:val="14"/>
            <w:u w:val="single" w:color="005DA1"/>
          </w:rPr>
          <w:t>748</w:t>
        </w:r>
      </w:hyperlink>
      <w:r>
        <w:rPr>
          <w:spacing w:val="-4"/>
          <w:sz w:val="14"/>
        </w:rPr>
        <w:t>.</w:t>
      </w:r>
    </w:p>
    <w:p>
      <w:pPr>
        <w:pStyle w:val="BodyText"/>
        <w:spacing w:before="209"/>
        <w:ind w:left="335"/>
      </w:pPr>
      <w:r>
        <w:rPr/>
        <w:br w:type="column"/>
      </w:r>
      <w:r>
        <w:rPr/>
        <w:t>At </w:t>
      </w:r>
      <w:r>
        <w:rPr>
          <w:spacing w:val="-2"/>
        </w:rPr>
        <w:t>[49].</w:t>
      </w:r>
    </w:p>
    <w:p>
      <w:pPr>
        <w:pStyle w:val="BodyText"/>
        <w:spacing w:after="0"/>
        <w:sectPr>
          <w:type w:val="continuous"/>
          <w:pgSz w:w="11900" w:h="16840"/>
          <w:pgMar w:header="971" w:footer="0" w:top="37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5712">
            <wp:simplePos x="0" y="0"/>
            <wp:positionH relativeFrom="page">
              <wp:posOffset>1257846</wp:posOffset>
            </wp:positionH>
            <wp:positionV relativeFrom="paragraph">
              <wp:posOffset>-210696</wp:posOffset>
            </wp:positionV>
            <wp:extent cx="107988" cy="107988"/>
            <wp:effectExtent l="0" t="0" r="0" b="0"/>
            <wp:wrapNone/>
            <wp:docPr id="275" name="Image 275"/>
            <wp:cNvGraphicFramePr>
              <a:graphicFrameLocks/>
            </wp:cNvGraphicFramePr>
            <a:graphic>
              <a:graphicData uri="http://schemas.openxmlformats.org/drawingml/2006/picture">
                <pic:pic>
                  <pic:nvPicPr>
                    <pic:cNvPr id="275" name="Image 27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19" w:id="1421"/>
      <w:bookmarkEnd w:id="1421"/>
      <w:r>
        <w:rPr/>
      </w:r>
      <w:hyperlink w:history="true" w:anchor="_bookmark1375">
        <w:r>
          <w:rPr>
            <w:color w:val="005DA1"/>
            <w:spacing w:val="-4"/>
            <w:sz w:val="14"/>
            <w:u w:val="single" w:color="005DA1"/>
          </w:rPr>
          <w:t>749</w:t>
        </w:r>
      </w:hyperlink>
      <w:r>
        <w:rPr>
          <w:spacing w:val="-4"/>
          <w:sz w:val="14"/>
        </w:rPr>
        <w:t>.</w:t>
      </w:r>
    </w:p>
    <w:p>
      <w:pPr>
        <w:pStyle w:val="BodyText"/>
        <w:spacing w:before="209"/>
        <w:ind w:left="335"/>
      </w:pPr>
      <w:r>
        <w:rPr/>
        <w:br w:type="column"/>
      </w:r>
      <w:r>
        <w:rPr/>
        <w:t>At </w:t>
      </w:r>
      <w:r>
        <w:rPr>
          <w:spacing w:val="-2"/>
        </w:rPr>
        <w:t>[67].</w:t>
      </w:r>
    </w:p>
    <w:p>
      <w:pPr>
        <w:pStyle w:val="BodyText"/>
        <w:spacing w:after="0"/>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6224">
            <wp:simplePos x="0" y="0"/>
            <wp:positionH relativeFrom="page">
              <wp:posOffset>1257846</wp:posOffset>
            </wp:positionH>
            <wp:positionV relativeFrom="paragraph">
              <wp:posOffset>-211311</wp:posOffset>
            </wp:positionV>
            <wp:extent cx="107988" cy="107988"/>
            <wp:effectExtent l="0" t="0" r="0" b="0"/>
            <wp:wrapNone/>
            <wp:docPr id="276" name="Image 276"/>
            <wp:cNvGraphicFramePr>
              <a:graphicFrameLocks/>
            </wp:cNvGraphicFramePr>
            <a:graphic>
              <a:graphicData uri="http://schemas.openxmlformats.org/drawingml/2006/picture">
                <pic:pic>
                  <pic:nvPicPr>
                    <pic:cNvPr id="276" name="Image 27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20" w:id="1422"/>
      <w:bookmarkEnd w:id="1422"/>
      <w:r>
        <w:rPr/>
      </w:r>
      <w:hyperlink w:history="true" w:anchor="_bookmark1376">
        <w:r>
          <w:rPr>
            <w:color w:val="005DA1"/>
            <w:spacing w:val="-4"/>
            <w:sz w:val="14"/>
            <w:u w:val="single" w:color="005DA1"/>
          </w:rPr>
          <w:t>750</w:t>
        </w:r>
      </w:hyperlink>
      <w:r>
        <w:rPr>
          <w:spacing w:val="-4"/>
          <w:sz w:val="14"/>
        </w:rPr>
        <w:t>.</w:t>
      </w:r>
    </w:p>
    <w:p>
      <w:pPr>
        <w:pStyle w:val="BodyText"/>
        <w:spacing w:before="208"/>
        <w:ind w:left="335"/>
      </w:pPr>
      <w:r>
        <w:rPr/>
        <w:br w:type="column"/>
      </w:r>
      <w:r>
        <w:rPr/>
        <w:t>At </w:t>
      </w:r>
      <w:r>
        <w:rPr>
          <w:spacing w:val="-2"/>
        </w:rPr>
        <w:t>[48].</w:t>
      </w:r>
    </w:p>
    <w:p>
      <w:pPr>
        <w:pStyle w:val="BodyText"/>
        <w:spacing w:after="0"/>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6736">
            <wp:simplePos x="0" y="0"/>
            <wp:positionH relativeFrom="page">
              <wp:posOffset>1257846</wp:posOffset>
            </wp:positionH>
            <wp:positionV relativeFrom="paragraph">
              <wp:posOffset>-211291</wp:posOffset>
            </wp:positionV>
            <wp:extent cx="107988" cy="107988"/>
            <wp:effectExtent l="0" t="0" r="0" b="0"/>
            <wp:wrapNone/>
            <wp:docPr id="277" name="Image 277"/>
            <wp:cNvGraphicFramePr>
              <a:graphicFrameLocks/>
            </wp:cNvGraphicFramePr>
            <a:graphic>
              <a:graphicData uri="http://schemas.openxmlformats.org/drawingml/2006/picture">
                <pic:pic>
                  <pic:nvPicPr>
                    <pic:cNvPr id="277" name="Image 27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21" w:id="1423"/>
      <w:bookmarkEnd w:id="1423"/>
      <w:r>
        <w:rPr/>
      </w:r>
      <w:hyperlink w:history="true" w:anchor="_bookmark1377">
        <w:r>
          <w:rPr>
            <w:color w:val="005DA1"/>
            <w:spacing w:val="-4"/>
            <w:sz w:val="14"/>
            <w:u w:val="single" w:color="005DA1"/>
          </w:rPr>
          <w:t>751</w:t>
        </w:r>
      </w:hyperlink>
      <w:r>
        <w:rPr>
          <w:spacing w:val="-4"/>
          <w:sz w:val="14"/>
        </w:rPr>
        <w:t>.</w:t>
      </w:r>
    </w:p>
    <w:p>
      <w:pPr>
        <w:spacing w:before="208"/>
        <w:ind w:left="335" w:right="0" w:firstLine="0"/>
        <w:jc w:val="left"/>
        <w:rPr>
          <w:sz w:val="20"/>
        </w:rPr>
      </w:pPr>
      <w:r>
        <w:rPr/>
        <w:br w:type="column"/>
      </w:r>
      <w:r>
        <w:rPr>
          <w:rFonts w:ascii="Arial"/>
          <w:i/>
          <w:sz w:val="20"/>
        </w:rPr>
        <w:t>(1884) 9 App. Cas. 605</w:t>
      </w:r>
      <w:r>
        <w:rPr>
          <w:rFonts w:ascii="Arial"/>
          <w:i/>
          <w:spacing w:val="-1"/>
          <w:sz w:val="20"/>
        </w:rPr>
        <w:t> </w:t>
      </w:r>
      <w:r>
        <w:rPr>
          <w:sz w:val="20"/>
        </w:rPr>
        <w:t>at 622, quoted in the</w:t>
      </w:r>
      <w:r>
        <w:rPr>
          <w:spacing w:val="-1"/>
          <w:sz w:val="20"/>
        </w:rPr>
        <w:t> </w:t>
      </w:r>
      <w:r>
        <w:rPr>
          <w:rFonts w:ascii="Arial"/>
          <w:i/>
          <w:sz w:val="20"/>
        </w:rPr>
        <w:t>MWB case [2016] EWCA Civ 553</w:t>
      </w:r>
      <w:r>
        <w:rPr>
          <w:rFonts w:ascii="Arial"/>
          <w:i/>
          <w:spacing w:val="-1"/>
          <w:sz w:val="20"/>
        </w:rPr>
        <w:t> </w:t>
      </w:r>
      <w:r>
        <w:rPr>
          <w:sz w:val="20"/>
        </w:rPr>
        <w:t>at </w:t>
      </w:r>
      <w:r>
        <w:rPr>
          <w:spacing w:val="-2"/>
          <w:sz w:val="20"/>
        </w:rPr>
        <w:t>[39].</w:t>
      </w:r>
    </w:p>
    <w:p>
      <w:pPr>
        <w:spacing w:after="0"/>
        <w:jc w:val="left"/>
        <w:rPr>
          <w:sz w:val="20"/>
        </w:rPr>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7248">
            <wp:simplePos x="0" y="0"/>
            <wp:positionH relativeFrom="page">
              <wp:posOffset>1257846</wp:posOffset>
            </wp:positionH>
            <wp:positionV relativeFrom="paragraph">
              <wp:posOffset>-211271</wp:posOffset>
            </wp:positionV>
            <wp:extent cx="107988" cy="107988"/>
            <wp:effectExtent l="0" t="0" r="0" b="0"/>
            <wp:wrapNone/>
            <wp:docPr id="278" name="Image 278"/>
            <wp:cNvGraphicFramePr>
              <a:graphicFrameLocks/>
            </wp:cNvGraphicFramePr>
            <a:graphic>
              <a:graphicData uri="http://schemas.openxmlformats.org/drawingml/2006/picture">
                <pic:pic>
                  <pic:nvPicPr>
                    <pic:cNvPr id="278" name="Image 27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22" w:id="1424"/>
      <w:bookmarkEnd w:id="1424"/>
      <w:r>
        <w:rPr/>
      </w:r>
      <w:hyperlink w:history="true" w:anchor="_bookmark1378">
        <w:r>
          <w:rPr>
            <w:color w:val="005DA1"/>
            <w:spacing w:val="-4"/>
            <w:sz w:val="14"/>
            <w:u w:val="single" w:color="005DA1"/>
          </w:rPr>
          <w:t>752</w:t>
        </w:r>
      </w:hyperlink>
      <w:r>
        <w:rPr>
          <w:spacing w:val="-4"/>
          <w:sz w:val="14"/>
        </w:rPr>
        <w:t>.</w:t>
      </w:r>
    </w:p>
    <w:p>
      <w:pPr>
        <w:spacing w:before="208"/>
        <w:ind w:left="335" w:right="0" w:firstLine="0"/>
        <w:jc w:val="left"/>
        <w:rPr>
          <w:sz w:val="20"/>
        </w:rPr>
      </w:pPr>
      <w:r>
        <w:rPr/>
        <w:br w:type="column"/>
      </w:r>
      <w:r>
        <w:rPr>
          <w:rFonts w:ascii="Arial"/>
          <w:i/>
          <w:sz w:val="20"/>
        </w:rPr>
        <w:t>[1995]</w:t>
      </w:r>
      <w:r>
        <w:rPr>
          <w:rFonts w:ascii="Arial"/>
          <w:i/>
          <w:spacing w:val="-1"/>
          <w:sz w:val="20"/>
        </w:rPr>
        <w:t> </w:t>
      </w:r>
      <w:r>
        <w:rPr>
          <w:rFonts w:ascii="Arial"/>
          <w:i/>
          <w:sz w:val="20"/>
        </w:rPr>
        <w:t>1 W.L.R. 474</w:t>
      </w:r>
      <w:r>
        <w:rPr>
          <w:sz w:val="20"/>
        </w:rPr>
        <w:t>, para.4-119 </w:t>
      </w:r>
      <w:r>
        <w:rPr>
          <w:spacing w:val="-2"/>
          <w:sz w:val="20"/>
        </w:rPr>
        <w:t>n.713.</w:t>
      </w:r>
    </w:p>
    <w:p>
      <w:pPr>
        <w:spacing w:after="0"/>
        <w:jc w:val="left"/>
        <w:rPr>
          <w:sz w:val="20"/>
        </w:rPr>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7760">
            <wp:simplePos x="0" y="0"/>
            <wp:positionH relativeFrom="page">
              <wp:posOffset>1257846</wp:posOffset>
            </wp:positionH>
            <wp:positionV relativeFrom="paragraph">
              <wp:posOffset>-211251</wp:posOffset>
            </wp:positionV>
            <wp:extent cx="107988" cy="107988"/>
            <wp:effectExtent l="0" t="0" r="0" b="0"/>
            <wp:wrapNone/>
            <wp:docPr id="279" name="Image 279"/>
            <wp:cNvGraphicFramePr>
              <a:graphicFrameLocks/>
            </wp:cNvGraphicFramePr>
            <a:graphic>
              <a:graphicData uri="http://schemas.openxmlformats.org/drawingml/2006/picture">
                <pic:pic>
                  <pic:nvPicPr>
                    <pic:cNvPr id="279" name="Image 27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23" w:id="1425"/>
      <w:bookmarkEnd w:id="1425"/>
      <w:r>
        <w:rPr/>
      </w:r>
      <w:hyperlink w:history="true" w:anchor="_bookmark1379">
        <w:r>
          <w:rPr>
            <w:color w:val="005DA1"/>
            <w:spacing w:val="-4"/>
            <w:sz w:val="14"/>
            <w:u w:val="single" w:color="005DA1"/>
          </w:rPr>
          <w:t>753</w:t>
        </w:r>
      </w:hyperlink>
      <w:r>
        <w:rPr>
          <w:spacing w:val="-4"/>
          <w:sz w:val="14"/>
        </w:rPr>
        <w:t>.</w:t>
      </w:r>
    </w:p>
    <w:p>
      <w:pPr>
        <w:pStyle w:val="BodyText"/>
        <w:spacing w:before="208"/>
        <w:ind w:left="335"/>
      </w:pPr>
      <w:r>
        <w:rPr/>
        <w:br w:type="column"/>
      </w:r>
      <w:r>
        <w:rPr/>
        <w:t>See above, at note </w:t>
      </w:r>
      <w:r>
        <w:rPr>
          <w:spacing w:val="-2"/>
        </w:rPr>
        <w:t>714m.</w:t>
      </w:r>
    </w:p>
    <w:p>
      <w:pPr>
        <w:pStyle w:val="BodyText"/>
        <w:spacing w:after="0"/>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8272">
            <wp:simplePos x="0" y="0"/>
            <wp:positionH relativeFrom="page">
              <wp:posOffset>1257846</wp:posOffset>
            </wp:positionH>
            <wp:positionV relativeFrom="paragraph">
              <wp:posOffset>-211231</wp:posOffset>
            </wp:positionV>
            <wp:extent cx="107988" cy="107988"/>
            <wp:effectExtent l="0" t="0" r="0" b="0"/>
            <wp:wrapNone/>
            <wp:docPr id="280" name="Image 280"/>
            <wp:cNvGraphicFramePr>
              <a:graphicFrameLocks/>
            </wp:cNvGraphicFramePr>
            <a:graphic>
              <a:graphicData uri="http://schemas.openxmlformats.org/drawingml/2006/picture">
                <pic:pic>
                  <pic:nvPicPr>
                    <pic:cNvPr id="280" name="Image 28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24" w:id="1426"/>
      <w:bookmarkEnd w:id="1426"/>
      <w:r>
        <w:rPr/>
      </w:r>
      <w:hyperlink w:history="true" w:anchor="_bookmark1380">
        <w:r>
          <w:rPr>
            <w:color w:val="005DA1"/>
            <w:spacing w:val="-4"/>
            <w:sz w:val="14"/>
            <w:u w:val="single" w:color="005DA1"/>
          </w:rPr>
          <w:t>754</w:t>
        </w:r>
      </w:hyperlink>
      <w:r>
        <w:rPr>
          <w:spacing w:val="-4"/>
          <w:sz w:val="14"/>
        </w:rPr>
        <w:t>.</w:t>
      </w:r>
    </w:p>
    <w:p>
      <w:pPr>
        <w:pStyle w:val="BodyText"/>
        <w:spacing w:before="208"/>
        <w:ind w:left="335"/>
      </w:pPr>
      <w:r>
        <w:rPr/>
        <w:br w:type="column"/>
      </w:r>
      <w:r>
        <w:rPr/>
        <w:t>See above at note </w:t>
      </w:r>
      <w:r>
        <w:rPr>
          <w:spacing w:val="-2"/>
        </w:rPr>
        <w:t>714n.</w:t>
      </w:r>
    </w:p>
    <w:p>
      <w:pPr>
        <w:pStyle w:val="BodyText"/>
        <w:spacing w:after="0"/>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98784">
            <wp:simplePos x="0" y="0"/>
            <wp:positionH relativeFrom="page">
              <wp:posOffset>1257846</wp:posOffset>
            </wp:positionH>
            <wp:positionV relativeFrom="paragraph">
              <wp:posOffset>-211211</wp:posOffset>
            </wp:positionV>
            <wp:extent cx="107988" cy="107988"/>
            <wp:effectExtent l="0" t="0" r="0" b="0"/>
            <wp:wrapNone/>
            <wp:docPr id="281" name="Image 281"/>
            <wp:cNvGraphicFramePr>
              <a:graphicFrameLocks/>
            </wp:cNvGraphicFramePr>
            <a:graphic>
              <a:graphicData uri="http://schemas.openxmlformats.org/drawingml/2006/picture">
                <pic:pic>
                  <pic:nvPicPr>
                    <pic:cNvPr id="281" name="Image 281"/>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99296">
            <wp:simplePos x="0" y="0"/>
            <wp:positionH relativeFrom="page">
              <wp:posOffset>1257846</wp:posOffset>
            </wp:positionH>
            <wp:positionV relativeFrom="paragraph">
              <wp:posOffset>160263</wp:posOffset>
            </wp:positionV>
            <wp:extent cx="107988" cy="107988"/>
            <wp:effectExtent l="0" t="0" r="0" b="0"/>
            <wp:wrapNone/>
            <wp:docPr id="282" name="Image 282"/>
            <wp:cNvGraphicFramePr>
              <a:graphicFrameLocks/>
            </wp:cNvGraphicFramePr>
            <a:graphic>
              <a:graphicData uri="http://schemas.openxmlformats.org/drawingml/2006/picture">
                <pic:pic>
                  <pic:nvPicPr>
                    <pic:cNvPr id="282" name="Image 28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25" w:id="1427"/>
      <w:bookmarkEnd w:id="1427"/>
      <w:r>
        <w:rPr/>
      </w:r>
      <w:hyperlink w:history="true" w:anchor="_bookmark1381">
        <w:r>
          <w:rPr>
            <w:color w:val="005DA1"/>
            <w:spacing w:val="-4"/>
            <w:sz w:val="14"/>
            <w:u w:val="single" w:color="005DA1"/>
          </w:rPr>
          <w:t>755</w:t>
        </w:r>
      </w:hyperlink>
      <w:r>
        <w:rPr>
          <w:spacing w:val="-4"/>
          <w:sz w:val="14"/>
        </w:rPr>
        <w:t>.</w:t>
      </w:r>
    </w:p>
    <w:p>
      <w:pPr>
        <w:spacing w:line="235" w:lineRule="auto" w:before="212"/>
        <w:ind w:left="165" w:right="168" w:firstLine="170"/>
        <w:jc w:val="left"/>
        <w:rPr>
          <w:sz w:val="20"/>
        </w:rPr>
      </w:pPr>
      <w:r>
        <w:rPr/>
        <w:br w:type="column"/>
      </w:r>
      <w:r>
        <w:rPr>
          <w:sz w:val="20"/>
        </w:rPr>
        <w:t>Cf.,</w:t>
      </w:r>
      <w:r>
        <w:rPr>
          <w:spacing w:val="33"/>
          <w:sz w:val="20"/>
        </w:rPr>
        <w:t> </w:t>
      </w:r>
      <w:r>
        <w:rPr>
          <w:sz w:val="20"/>
        </w:rPr>
        <w:t>for</w:t>
      </w:r>
      <w:r>
        <w:rPr>
          <w:spacing w:val="33"/>
          <w:sz w:val="20"/>
        </w:rPr>
        <w:t> </w:t>
      </w:r>
      <w:r>
        <w:rPr>
          <w:sz w:val="20"/>
        </w:rPr>
        <w:t>example,</w:t>
      </w:r>
      <w:r>
        <w:rPr>
          <w:spacing w:val="33"/>
          <w:sz w:val="20"/>
        </w:rPr>
        <w:t> </w:t>
      </w:r>
      <w:r>
        <w:rPr>
          <w:rFonts w:ascii="Arial"/>
          <w:i/>
          <w:sz w:val="20"/>
        </w:rPr>
        <w:t>Co-operative</w:t>
      </w:r>
      <w:r>
        <w:rPr>
          <w:rFonts w:ascii="Arial"/>
          <w:i/>
          <w:spacing w:val="33"/>
          <w:sz w:val="20"/>
        </w:rPr>
        <w:t> </w:t>
      </w:r>
      <w:r>
        <w:rPr>
          <w:rFonts w:ascii="Arial"/>
          <w:i/>
          <w:sz w:val="20"/>
        </w:rPr>
        <w:t>Insurance</w:t>
      </w:r>
      <w:r>
        <w:rPr>
          <w:rFonts w:ascii="Arial"/>
          <w:i/>
          <w:spacing w:val="33"/>
          <w:sz w:val="20"/>
        </w:rPr>
        <w:t> </w:t>
      </w:r>
      <w:r>
        <w:rPr>
          <w:rFonts w:ascii="Arial"/>
          <w:i/>
          <w:sz w:val="20"/>
        </w:rPr>
        <w:t>Society</w:t>
      </w:r>
      <w:r>
        <w:rPr>
          <w:rFonts w:ascii="Arial"/>
          <w:i/>
          <w:spacing w:val="33"/>
          <w:sz w:val="20"/>
        </w:rPr>
        <w:t> </w:t>
      </w:r>
      <w:r>
        <w:rPr>
          <w:rFonts w:ascii="Arial"/>
          <w:i/>
          <w:sz w:val="20"/>
        </w:rPr>
        <w:t>Ltd</w:t>
      </w:r>
      <w:r>
        <w:rPr>
          <w:rFonts w:ascii="Arial"/>
          <w:i/>
          <w:spacing w:val="33"/>
          <w:sz w:val="20"/>
        </w:rPr>
        <w:t> </w:t>
      </w:r>
      <w:r>
        <w:rPr>
          <w:rFonts w:ascii="Arial"/>
          <w:i/>
          <w:sz w:val="20"/>
        </w:rPr>
        <w:t>v</w:t>
      </w:r>
      <w:r>
        <w:rPr>
          <w:rFonts w:ascii="Arial"/>
          <w:i/>
          <w:spacing w:val="33"/>
          <w:sz w:val="20"/>
        </w:rPr>
        <w:t> </w:t>
      </w:r>
      <w:r>
        <w:rPr>
          <w:rFonts w:ascii="Arial"/>
          <w:i/>
          <w:sz w:val="20"/>
        </w:rPr>
        <w:t>Argyll</w:t>
      </w:r>
      <w:r>
        <w:rPr>
          <w:rFonts w:ascii="Arial"/>
          <w:i/>
          <w:spacing w:val="33"/>
          <w:sz w:val="20"/>
        </w:rPr>
        <w:t> </w:t>
      </w:r>
      <w:r>
        <w:rPr>
          <w:rFonts w:ascii="Arial"/>
          <w:i/>
          <w:sz w:val="20"/>
        </w:rPr>
        <w:t>Stores</w:t>
      </w:r>
      <w:r>
        <w:rPr>
          <w:rFonts w:ascii="Arial"/>
          <w:i/>
          <w:spacing w:val="33"/>
          <w:sz w:val="20"/>
        </w:rPr>
        <w:t> </w:t>
      </w:r>
      <w:r>
        <w:rPr>
          <w:rFonts w:ascii="Arial"/>
          <w:i/>
          <w:sz w:val="20"/>
        </w:rPr>
        <w:t>(Holdings)</w:t>
      </w:r>
      <w:r>
        <w:rPr>
          <w:rFonts w:ascii="Arial"/>
          <w:i/>
          <w:spacing w:val="33"/>
          <w:sz w:val="20"/>
        </w:rPr>
        <w:t> </w:t>
      </w:r>
      <w:r>
        <w:rPr>
          <w:rFonts w:ascii="Arial"/>
          <w:i/>
          <w:sz w:val="20"/>
        </w:rPr>
        <w:t>Ltd</w:t>
      </w:r>
      <w:r>
        <w:rPr>
          <w:sz w:val="20"/>
        </w:rPr>
        <w:t>,</w:t>
      </w:r>
      <w:r>
        <w:rPr>
          <w:spacing w:val="33"/>
          <w:sz w:val="20"/>
        </w:rPr>
        <w:t> </w:t>
      </w:r>
      <w:r>
        <w:rPr>
          <w:sz w:val="20"/>
        </w:rPr>
        <w:t>Vol.I, para.27-031, for a clause of this kind. No issue of consideration arose in this case.</w:t>
      </w:r>
    </w:p>
    <w:p>
      <w:pPr>
        <w:spacing w:after="0" w:line="235" w:lineRule="auto"/>
        <w:jc w:val="left"/>
        <w:rPr>
          <w:sz w:val="20"/>
        </w:rPr>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bookmarkStart w:name="_bookmark1426" w:id="1428"/>
      <w:bookmarkEnd w:id="1428"/>
      <w:r>
        <w:rPr/>
      </w:r>
      <w:hyperlink w:history="true" w:anchor="_bookmark1382">
        <w:r>
          <w:rPr>
            <w:color w:val="005DA1"/>
            <w:spacing w:val="-4"/>
            <w:sz w:val="14"/>
            <w:u w:val="single" w:color="005DA1"/>
          </w:rPr>
          <w:t>756</w:t>
        </w:r>
      </w:hyperlink>
      <w:r>
        <w:rPr>
          <w:spacing w:val="-4"/>
          <w:sz w:val="14"/>
        </w:rPr>
        <w:t>.</w:t>
      </w:r>
    </w:p>
    <w:p>
      <w:pPr>
        <w:spacing w:before="208"/>
        <w:ind w:left="335" w:right="0" w:firstLine="0"/>
        <w:jc w:val="left"/>
        <w:rPr>
          <w:sz w:val="20"/>
        </w:rPr>
      </w:pPr>
      <w:r>
        <w:rPr/>
        <w:br w:type="column"/>
      </w:r>
      <w:r>
        <w:rPr>
          <w:rFonts w:ascii="Arial" w:hAnsi="Arial"/>
          <w:i/>
          <w:sz w:val="20"/>
        </w:rPr>
        <w:t>[1990]</w:t>
      </w:r>
      <w:r>
        <w:rPr>
          <w:rFonts w:ascii="Arial" w:hAnsi="Arial"/>
          <w:i/>
          <w:spacing w:val="-1"/>
          <w:sz w:val="20"/>
        </w:rPr>
        <w:t> </w:t>
      </w:r>
      <w:r>
        <w:rPr>
          <w:rFonts w:ascii="Arial" w:hAnsi="Arial"/>
          <w:i/>
          <w:sz w:val="20"/>
        </w:rPr>
        <w:t>2 Lloyd’s Rep. 526, 544</w:t>
      </w:r>
      <w:r>
        <w:rPr>
          <w:sz w:val="20"/>
        </w:rPr>
        <w:t>, discussed in the Vol.I, para.4-</w:t>
      </w:r>
      <w:r>
        <w:rPr>
          <w:spacing w:val="-4"/>
          <w:sz w:val="20"/>
        </w:rPr>
        <w:t>125.</w:t>
      </w:r>
    </w:p>
    <w:p>
      <w:pPr>
        <w:spacing w:after="0"/>
        <w:jc w:val="left"/>
        <w:rPr>
          <w:sz w:val="20"/>
        </w:rPr>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9808">
            <wp:simplePos x="0" y="0"/>
            <wp:positionH relativeFrom="page">
              <wp:posOffset>1257846</wp:posOffset>
            </wp:positionH>
            <wp:positionV relativeFrom="paragraph">
              <wp:posOffset>-211033</wp:posOffset>
            </wp:positionV>
            <wp:extent cx="107988" cy="107988"/>
            <wp:effectExtent l="0" t="0" r="0" b="0"/>
            <wp:wrapNone/>
            <wp:docPr id="283" name="Image 283"/>
            <wp:cNvGraphicFramePr>
              <a:graphicFrameLocks/>
            </wp:cNvGraphicFramePr>
            <a:graphic>
              <a:graphicData uri="http://schemas.openxmlformats.org/drawingml/2006/picture">
                <pic:pic>
                  <pic:nvPicPr>
                    <pic:cNvPr id="283" name="Image 283"/>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800320">
            <wp:simplePos x="0" y="0"/>
            <wp:positionH relativeFrom="page">
              <wp:posOffset>1257846</wp:posOffset>
            </wp:positionH>
            <wp:positionV relativeFrom="paragraph">
              <wp:posOffset>160441</wp:posOffset>
            </wp:positionV>
            <wp:extent cx="107988" cy="107988"/>
            <wp:effectExtent l="0" t="0" r="0" b="0"/>
            <wp:wrapNone/>
            <wp:docPr id="284" name="Image 284"/>
            <wp:cNvGraphicFramePr>
              <a:graphicFrameLocks/>
            </wp:cNvGraphicFramePr>
            <a:graphic>
              <a:graphicData uri="http://schemas.openxmlformats.org/drawingml/2006/picture">
                <pic:pic>
                  <pic:nvPicPr>
                    <pic:cNvPr id="284" name="Image 28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27" w:id="1429"/>
      <w:bookmarkEnd w:id="1429"/>
      <w:r>
        <w:rPr/>
      </w:r>
      <w:hyperlink w:history="true" w:anchor="_bookmark1383">
        <w:r>
          <w:rPr>
            <w:color w:val="005DA1"/>
            <w:spacing w:val="-4"/>
            <w:sz w:val="14"/>
            <w:u w:val="single" w:color="005DA1"/>
          </w:rPr>
          <w:t>757</w:t>
        </w:r>
      </w:hyperlink>
      <w:r>
        <w:rPr>
          <w:spacing w:val="-4"/>
          <w:sz w:val="14"/>
        </w:rPr>
        <w:t>.</w:t>
      </w:r>
    </w:p>
    <w:p>
      <w:pPr>
        <w:spacing w:before="208"/>
        <w:ind w:left="335" w:right="0" w:firstLine="0"/>
        <w:jc w:val="left"/>
        <w:rPr>
          <w:sz w:val="20"/>
        </w:rPr>
      </w:pPr>
      <w:r>
        <w:rPr/>
        <w:br w:type="column"/>
      </w:r>
      <w:r>
        <w:rPr>
          <w:rFonts w:ascii="Arial"/>
          <w:i/>
          <w:sz w:val="20"/>
        </w:rPr>
        <w:t>[2016] EWCA Civ 553</w:t>
      </w:r>
      <w:r>
        <w:rPr>
          <w:rFonts w:ascii="Arial"/>
          <w:i/>
          <w:spacing w:val="-1"/>
          <w:sz w:val="20"/>
        </w:rPr>
        <w:t> </w:t>
      </w:r>
      <w:r>
        <w:rPr>
          <w:sz w:val="20"/>
        </w:rPr>
        <w:t>at </w:t>
      </w:r>
      <w:r>
        <w:rPr>
          <w:spacing w:val="-2"/>
          <w:sz w:val="20"/>
        </w:rPr>
        <w:t>[72].</w:t>
      </w:r>
    </w:p>
    <w:p>
      <w:pPr>
        <w:spacing w:after="0"/>
        <w:jc w:val="left"/>
        <w:rPr>
          <w:sz w:val="20"/>
        </w:rPr>
        <w:sectPr>
          <w:type w:val="continuous"/>
          <w:pgSz w:w="11900" w:h="16840"/>
          <w:pgMar w:header="971" w:footer="0" w:top="3760" w:bottom="280" w:left="1275" w:right="1275"/>
          <w:cols w:num="2" w:equalWidth="0">
            <w:col w:w="478" w:space="63"/>
            <w:col w:w="8809"/>
          </w:cols>
        </w:sectPr>
      </w:pPr>
    </w:p>
    <w:p>
      <w:pPr>
        <w:pStyle w:val="BodyText"/>
        <w:spacing w:before="4"/>
        <w:rPr>
          <w:sz w:val="19"/>
        </w:rPr>
      </w:pPr>
    </w:p>
    <w:p>
      <w:pPr>
        <w:pStyle w:val="BodyText"/>
        <w:spacing w:after="0"/>
        <w:rPr>
          <w:sz w:val="19"/>
        </w:rPr>
        <w:sectPr>
          <w:pgSz w:w="11900" w:h="16840"/>
          <w:pgMar w:header="971" w:footer="0" w:top="1160" w:bottom="280" w:left="1275" w:right="1275"/>
        </w:sectPr>
      </w:pPr>
    </w:p>
    <w:p>
      <w:pPr>
        <w:spacing w:before="96"/>
        <w:ind w:left="165" w:right="0" w:firstLine="0"/>
        <w:jc w:val="left"/>
        <w:rPr>
          <w:sz w:val="14"/>
        </w:rPr>
      </w:pPr>
      <w:hyperlink w:history="true" w:anchor="_bookmark1384">
        <w:r>
          <w:rPr>
            <w:color w:val="005DA1"/>
            <w:spacing w:val="-4"/>
            <w:sz w:val="14"/>
            <w:u w:val="single" w:color="005DA1"/>
          </w:rPr>
          <w:t>758</w:t>
        </w:r>
      </w:hyperlink>
      <w:r>
        <w:rPr>
          <w:spacing w:val="-4"/>
          <w:sz w:val="14"/>
        </w:rPr>
        <w:t>.</w:t>
      </w:r>
    </w:p>
    <w:p>
      <w:pPr>
        <w:spacing w:before="208"/>
        <w:ind w:left="335" w:right="0" w:firstLine="0"/>
        <w:jc w:val="left"/>
        <w:rPr>
          <w:sz w:val="20"/>
        </w:rPr>
      </w:pPr>
      <w:r>
        <w:rPr/>
        <w:br w:type="column"/>
      </w:r>
      <w:r>
        <w:rPr>
          <w:sz w:val="20"/>
        </w:rPr>
        <w:t>See</w:t>
      </w:r>
      <w:r>
        <w:rPr>
          <w:spacing w:val="-1"/>
          <w:sz w:val="20"/>
        </w:rPr>
        <w:t> </w:t>
      </w:r>
      <w:r>
        <w:rPr>
          <w:rFonts w:ascii="Arial" w:hAnsi="Arial"/>
          <w:i/>
          <w:sz w:val="20"/>
        </w:rPr>
        <w:t>[2016] EWCA Civ 553</w:t>
      </w:r>
      <w:r>
        <w:rPr>
          <w:rFonts w:ascii="Arial" w:hAnsi="Arial"/>
          <w:i/>
          <w:spacing w:val="-1"/>
          <w:sz w:val="20"/>
        </w:rPr>
        <w:t> </w:t>
      </w:r>
      <w:r>
        <w:rPr>
          <w:sz w:val="20"/>
        </w:rPr>
        <w:t>at [48], [49], [67] and </w:t>
      </w:r>
      <w:r>
        <w:rPr>
          <w:spacing w:val="-2"/>
          <w:sz w:val="20"/>
        </w:rPr>
        <w:t>[82]–[87].</w:t>
      </w:r>
    </w:p>
    <w:p>
      <w:pPr>
        <w:spacing w:after="0"/>
        <w:jc w:val="left"/>
        <w:rPr>
          <w:sz w:val="20"/>
        </w:rPr>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0832">
            <wp:simplePos x="0" y="0"/>
            <wp:positionH relativeFrom="page">
              <wp:posOffset>1257846</wp:posOffset>
            </wp:positionH>
            <wp:positionV relativeFrom="paragraph">
              <wp:posOffset>-210970</wp:posOffset>
            </wp:positionV>
            <wp:extent cx="107988" cy="107988"/>
            <wp:effectExtent l="0" t="0" r="0" b="0"/>
            <wp:wrapNone/>
            <wp:docPr id="285" name="Image 285"/>
            <wp:cNvGraphicFramePr>
              <a:graphicFrameLocks/>
            </wp:cNvGraphicFramePr>
            <a:graphic>
              <a:graphicData uri="http://schemas.openxmlformats.org/drawingml/2006/picture">
                <pic:pic>
                  <pic:nvPicPr>
                    <pic:cNvPr id="285" name="Image 28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28" w:id="1430"/>
      <w:bookmarkEnd w:id="1430"/>
      <w:r>
        <w:rPr/>
      </w:r>
      <w:hyperlink w:history="true" w:anchor="_bookmark1385">
        <w:r>
          <w:rPr>
            <w:color w:val="005DA1"/>
            <w:spacing w:val="-4"/>
            <w:sz w:val="14"/>
            <w:u w:val="single" w:color="005DA1"/>
          </w:rPr>
          <w:t>759</w:t>
        </w:r>
      </w:hyperlink>
      <w:r>
        <w:rPr>
          <w:spacing w:val="-4"/>
          <w:sz w:val="14"/>
        </w:rPr>
        <w:t>.</w:t>
      </w:r>
    </w:p>
    <w:p>
      <w:pPr>
        <w:pStyle w:val="BodyText"/>
        <w:spacing w:line="235" w:lineRule="auto" w:before="212"/>
        <w:ind w:left="165" w:right="167" w:firstLine="170"/>
      </w:pPr>
      <w:r>
        <w:rPr/>
        <w:br w:type="column"/>
      </w:r>
      <w:r>
        <w:rPr/>
        <w:t>Perhaps the resolution of the above reasoning may be sought by reasoning similar to that of </w:t>
      </w:r>
      <w:r>
        <w:rPr>
          <w:spacing w:val="-2"/>
        </w:rPr>
        <w:t>para.4-024.</w:t>
      </w:r>
    </w:p>
    <w:p>
      <w:pPr>
        <w:pStyle w:val="BodyText"/>
        <w:spacing w:before="193"/>
      </w:pPr>
    </w:p>
    <w:p>
      <w:pPr>
        <w:spacing w:before="0"/>
        <w:ind w:left="0" w:right="544" w:firstLine="0"/>
        <w:jc w:val="center"/>
        <w:rPr>
          <w:sz w:val="14"/>
        </w:rPr>
      </w:pPr>
      <w:r>
        <w:rPr>
          <w:sz w:val="14"/>
        </w:rPr>
        <w:drawing>
          <wp:anchor distT="0" distB="0" distL="0" distR="0" allowOverlap="1" layoutInCell="1" locked="0" behindDoc="0" simplePos="0" relativeHeight="15801344">
            <wp:simplePos x="0" y="0"/>
            <wp:positionH relativeFrom="page">
              <wp:posOffset>1257846</wp:posOffset>
            </wp:positionH>
            <wp:positionV relativeFrom="paragraph">
              <wp:posOffset>-528941</wp:posOffset>
            </wp:positionV>
            <wp:extent cx="107988" cy="107988"/>
            <wp:effectExtent l="0" t="0" r="0" b="0"/>
            <wp:wrapNone/>
            <wp:docPr id="286" name="Image 286"/>
            <wp:cNvGraphicFramePr>
              <a:graphicFrameLocks/>
            </wp:cNvGraphicFramePr>
            <a:graphic>
              <a:graphicData uri="http://schemas.openxmlformats.org/drawingml/2006/picture">
                <pic:pic>
                  <pic:nvPicPr>
                    <pic:cNvPr id="286" name="Image 286"/>
                    <pic:cNvPicPr/>
                  </pic:nvPicPr>
                  <pic:blipFill>
                    <a:blip r:embed="rId7" cstate="print"/>
                    <a:stretch>
                      <a:fillRect/>
                    </a:stretch>
                  </pic:blipFill>
                  <pic:spPr>
                    <a:xfrm>
                      <a:off x="0" y="0"/>
                      <a:ext cx="107988" cy="107988"/>
                    </a:xfrm>
                    <a:prstGeom prst="rect">
                      <a:avLst/>
                    </a:prstGeom>
                  </pic:spPr>
                </pic:pic>
              </a:graphicData>
            </a:graphic>
          </wp:anchor>
        </w:drawing>
      </w:r>
      <w:r>
        <w:rPr>
          <w:sz w:val="14"/>
        </w:rPr>
        <w:t>© 2018 Sweet &amp; </w:t>
      </w:r>
      <w:r>
        <w:rPr>
          <w:spacing w:val="-2"/>
          <w:sz w:val="14"/>
        </w:rPr>
        <w:t>Maxwell</w:t>
      </w:r>
    </w:p>
    <w:p>
      <w:pPr>
        <w:spacing w:after="0"/>
        <w:jc w:val="center"/>
        <w:rPr>
          <w:sz w:val="14"/>
        </w:rPr>
        <w:sectPr>
          <w:type w:val="continuous"/>
          <w:pgSz w:w="11900" w:h="16840"/>
          <w:pgMar w:header="971" w:footer="0" w:top="3760" w:bottom="280" w:left="1275" w:right="1275"/>
          <w:cols w:num="2" w:equalWidth="0">
            <w:col w:w="478" w:space="63"/>
            <w:col w:w="8809"/>
          </w:cols>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727" w:right="2730"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227712">
                <wp:simplePos x="0" y="0"/>
                <wp:positionH relativeFrom="page">
                  <wp:posOffset>4707940</wp:posOffset>
                </wp:positionH>
                <wp:positionV relativeFrom="paragraph">
                  <wp:posOffset>377436</wp:posOffset>
                </wp:positionV>
                <wp:extent cx="42545"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88768" from="370.70401pt,29.719406pt" to="374.04001pt,29.719406pt" stroked="true" strokeweight=".428pt" strokecolor="#005da1">
                <v:stroke dashstyle="solid"/>
                <w10:wrap type="none"/>
              </v:line>
            </w:pict>
          </mc:Fallback>
        </mc:AlternateContent>
      </w: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4 - Consideration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10. - Part Payment of a </w:t>
      </w:r>
      <w:r>
        <w:rPr>
          <w:rFonts w:ascii="Arial"/>
          <w:b/>
          <w:spacing w:val="-4"/>
          <w:sz w:val="24"/>
        </w:rPr>
        <w:t>Debt</w:t>
      </w:r>
    </w:p>
    <w:p>
      <w:pPr>
        <w:spacing w:before="194"/>
        <w:ind w:left="2812" w:right="0" w:firstLine="0"/>
        <w:jc w:val="left"/>
        <w:rPr>
          <w:rFonts w:ascii="Arial"/>
          <w:b/>
          <w:sz w:val="24"/>
        </w:rPr>
      </w:pPr>
      <w:r>
        <w:rPr>
          <w:rFonts w:ascii="Arial"/>
          <w:b/>
          <w:sz w:val="24"/>
        </w:rPr>
        <w:t>(b) - Limitations at Common </w:t>
      </w:r>
      <w:r>
        <w:rPr>
          <w:rFonts w:ascii="Arial"/>
          <w:b/>
          <w:spacing w:val="-5"/>
          <w:sz w:val="24"/>
        </w:rPr>
        <w:t>Law</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Disputed </w:t>
      </w:r>
      <w:r>
        <w:rPr>
          <w:rFonts w:ascii="Arial"/>
          <w:b/>
          <w:spacing w:val="-2"/>
          <w:sz w:val="18"/>
        </w:rPr>
        <w:t>claims</w:t>
      </w:r>
    </w:p>
    <w:p>
      <w:pPr>
        <w:pStyle w:val="BodyText"/>
        <w:spacing w:before="41"/>
        <w:rPr>
          <w:rFonts w:ascii="Arial"/>
          <w:b/>
          <w:sz w:val="18"/>
        </w:rPr>
      </w:pPr>
    </w:p>
    <w:p>
      <w:pPr>
        <w:pStyle w:val="Heading2"/>
      </w:pPr>
      <w:r>
        <w:rPr/>
        <w:t>4-</w:t>
      </w:r>
      <w:r>
        <w:rPr>
          <w:spacing w:val="-5"/>
        </w:rPr>
        <w:t>120</w:t>
      </w:r>
    </w:p>
    <w:p>
      <w:pPr>
        <w:pStyle w:val="BodyText"/>
        <w:spacing w:line="235" w:lineRule="auto" w:before="203"/>
        <w:ind w:left="164" w:right="167"/>
        <w:jc w:val="both"/>
      </w:pPr>
      <w:bookmarkStart w:name="_bookmark1429" w:id="1431"/>
      <w:bookmarkEnd w:id="1431"/>
      <w:r>
        <w:rPr/>
      </w:r>
      <w:r>
        <w:rPr/>
        <w:t>The rule stated in para.4-117 above does not apply where the creditor’s claim (or its amount) </w:t>
      </w:r>
      <w:r>
        <w:rPr/>
        <w:t>is disputed in good faith. </w:t>
      </w:r>
      <w:r>
        <w:rPr>
          <w:color w:val="005DA1"/>
          <w:u w:val="single" w:color="005DA1"/>
          <w:vertAlign w:val="superscript"/>
        </w:rPr>
        <w:t>760</w:t>
      </w:r>
      <w:r>
        <w:rPr>
          <w:color w:val="005DA1"/>
          <w:vertAlign w:val="baseline"/>
        </w:rPr>
        <w:t> </w:t>
      </w:r>
      <w:r>
        <w:rPr>
          <w:vertAlign w:val="baseline"/>
        </w:rPr>
        <w:t>In such a case, the value of the creditor’s claim is doubtful and the debtor therefore provides consideration by paying something, even though it is less than the amount</w:t>
      </w:r>
      <w:r>
        <w:rPr>
          <w:spacing w:val="40"/>
          <w:vertAlign w:val="baseline"/>
        </w:rPr>
        <w:t> </w:t>
      </w:r>
      <w:r>
        <w:rPr>
          <w:vertAlign w:val="baseline"/>
        </w:rPr>
        <w:t>claimed. The requirement of consideration is satisfied even though the amount paid is small in</w:t>
      </w:r>
      <w:r>
        <w:rPr>
          <w:spacing w:val="80"/>
          <w:vertAlign w:val="baseline"/>
        </w:rPr>
        <w:t> </w:t>
      </w:r>
      <w:bookmarkStart w:name="_bookmark1430" w:id="1432"/>
      <w:bookmarkEnd w:id="1432"/>
      <w:r>
        <w:rPr>
          <w:vertAlign w:val="baseline"/>
        </w:rPr>
        <w:t>relation</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amount</w:t>
      </w:r>
      <w:r>
        <w:rPr>
          <w:spacing w:val="-1"/>
          <w:vertAlign w:val="baseline"/>
        </w:rPr>
        <w:t> </w:t>
      </w:r>
      <w:r>
        <w:rPr>
          <w:vertAlign w:val="baseline"/>
        </w:rPr>
        <w:t>claimed,</w:t>
      </w:r>
      <w:r>
        <w:rPr>
          <w:spacing w:val="-1"/>
          <w:vertAlign w:val="baseline"/>
        </w:rPr>
        <w:t> </w:t>
      </w:r>
      <w:r>
        <w:rPr>
          <w:vertAlign w:val="baseline"/>
        </w:rPr>
        <w:t>and</w:t>
      </w:r>
      <w:r>
        <w:rPr>
          <w:spacing w:val="-1"/>
          <w:vertAlign w:val="baseline"/>
        </w:rPr>
        <w:t> </w:t>
      </w:r>
      <w:r>
        <w:rPr>
          <w:vertAlign w:val="baseline"/>
        </w:rPr>
        <w:t>even</w:t>
      </w:r>
      <w:r>
        <w:rPr>
          <w:spacing w:val="-1"/>
          <w:vertAlign w:val="baseline"/>
        </w:rPr>
        <w:t> </w:t>
      </w:r>
      <w:r>
        <w:rPr>
          <w:vertAlign w:val="baseline"/>
        </w:rPr>
        <w:t>though</w:t>
      </w:r>
      <w:r>
        <w:rPr>
          <w:spacing w:val="-1"/>
          <w:vertAlign w:val="baseline"/>
        </w:rPr>
        <w:t> </w:t>
      </w:r>
      <w:r>
        <w:rPr>
          <w:vertAlign w:val="baseline"/>
        </w:rPr>
        <w:t>the</w:t>
      </w:r>
      <w:r>
        <w:rPr>
          <w:spacing w:val="-1"/>
          <w:vertAlign w:val="baseline"/>
        </w:rPr>
        <w:t> </w:t>
      </w:r>
      <w:r>
        <w:rPr>
          <w:vertAlign w:val="baseline"/>
        </w:rPr>
        <w:t>creditor</w:t>
      </w:r>
      <w:r>
        <w:rPr>
          <w:spacing w:val="-1"/>
          <w:vertAlign w:val="baseline"/>
        </w:rPr>
        <w:t> </w:t>
      </w:r>
      <w:r>
        <w:rPr>
          <w:vertAlign w:val="baseline"/>
        </w:rPr>
        <w:t>has</w:t>
      </w:r>
      <w:r>
        <w:rPr>
          <w:spacing w:val="-1"/>
          <w:vertAlign w:val="baseline"/>
        </w:rPr>
        <w:t> </w:t>
      </w:r>
      <w:r>
        <w:rPr>
          <w:vertAlign w:val="baseline"/>
        </w:rPr>
        <w:t>a</w:t>
      </w:r>
      <w:r>
        <w:rPr>
          <w:spacing w:val="-1"/>
          <w:vertAlign w:val="baseline"/>
        </w:rPr>
        <w:t> </w:t>
      </w:r>
      <w:r>
        <w:rPr>
          <w:vertAlign w:val="baseline"/>
        </w:rPr>
        <w:t>good</w:t>
      </w:r>
      <w:r>
        <w:rPr>
          <w:spacing w:val="-1"/>
          <w:vertAlign w:val="baseline"/>
        </w:rPr>
        <w:t> </w:t>
      </w:r>
      <w:r>
        <w:rPr>
          <w:vertAlign w:val="baseline"/>
        </w:rPr>
        <w:t>chance</w:t>
      </w:r>
      <w:r>
        <w:rPr>
          <w:spacing w:val="-1"/>
          <w:vertAlign w:val="baseline"/>
        </w:rPr>
        <w:t> </w:t>
      </w:r>
      <w:r>
        <w:rPr>
          <w:vertAlign w:val="baseline"/>
        </w:rPr>
        <w:t>of</w:t>
      </w:r>
      <w:r>
        <w:rPr>
          <w:spacing w:val="-1"/>
          <w:vertAlign w:val="baseline"/>
        </w:rPr>
        <w:t> </w:t>
      </w:r>
      <w:r>
        <w:rPr>
          <w:vertAlign w:val="baseline"/>
        </w:rPr>
        <w:t>succeeding</w:t>
      </w:r>
      <w:r>
        <w:rPr>
          <w:spacing w:val="-1"/>
          <w:vertAlign w:val="baseline"/>
        </w:rPr>
        <w:t> </w:t>
      </w:r>
      <w:r>
        <w:rPr>
          <w:vertAlign w:val="baseline"/>
        </w:rPr>
        <w:t>on</w:t>
      </w:r>
      <w:r>
        <w:rPr>
          <w:spacing w:val="-1"/>
          <w:vertAlign w:val="baseline"/>
        </w:rPr>
        <w:t> </w:t>
      </w:r>
      <w:r>
        <w:rPr>
          <w:vertAlign w:val="baseline"/>
        </w:rPr>
        <w:t>the </w:t>
      </w:r>
      <w:bookmarkStart w:name="_bookmark1431" w:id="1433"/>
      <w:bookmarkEnd w:id="1433"/>
      <w:r>
        <w:rPr>
          <w:vertAlign w:val="baseline"/>
        </w:rPr>
        <w:t>claim;</w:t>
      </w:r>
      <w:r>
        <w:rPr>
          <w:vertAlign w:val="baseline"/>
        </w:rPr>
        <w:t> for the law will not generally investigate the adequacy of consideration. </w:t>
      </w:r>
      <w:r>
        <w:rPr>
          <w:color w:val="005DA1"/>
          <w:u w:val="single" w:color="005DA1"/>
          <w:vertAlign w:val="superscript"/>
        </w:rPr>
        <w:t>761</w:t>
      </w:r>
      <w:r>
        <w:rPr>
          <w:color w:val="005DA1"/>
          <w:vertAlign w:val="baseline"/>
        </w:rPr>
        <w:t> </w:t>
      </w:r>
      <w:r>
        <w:rPr>
          <w:vertAlign w:val="baseline"/>
        </w:rPr>
        <w:t>The agreement to </w:t>
      </w:r>
      <w:bookmarkStart w:name="_bookmark1432" w:id="1434"/>
      <w:bookmarkEnd w:id="1434"/>
      <w:r>
        <w:rPr>
          <w:vertAlign w:val="baseline"/>
        </w:rPr>
        <w:t>accept</w:t>
      </w:r>
      <w:r>
        <w:rPr>
          <w:vertAlign w:val="baseline"/>
        </w:rPr>
        <w:t> a reduced amount may also amount to a compromise of the disputed claim </w:t>
      </w:r>
      <w:r>
        <w:rPr>
          <w:color w:val="005DA1"/>
          <w:u w:val="single" w:color="005DA1"/>
          <w:vertAlign w:val="superscript"/>
        </w:rPr>
        <w:t>762</w:t>
      </w:r>
      <w:r>
        <w:rPr>
          <w:vertAlign w:val="baseline"/>
        </w:rPr>
        <w:t>; if so, the requirement of consideration can be satisfied under the rules, discussed earlier in this Chapter, </w:t>
      </w:r>
      <w:r>
        <w:rPr>
          <w:color w:val="005DA1"/>
          <w:u w:val="single" w:color="005DA1"/>
          <w:vertAlign w:val="superscript"/>
        </w:rPr>
        <w:t>763</w:t>
      </w:r>
      <w:r>
        <w:rPr>
          <w:color w:val="005DA1"/>
          <w:vertAlign w:val="baseline"/>
        </w:rPr>
        <w:t> </w:t>
      </w:r>
      <w:r>
        <w:rPr>
          <w:vertAlign w:val="baseline"/>
        </w:rPr>
        <w:t>relating to compromises of, and forbearances to enforce, invalid or doubtful claims. However, where the defendant admits liability for a sum less than that claimed, payment of that smaller sum is no consideration for the claimant’s promise to accept payment of that sum in full settlement of the larger claim. The rule in </w:t>
      </w:r>
      <w:r>
        <w:rPr>
          <w:rFonts w:ascii="Arial" w:hAnsi="Arial"/>
          <w:i/>
          <w:vertAlign w:val="baseline"/>
        </w:rPr>
        <w:t>Foakes v Beer </w:t>
      </w:r>
      <w:r>
        <w:rPr>
          <w:vertAlign w:val="baseline"/>
        </w:rPr>
        <w:t>applies since, once a binding admission has been made to pay the </w:t>
      </w:r>
      <w:bookmarkStart w:name="_bookmark1433" w:id="1435"/>
      <w:bookmarkEnd w:id="1435"/>
      <w:r>
        <w:rPr>
          <w:vertAlign w:val="baseline"/>
        </w:rPr>
        <w:t>smaller</w:t>
      </w:r>
      <w:r>
        <w:rPr>
          <w:vertAlign w:val="baseline"/>
        </w:rPr>
        <w:t> sum, the payment of it amounts to no more than the performance of what, at that stage, is legally due from the defendant. </w:t>
      </w:r>
      <w:r>
        <w:rPr>
          <w:color w:val="005DA1"/>
          <w:u w:val="single" w:color="005DA1"/>
          <w:vertAlign w:val="superscript"/>
        </w:rPr>
        <w:t>764</w:t>
      </w:r>
    </w:p>
    <w:p>
      <w:pPr>
        <w:pStyle w:val="BodyText"/>
      </w:pPr>
    </w:p>
    <w:p>
      <w:pPr>
        <w:pStyle w:val="BodyText"/>
        <w:spacing w:before="33"/>
      </w:pPr>
    </w:p>
    <w:p>
      <w:pPr>
        <w:spacing w:before="0"/>
        <w:ind w:left="165" w:right="0" w:firstLine="0"/>
        <w:jc w:val="left"/>
        <w:rPr>
          <w:rFonts w:ascii="Arial"/>
          <w:b/>
          <w:sz w:val="18"/>
        </w:rPr>
      </w:pPr>
      <w:r>
        <w:rPr>
          <w:rFonts w:ascii="Arial"/>
          <w:b/>
          <w:sz w:val="18"/>
        </w:rPr>
        <w:t>Unliquidated </w:t>
      </w:r>
      <w:r>
        <w:rPr>
          <w:rFonts w:ascii="Arial"/>
          <w:b/>
          <w:spacing w:val="-2"/>
          <w:sz w:val="18"/>
        </w:rPr>
        <w:t>claims</w:t>
      </w:r>
    </w:p>
    <w:p>
      <w:pPr>
        <w:pStyle w:val="BodyText"/>
        <w:spacing w:before="41"/>
        <w:rPr>
          <w:rFonts w:ascii="Arial"/>
          <w:b/>
          <w:sz w:val="18"/>
        </w:rPr>
      </w:pPr>
    </w:p>
    <w:p>
      <w:pPr>
        <w:pStyle w:val="Heading2"/>
      </w:pPr>
      <w:r>
        <w:rPr/>
        <w:t>4-</w:t>
      </w:r>
      <w:r>
        <w:rPr>
          <w:spacing w:val="-5"/>
        </w:rPr>
        <w:t>121</w:t>
      </w:r>
    </w:p>
    <w:p>
      <w:pPr>
        <w:pStyle w:val="BodyText"/>
        <w:spacing w:line="235" w:lineRule="auto" w:before="203"/>
        <w:ind w:left="165" w:right="167"/>
        <w:jc w:val="both"/>
      </w:pPr>
      <w:r>
        <w:rPr/>
        <w:t>For reasons similar to those given in para.4-120 above, the general rule applies only if the original </w:t>
      </w:r>
      <w:bookmarkStart w:name="_bookmark1434" w:id="1436"/>
      <w:bookmarkEnd w:id="1436"/>
      <w:r>
        <w:rPr/>
        <w:t>claim</w:t>
      </w:r>
      <w:r>
        <w:rPr/>
        <w:t> is a “liquidated” one, i.e. a claim for a fixed sum of money, such as one for money lent or for </w:t>
      </w:r>
      <w:r>
        <w:rPr/>
        <w:t>the </w:t>
      </w:r>
      <w:bookmarkStart w:name="_bookmark1435" w:id="1437"/>
      <w:bookmarkEnd w:id="1437"/>
      <w:r>
        <w:rPr/>
        <w:t>agreed</w:t>
      </w:r>
      <w:r>
        <w:rPr/>
        <w:t> price of goods </w:t>
      </w:r>
      <w:r>
        <w:rPr>
          <w:color w:val="005DA1"/>
          <w:u w:val="single" w:color="005DA1"/>
          <w:vertAlign w:val="superscript"/>
        </w:rPr>
        <w:t>765</w:t>
      </w:r>
      <w:r>
        <w:rPr>
          <w:color w:val="005DA1"/>
          <w:vertAlign w:val="baseline"/>
        </w:rPr>
        <w:t> </w:t>
      </w:r>
      <w:r>
        <w:rPr>
          <w:vertAlign w:val="baseline"/>
        </w:rPr>
        <w:t>or services. It does not apply where the creditor’s claim is an unliquidated one, </w:t>
      </w:r>
      <w:r>
        <w:rPr>
          <w:color w:val="005DA1"/>
          <w:u w:val="single" w:color="005DA1"/>
          <w:vertAlign w:val="superscript"/>
        </w:rPr>
        <w:t>766</w:t>
      </w:r>
      <w:r>
        <w:rPr>
          <w:color w:val="005DA1"/>
          <w:vertAlign w:val="baseline"/>
        </w:rPr>
        <w:t> </w:t>
      </w:r>
      <w:r>
        <w:rPr>
          <w:vertAlign w:val="baseline"/>
        </w:rPr>
        <w:t>such as a claim for damages or for a reasonable remuneration (where none is fixed by the contract). The value of such a claim is again uncertain; and even if the overwhelming probability is</w:t>
      </w:r>
      <w:r>
        <w:rPr>
          <w:spacing w:val="40"/>
          <w:vertAlign w:val="baseline"/>
        </w:rPr>
        <w:t> </w:t>
      </w:r>
      <w:r>
        <w:rPr>
          <w:vertAlign w:val="baseline"/>
        </w:rPr>
        <w:t>that it is worth more than the sum paid, the possibility that it may be worth less suffices to satisfy the requirement of consideration.</w:t>
      </w:r>
    </w:p>
    <w:p>
      <w:pPr>
        <w:pStyle w:val="BodyText"/>
      </w:pPr>
    </w:p>
    <w:p>
      <w:pPr>
        <w:pStyle w:val="BodyText"/>
        <w:spacing w:before="36"/>
      </w:pPr>
    </w:p>
    <w:p>
      <w:pPr>
        <w:spacing w:before="0"/>
        <w:ind w:left="165" w:right="0" w:firstLine="0"/>
        <w:jc w:val="left"/>
        <w:rPr>
          <w:rFonts w:ascii="Arial"/>
          <w:b/>
          <w:sz w:val="18"/>
        </w:rPr>
      </w:pPr>
      <w:r>
        <w:rPr>
          <w:rFonts w:ascii="Arial"/>
          <w:b/>
          <w:sz w:val="18"/>
        </w:rPr>
        <w:t>Unliquidated claims becoming </w:t>
      </w:r>
      <w:r>
        <w:rPr>
          <w:rFonts w:ascii="Arial"/>
          <w:b/>
          <w:spacing w:val="-2"/>
          <w:sz w:val="18"/>
        </w:rPr>
        <w:t>liquidated</w:t>
      </w:r>
    </w:p>
    <w:p>
      <w:pPr>
        <w:pStyle w:val="BodyText"/>
        <w:spacing w:before="41"/>
        <w:rPr>
          <w:rFonts w:ascii="Arial"/>
          <w:b/>
          <w:sz w:val="18"/>
        </w:rPr>
      </w:pPr>
    </w:p>
    <w:p>
      <w:pPr>
        <w:pStyle w:val="Heading2"/>
      </w:pPr>
      <w:r>
        <w:rPr/>
        <w:t>4-</w:t>
      </w:r>
      <w:r>
        <w:rPr>
          <w:spacing w:val="-5"/>
        </w:rPr>
        <w:t>122</w:t>
      </w:r>
    </w:p>
    <w:p>
      <w:pPr>
        <w:pStyle w:val="BodyText"/>
        <w:spacing w:line="235" w:lineRule="auto" w:before="203"/>
        <w:ind w:left="165" w:right="167"/>
        <w:jc w:val="both"/>
      </w:pPr>
      <w:bookmarkStart w:name="_bookmark1436" w:id="1438"/>
      <w:bookmarkEnd w:id="1438"/>
      <w:r>
        <w:rPr/>
      </w:r>
      <w:r>
        <w:rPr/>
        <w:t>An originally unliquidated claim may subsequently become liquidated by act of the parties. </w:t>
      </w:r>
      <w:r>
        <w:rPr/>
        <w:t>This appears to have happened in </w:t>
      </w:r>
      <w:r>
        <w:rPr>
          <w:rFonts w:ascii="Arial" w:hAnsi="Arial"/>
          <w:i/>
        </w:rPr>
        <w:t>D. &amp; C. Builders v Rees</w:t>
      </w:r>
      <w:r>
        <w:rPr/>
        <w:t>, </w:t>
      </w:r>
      <w:r>
        <w:rPr>
          <w:color w:val="005DA1"/>
          <w:u w:val="single" w:color="005DA1"/>
          <w:vertAlign w:val="superscript"/>
        </w:rPr>
        <w:t>767</w:t>
      </w:r>
      <w:r>
        <w:rPr>
          <w:color w:val="005DA1"/>
          <w:vertAlign w:val="baseline"/>
        </w:rPr>
        <w:t> </w:t>
      </w:r>
      <w:r>
        <w:rPr>
          <w:vertAlign w:val="baseline"/>
        </w:rPr>
        <w:t>where it does not seem that the contract specified the amount to be paid to the builders. When they presented their account they had only an </w:t>
      </w:r>
      <w:bookmarkStart w:name="_bookmark1437" w:id="1439"/>
      <w:bookmarkEnd w:id="1439"/>
      <w:r>
        <w:rPr>
          <w:vertAlign w:val="baseline"/>
        </w:rPr>
        <w:t>unliquidated</w:t>
      </w:r>
      <w:r>
        <w:rPr>
          <w:vertAlign w:val="baseline"/>
        </w:rPr>
        <w:t> claim; and if they had at this stage accepted the £300 in full settlement they would not have been protected by the rule in </w:t>
      </w:r>
      <w:r>
        <w:rPr>
          <w:rFonts w:ascii="Arial" w:hAnsi="Arial"/>
          <w:i/>
          <w:vertAlign w:val="baseline"/>
        </w:rPr>
        <w:t>Foakes v Beer</w:t>
      </w:r>
      <w:r>
        <w:rPr>
          <w:vertAlign w:val="baseline"/>
        </w:rPr>
        <w:t>. </w:t>
      </w:r>
      <w:r>
        <w:rPr>
          <w:color w:val="005DA1"/>
          <w:u w:val="single" w:color="005DA1"/>
          <w:vertAlign w:val="superscript"/>
        </w:rPr>
        <w:t>768</w:t>
      </w:r>
      <w:r>
        <w:rPr>
          <w:color w:val="005DA1"/>
          <w:vertAlign w:val="baseline"/>
        </w:rPr>
        <w:t> </w:t>
      </w:r>
      <w:r>
        <w:rPr>
          <w:vertAlign w:val="baseline"/>
        </w:rPr>
        <w:t>That rule became applicable only because the defendant</w:t>
      </w:r>
      <w:r>
        <w:rPr>
          <w:spacing w:val="7"/>
          <w:vertAlign w:val="baseline"/>
        </w:rPr>
        <w:t> </w:t>
      </w:r>
      <w:r>
        <w:rPr>
          <w:vertAlign w:val="baseline"/>
        </w:rPr>
        <w:t>had,</w:t>
      </w:r>
      <w:r>
        <w:rPr>
          <w:spacing w:val="7"/>
          <w:vertAlign w:val="baseline"/>
        </w:rPr>
        <w:t> </w:t>
      </w:r>
      <w:r>
        <w:rPr>
          <w:vertAlign w:val="baseline"/>
        </w:rPr>
        <w:t>by</w:t>
      </w:r>
      <w:r>
        <w:rPr>
          <w:spacing w:val="7"/>
          <w:vertAlign w:val="baseline"/>
        </w:rPr>
        <w:t> </w:t>
      </w:r>
      <w:r>
        <w:rPr>
          <w:vertAlign w:val="baseline"/>
        </w:rPr>
        <w:t>retaining</w:t>
      </w:r>
      <w:r>
        <w:rPr>
          <w:spacing w:val="7"/>
          <w:vertAlign w:val="baseline"/>
        </w:rPr>
        <w:t> </w:t>
      </w:r>
      <w:r>
        <w:rPr>
          <w:vertAlign w:val="baseline"/>
        </w:rPr>
        <w:t>the</w:t>
      </w:r>
      <w:r>
        <w:rPr>
          <w:spacing w:val="7"/>
          <w:vertAlign w:val="baseline"/>
        </w:rPr>
        <w:t> </w:t>
      </w:r>
      <w:r>
        <w:rPr>
          <w:vertAlign w:val="baseline"/>
        </w:rPr>
        <w:t>account</w:t>
      </w:r>
      <w:r>
        <w:rPr>
          <w:spacing w:val="7"/>
          <w:vertAlign w:val="baseline"/>
        </w:rPr>
        <w:t> </w:t>
      </w:r>
      <w:r>
        <w:rPr>
          <w:vertAlign w:val="baseline"/>
        </w:rPr>
        <w:t>without</w:t>
      </w:r>
      <w:r>
        <w:rPr>
          <w:spacing w:val="7"/>
          <w:vertAlign w:val="baseline"/>
        </w:rPr>
        <w:t> </w:t>
      </w:r>
      <w:r>
        <w:rPr>
          <w:vertAlign w:val="baseline"/>
        </w:rPr>
        <w:t>objection,</w:t>
      </w:r>
      <w:r>
        <w:rPr>
          <w:spacing w:val="7"/>
          <w:vertAlign w:val="baseline"/>
        </w:rPr>
        <w:t> </w:t>
      </w:r>
      <w:r>
        <w:rPr>
          <w:vertAlign w:val="baseline"/>
        </w:rPr>
        <w:t>impliedly</w:t>
      </w:r>
      <w:r>
        <w:rPr>
          <w:spacing w:val="7"/>
          <w:vertAlign w:val="baseline"/>
        </w:rPr>
        <w:t> </w:t>
      </w:r>
      <w:r>
        <w:rPr>
          <w:vertAlign w:val="baseline"/>
        </w:rPr>
        <w:t>agreed</w:t>
      </w:r>
      <w:r>
        <w:rPr>
          <w:spacing w:val="7"/>
          <w:vertAlign w:val="baseline"/>
        </w:rPr>
        <w:t> </w:t>
      </w:r>
      <w:r>
        <w:rPr>
          <w:vertAlign w:val="baseline"/>
        </w:rPr>
        <w:t>that</w:t>
      </w:r>
      <w:r>
        <w:rPr>
          <w:spacing w:val="7"/>
          <w:vertAlign w:val="baseline"/>
        </w:rPr>
        <w:t> </w:t>
      </w:r>
      <w:r>
        <w:rPr>
          <w:vertAlign w:val="baseline"/>
        </w:rPr>
        <w:t>it</w:t>
      </w:r>
      <w:r>
        <w:rPr>
          <w:spacing w:val="7"/>
          <w:vertAlign w:val="baseline"/>
        </w:rPr>
        <w:t> </w:t>
      </w:r>
      <w:r>
        <w:rPr>
          <w:vertAlign w:val="baseline"/>
        </w:rPr>
        <w:t>correctly</w:t>
      </w:r>
      <w:r>
        <w:rPr>
          <w:spacing w:val="7"/>
          <w:vertAlign w:val="baseline"/>
        </w:rPr>
        <w:t> </w:t>
      </w:r>
      <w:r>
        <w:rPr>
          <w:vertAlign w:val="baseline"/>
        </w:rPr>
        <w:t>stated</w:t>
      </w:r>
      <w:r>
        <w:rPr>
          <w:spacing w:val="7"/>
          <w:vertAlign w:val="baseline"/>
        </w:rPr>
        <w:t> </w:t>
      </w:r>
      <w:r>
        <w:rPr>
          <w:spacing w:val="-5"/>
          <w:vertAlign w:val="baseline"/>
        </w:rPr>
        <w:t>the</w:t>
      </w:r>
    </w:p>
    <w:p>
      <w:pPr>
        <w:pStyle w:val="BodyText"/>
        <w:spacing w:after="0" w:line="235" w:lineRule="auto"/>
        <w:jc w:val="both"/>
        <w:sectPr>
          <w:headerReference w:type="default" r:id="rId46"/>
          <w:headerReference w:type="even" r:id="rId47"/>
          <w:pgSz w:w="11900" w:h="16840"/>
          <w:pgMar w:header="971" w:footer="0" w:top="1160" w:bottom="280" w:left="1275" w:right="1275"/>
          <w:pgNumType w:start="1"/>
        </w:sectPr>
      </w:pPr>
    </w:p>
    <w:p>
      <w:pPr>
        <w:pStyle w:val="BodyText"/>
        <w:spacing w:before="21"/>
      </w:pPr>
    </w:p>
    <w:p>
      <w:pPr>
        <w:pStyle w:val="BodyText"/>
        <w:ind w:left="165"/>
        <w:jc w:val="both"/>
      </w:pPr>
      <w:bookmarkStart w:name="_bookmark1438" w:id="1440"/>
      <w:bookmarkEnd w:id="1440"/>
      <w:r>
        <w:rPr/>
      </w:r>
      <w:r>
        <w:rPr/>
        <w:t>sum due, and so turned the builders’ claim into a liquidated one.</w:t>
      </w:r>
      <w:r>
        <w:rPr>
          <w:spacing w:val="-2"/>
        </w:rPr>
        <w:t> </w:t>
      </w:r>
      <w:r>
        <w:rPr>
          <w:color w:val="005DA1"/>
          <w:spacing w:val="-5"/>
          <w:u w:val="single" w:color="005DA1"/>
          <w:vertAlign w:val="superscript"/>
        </w:rPr>
        <w:t>769</w:t>
      </w:r>
    </w:p>
    <w:p>
      <w:pPr>
        <w:pStyle w:val="BodyText"/>
      </w:pPr>
    </w:p>
    <w:p>
      <w:pPr>
        <w:pStyle w:val="BodyText"/>
        <w:spacing w:before="37"/>
      </w:pPr>
    </w:p>
    <w:p>
      <w:pPr>
        <w:spacing w:before="0"/>
        <w:ind w:left="165" w:right="0" w:firstLine="0"/>
        <w:jc w:val="left"/>
        <w:rPr>
          <w:rFonts w:ascii="Arial"/>
          <w:b/>
          <w:sz w:val="18"/>
        </w:rPr>
      </w:pPr>
      <w:r>
        <w:rPr>
          <w:rFonts w:ascii="Arial"/>
          <w:b/>
          <w:sz w:val="18"/>
        </w:rPr>
        <w:t>Claim partly liquidated and partly </w:t>
      </w:r>
      <w:r>
        <w:rPr>
          <w:rFonts w:ascii="Arial"/>
          <w:b/>
          <w:spacing w:val="-2"/>
          <w:sz w:val="18"/>
        </w:rPr>
        <w:t>unliquidated</w:t>
      </w:r>
    </w:p>
    <w:p>
      <w:pPr>
        <w:pStyle w:val="BodyText"/>
        <w:spacing w:before="42"/>
        <w:rPr>
          <w:rFonts w:ascii="Arial"/>
          <w:b/>
          <w:sz w:val="18"/>
        </w:rPr>
      </w:pPr>
    </w:p>
    <w:p>
      <w:pPr>
        <w:pStyle w:val="Heading2"/>
      </w:pPr>
      <w:r>
        <w:rPr/>
        <w:t>4-</w:t>
      </w:r>
      <w:r>
        <w:rPr>
          <w:spacing w:val="-5"/>
        </w:rPr>
        <w:t>123</w:t>
      </w:r>
    </w:p>
    <w:p>
      <w:pPr>
        <w:pStyle w:val="BodyText"/>
        <w:spacing w:line="235" w:lineRule="auto" w:before="202"/>
        <w:ind w:left="165" w:right="166"/>
        <w:jc w:val="both"/>
      </w:pPr>
      <w:r>
        <w:rPr/>
        <w:t>A creditor may have two claims against the same debtor, one of them liquidated and the </w:t>
      </w:r>
      <w:r>
        <w:rPr/>
        <w:t>other unliquidated; or a single claim which is partly liquidated and partly unliquidated. If the debtor pays no more</w:t>
      </w:r>
      <w:r>
        <w:rPr>
          <w:spacing w:val="-2"/>
        </w:rPr>
        <w:t> </w:t>
      </w:r>
      <w:r>
        <w:rPr/>
        <w:t>than</w:t>
      </w:r>
      <w:r>
        <w:rPr>
          <w:spacing w:val="-2"/>
        </w:rPr>
        <w:t> </w:t>
      </w:r>
      <w:r>
        <w:rPr/>
        <w:t>the</w:t>
      </w:r>
      <w:r>
        <w:rPr>
          <w:spacing w:val="-2"/>
        </w:rPr>
        <w:t> </w:t>
      </w:r>
      <w:r>
        <w:rPr/>
        <w:t>liquidated</w:t>
      </w:r>
      <w:r>
        <w:rPr>
          <w:spacing w:val="-2"/>
        </w:rPr>
        <w:t> </w:t>
      </w:r>
      <w:r>
        <w:rPr/>
        <w:t>amount,</w:t>
      </w:r>
      <w:r>
        <w:rPr>
          <w:spacing w:val="-2"/>
        </w:rPr>
        <w:t> </w:t>
      </w:r>
      <w:r>
        <w:rPr/>
        <w:t>and</w:t>
      </w:r>
      <w:r>
        <w:rPr>
          <w:spacing w:val="-2"/>
        </w:rPr>
        <w:t> </w:t>
      </w:r>
      <w:r>
        <w:rPr/>
        <w:t>if</w:t>
      </w:r>
      <w:r>
        <w:rPr>
          <w:spacing w:val="-2"/>
        </w:rPr>
        <w:t> </w:t>
      </w:r>
      <w:r>
        <w:rPr/>
        <w:t>his</w:t>
      </w:r>
      <w:r>
        <w:rPr>
          <w:spacing w:val="-2"/>
        </w:rPr>
        <w:t> </w:t>
      </w:r>
      <w:r>
        <w:rPr/>
        <w:t>liability</w:t>
      </w:r>
      <w:r>
        <w:rPr>
          <w:spacing w:val="-2"/>
        </w:rPr>
        <w:t> </w:t>
      </w:r>
      <w:r>
        <w:rPr/>
        <w:t>to</w:t>
      </w:r>
      <w:r>
        <w:rPr>
          <w:spacing w:val="-2"/>
        </w:rPr>
        <w:t> </w:t>
      </w:r>
      <w:r>
        <w:rPr/>
        <w:t>pay</w:t>
      </w:r>
      <w:r>
        <w:rPr>
          <w:spacing w:val="-2"/>
        </w:rPr>
        <w:t> </w:t>
      </w:r>
      <w:r>
        <w:rPr/>
        <w:t>this</w:t>
      </w:r>
      <w:r>
        <w:rPr>
          <w:spacing w:val="-2"/>
        </w:rPr>
        <w:t> </w:t>
      </w:r>
      <w:r>
        <w:rPr/>
        <w:t>amount</w:t>
      </w:r>
      <w:r>
        <w:rPr>
          <w:spacing w:val="-2"/>
        </w:rPr>
        <w:t> </w:t>
      </w:r>
      <w:r>
        <w:rPr/>
        <w:t>was</w:t>
      </w:r>
      <w:r>
        <w:rPr>
          <w:spacing w:val="-2"/>
        </w:rPr>
        <w:t> </w:t>
      </w:r>
      <w:r>
        <w:rPr/>
        <w:t>undisputed,</w:t>
      </w:r>
      <w:r>
        <w:rPr>
          <w:spacing w:val="-2"/>
        </w:rPr>
        <w:t> </w:t>
      </w:r>
      <w:r>
        <w:rPr/>
        <w:t>the</w:t>
      </w:r>
      <w:r>
        <w:rPr>
          <w:spacing w:val="-2"/>
        </w:rPr>
        <w:t> </w:t>
      </w:r>
      <w:r>
        <w:rPr/>
        <w:t>payment</w:t>
      </w:r>
      <w:r>
        <w:rPr>
          <w:spacing w:val="-2"/>
        </w:rPr>
        <w:t> </w:t>
      </w:r>
      <w:r>
        <w:rPr/>
        <w:t>of </w:t>
      </w:r>
      <w:bookmarkStart w:name="_bookmark1439" w:id="1441"/>
      <w:bookmarkEnd w:id="1441"/>
      <w:r>
        <w:rPr/>
        <w:t>it</w:t>
      </w:r>
      <w:r>
        <w:rPr/>
        <w:t> will not constitute consideration for a promise by the creditor to accept that payment in full</w:t>
      </w:r>
      <w:r>
        <w:rPr>
          <w:spacing w:val="40"/>
        </w:rPr>
        <w:t> </w:t>
      </w:r>
      <w:r>
        <w:rPr/>
        <w:t>settlement of the </w:t>
      </w:r>
      <w:r>
        <w:rPr>
          <w:rFonts w:ascii="Arial" w:hAnsi="Arial"/>
          <w:i/>
        </w:rPr>
        <w:t>whole </w:t>
      </w:r>
      <w:r>
        <w:rPr/>
        <w:t>of the claim or claims in question. In </w:t>
      </w:r>
      <w:r>
        <w:rPr>
          <w:rFonts w:ascii="Arial" w:hAnsi="Arial"/>
          <w:i/>
        </w:rPr>
        <w:t>Arrale v Costain Civil Engineering Ltd </w:t>
      </w:r>
      <w:r>
        <w:rPr>
          <w:color w:val="005DA1"/>
          <w:u w:val="single" w:color="005DA1"/>
          <w:vertAlign w:val="superscript"/>
        </w:rPr>
        <w:t>770</w:t>
      </w:r>
      <w:r>
        <w:rPr>
          <w:color w:val="005DA1"/>
          <w:vertAlign w:val="baseline"/>
        </w:rPr>
        <w:t> </w:t>
      </w:r>
      <w:r>
        <w:rPr>
          <w:vertAlign w:val="baseline"/>
        </w:rPr>
        <w:t>an</w:t>
      </w:r>
      <w:r>
        <w:rPr>
          <w:spacing w:val="-1"/>
          <w:vertAlign w:val="baseline"/>
        </w:rPr>
        <w:t> </w:t>
      </w:r>
      <w:r>
        <w:rPr>
          <w:vertAlign w:val="baseline"/>
        </w:rPr>
        <w:t>employee</w:t>
      </w:r>
      <w:r>
        <w:rPr>
          <w:spacing w:val="-1"/>
          <w:vertAlign w:val="baseline"/>
        </w:rPr>
        <w:t> </w:t>
      </w:r>
      <w:r>
        <w:rPr>
          <w:vertAlign w:val="baseline"/>
        </w:rPr>
        <w:t>was</w:t>
      </w:r>
      <w:r>
        <w:rPr>
          <w:spacing w:val="-1"/>
          <w:vertAlign w:val="baseline"/>
        </w:rPr>
        <w:t> </w:t>
      </w:r>
      <w:r>
        <w:rPr>
          <w:vertAlign w:val="baseline"/>
        </w:rPr>
        <w:t>injured</w:t>
      </w:r>
      <w:r>
        <w:rPr>
          <w:spacing w:val="-1"/>
          <w:vertAlign w:val="baseline"/>
        </w:rPr>
        <w:t> </w:t>
      </w:r>
      <w:r>
        <w:rPr>
          <w:vertAlign w:val="baseline"/>
        </w:rPr>
        <w:t>at</w:t>
      </w:r>
      <w:r>
        <w:rPr>
          <w:spacing w:val="-1"/>
          <w:vertAlign w:val="baseline"/>
        </w:rPr>
        <w:t> </w:t>
      </w:r>
      <w:r>
        <w:rPr>
          <w:vertAlign w:val="baseline"/>
        </w:rPr>
        <w:t>work.</w:t>
      </w:r>
      <w:r>
        <w:rPr>
          <w:spacing w:val="-1"/>
          <w:vertAlign w:val="baseline"/>
        </w:rPr>
        <w:t> </w:t>
      </w:r>
      <w:r>
        <w:rPr>
          <w:vertAlign w:val="baseline"/>
        </w:rPr>
        <w:t>Legislation</w:t>
      </w:r>
      <w:r>
        <w:rPr>
          <w:spacing w:val="-1"/>
          <w:vertAlign w:val="baseline"/>
        </w:rPr>
        <w:t> </w:t>
      </w:r>
      <w:r>
        <w:rPr>
          <w:vertAlign w:val="baseline"/>
        </w:rPr>
        <w:t>in</w:t>
      </w:r>
      <w:r>
        <w:rPr>
          <w:spacing w:val="-1"/>
          <w:vertAlign w:val="baseline"/>
        </w:rPr>
        <w:t> </w:t>
      </w:r>
      <w:r>
        <w:rPr>
          <w:vertAlign w:val="baseline"/>
        </w:rPr>
        <w:t>force</w:t>
      </w:r>
      <w:r>
        <w:rPr>
          <w:spacing w:val="-1"/>
          <w:vertAlign w:val="baseline"/>
        </w:rPr>
        <w:t> </w:t>
      </w:r>
      <w:r>
        <w:rPr>
          <w:vertAlign w:val="baseline"/>
        </w:rPr>
        <w:t>at</w:t>
      </w:r>
      <w:r>
        <w:rPr>
          <w:spacing w:val="-1"/>
          <w:vertAlign w:val="baseline"/>
        </w:rPr>
        <w:t> </w:t>
      </w:r>
      <w:r>
        <w:rPr>
          <w:vertAlign w:val="baseline"/>
        </w:rPr>
        <w:t>the</w:t>
      </w:r>
      <w:r>
        <w:rPr>
          <w:spacing w:val="-1"/>
          <w:vertAlign w:val="baseline"/>
        </w:rPr>
        <w:t> </w:t>
      </w:r>
      <w:r>
        <w:rPr>
          <w:vertAlign w:val="baseline"/>
        </w:rPr>
        <w:t>place</w:t>
      </w:r>
      <w:r>
        <w:rPr>
          <w:spacing w:val="-1"/>
          <w:vertAlign w:val="baseline"/>
        </w:rPr>
        <w:t> </w:t>
      </w:r>
      <w:r>
        <w:rPr>
          <w:vertAlign w:val="baseline"/>
        </w:rPr>
        <w:t>of</w:t>
      </w:r>
      <w:r>
        <w:rPr>
          <w:spacing w:val="-1"/>
          <w:vertAlign w:val="baseline"/>
        </w:rPr>
        <w:t> </w:t>
      </w:r>
      <w:r>
        <w:rPr>
          <w:vertAlign w:val="baseline"/>
        </w:rPr>
        <w:t>work</w:t>
      </w:r>
      <w:r>
        <w:rPr>
          <w:spacing w:val="-1"/>
          <w:vertAlign w:val="baseline"/>
        </w:rPr>
        <w:t> </w:t>
      </w:r>
      <w:r>
        <w:rPr>
          <w:vertAlign w:val="baseline"/>
        </w:rPr>
        <w:t>gave</w:t>
      </w:r>
      <w:r>
        <w:rPr>
          <w:spacing w:val="-1"/>
          <w:vertAlign w:val="baseline"/>
        </w:rPr>
        <w:t> </w:t>
      </w:r>
      <w:r>
        <w:rPr>
          <w:vertAlign w:val="baseline"/>
        </w:rPr>
        <w:t>him</w:t>
      </w:r>
      <w:r>
        <w:rPr>
          <w:spacing w:val="-1"/>
          <w:vertAlign w:val="baseline"/>
        </w:rPr>
        <w:t> </w:t>
      </w:r>
      <w:r>
        <w:rPr>
          <w:vertAlign w:val="baseline"/>
        </w:rPr>
        <w:t>a</w:t>
      </w:r>
      <w:r>
        <w:rPr>
          <w:spacing w:val="-1"/>
          <w:vertAlign w:val="baseline"/>
        </w:rPr>
        <w:t> </w:t>
      </w:r>
      <w:r>
        <w:rPr>
          <w:vertAlign w:val="baseline"/>
        </w:rPr>
        <w:t>right</w:t>
      </w:r>
      <w:r>
        <w:rPr>
          <w:spacing w:val="-1"/>
          <w:vertAlign w:val="baseline"/>
        </w:rPr>
        <w:t> </w:t>
      </w:r>
      <w:r>
        <w:rPr>
          <w:vertAlign w:val="baseline"/>
        </w:rPr>
        <w:t>against</w:t>
      </w:r>
      <w:r>
        <w:rPr>
          <w:spacing w:val="-1"/>
          <w:vertAlign w:val="baseline"/>
        </w:rPr>
        <w:t> </w:t>
      </w:r>
      <w:r>
        <w:rPr>
          <w:vertAlign w:val="baseline"/>
        </w:rPr>
        <w:t>the employers to a fixed lump sum of £490, for which the employers did not dispute liability; and it was assumed that he also had a common law right to sue the employers in tort for unliquidated damages. It was held that any promise which he might have made not to pursue the common law claim was not </w:t>
      </w:r>
      <w:bookmarkStart w:name="_bookmark1440" w:id="1442"/>
      <w:bookmarkEnd w:id="1442"/>
      <w:r>
        <w:rPr>
          <w:vertAlign w:val="baseline"/>
        </w:rPr>
        <w:t>made</w:t>
      </w:r>
      <w:r>
        <w:rPr>
          <w:vertAlign w:val="baseline"/>
        </w:rPr>
        <w:t> binding by the employers’ payment of the £490. The employers had provided no consideration for</w:t>
      </w:r>
      <w:r>
        <w:rPr>
          <w:spacing w:val="1"/>
          <w:vertAlign w:val="baseline"/>
        </w:rPr>
        <w:t> </w:t>
      </w:r>
      <w:r>
        <w:rPr>
          <w:vertAlign w:val="baseline"/>
        </w:rPr>
        <w:t>such</w:t>
      </w:r>
      <w:r>
        <w:rPr>
          <w:spacing w:val="1"/>
          <w:vertAlign w:val="baseline"/>
        </w:rPr>
        <w:t> </w:t>
      </w:r>
      <w:r>
        <w:rPr>
          <w:vertAlign w:val="baseline"/>
        </w:rPr>
        <w:t>a</w:t>
      </w:r>
      <w:r>
        <w:rPr>
          <w:spacing w:val="1"/>
          <w:vertAlign w:val="baseline"/>
        </w:rPr>
        <w:t> </w:t>
      </w:r>
      <w:r>
        <w:rPr>
          <w:vertAlign w:val="baseline"/>
        </w:rPr>
        <w:t>promise</w:t>
      </w:r>
      <w:r>
        <w:rPr>
          <w:spacing w:val="1"/>
          <w:vertAlign w:val="baseline"/>
        </w:rPr>
        <w:t> </w:t>
      </w:r>
      <w:r>
        <w:rPr>
          <w:vertAlign w:val="baseline"/>
        </w:rPr>
        <w:t>since</w:t>
      </w:r>
      <w:r>
        <w:rPr>
          <w:spacing w:val="1"/>
          <w:vertAlign w:val="baseline"/>
        </w:rPr>
        <w:t> </w:t>
      </w:r>
      <w:r>
        <w:rPr>
          <w:vertAlign w:val="baseline"/>
        </w:rPr>
        <w:t>in</w:t>
      </w:r>
      <w:r>
        <w:rPr>
          <w:spacing w:val="1"/>
          <w:vertAlign w:val="baseline"/>
        </w:rPr>
        <w:t> </w:t>
      </w:r>
      <w:r>
        <w:rPr>
          <w:vertAlign w:val="baseline"/>
        </w:rPr>
        <w:t>making</w:t>
      </w:r>
      <w:r>
        <w:rPr>
          <w:spacing w:val="1"/>
          <w:vertAlign w:val="baseline"/>
        </w:rPr>
        <w:t> </w:t>
      </w:r>
      <w:r>
        <w:rPr>
          <w:vertAlign w:val="baseline"/>
        </w:rPr>
        <w:t>the</w:t>
      </w:r>
      <w:r>
        <w:rPr>
          <w:spacing w:val="1"/>
          <w:vertAlign w:val="baseline"/>
        </w:rPr>
        <w:t> </w:t>
      </w:r>
      <w:r>
        <w:rPr>
          <w:vertAlign w:val="baseline"/>
        </w:rPr>
        <w:t>payment,</w:t>
      </w:r>
      <w:r>
        <w:rPr>
          <w:spacing w:val="1"/>
          <w:vertAlign w:val="baseline"/>
        </w:rPr>
        <w:t> </w:t>
      </w:r>
      <w:r>
        <w:rPr>
          <w:vertAlign w:val="baseline"/>
        </w:rPr>
        <w:t>they</w:t>
      </w:r>
      <w:r>
        <w:rPr>
          <w:spacing w:val="1"/>
          <w:vertAlign w:val="baseline"/>
        </w:rPr>
        <w:t> </w:t>
      </w:r>
      <w:r>
        <w:rPr>
          <w:vertAlign w:val="baseline"/>
        </w:rPr>
        <w:t>merely</w:t>
      </w:r>
      <w:r>
        <w:rPr>
          <w:spacing w:val="1"/>
          <w:vertAlign w:val="baseline"/>
        </w:rPr>
        <w:t> </w:t>
      </w:r>
      <w:r>
        <w:rPr>
          <w:vertAlign w:val="baseline"/>
        </w:rPr>
        <w:t>did</w:t>
      </w:r>
      <w:r>
        <w:rPr>
          <w:spacing w:val="1"/>
          <w:vertAlign w:val="baseline"/>
        </w:rPr>
        <w:t> </w:t>
      </w:r>
      <w:r>
        <w:rPr>
          <w:vertAlign w:val="baseline"/>
        </w:rPr>
        <w:t>what</w:t>
      </w:r>
      <w:r>
        <w:rPr>
          <w:spacing w:val="1"/>
          <w:vertAlign w:val="baseline"/>
        </w:rPr>
        <w:t> </w:t>
      </w:r>
      <w:r>
        <w:rPr>
          <w:vertAlign w:val="baseline"/>
        </w:rPr>
        <w:t>they</w:t>
      </w:r>
      <w:r>
        <w:rPr>
          <w:spacing w:val="1"/>
          <w:vertAlign w:val="baseline"/>
        </w:rPr>
        <w:t> </w:t>
      </w:r>
      <w:r>
        <w:rPr>
          <w:vertAlign w:val="baseline"/>
        </w:rPr>
        <w:t>were</w:t>
      </w:r>
      <w:r>
        <w:rPr>
          <w:spacing w:val="1"/>
          <w:vertAlign w:val="baseline"/>
        </w:rPr>
        <w:t> </w:t>
      </w:r>
      <w:r>
        <w:rPr>
          <w:vertAlign w:val="baseline"/>
        </w:rPr>
        <w:t>already</w:t>
      </w:r>
      <w:r>
        <w:rPr>
          <w:spacing w:val="1"/>
          <w:vertAlign w:val="baseline"/>
        </w:rPr>
        <w:t> </w:t>
      </w:r>
      <w:r>
        <w:rPr>
          <w:vertAlign w:val="baseline"/>
        </w:rPr>
        <w:t>bound</w:t>
      </w:r>
      <w:r>
        <w:rPr>
          <w:spacing w:val="1"/>
          <w:vertAlign w:val="baseline"/>
        </w:rPr>
        <w:t> </w:t>
      </w:r>
      <w:r>
        <w:rPr>
          <w:vertAlign w:val="baseline"/>
        </w:rPr>
        <w:t>to</w:t>
      </w:r>
      <w:r>
        <w:rPr>
          <w:spacing w:val="1"/>
          <w:vertAlign w:val="baseline"/>
        </w:rPr>
        <w:t> </w:t>
      </w:r>
      <w:r>
        <w:rPr>
          <w:spacing w:val="-5"/>
          <w:vertAlign w:val="baseline"/>
        </w:rPr>
        <w:t>do.</w:t>
      </w:r>
    </w:p>
    <w:p>
      <w:pPr>
        <w:spacing w:line="109" w:lineRule="exact" w:before="0"/>
        <w:ind w:left="165" w:right="0" w:firstLine="0"/>
        <w:jc w:val="left"/>
        <w:rPr>
          <w:sz w:val="12"/>
        </w:rPr>
      </w:pPr>
      <w:r>
        <w:rPr>
          <w:color w:val="005DA1"/>
          <w:spacing w:val="-5"/>
          <w:sz w:val="12"/>
          <w:u w:val="single" w:color="005DA1"/>
        </w:rPr>
        <w:t>771</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hAnsi="Arial"/>
          <w:b/>
          <w:sz w:val="18"/>
        </w:rPr>
      </w:pPr>
      <w:r>
        <w:rPr>
          <w:rFonts w:ascii="Arial" w:hAnsi="Arial"/>
          <w:b/>
          <w:sz w:val="18"/>
        </w:rPr>
        <w:t>Variation in the debtor’s </w:t>
      </w:r>
      <w:r>
        <w:rPr>
          <w:rFonts w:ascii="Arial" w:hAnsi="Arial"/>
          <w:b/>
          <w:spacing w:val="-2"/>
          <w:sz w:val="18"/>
        </w:rPr>
        <w:t>performance</w:t>
      </w:r>
    </w:p>
    <w:p>
      <w:pPr>
        <w:pStyle w:val="BodyText"/>
        <w:spacing w:before="42"/>
        <w:rPr>
          <w:rFonts w:ascii="Arial"/>
          <w:b/>
          <w:sz w:val="18"/>
        </w:rPr>
      </w:pPr>
    </w:p>
    <w:p>
      <w:pPr>
        <w:pStyle w:val="Heading2"/>
      </w:pPr>
      <w:r>
        <w:rPr/>
        <w:t>4-</w:t>
      </w:r>
      <w:r>
        <w:rPr>
          <w:spacing w:val="-5"/>
        </w:rPr>
        <w:t>124</w:t>
      </w:r>
    </w:p>
    <w:p>
      <w:pPr>
        <w:pStyle w:val="BodyText"/>
        <w:spacing w:line="235" w:lineRule="auto" w:before="202"/>
        <w:ind w:left="165" w:right="167"/>
        <w:jc w:val="both"/>
      </w:pPr>
      <w:bookmarkStart w:name="_bookmark1441" w:id="1443"/>
      <w:bookmarkEnd w:id="1443"/>
      <w:r>
        <w:rPr/>
      </w:r>
      <w:r>
        <w:rPr/>
        <w:t>Consideration for a creditor’s promise to accept part payment of a debt in full settlement can be provided by the debtor’s doing some act that he was not previously bound by the contract to do. </w:t>
      </w:r>
      <w:r>
        <w:rPr>
          <w:color w:val="005DA1"/>
          <w:u w:val="single" w:color="005DA1"/>
          <w:vertAlign w:val="superscript"/>
        </w:rPr>
        <w:t>772</w:t>
      </w:r>
      <w:r>
        <w:rPr>
          <w:color w:val="005DA1"/>
          <w:vertAlign w:val="baseline"/>
        </w:rPr>
        <w:t> </w:t>
      </w:r>
      <w:r>
        <w:rPr>
          <w:vertAlign w:val="baseline"/>
        </w:rPr>
        <w:t>For example, payment of a smaller sum at the creditor’s request before the due day is good </w:t>
      </w:r>
      <w:bookmarkStart w:name="_bookmark1442" w:id="1444"/>
      <w:bookmarkEnd w:id="1444"/>
      <w:r>
        <w:rPr>
          <w:vertAlign w:val="baseline"/>
        </w:rPr>
        <w:t>consideration</w:t>
      </w:r>
      <w:r>
        <w:rPr>
          <w:vertAlign w:val="baseline"/>
        </w:rPr>
        <w:t> for a promise to forgo the balance, since it is a benefit to the creditor to be paid before he was entitled to payment, and a corresponding detriment to the debtor to pay early. </w:t>
      </w:r>
      <w:r>
        <w:rPr>
          <w:color w:val="005DA1"/>
          <w:u w:val="single" w:color="005DA1"/>
          <w:vertAlign w:val="superscript"/>
        </w:rPr>
        <w:t>773</w:t>
      </w:r>
      <w:r>
        <w:rPr>
          <w:color w:val="005DA1"/>
          <w:vertAlign w:val="baseline"/>
        </w:rPr>
        <w:t> </w:t>
      </w:r>
      <w:r>
        <w:rPr>
          <w:vertAlign w:val="baseline"/>
        </w:rPr>
        <w:t>The same </w:t>
      </w:r>
      <w:bookmarkStart w:name="_bookmark1443" w:id="1445"/>
      <w:bookmarkEnd w:id="1445"/>
      <w:r>
        <w:rPr>
          <w:vertAlign w:val="baseline"/>
        </w:rPr>
        <w:t>rule</w:t>
      </w:r>
      <w:r>
        <w:rPr>
          <w:vertAlign w:val="baseline"/>
        </w:rPr>
        <w:t> applies, mutatis mutandis, where payment of a smaller sum is made at the creditor’s request at a place different from that originally fixed for payment, </w:t>
      </w:r>
      <w:r>
        <w:rPr>
          <w:color w:val="005DA1"/>
          <w:u w:val="single" w:color="005DA1"/>
          <w:vertAlign w:val="superscript"/>
        </w:rPr>
        <w:t>774</w:t>
      </w:r>
      <w:r>
        <w:rPr>
          <w:color w:val="005DA1"/>
          <w:vertAlign w:val="baseline"/>
        </w:rPr>
        <w:t> </w:t>
      </w:r>
      <w:r>
        <w:rPr>
          <w:vertAlign w:val="baseline"/>
        </w:rPr>
        <w:t>or in a different currency. </w:t>
      </w:r>
      <w:r>
        <w:rPr>
          <w:color w:val="005DA1"/>
          <w:u w:val="single" w:color="005DA1"/>
          <w:vertAlign w:val="superscript"/>
        </w:rPr>
        <w:t>775</w:t>
      </w:r>
      <w:r>
        <w:rPr>
          <w:color w:val="005DA1"/>
          <w:vertAlign w:val="baseline"/>
        </w:rPr>
        <w:t> </w:t>
      </w:r>
      <w:r>
        <w:rPr>
          <w:vertAlign w:val="baseline"/>
        </w:rPr>
        <w:t>Again, payment of a smaller sum accompanied at the creditor’s request by the delivery of a chattel is good consideration</w:t>
      </w:r>
      <w:r>
        <w:rPr>
          <w:spacing w:val="-1"/>
          <w:vertAlign w:val="baseline"/>
        </w:rPr>
        <w:t> </w:t>
      </w:r>
      <w:r>
        <w:rPr>
          <w:vertAlign w:val="baseline"/>
        </w:rPr>
        <w:t>for</w:t>
      </w:r>
      <w:r>
        <w:rPr>
          <w:spacing w:val="-1"/>
          <w:vertAlign w:val="baseline"/>
        </w:rPr>
        <w:t> </w:t>
      </w:r>
      <w:r>
        <w:rPr>
          <w:vertAlign w:val="baseline"/>
        </w:rPr>
        <w:t>a</w:t>
      </w:r>
      <w:r>
        <w:rPr>
          <w:spacing w:val="-1"/>
          <w:vertAlign w:val="baseline"/>
        </w:rPr>
        <w:t> </w:t>
      </w:r>
      <w:r>
        <w:rPr>
          <w:vertAlign w:val="baseline"/>
        </w:rPr>
        <w:t>promise</w:t>
      </w:r>
      <w:r>
        <w:rPr>
          <w:spacing w:val="-1"/>
          <w:vertAlign w:val="baseline"/>
        </w:rPr>
        <w:t> </w:t>
      </w:r>
      <w:r>
        <w:rPr>
          <w:vertAlign w:val="baseline"/>
        </w:rPr>
        <w:t>to</w:t>
      </w:r>
      <w:r>
        <w:rPr>
          <w:spacing w:val="-1"/>
          <w:vertAlign w:val="baseline"/>
        </w:rPr>
        <w:t> </w:t>
      </w:r>
      <w:r>
        <w:rPr>
          <w:vertAlign w:val="baseline"/>
        </w:rPr>
        <w:t>forgo</w:t>
      </w:r>
      <w:r>
        <w:rPr>
          <w:spacing w:val="-1"/>
          <w:vertAlign w:val="baseline"/>
        </w:rPr>
        <w:t> </w:t>
      </w:r>
      <w:r>
        <w:rPr>
          <w:vertAlign w:val="baseline"/>
        </w:rPr>
        <w:t>the</w:t>
      </w:r>
      <w:r>
        <w:rPr>
          <w:spacing w:val="-1"/>
          <w:vertAlign w:val="baseline"/>
        </w:rPr>
        <w:t> </w:t>
      </w:r>
      <w:r>
        <w:rPr>
          <w:vertAlign w:val="baseline"/>
        </w:rPr>
        <w:t>balance:</w:t>
      </w:r>
      <w:r>
        <w:rPr>
          <w:spacing w:val="-1"/>
          <w:vertAlign w:val="baseline"/>
        </w:rPr>
        <w:t> </w:t>
      </w:r>
      <w:r>
        <w:rPr>
          <w:vertAlign w:val="baseline"/>
        </w:rPr>
        <w:t>“The</w:t>
      </w:r>
      <w:r>
        <w:rPr>
          <w:spacing w:val="-1"/>
          <w:vertAlign w:val="baseline"/>
        </w:rPr>
        <w:t> </w:t>
      </w:r>
      <w:r>
        <w:rPr>
          <w:vertAlign w:val="baseline"/>
        </w:rPr>
        <w:t>gift</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horse,</w:t>
      </w:r>
      <w:r>
        <w:rPr>
          <w:spacing w:val="-1"/>
          <w:vertAlign w:val="baseline"/>
        </w:rPr>
        <w:t> </w:t>
      </w:r>
      <w:r>
        <w:rPr>
          <w:vertAlign w:val="baseline"/>
        </w:rPr>
        <w:t>hawk</w:t>
      </w:r>
      <w:r>
        <w:rPr>
          <w:spacing w:val="-1"/>
          <w:vertAlign w:val="baseline"/>
        </w:rPr>
        <w:t> </w:t>
      </w:r>
      <w:r>
        <w:rPr>
          <w:vertAlign w:val="baseline"/>
        </w:rPr>
        <w:t>or</w:t>
      </w:r>
      <w:r>
        <w:rPr>
          <w:spacing w:val="-1"/>
          <w:vertAlign w:val="baseline"/>
        </w:rPr>
        <w:t> </w:t>
      </w:r>
      <w:r>
        <w:rPr>
          <w:vertAlign w:val="baseline"/>
        </w:rPr>
        <w:t>robe,</w:t>
      </w:r>
      <w:r>
        <w:rPr>
          <w:spacing w:val="-1"/>
          <w:vertAlign w:val="baseline"/>
        </w:rPr>
        <w:t> </w:t>
      </w:r>
      <w:r>
        <w:rPr>
          <w:vertAlign w:val="baseline"/>
        </w:rPr>
        <w:t>etc.</w:t>
      </w:r>
      <w:r>
        <w:rPr>
          <w:spacing w:val="-1"/>
          <w:vertAlign w:val="baseline"/>
        </w:rPr>
        <w:t> </w:t>
      </w:r>
      <w:r>
        <w:rPr>
          <w:vertAlign w:val="baseline"/>
        </w:rPr>
        <w:t>in</w:t>
      </w:r>
      <w:r>
        <w:rPr>
          <w:spacing w:val="-1"/>
          <w:vertAlign w:val="baseline"/>
        </w:rPr>
        <w:t> </w:t>
      </w:r>
      <w:r>
        <w:rPr>
          <w:vertAlign w:val="baseline"/>
        </w:rPr>
        <w:t>satisfaction </w:t>
      </w:r>
      <w:bookmarkStart w:name="_bookmark1444" w:id="1446"/>
      <w:bookmarkEnd w:id="1446"/>
      <w:r>
        <w:rPr>
          <w:vertAlign w:val="baseline"/>
        </w:rPr>
        <w:t>is</w:t>
      </w:r>
      <w:r>
        <w:rPr>
          <w:vertAlign w:val="baseline"/>
        </w:rPr>
        <w:t> good. For it shall be intended that a horse, hawk or robe, etc., might be more beneficial than the money. … ” </w:t>
      </w:r>
      <w:r>
        <w:rPr>
          <w:color w:val="005DA1"/>
          <w:u w:val="single" w:color="005DA1"/>
          <w:vertAlign w:val="superscript"/>
        </w:rPr>
        <w:t>776</w:t>
      </w:r>
    </w:p>
    <w:p>
      <w:pPr>
        <w:pStyle w:val="BodyText"/>
      </w:pPr>
    </w:p>
    <w:p>
      <w:pPr>
        <w:pStyle w:val="BodyText"/>
        <w:spacing w:before="35"/>
      </w:pPr>
    </w:p>
    <w:p>
      <w:pPr>
        <w:spacing w:before="0"/>
        <w:ind w:left="165" w:right="0" w:firstLine="0"/>
        <w:jc w:val="left"/>
        <w:rPr>
          <w:rFonts w:ascii="Arial"/>
          <w:b/>
          <w:sz w:val="18"/>
        </w:rPr>
      </w:pPr>
      <w:r>
        <w:rPr>
          <w:rFonts w:ascii="Arial"/>
          <w:b/>
          <w:sz w:val="18"/>
        </w:rPr>
        <w:t>Other benefit to </w:t>
      </w:r>
      <w:r>
        <w:rPr>
          <w:rFonts w:ascii="Arial"/>
          <w:b/>
          <w:spacing w:val="-2"/>
          <w:sz w:val="18"/>
        </w:rPr>
        <w:t>creditor</w:t>
      </w:r>
    </w:p>
    <w:p>
      <w:pPr>
        <w:pStyle w:val="BodyText"/>
        <w:spacing w:before="41"/>
        <w:rPr>
          <w:rFonts w:ascii="Arial"/>
          <w:b/>
          <w:sz w:val="18"/>
        </w:rPr>
      </w:pPr>
    </w:p>
    <w:p>
      <w:pPr>
        <w:pStyle w:val="Heading2"/>
      </w:pPr>
      <w:r>
        <w:rPr/>
        <w:t>4-</w:t>
      </w:r>
      <w:r>
        <w:rPr>
          <w:spacing w:val="-5"/>
        </w:rPr>
        <w:t>125</w:t>
      </w:r>
    </w:p>
    <w:p>
      <w:pPr>
        <w:pStyle w:val="BodyText"/>
        <w:spacing w:line="235" w:lineRule="auto" w:before="203"/>
        <w:ind w:left="165" w:right="167"/>
        <w:jc w:val="both"/>
      </w:pPr>
      <w:r>
        <w:rPr/>
        <w:t>We have seen that a promise to pay a supplier of services more than the agreed sum for performing </w:t>
      </w:r>
      <w:bookmarkStart w:name="_bookmark1445" w:id="1447"/>
      <w:bookmarkEnd w:id="1447"/>
      <w:r>
        <w:rPr/>
        <w:t>his</w:t>
      </w:r>
      <w:r>
        <w:rPr/>
        <w:t> part of the contract can be supported by consideration in the form of a benefit in fact obtained by the other party as a result of that party’s obtaining the promised performance. </w:t>
      </w:r>
      <w:r>
        <w:rPr>
          <w:color w:val="005DA1"/>
          <w:u w:val="single" w:color="005DA1"/>
          <w:vertAlign w:val="superscript"/>
        </w:rPr>
        <w:t>777</w:t>
      </w:r>
      <w:r>
        <w:rPr>
          <w:color w:val="005DA1"/>
          <w:vertAlign w:val="baseline"/>
        </w:rPr>
        <w:t> </w:t>
      </w:r>
      <w:r>
        <w:rPr>
          <w:vertAlign w:val="baseline"/>
        </w:rPr>
        <w:t>Conversely, </w:t>
      </w:r>
      <w:r>
        <w:rPr>
          <w:vertAlign w:val="baseline"/>
        </w:rPr>
        <w:t>a promise by the supplier to accept less than the agreed sum may be supported by a similar </w:t>
      </w:r>
      <w:bookmarkStart w:name="_bookmark1446" w:id="1448"/>
      <w:bookmarkEnd w:id="1448"/>
      <w:r>
        <w:rPr>
          <w:vertAlign w:val="baseline"/>
        </w:rPr>
        <w:t>consideration.</w:t>
      </w:r>
      <w:r>
        <w:rPr>
          <w:vertAlign w:val="baseline"/>
        </w:rPr>
        <w:t> The mere receipt of the smaller sum cannot, indeed, constitute the consideration: that possibility is precluded by </w:t>
      </w:r>
      <w:r>
        <w:rPr>
          <w:rFonts w:ascii="Arial" w:hAnsi="Arial"/>
          <w:i/>
          <w:vertAlign w:val="baseline"/>
        </w:rPr>
        <w:t>Foakes v Beer</w:t>
      </w:r>
      <w:r>
        <w:rPr>
          <w:vertAlign w:val="baseline"/>
        </w:rPr>
        <w:t>. </w:t>
      </w:r>
      <w:r>
        <w:rPr>
          <w:color w:val="005DA1"/>
          <w:u w:val="single" w:color="005DA1"/>
          <w:vertAlign w:val="superscript"/>
        </w:rPr>
        <w:t>778</w:t>
      </w:r>
      <w:r>
        <w:rPr>
          <w:color w:val="005DA1"/>
          <w:vertAlign w:val="baseline"/>
        </w:rPr>
        <w:t> </w:t>
      </w:r>
      <w:r>
        <w:rPr>
          <w:vertAlign w:val="baseline"/>
        </w:rPr>
        <w:t>But the performance by the debtor of </w:t>
      </w:r>
      <w:r>
        <w:rPr>
          <w:rFonts w:ascii="Arial" w:hAnsi="Arial"/>
          <w:i/>
          <w:vertAlign w:val="baseline"/>
        </w:rPr>
        <w:t>other </w:t>
      </w:r>
      <w:r>
        <w:rPr>
          <w:vertAlign w:val="baseline"/>
        </w:rPr>
        <w:t>obligations </w:t>
      </w:r>
      <w:bookmarkStart w:name="_bookmark1447" w:id="1449"/>
      <w:bookmarkEnd w:id="1449"/>
      <w:r>
        <w:rPr>
          <w:vertAlign w:val="baseline"/>
        </w:rPr>
        <w:t>under</w:t>
      </w:r>
      <w:r>
        <w:rPr>
          <w:vertAlign w:val="baseline"/>
        </w:rPr>
        <w:t> the contract may confer such a benefit on the creditor and so satisfy the requirement of consideration. This possibility is illustrated by the </w:t>
      </w:r>
      <w:r>
        <w:rPr>
          <w:rFonts w:ascii="Arial" w:hAnsi="Arial"/>
          <w:i/>
          <w:vertAlign w:val="baseline"/>
        </w:rPr>
        <w:t>Anangel Atlas </w:t>
      </w:r>
      <w:r>
        <w:rPr>
          <w:color w:val="005DA1"/>
          <w:u w:val="single" w:color="005DA1"/>
          <w:vertAlign w:val="superscript"/>
        </w:rPr>
        <w:t>779</w:t>
      </w:r>
      <w:r>
        <w:rPr>
          <w:color w:val="005DA1"/>
          <w:vertAlign w:val="baseline"/>
        </w:rPr>
        <w:t> </w:t>
      </w:r>
      <w:r>
        <w:rPr>
          <w:vertAlign w:val="baseline"/>
        </w:rPr>
        <w:t>case, where a shipbuilder’s promise to reduce the price which the buyers had agreed to pay was held to have been supported by consideration, and one way in which the buyers to whom the reduction was promised had provided consideration was by accepting delivery on the day fixed for such acceptance. Even if the buyers</w:t>
      </w:r>
      <w:r>
        <w:rPr>
          <w:spacing w:val="40"/>
          <w:vertAlign w:val="baseline"/>
        </w:rPr>
        <w:t> </w:t>
      </w:r>
      <w:bookmarkStart w:name="_bookmark1448" w:id="1450"/>
      <w:bookmarkEnd w:id="1450"/>
      <w:r>
        <w:rPr>
          <w:vertAlign w:val="baseline"/>
        </w:rPr>
        <w:t>were</w:t>
      </w:r>
      <w:r>
        <w:rPr>
          <w:vertAlign w:val="baseline"/>
        </w:rPr>
        <w:t> already bound to take delivery on that day, they had conferred a benefit on the shipbuilder by so doing since they were “core customers” </w:t>
      </w:r>
      <w:r>
        <w:rPr>
          <w:color w:val="005DA1"/>
          <w:u w:val="single" w:color="005DA1"/>
          <w:vertAlign w:val="superscript"/>
        </w:rPr>
        <w:t>780</w:t>
      </w:r>
      <w:r>
        <w:rPr>
          <w:color w:val="005DA1"/>
          <w:vertAlign w:val="baseline"/>
        </w:rPr>
        <w:t> </w:t>
      </w:r>
      <w:r>
        <w:rPr>
          <w:vertAlign w:val="baseline"/>
        </w:rPr>
        <w:t>and their refusal to take delivery might have led other actual or potential customers to cancel (or not to place) orders.</w:t>
      </w:r>
    </w:p>
    <w:p>
      <w:pPr>
        <w:pStyle w:val="BodyText"/>
      </w:pPr>
    </w:p>
    <w:p>
      <w:pPr>
        <w:pStyle w:val="BodyText"/>
        <w:spacing w:before="33"/>
      </w:pPr>
    </w:p>
    <w:p>
      <w:pPr>
        <w:spacing w:before="0"/>
        <w:ind w:left="165" w:right="0" w:firstLine="0"/>
        <w:jc w:val="left"/>
        <w:rPr>
          <w:rFonts w:ascii="Arial"/>
          <w:b/>
          <w:sz w:val="18"/>
        </w:rPr>
      </w:pPr>
      <w:r>
        <w:rPr>
          <w:rFonts w:ascii="Arial"/>
          <w:b/>
          <w:sz w:val="18"/>
        </w:rPr>
        <w:t>Forbearance to enforce cross-</w:t>
      </w:r>
      <w:r>
        <w:rPr>
          <w:rFonts w:ascii="Arial"/>
          <w:b/>
          <w:spacing w:val="-2"/>
          <w:sz w:val="18"/>
        </w:rPr>
        <w:t>claims</w:t>
      </w:r>
    </w:p>
    <w:p>
      <w:pPr>
        <w:spacing w:after="0"/>
        <w:jc w:val="left"/>
        <w:rPr>
          <w:rFonts w:ascii="Arial"/>
          <w:b/>
          <w:sz w:val="18"/>
        </w:rPr>
        <w:sectPr>
          <w:pgSz w:w="11900" w:h="16840"/>
          <w:pgMar w:header="971" w:footer="0" w:top="1160" w:bottom="280" w:left="1275" w:right="1275"/>
        </w:sectPr>
      </w:pPr>
    </w:p>
    <w:p>
      <w:pPr>
        <w:pStyle w:val="BodyText"/>
        <w:spacing w:before="130"/>
        <w:rPr>
          <w:rFonts w:ascii="Arial"/>
          <w:b/>
          <w:sz w:val="24"/>
        </w:rPr>
      </w:pPr>
    </w:p>
    <w:p>
      <w:pPr>
        <w:pStyle w:val="Heading2"/>
      </w:pPr>
      <w:r>
        <w:rPr/>
        <w:t>4-</w:t>
      </w:r>
      <w:r>
        <w:rPr>
          <w:spacing w:val="-5"/>
        </w:rPr>
        <w:t>126</w:t>
      </w:r>
    </w:p>
    <w:p>
      <w:pPr>
        <w:pStyle w:val="BodyText"/>
        <w:spacing w:line="235" w:lineRule="auto" w:before="203"/>
        <w:ind w:left="164" w:right="167"/>
        <w:jc w:val="both"/>
      </w:pPr>
      <w:r>
        <w:rPr/>
        <w:t>A</w:t>
      </w:r>
      <w:r>
        <w:rPr>
          <w:spacing w:val="-1"/>
        </w:rPr>
        <w:t> </w:t>
      </w:r>
      <w:r>
        <w:rPr/>
        <w:t>debtor</w:t>
      </w:r>
      <w:r>
        <w:rPr>
          <w:spacing w:val="-1"/>
        </w:rPr>
        <w:t> </w:t>
      </w:r>
      <w:r>
        <w:rPr/>
        <w:t>may</w:t>
      </w:r>
      <w:r>
        <w:rPr>
          <w:spacing w:val="-1"/>
        </w:rPr>
        <w:t> </w:t>
      </w:r>
      <w:r>
        <w:rPr/>
        <w:t>provide</w:t>
      </w:r>
      <w:r>
        <w:rPr>
          <w:spacing w:val="-1"/>
        </w:rPr>
        <w:t> </w:t>
      </w:r>
      <w:r>
        <w:rPr/>
        <w:t>consideration</w:t>
      </w:r>
      <w:r>
        <w:rPr>
          <w:spacing w:val="-1"/>
        </w:rPr>
        <w:t> </w:t>
      </w:r>
      <w:r>
        <w:rPr/>
        <w:t>for</w:t>
      </w:r>
      <w:r>
        <w:rPr>
          <w:spacing w:val="-1"/>
        </w:rPr>
        <w:t> </w:t>
      </w:r>
      <w:r>
        <w:rPr/>
        <w:t>the</w:t>
      </w:r>
      <w:r>
        <w:rPr>
          <w:spacing w:val="-1"/>
        </w:rPr>
        <w:t> </w:t>
      </w:r>
      <w:r>
        <w:rPr/>
        <w:t>creditor’s</w:t>
      </w:r>
      <w:r>
        <w:rPr>
          <w:spacing w:val="-1"/>
        </w:rPr>
        <w:t> </w:t>
      </w:r>
      <w:r>
        <w:rPr/>
        <w:t>promise</w:t>
      </w:r>
      <w:r>
        <w:rPr>
          <w:spacing w:val="-1"/>
        </w:rPr>
        <w:t> </w:t>
      </w:r>
      <w:r>
        <w:rPr/>
        <w:t>not</w:t>
      </w:r>
      <w:r>
        <w:rPr>
          <w:spacing w:val="-1"/>
        </w:rPr>
        <w:t> </w:t>
      </w:r>
      <w:r>
        <w:rPr/>
        <w:t>only</w:t>
      </w:r>
      <w:r>
        <w:rPr>
          <w:spacing w:val="-1"/>
        </w:rPr>
        <w:t> </w:t>
      </w:r>
      <w:r>
        <w:rPr/>
        <w:t>by</w:t>
      </w:r>
      <w:r>
        <w:rPr>
          <w:spacing w:val="-1"/>
        </w:rPr>
        <w:t> </w:t>
      </w:r>
      <w:r>
        <w:rPr/>
        <w:t>doing</w:t>
      </w:r>
      <w:r>
        <w:rPr>
          <w:spacing w:val="-1"/>
        </w:rPr>
        <w:t> </w:t>
      </w:r>
      <w:r>
        <w:rPr/>
        <w:t>an</w:t>
      </w:r>
      <w:r>
        <w:rPr>
          <w:spacing w:val="-2"/>
        </w:rPr>
        <w:t> </w:t>
      </w:r>
      <w:r>
        <w:rPr>
          <w:rFonts w:ascii="Arial" w:hAnsi="Arial"/>
          <w:i/>
        </w:rPr>
        <w:t>act</w:t>
      </w:r>
      <w:r>
        <w:rPr>
          <w:rFonts w:ascii="Arial" w:hAnsi="Arial"/>
          <w:i/>
          <w:spacing w:val="-1"/>
        </w:rPr>
        <w:t> </w:t>
      </w:r>
      <w:r>
        <w:rPr/>
        <w:t>that</w:t>
      </w:r>
      <w:r>
        <w:rPr>
          <w:spacing w:val="-1"/>
        </w:rPr>
        <w:t> </w:t>
      </w:r>
      <w:r>
        <w:rPr/>
        <w:t>he</w:t>
      </w:r>
      <w:r>
        <w:rPr>
          <w:spacing w:val="-1"/>
        </w:rPr>
        <w:t> </w:t>
      </w:r>
      <w:r>
        <w:rPr/>
        <w:t>was</w:t>
      </w:r>
      <w:r>
        <w:rPr>
          <w:spacing w:val="-1"/>
        </w:rPr>
        <w:t> </w:t>
      </w:r>
      <w:r>
        <w:rPr/>
        <w:t>not previously bound to do, but also by a </w:t>
      </w:r>
      <w:r>
        <w:rPr>
          <w:rFonts w:ascii="Arial" w:hAnsi="Arial"/>
          <w:i/>
        </w:rPr>
        <w:t>forbearance</w:t>
      </w:r>
      <w:r>
        <w:rPr/>
        <w:t>. Thus, where the debtor has a claim against the creditor, the debtor’s forbearance to enforce that claim can constitute consideration for the creditor’s promise not to claim part of the debt. For example, where a landlord promises to accept part </w:t>
      </w:r>
      <w:r>
        <w:rPr/>
        <w:t>payment </w:t>
      </w:r>
      <w:bookmarkStart w:name="_bookmark1449" w:id="1451"/>
      <w:bookmarkEnd w:id="1451"/>
      <w:r>
        <w:rPr/>
        <w:t>of</w:t>
      </w:r>
      <w:r>
        <w:rPr/>
        <w:t> rent in full settlement, the tenant may provide consideration for this promise by forbearing to sue</w:t>
      </w:r>
      <w:r>
        <w:rPr>
          <w:spacing w:val="40"/>
        </w:rPr>
        <w:t> </w:t>
      </w:r>
      <w:r>
        <w:rPr/>
        <w:t>the landlord for breach of the latter’s obligation to keep the premises in repair. </w:t>
      </w:r>
      <w:r>
        <w:rPr>
          <w:color w:val="005DA1"/>
          <w:u w:val="single" w:color="005DA1"/>
          <w:vertAlign w:val="superscript"/>
        </w:rPr>
        <w:t>781</w:t>
      </w:r>
    </w:p>
    <w:p>
      <w:pPr>
        <w:pStyle w:val="BodyText"/>
      </w:pPr>
    </w:p>
    <w:p>
      <w:pPr>
        <w:pStyle w:val="BodyText"/>
        <w:spacing w:before="36"/>
      </w:pPr>
    </w:p>
    <w:p>
      <w:pPr>
        <w:spacing w:before="0"/>
        <w:ind w:left="165" w:right="0" w:firstLine="0"/>
        <w:jc w:val="left"/>
        <w:rPr>
          <w:rFonts w:ascii="Arial"/>
          <w:b/>
          <w:sz w:val="18"/>
        </w:rPr>
      </w:pPr>
      <w:r>
        <w:rPr>
          <w:rFonts w:ascii="Arial"/>
          <w:b/>
          <w:sz w:val="18"/>
        </w:rPr>
        <w:t>Composition with </w:t>
      </w:r>
      <w:r>
        <w:rPr>
          <w:rFonts w:ascii="Arial"/>
          <w:b/>
          <w:spacing w:val="-2"/>
          <w:sz w:val="18"/>
        </w:rPr>
        <w:t>creditors</w:t>
      </w:r>
    </w:p>
    <w:p>
      <w:pPr>
        <w:pStyle w:val="BodyText"/>
        <w:spacing w:before="41"/>
        <w:rPr>
          <w:rFonts w:ascii="Arial"/>
          <w:b/>
          <w:sz w:val="18"/>
        </w:rPr>
      </w:pPr>
    </w:p>
    <w:p>
      <w:pPr>
        <w:pStyle w:val="Heading2"/>
      </w:pPr>
      <w:r>
        <w:rPr/>
        <w:t>4-</w:t>
      </w:r>
      <w:r>
        <w:rPr>
          <w:spacing w:val="-5"/>
        </w:rPr>
        <w:t>127</w:t>
      </w:r>
    </w:p>
    <w:p>
      <w:pPr>
        <w:pStyle w:val="BodyText"/>
        <w:spacing w:line="235" w:lineRule="auto" w:before="203"/>
        <w:ind w:left="165" w:right="167"/>
        <w:jc w:val="both"/>
      </w:pPr>
      <w:r>
        <w:rPr/>
        <w:t>The doctrine of consideration gives rise to some difficulty in relation to composition agreements by </w:t>
      </w:r>
      <w:bookmarkStart w:name="_bookmark1450" w:id="1452"/>
      <w:bookmarkEnd w:id="1452"/>
      <w:r>
        <w:rPr/>
        <w:t>which</w:t>
      </w:r>
      <w:r>
        <w:rPr/>
        <w:t> a debtor who cannot pay all his creditors in full induces them to agree with himself and with </w:t>
      </w:r>
      <w:bookmarkStart w:name="_bookmark1451" w:id="1453"/>
      <w:bookmarkEnd w:id="1453"/>
      <w:r>
        <w:rPr/>
        <w:t>each</w:t>
      </w:r>
      <w:r>
        <w:rPr/>
        <w:t> other to accept part payment in full settlement of their claims. </w:t>
      </w:r>
      <w:r>
        <w:rPr>
          <w:color w:val="005DA1"/>
          <w:u w:val="single" w:color="005DA1"/>
          <w:vertAlign w:val="superscript"/>
        </w:rPr>
        <w:t>782</w:t>
      </w:r>
      <w:r>
        <w:rPr>
          <w:color w:val="005DA1"/>
          <w:vertAlign w:val="baseline"/>
        </w:rPr>
        <w:t> </w:t>
      </w:r>
      <w:r>
        <w:rPr>
          <w:vertAlign w:val="baseline"/>
        </w:rPr>
        <w:t>The binding force of such agreements is well established, </w:t>
      </w:r>
      <w:r>
        <w:rPr>
          <w:color w:val="005DA1"/>
          <w:u w:val="single" w:color="005DA1"/>
          <w:vertAlign w:val="superscript"/>
        </w:rPr>
        <w:t>783</w:t>
      </w:r>
      <w:r>
        <w:rPr>
          <w:color w:val="005DA1"/>
          <w:vertAlign w:val="baseline"/>
        </w:rPr>
        <w:t> </w:t>
      </w:r>
      <w:r>
        <w:rPr>
          <w:vertAlign w:val="baseline"/>
        </w:rPr>
        <w:t>in spite of the rule in </w:t>
      </w:r>
      <w:r>
        <w:rPr>
          <w:rFonts w:ascii="Arial" w:hAnsi="Arial"/>
          <w:i/>
          <w:vertAlign w:val="baseline"/>
        </w:rPr>
        <w:t>Foakes v Beer</w:t>
      </w:r>
      <w:r>
        <w:rPr>
          <w:vertAlign w:val="baseline"/>
        </w:rPr>
        <w:t>. </w:t>
      </w:r>
      <w:r>
        <w:rPr>
          <w:color w:val="005DA1"/>
          <w:u w:val="single" w:color="005DA1"/>
          <w:vertAlign w:val="superscript"/>
        </w:rPr>
        <w:t>784</w:t>
      </w:r>
      <w:r>
        <w:rPr>
          <w:color w:val="005DA1"/>
          <w:vertAlign w:val="baseline"/>
        </w:rPr>
        <w:t> </w:t>
      </w:r>
      <w:r>
        <w:rPr>
          <w:vertAlign w:val="baseline"/>
        </w:rPr>
        <w:t>One possible reason for </w:t>
      </w:r>
      <w:bookmarkStart w:name="_bookmark1452" w:id="1454"/>
      <w:bookmarkEnd w:id="1454"/>
      <w:r>
        <w:rPr>
          <w:vertAlign w:val="baseline"/>
        </w:rPr>
        <w:t>the</w:t>
      </w:r>
      <w:r>
        <w:rPr>
          <w:vertAlign w:val="baseline"/>
        </w:rPr>
        <w:t> validity of such agreements is that it would be a fraud on the other parties for a creditor who had accepted a composition to claim the balance of his original debt. </w:t>
      </w:r>
      <w:r>
        <w:rPr>
          <w:color w:val="005DA1"/>
          <w:u w:val="single" w:color="005DA1"/>
          <w:vertAlign w:val="superscript"/>
        </w:rPr>
        <w:t>785</w:t>
      </w:r>
      <w:r>
        <w:rPr>
          <w:color w:val="005DA1"/>
          <w:vertAlign w:val="baseline"/>
        </w:rPr>
        <w:t> </w:t>
      </w:r>
      <w:r>
        <w:rPr>
          <w:vertAlign w:val="baseline"/>
        </w:rPr>
        <w:t>An alternative view is that the </w:t>
      </w:r>
      <w:bookmarkStart w:name="_bookmark1453" w:id="1455"/>
      <w:bookmarkEnd w:id="1455"/>
      <w:r>
        <w:rPr>
          <w:vertAlign w:val="baseline"/>
        </w:rPr>
        <w:t>consideration</w:t>
      </w:r>
      <w:r>
        <w:rPr>
          <w:vertAlign w:val="baseline"/>
        </w:rPr>
        <w:t> for the creditor’s promise is to be found in the promise of every other creditor to forgo </w:t>
      </w:r>
      <w:bookmarkStart w:name="_bookmark1454" w:id="1456"/>
      <w:bookmarkEnd w:id="1456"/>
      <w:r>
        <w:rPr>
          <w:vertAlign w:val="baseline"/>
        </w:rPr>
        <w:t>part</w:t>
      </w:r>
      <w:r>
        <w:rPr>
          <w:vertAlign w:val="baseline"/>
        </w:rPr>
        <w:t> of his own debt </w:t>
      </w:r>
      <w:r>
        <w:rPr>
          <w:color w:val="005DA1"/>
          <w:u w:val="single" w:color="005DA1"/>
          <w:vertAlign w:val="superscript"/>
        </w:rPr>
        <w:t>786</w:t>
      </w:r>
      <w:r>
        <w:rPr>
          <w:vertAlign w:val="baseline"/>
        </w:rPr>
        <w:t>; but this consideration does not move from the promisee (i.e. the debtor) </w:t>
      </w:r>
      <w:bookmarkStart w:name="_bookmark1455" w:id="1457"/>
      <w:bookmarkEnd w:id="1457"/>
      <w:r>
        <w:rPr>
          <w:vertAlign w:val="baseline"/>
        </w:rPr>
        <w:t>unless</w:t>
      </w:r>
      <w:r>
        <w:rPr>
          <w:vertAlign w:val="baseline"/>
        </w:rPr>
        <w:t> he also joins in the agreement. </w:t>
      </w:r>
      <w:r>
        <w:rPr>
          <w:color w:val="005DA1"/>
          <w:u w:val="single" w:color="005DA1"/>
          <w:vertAlign w:val="superscript"/>
        </w:rPr>
        <w:t>787</w:t>
      </w:r>
      <w:r>
        <w:rPr>
          <w:color w:val="005DA1"/>
          <w:vertAlign w:val="baseline"/>
        </w:rPr>
        <w:t> </w:t>
      </w:r>
      <w:r>
        <w:rPr>
          <w:vertAlign w:val="baseline"/>
        </w:rPr>
        <w:t>In that event there may be consideration in the shape of a benefit to each creditor </w:t>
      </w:r>
      <w:r>
        <w:rPr>
          <w:color w:val="005DA1"/>
          <w:u w:val="single" w:color="005DA1"/>
          <w:vertAlign w:val="superscript"/>
        </w:rPr>
        <w:t>788</w:t>
      </w:r>
      <w:r>
        <w:rPr>
          <w:vertAlign w:val="baseline"/>
        </w:rPr>
        <w:t>: he is certain of some payment, while in the scramble for priorities which might take place if there were no composition agreement he might get nothing at all.</w:t>
      </w:r>
    </w:p>
    <w:p>
      <w:pPr>
        <w:pStyle w:val="BodyText"/>
      </w:pPr>
    </w:p>
    <w:p>
      <w:pPr>
        <w:pStyle w:val="BodyText"/>
        <w:spacing w:before="34"/>
      </w:pPr>
    </w:p>
    <w:p>
      <w:pPr>
        <w:spacing w:before="1"/>
        <w:ind w:left="165" w:right="0" w:firstLine="0"/>
        <w:jc w:val="left"/>
        <w:rPr>
          <w:rFonts w:ascii="Arial"/>
          <w:b/>
          <w:sz w:val="18"/>
        </w:rPr>
      </w:pPr>
      <w:r>
        <w:rPr>
          <w:rFonts w:ascii="Arial"/>
          <w:b/>
          <w:sz w:val="18"/>
        </w:rPr>
        <w:t>Part payment of debt by a third </w:t>
      </w:r>
      <w:r>
        <w:rPr>
          <w:rFonts w:ascii="Arial"/>
          <w:b/>
          <w:spacing w:val="-2"/>
          <w:sz w:val="18"/>
        </w:rPr>
        <w:t>party</w:t>
      </w:r>
    </w:p>
    <w:p>
      <w:pPr>
        <w:pStyle w:val="BodyText"/>
        <w:spacing w:before="41"/>
        <w:rPr>
          <w:rFonts w:ascii="Arial"/>
          <w:b/>
          <w:sz w:val="18"/>
        </w:rPr>
      </w:pPr>
    </w:p>
    <w:p>
      <w:pPr>
        <w:pStyle w:val="Heading2"/>
      </w:pPr>
      <w:r>
        <w:rPr/>
        <w:t>4-</w:t>
      </w:r>
      <w:r>
        <w:rPr>
          <w:spacing w:val="-5"/>
        </w:rPr>
        <w:t>128</w:t>
      </w:r>
    </w:p>
    <w:p>
      <w:pPr>
        <w:pStyle w:val="BodyText"/>
        <w:spacing w:line="235" w:lineRule="auto" w:before="202"/>
        <w:ind w:left="164" w:right="167"/>
        <w:jc w:val="both"/>
      </w:pPr>
      <w:bookmarkStart w:name="_bookmark1456" w:id="1458"/>
      <w:bookmarkEnd w:id="1458"/>
      <w:r>
        <w:rPr/>
      </w:r>
      <w:r>
        <w:rPr/>
        <w:t>Part payment by a third party, if accepted by the creditor in full settlement of the debtor’s liability, is a good</w:t>
      </w:r>
      <w:r>
        <w:rPr>
          <w:spacing w:val="-1"/>
        </w:rPr>
        <w:t> </w:t>
      </w:r>
      <w:r>
        <w:rPr/>
        <w:t>defence</w:t>
      </w:r>
      <w:r>
        <w:rPr>
          <w:spacing w:val="-2"/>
        </w:rPr>
        <w:t> </w:t>
      </w:r>
      <w:r>
        <w:rPr/>
        <w:t>to</w:t>
      </w:r>
      <w:r>
        <w:rPr>
          <w:spacing w:val="-1"/>
        </w:rPr>
        <w:t> </w:t>
      </w:r>
      <w:r>
        <w:rPr/>
        <w:t>a</w:t>
      </w:r>
      <w:r>
        <w:rPr>
          <w:spacing w:val="-2"/>
        </w:rPr>
        <w:t> </w:t>
      </w:r>
      <w:r>
        <w:rPr/>
        <w:t>later</w:t>
      </w:r>
      <w:r>
        <w:rPr>
          <w:spacing w:val="-1"/>
        </w:rPr>
        <w:t> </w:t>
      </w:r>
      <w:r>
        <w:rPr/>
        <w:t>claim</w:t>
      </w:r>
      <w:r>
        <w:rPr>
          <w:spacing w:val="-2"/>
        </w:rPr>
        <w:t> </w:t>
      </w:r>
      <w:r>
        <w:rPr/>
        <w:t>by</w:t>
      </w:r>
      <w:r>
        <w:rPr>
          <w:spacing w:val="-1"/>
        </w:rPr>
        <w:t> </w:t>
      </w:r>
      <w:r>
        <w:rPr/>
        <w:t>the</w:t>
      </w:r>
      <w:r>
        <w:rPr>
          <w:spacing w:val="-2"/>
        </w:rPr>
        <w:t> </w:t>
      </w:r>
      <w:r>
        <w:rPr/>
        <w:t>creditor</w:t>
      </w:r>
      <w:r>
        <w:rPr>
          <w:spacing w:val="-1"/>
        </w:rPr>
        <w:t> </w:t>
      </w:r>
      <w:r>
        <w:rPr/>
        <w:t>for</w:t>
      </w:r>
      <w:r>
        <w:rPr>
          <w:spacing w:val="-2"/>
        </w:rPr>
        <w:t> </w:t>
      </w:r>
      <w:r>
        <w:rPr/>
        <w:t>the</w:t>
      </w:r>
      <w:r>
        <w:rPr>
          <w:spacing w:val="-1"/>
        </w:rPr>
        <w:t> </w:t>
      </w:r>
      <w:r>
        <w:rPr/>
        <w:t>balance.</w:t>
      </w:r>
      <w:r>
        <w:rPr>
          <w:spacing w:val="-2"/>
        </w:rPr>
        <w:t> </w:t>
      </w:r>
      <w:r>
        <w:rPr>
          <w:color w:val="005DA1"/>
          <w:u w:val="single" w:color="005DA1"/>
          <w:vertAlign w:val="superscript"/>
        </w:rPr>
        <w:t>789</w:t>
      </w:r>
      <w:r>
        <w:rPr>
          <w:color w:val="005DA1"/>
          <w:spacing w:val="-1"/>
          <w:vertAlign w:val="baseline"/>
        </w:rPr>
        <w:t> </w:t>
      </w:r>
      <w:r>
        <w:rPr>
          <w:vertAlign w:val="baseline"/>
        </w:rPr>
        <w:t>This</w:t>
      </w:r>
      <w:r>
        <w:rPr>
          <w:spacing w:val="-2"/>
          <w:vertAlign w:val="baseline"/>
        </w:rPr>
        <w:t> </w:t>
      </w:r>
      <w:r>
        <w:rPr>
          <w:vertAlign w:val="baseline"/>
        </w:rPr>
        <w:t>rule</w:t>
      </w:r>
      <w:r>
        <w:rPr>
          <w:spacing w:val="-1"/>
          <w:vertAlign w:val="baseline"/>
        </w:rPr>
        <w:t> </w:t>
      </w:r>
      <w:r>
        <w:rPr>
          <w:vertAlign w:val="baseline"/>
        </w:rPr>
        <w:t>seems</w:t>
      </w:r>
      <w:r>
        <w:rPr>
          <w:spacing w:val="-2"/>
          <w:vertAlign w:val="baseline"/>
        </w:rPr>
        <w:t> </w:t>
      </w:r>
      <w:r>
        <w:rPr>
          <w:vertAlign w:val="baseline"/>
        </w:rPr>
        <w:t>not</w:t>
      </w:r>
      <w:r>
        <w:rPr>
          <w:spacing w:val="-1"/>
          <w:vertAlign w:val="baseline"/>
        </w:rPr>
        <w:t> </w:t>
      </w:r>
      <w:r>
        <w:rPr>
          <w:vertAlign w:val="baseline"/>
        </w:rPr>
        <w:t>to</w:t>
      </w:r>
      <w:r>
        <w:rPr>
          <w:spacing w:val="-2"/>
          <w:vertAlign w:val="baseline"/>
        </w:rPr>
        <w:t> </w:t>
      </w:r>
      <w:r>
        <w:rPr>
          <w:vertAlign w:val="baseline"/>
        </w:rPr>
        <w:t>depend</w:t>
      </w:r>
      <w:r>
        <w:rPr>
          <w:spacing w:val="-1"/>
          <w:vertAlign w:val="baseline"/>
        </w:rPr>
        <w:t> </w:t>
      </w:r>
      <w:r>
        <w:rPr>
          <w:vertAlign w:val="baseline"/>
        </w:rPr>
        <w:t>on</w:t>
      </w:r>
      <w:r>
        <w:rPr>
          <w:spacing w:val="-2"/>
          <w:vertAlign w:val="baseline"/>
        </w:rPr>
        <w:t> </w:t>
      </w:r>
      <w:r>
        <w:rPr>
          <w:vertAlign w:val="baseline"/>
        </w:rPr>
        <w:t>any </w:t>
      </w:r>
      <w:bookmarkStart w:name="_bookmark1457" w:id="1459"/>
      <w:bookmarkEnd w:id="1459"/>
      <w:r>
        <w:rPr>
          <w:vertAlign w:val="baseline"/>
        </w:rPr>
        <w:t>contract</w:t>
      </w:r>
      <w:r>
        <w:rPr>
          <w:vertAlign w:val="baseline"/>
        </w:rPr>
        <w:t> between debtor and creditor, so that it can apply even though no promise has been made </w:t>
      </w:r>
      <w:r>
        <w:rPr>
          <w:vertAlign w:val="baseline"/>
        </w:rPr>
        <w:t>to </w:t>
      </w:r>
      <w:bookmarkStart w:name="_bookmark1458" w:id="1460"/>
      <w:bookmarkEnd w:id="1460"/>
      <w:r>
        <w:rPr>
          <w:vertAlign w:val="baseline"/>
        </w:rPr>
        <w:t>the</w:t>
      </w:r>
      <w:r>
        <w:rPr>
          <w:vertAlign w:val="baseline"/>
        </w:rPr>
        <w:t> debtor and even though no consideration has moved from him. </w:t>
      </w:r>
      <w:r>
        <w:rPr>
          <w:color w:val="005DA1"/>
          <w:u w:val="single" w:color="005DA1"/>
          <w:vertAlign w:val="superscript"/>
        </w:rPr>
        <w:t>790</w:t>
      </w:r>
      <w:r>
        <w:rPr>
          <w:color w:val="005DA1"/>
          <w:vertAlign w:val="baseline"/>
        </w:rPr>
        <w:t> </w:t>
      </w:r>
      <w:r>
        <w:rPr>
          <w:vertAlign w:val="baseline"/>
        </w:rPr>
        <w:t>The rule has therefore been explained on other grounds. One such ground is that it would be a fraud </w:t>
      </w:r>
      <w:r>
        <w:rPr>
          <w:color w:val="005DA1"/>
          <w:u w:val="single" w:color="005DA1"/>
          <w:vertAlign w:val="superscript"/>
        </w:rPr>
        <w:t>791</w:t>
      </w:r>
      <w:r>
        <w:rPr>
          <w:color w:val="005DA1"/>
          <w:vertAlign w:val="baseline"/>
        </w:rPr>
        <w:t> </w:t>
      </w:r>
      <w:r>
        <w:rPr>
          <w:vertAlign w:val="baseline"/>
        </w:rPr>
        <w:t>on the third party to allow the</w:t>
      </w:r>
      <w:r>
        <w:rPr>
          <w:spacing w:val="-2"/>
          <w:vertAlign w:val="baseline"/>
        </w:rPr>
        <w:t> </w:t>
      </w:r>
      <w:r>
        <w:rPr>
          <w:vertAlign w:val="baseline"/>
        </w:rPr>
        <w:t>creditor,</w:t>
      </w:r>
      <w:r>
        <w:rPr>
          <w:spacing w:val="-2"/>
          <w:vertAlign w:val="baseline"/>
        </w:rPr>
        <w:t> </w:t>
      </w:r>
      <w:r>
        <w:rPr>
          <w:vertAlign w:val="baseline"/>
        </w:rPr>
        <w:t>in</w:t>
      </w:r>
      <w:r>
        <w:rPr>
          <w:spacing w:val="-2"/>
          <w:vertAlign w:val="baseline"/>
        </w:rPr>
        <w:t> </w:t>
      </w:r>
      <w:r>
        <w:rPr>
          <w:vertAlign w:val="baseline"/>
        </w:rPr>
        <w:t>disregard</w:t>
      </w:r>
      <w:r>
        <w:rPr>
          <w:spacing w:val="-2"/>
          <w:vertAlign w:val="baseline"/>
        </w:rPr>
        <w:t> </w:t>
      </w:r>
      <w:r>
        <w:rPr>
          <w:vertAlign w:val="baseline"/>
        </w:rPr>
        <w:t>of</w:t>
      </w:r>
      <w:r>
        <w:rPr>
          <w:spacing w:val="-2"/>
          <w:vertAlign w:val="baseline"/>
        </w:rPr>
        <w:t> </w:t>
      </w:r>
      <w:r>
        <w:rPr>
          <w:vertAlign w:val="baseline"/>
        </w:rPr>
        <w:t>his</w:t>
      </w:r>
      <w:r>
        <w:rPr>
          <w:spacing w:val="-2"/>
          <w:vertAlign w:val="baseline"/>
        </w:rPr>
        <w:t> </w:t>
      </w:r>
      <w:r>
        <w:rPr>
          <w:vertAlign w:val="baseline"/>
        </w:rPr>
        <w:t>promise</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third</w:t>
      </w:r>
      <w:r>
        <w:rPr>
          <w:spacing w:val="-2"/>
          <w:vertAlign w:val="baseline"/>
        </w:rPr>
        <w:t> </w:t>
      </w:r>
      <w:r>
        <w:rPr>
          <w:vertAlign w:val="baseline"/>
        </w:rPr>
        <w:t>party,</w:t>
      </w:r>
      <w:r>
        <w:rPr>
          <w:spacing w:val="-2"/>
          <w:vertAlign w:val="baseline"/>
        </w:rPr>
        <w:t> </w:t>
      </w:r>
      <w:r>
        <w:rPr>
          <w:vertAlign w:val="baseline"/>
        </w:rPr>
        <w:t>to</w:t>
      </w:r>
      <w:r>
        <w:rPr>
          <w:spacing w:val="-2"/>
          <w:vertAlign w:val="baseline"/>
        </w:rPr>
        <w:t> </w:t>
      </w:r>
      <w:r>
        <w:rPr>
          <w:vertAlign w:val="baseline"/>
        </w:rPr>
        <w:t>sue</w:t>
      </w:r>
      <w:r>
        <w:rPr>
          <w:spacing w:val="-2"/>
          <w:vertAlign w:val="baseline"/>
        </w:rPr>
        <w:t> </w:t>
      </w:r>
      <w:r>
        <w:rPr>
          <w:vertAlign w:val="baseline"/>
        </w:rPr>
        <w:t>the</w:t>
      </w:r>
      <w:r>
        <w:rPr>
          <w:spacing w:val="-2"/>
          <w:vertAlign w:val="baseline"/>
        </w:rPr>
        <w:t> </w:t>
      </w:r>
      <w:r>
        <w:rPr>
          <w:vertAlign w:val="baseline"/>
        </w:rPr>
        <w:t>debtor</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balance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debt. The difficulty with this reasoning is that the mere breach of a promise does not amount to fraud at </w:t>
      </w:r>
      <w:bookmarkStart w:name="_bookmark1459" w:id="1461"/>
      <w:bookmarkEnd w:id="1461"/>
      <w:r>
        <w:rPr>
          <w:vertAlign w:val="baseline"/>
        </w:rPr>
        <w:t>common</w:t>
      </w:r>
      <w:r>
        <w:rPr>
          <w:vertAlign w:val="baseline"/>
        </w:rPr>
        <w:t> law: it has this effect only if the promisor had no intention of performing his promise when he made</w:t>
      </w:r>
      <w:r>
        <w:rPr>
          <w:spacing w:val="-1"/>
          <w:vertAlign w:val="baseline"/>
        </w:rPr>
        <w:t> </w:t>
      </w:r>
      <w:r>
        <w:rPr>
          <w:vertAlign w:val="baseline"/>
        </w:rPr>
        <w:t>it.</w:t>
      </w:r>
      <w:r>
        <w:rPr>
          <w:spacing w:val="-1"/>
          <w:vertAlign w:val="baseline"/>
        </w:rPr>
        <w:t> </w:t>
      </w:r>
      <w:r>
        <w:rPr>
          <w:color w:val="005DA1"/>
          <w:u w:val="single" w:color="005DA1"/>
          <w:vertAlign w:val="superscript"/>
        </w:rPr>
        <w:t>792</w:t>
      </w:r>
      <w:r>
        <w:rPr>
          <w:color w:val="005DA1"/>
          <w:spacing w:val="-1"/>
          <w:vertAlign w:val="baseline"/>
        </w:rPr>
        <w:t> </w:t>
      </w:r>
      <w:r>
        <w:rPr>
          <w:vertAlign w:val="baseline"/>
        </w:rPr>
        <w:t>A</w:t>
      </w:r>
      <w:r>
        <w:rPr>
          <w:spacing w:val="-1"/>
          <w:vertAlign w:val="baseline"/>
        </w:rPr>
        <w:t> </w:t>
      </w:r>
      <w:r>
        <w:rPr>
          <w:vertAlign w:val="baseline"/>
        </w:rPr>
        <w:t>second</w:t>
      </w:r>
      <w:r>
        <w:rPr>
          <w:spacing w:val="-1"/>
          <w:vertAlign w:val="baseline"/>
        </w:rPr>
        <w:t> </w:t>
      </w:r>
      <w:r>
        <w:rPr>
          <w:vertAlign w:val="baseline"/>
        </w:rPr>
        <w:t>reason</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rule</w:t>
      </w:r>
      <w:r>
        <w:rPr>
          <w:spacing w:val="-1"/>
          <w:vertAlign w:val="baseline"/>
        </w:rPr>
        <w:t> </w:t>
      </w:r>
      <w:r>
        <w:rPr>
          <w:vertAlign w:val="baseline"/>
        </w:rPr>
        <w:t>is</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will</w:t>
      </w:r>
      <w:r>
        <w:rPr>
          <w:spacing w:val="-1"/>
          <w:vertAlign w:val="baseline"/>
        </w:rPr>
        <w:t> </w:t>
      </w:r>
      <w:r>
        <w:rPr>
          <w:vertAlign w:val="baseline"/>
        </w:rPr>
        <w:t>not</w:t>
      </w:r>
      <w:r>
        <w:rPr>
          <w:spacing w:val="-1"/>
          <w:vertAlign w:val="baseline"/>
        </w:rPr>
        <w:t> </w:t>
      </w:r>
      <w:r>
        <w:rPr>
          <w:vertAlign w:val="baseline"/>
        </w:rPr>
        <w:t>help</w:t>
      </w:r>
      <w:r>
        <w:rPr>
          <w:spacing w:val="-1"/>
          <w:vertAlign w:val="baseline"/>
        </w:rPr>
        <w:t> </w:t>
      </w:r>
      <w:r>
        <w:rPr>
          <w:vertAlign w:val="baseline"/>
        </w:rPr>
        <w:t>the</w:t>
      </w:r>
      <w:r>
        <w:rPr>
          <w:spacing w:val="-1"/>
          <w:vertAlign w:val="baseline"/>
        </w:rPr>
        <w:t> </w:t>
      </w:r>
      <w:r>
        <w:rPr>
          <w:vertAlign w:val="baseline"/>
        </w:rPr>
        <w:t>creditor</w:t>
      </w:r>
      <w:r>
        <w:rPr>
          <w:spacing w:val="-1"/>
          <w:vertAlign w:val="baseline"/>
        </w:rPr>
        <w:t> </w:t>
      </w:r>
      <w:r>
        <w:rPr>
          <w:vertAlign w:val="baseline"/>
        </w:rPr>
        <w:t>to</w:t>
      </w:r>
      <w:r>
        <w:rPr>
          <w:spacing w:val="-1"/>
          <w:vertAlign w:val="baseline"/>
        </w:rPr>
        <w:t> </w:t>
      </w:r>
      <w:r>
        <w:rPr>
          <w:vertAlign w:val="baseline"/>
        </w:rPr>
        <w:t>break</w:t>
      </w:r>
      <w:r>
        <w:rPr>
          <w:spacing w:val="-1"/>
          <w:vertAlign w:val="baseline"/>
        </w:rPr>
        <w:t> </w:t>
      </w:r>
      <w:r>
        <w:rPr>
          <w:vertAlign w:val="baseline"/>
        </w:rPr>
        <w:t>his</w:t>
      </w:r>
      <w:r>
        <w:rPr>
          <w:spacing w:val="-1"/>
          <w:vertAlign w:val="baseline"/>
        </w:rPr>
        <w:t> </w:t>
      </w:r>
      <w:r>
        <w:rPr>
          <w:vertAlign w:val="baseline"/>
        </w:rPr>
        <w:t>contract with the third party by allowing him to obtain a judgment against the debtor. On the contrary, it has </w:t>
      </w:r>
      <w:bookmarkStart w:name="_bookmark1460" w:id="1462"/>
      <w:bookmarkEnd w:id="1462"/>
      <w:r>
        <w:rPr>
          <w:vertAlign w:val="baseline"/>
        </w:rPr>
        <w:t>been</w:t>
      </w:r>
      <w:r>
        <w:rPr>
          <w:vertAlign w:val="baseline"/>
        </w:rPr>
        <w:t> held that where A (the creditor) expressly contracts with B (the third party) not to sue C (the debtor) and A nevertheless does sue C, then B can intervene so as to obtain a stay of the action. </w:t>
      </w:r>
      <w:r>
        <w:rPr>
          <w:color w:val="005DA1"/>
          <w:u w:val="single" w:color="005DA1"/>
          <w:vertAlign w:val="superscript"/>
        </w:rPr>
        <w:t>793</w:t>
      </w:r>
      <w:r>
        <w:rPr>
          <w:color w:val="005DA1"/>
          <w:vertAlign w:val="baseline"/>
        </w:rPr>
        <w:t> </w:t>
      </w:r>
      <w:r>
        <w:rPr>
          <w:vertAlign w:val="baseline"/>
        </w:rPr>
        <w:t>This possibility would extend to the case where the consideration provided by B was a </w:t>
      </w:r>
      <w:r>
        <w:rPr>
          <w:rFonts w:ascii="Arial" w:hAnsi="Arial"/>
          <w:i/>
          <w:vertAlign w:val="baseline"/>
        </w:rPr>
        <w:t>promise </w:t>
      </w:r>
      <w:r>
        <w:rPr>
          <w:vertAlign w:val="baseline"/>
        </w:rPr>
        <w:t>by B</w:t>
      </w:r>
      <w:r>
        <w:rPr>
          <w:spacing w:val="40"/>
          <w:vertAlign w:val="baseline"/>
        </w:rPr>
        <w:t> </w:t>
      </w:r>
      <w:bookmarkStart w:name="_bookmark1461" w:id="1463"/>
      <w:bookmarkEnd w:id="1463"/>
      <w:r>
        <w:rPr>
          <w:vertAlign w:val="baseline"/>
        </w:rPr>
        <w:t>to</w:t>
      </w:r>
      <w:r>
        <w:rPr>
          <w:vertAlign w:val="baseline"/>
        </w:rPr>
        <w:t> pay A: it thus goes beyond the cases in which B had </w:t>
      </w:r>
      <w:r>
        <w:rPr>
          <w:rFonts w:ascii="Arial" w:hAnsi="Arial"/>
          <w:i/>
          <w:vertAlign w:val="baseline"/>
        </w:rPr>
        <w:t>actually paid </w:t>
      </w:r>
      <w:r>
        <w:rPr>
          <w:vertAlign w:val="baseline"/>
        </w:rPr>
        <w:t>A. A third explanation is suggested by </w:t>
      </w:r>
      <w:r>
        <w:rPr>
          <w:rFonts w:ascii="Arial" w:hAnsi="Arial"/>
          <w:i/>
          <w:vertAlign w:val="baseline"/>
        </w:rPr>
        <w:t>Hirachand Punamchand v Temple </w:t>
      </w:r>
      <w:r>
        <w:rPr>
          <w:color w:val="005DA1"/>
          <w:u w:val="single" w:color="005DA1"/>
          <w:vertAlign w:val="superscript"/>
        </w:rPr>
        <w:t>794</w:t>
      </w:r>
      <w:r>
        <w:rPr>
          <w:color w:val="005DA1"/>
          <w:vertAlign w:val="baseline"/>
        </w:rPr>
        <w:t> </w:t>
      </w:r>
      <w:r>
        <w:rPr>
          <w:vertAlign w:val="baseline"/>
        </w:rPr>
        <w:t>where the defendant was indebted on a promissory note to the claimant, who accepted a smaller sum from the defendant’s father in full settlement. It was held that the claimant could not later recover the balance of the debt from the </w:t>
      </w:r>
      <w:bookmarkStart w:name="_bookmark1462" w:id="1464"/>
      <w:bookmarkEnd w:id="1464"/>
      <w:r>
        <w:rPr>
          <w:vertAlign w:val="baseline"/>
        </w:rPr>
        <w:t>defendant</w:t>
      </w:r>
      <w:r>
        <w:rPr>
          <w:vertAlign w:val="baseline"/>
        </w:rPr>
        <w:t> because the promissory note was extinct: the position was the same as if the note had been cancelled. </w:t>
      </w:r>
      <w:r>
        <w:rPr>
          <w:color w:val="005DA1"/>
          <w:u w:val="single" w:color="005DA1"/>
          <w:vertAlign w:val="superscript"/>
        </w:rPr>
        <w:t>795</w:t>
      </w:r>
      <w:r>
        <w:rPr>
          <w:color w:val="005DA1"/>
          <w:vertAlign w:val="baseline"/>
        </w:rPr>
        <w:t> </w:t>
      </w:r>
      <w:r>
        <w:rPr>
          <w:vertAlign w:val="baseline"/>
        </w:rPr>
        <w:t>This reasoning again does not depend on any contract between the claimant and </w:t>
      </w:r>
      <w:bookmarkStart w:name="_bookmark1463" w:id="1465"/>
      <w:bookmarkEnd w:id="1465"/>
      <w:r>
        <w:rPr>
          <w:vertAlign w:val="baseline"/>
        </w:rPr>
        <w:t>the</w:t>
      </w:r>
      <w:r>
        <w:rPr>
          <w:vertAlign w:val="baseline"/>
        </w:rPr>
        <w:t> defendant, for the cancellation of a promissory note can release a party liable on it irrespective of </w:t>
      </w:r>
      <w:bookmarkStart w:name="_bookmark1464" w:id="1466"/>
      <w:bookmarkEnd w:id="1466"/>
      <w:r>
        <w:rPr>
          <w:vertAlign w:val="baseline"/>
        </w:rPr>
        <w:t>contract</w:t>
      </w:r>
      <w:r>
        <w:rPr>
          <w:vertAlign w:val="baseline"/>
        </w:rPr>
        <w:t> and without consideration. </w:t>
      </w:r>
      <w:r>
        <w:rPr>
          <w:color w:val="005DA1"/>
          <w:u w:val="single" w:color="005DA1"/>
          <w:vertAlign w:val="superscript"/>
        </w:rPr>
        <w:t>796</w:t>
      </w:r>
      <w:r>
        <w:rPr>
          <w:color w:val="005DA1"/>
          <w:vertAlign w:val="baseline"/>
        </w:rPr>
        <w:t> </w:t>
      </w:r>
      <w:r>
        <w:rPr>
          <w:vertAlign w:val="baseline"/>
        </w:rPr>
        <w:t>The debtor may also, if the requirements of the Contracts (Rights of Third Parties) Act 1999 are satisfied, </w:t>
      </w:r>
      <w:r>
        <w:rPr>
          <w:color w:val="005DA1"/>
          <w:u w:val="single" w:color="005DA1"/>
          <w:vertAlign w:val="superscript"/>
        </w:rPr>
        <w:t>797</w:t>
      </w:r>
      <w:r>
        <w:rPr>
          <w:color w:val="005DA1"/>
          <w:vertAlign w:val="baseline"/>
        </w:rPr>
        <w:t> </w:t>
      </w:r>
      <w:r>
        <w:rPr>
          <w:vertAlign w:val="baseline"/>
        </w:rPr>
        <w:t>be able to take the benefit of any term in the contract between the creditor and the person making the payment, which may exclude the debtor’s </w:t>
      </w:r>
      <w:bookmarkStart w:name="_bookmark1465" w:id="1467"/>
      <w:bookmarkEnd w:id="1467"/>
      <w:r>
        <w:rPr>
          <w:vertAlign w:val="baseline"/>
        </w:rPr>
        <w:t>liability</w:t>
      </w:r>
      <w:r>
        <w:rPr>
          <w:vertAlign w:val="baseline"/>
        </w:rPr>
        <w:t> for the balance; and he will be able to do so without having to show that he provided any consideration for the creditor’s promise to accept the part payment in full settlement. </w:t>
      </w:r>
      <w:r>
        <w:rPr>
          <w:color w:val="005DA1"/>
          <w:u w:val="single" w:color="005DA1"/>
          <w:vertAlign w:val="superscript"/>
        </w:rPr>
        <w:t>798</w:t>
      </w:r>
    </w:p>
    <w:p>
      <w:pPr>
        <w:pStyle w:val="BodyText"/>
      </w:pPr>
    </w:p>
    <w:p>
      <w:pPr>
        <w:pStyle w:val="BodyText"/>
        <w:spacing w:before="29"/>
      </w:pPr>
    </w:p>
    <w:p>
      <w:pPr>
        <w:spacing w:before="1"/>
        <w:ind w:left="165" w:right="0" w:firstLine="0"/>
        <w:jc w:val="left"/>
        <w:rPr>
          <w:rFonts w:ascii="Arial"/>
          <w:b/>
          <w:sz w:val="18"/>
        </w:rPr>
      </w:pPr>
      <w:r>
        <w:rPr>
          <w:rFonts w:ascii="Arial"/>
          <w:b/>
          <w:sz w:val="18"/>
        </w:rPr>
        <w:t>Collateral </w:t>
      </w:r>
      <w:r>
        <w:rPr>
          <w:rFonts w:ascii="Arial"/>
          <w:b/>
          <w:spacing w:val="-2"/>
          <w:sz w:val="18"/>
        </w:rPr>
        <w:t>contract</w:t>
      </w:r>
    </w:p>
    <w:p>
      <w:pPr>
        <w:spacing w:after="0"/>
        <w:jc w:val="left"/>
        <w:rPr>
          <w:rFonts w:ascii="Arial"/>
          <w:b/>
          <w:sz w:val="18"/>
        </w:rPr>
        <w:sectPr>
          <w:pgSz w:w="11900" w:h="16840"/>
          <w:pgMar w:header="971" w:footer="0" w:top="1160" w:bottom="280" w:left="1275" w:right="1275"/>
        </w:sectPr>
      </w:pPr>
    </w:p>
    <w:p>
      <w:pPr>
        <w:pStyle w:val="BodyText"/>
        <w:spacing w:before="130"/>
        <w:rPr>
          <w:rFonts w:ascii="Arial"/>
          <w:b/>
          <w:sz w:val="24"/>
        </w:rPr>
      </w:pPr>
    </w:p>
    <w:p>
      <w:pPr>
        <w:pStyle w:val="Heading2"/>
      </w:pPr>
      <w:r>
        <w:rPr/>
        <w:t>4-</w:t>
      </w:r>
      <w:r>
        <w:rPr>
          <w:spacing w:val="-5"/>
        </w:rPr>
        <w:t>129</w:t>
      </w:r>
    </w:p>
    <w:p>
      <w:pPr>
        <w:pStyle w:val="BodyText"/>
        <w:spacing w:line="235" w:lineRule="auto" w:before="203"/>
        <w:ind w:left="164" w:right="166"/>
        <w:jc w:val="both"/>
      </w:pPr>
      <w:r>
        <w:rPr/>
        <w:t>An agreement to accept part payment of a debt may take effect as a collateral contract if </w:t>
      </w:r>
      <w:r>
        <w:rPr/>
        <w:t>the </w:t>
      </w:r>
      <w:bookmarkStart w:name="_bookmark1466" w:id="1468"/>
      <w:bookmarkEnd w:id="1468"/>
      <w:r>
        <w:rPr/>
        <w:t>requirements</w:t>
      </w:r>
      <w:r>
        <w:rPr/>
        <w:t> of contractual intention and consideration are satisfied. This was the position in </w:t>
      </w:r>
      <w:r>
        <w:rPr>
          <w:rFonts w:ascii="Arial" w:hAnsi="Arial"/>
          <w:i/>
        </w:rPr>
        <w:t>Brikom Investments Ltd v Carr </w:t>
      </w:r>
      <w:r>
        <w:rPr>
          <w:color w:val="005DA1"/>
          <w:u w:val="single" w:color="005DA1"/>
          <w:vertAlign w:val="superscript"/>
        </w:rPr>
        <w:t>799</w:t>
      </w:r>
      <w:r>
        <w:rPr>
          <w:color w:val="005DA1"/>
          <w:vertAlign w:val="baseline"/>
        </w:rPr>
        <w:t> </w:t>
      </w:r>
      <w:r>
        <w:rPr>
          <w:vertAlign w:val="baseline"/>
        </w:rPr>
        <w:t>where a tenant’s liability to contribute to the maintenance costs of a block</w:t>
      </w:r>
      <w:r>
        <w:rPr>
          <w:spacing w:val="40"/>
          <w:vertAlign w:val="baseline"/>
        </w:rPr>
        <w:t> </w:t>
      </w:r>
      <w:bookmarkStart w:name="_bookmark1467" w:id="1469"/>
      <w:bookmarkEnd w:id="1469"/>
      <w:r>
        <w:rPr>
          <w:vertAlign w:val="baseline"/>
        </w:rPr>
        <w:t>of</w:t>
      </w:r>
      <w:r>
        <w:rPr>
          <w:vertAlign w:val="baseline"/>
        </w:rPr>
        <w:t> flats was held to have been reduced by a collateral contract under which the landlord undertook to execute certain roof repairs at his own expense. </w:t>
      </w:r>
      <w:r>
        <w:rPr>
          <w:color w:val="005DA1"/>
          <w:u w:val="single" w:color="005DA1"/>
          <w:vertAlign w:val="superscript"/>
        </w:rPr>
        <w:t>800</w:t>
      </w:r>
      <w:r>
        <w:rPr>
          <w:color w:val="005DA1"/>
          <w:vertAlign w:val="baseline"/>
        </w:rPr>
        <w:t> </w:t>
      </w:r>
      <w:r>
        <w:rPr>
          <w:vertAlign w:val="baseline"/>
        </w:rPr>
        <w:t>The landlord’s claim for contribution in this case was probably unliquidated; but the principle seems to be equally applicable where a creditor enters into a collateral contract to accept part payment in full settlement of a liquidated claim.</w:t>
      </w:r>
    </w:p>
    <w:p>
      <w:pPr>
        <w:pStyle w:val="BodyText"/>
      </w:pPr>
    </w:p>
    <w:p>
      <w:pPr>
        <w:pStyle w:val="BodyText"/>
        <w:spacing w:before="37"/>
      </w:pPr>
      <w:r>
        <w:rPr/>
        <mc:AlternateContent>
          <mc:Choice Requires="wps">
            <w:drawing>
              <wp:anchor distT="0" distB="0" distL="0" distR="0" allowOverlap="1" layoutInCell="1" locked="0" behindDoc="1" simplePos="0" relativeHeight="487661568">
                <wp:simplePos x="0" y="0"/>
                <wp:positionH relativeFrom="page">
                  <wp:posOffset>914400</wp:posOffset>
                </wp:positionH>
                <wp:positionV relativeFrom="paragraph">
                  <wp:posOffset>184920</wp:posOffset>
                </wp:positionV>
                <wp:extent cx="5724525" cy="1270"/>
                <wp:effectExtent l="0" t="0" r="0" b="0"/>
                <wp:wrapTopAndBottom/>
                <wp:docPr id="290" name="Graphic 290"/>
                <wp:cNvGraphicFramePr>
                  <a:graphicFrameLocks/>
                </wp:cNvGraphicFramePr>
                <a:graphic>
                  <a:graphicData uri="http://schemas.microsoft.com/office/word/2010/wordprocessingShape">
                    <wps:wsp>
                      <wps:cNvPr id="290" name="Graphic 29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60707pt;width:450.75pt;height:.1pt;mso-position-horizontal-relative:page;mso-position-vertical-relative:paragraph;z-index:-15654912;mso-wrap-distance-left:0;mso-wrap-distance-right:0" id="docshape66" coordorigin="1440,291" coordsize="9015,0" path="m1440,291l10454,291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569" w:hRule="atLeast"/>
        </w:trPr>
        <w:tc>
          <w:tcPr>
            <w:tcW w:w="457" w:type="dxa"/>
          </w:tcPr>
          <w:p>
            <w:pPr>
              <w:pStyle w:val="TableParagraph"/>
              <w:spacing w:before="0"/>
              <w:ind w:left="50"/>
              <w:rPr>
                <w:sz w:val="14"/>
              </w:rPr>
            </w:pPr>
            <w:r>
              <w:rPr>
                <w:sz w:val="14"/>
              </w:rPr>
              <mc:AlternateContent>
                <mc:Choice Requires="wps">
                  <w:drawing>
                    <wp:anchor distT="0" distB="0" distL="0" distR="0" allowOverlap="1" layoutInCell="1" locked="0" behindDoc="1" simplePos="0" relativeHeight="482228736">
                      <wp:simplePos x="0" y="0"/>
                      <wp:positionH relativeFrom="column">
                        <wp:posOffset>31750</wp:posOffset>
                      </wp:positionH>
                      <wp:positionV relativeFrom="paragraph">
                        <wp:posOffset>89101</wp:posOffset>
                      </wp:positionV>
                      <wp:extent cx="49530" cy="6350"/>
                      <wp:effectExtent l="0" t="0" r="0" b="0"/>
                      <wp:wrapNone/>
                      <wp:docPr id="291" name="Group 291"/>
                      <wp:cNvGraphicFramePr>
                        <a:graphicFrameLocks/>
                      </wp:cNvGraphicFramePr>
                      <a:graphic>
                        <a:graphicData uri="http://schemas.microsoft.com/office/word/2010/wordprocessingGroup">
                          <wpg:wgp>
                            <wpg:cNvPr id="291" name="Group 291"/>
                            <wpg:cNvGrpSpPr/>
                            <wpg:grpSpPr>
                              <a:xfrm>
                                <a:off x="0" y="0"/>
                                <a:ext cx="49530" cy="6350"/>
                                <a:chExt cx="49530" cy="6350"/>
                              </a:xfrm>
                            </wpg:grpSpPr>
                            <wps:wsp>
                              <wps:cNvPr id="292" name="Graphic 292"/>
                              <wps:cNvSpPr/>
                              <wps:spPr>
                                <a:xfrm>
                                  <a:off x="0" y="3175"/>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pt;margin-top:7.015897pt;width:3.9pt;height:.5pt;mso-position-horizontal-relative:column;mso-position-vertical-relative:paragraph;z-index:-21087744" id="docshapegroup67" coordorigin="50,140" coordsize="78,10">
                      <v:line style="position:absolute" from="50,145" to="128,145" stroked="true" strokeweight=".5pt" strokecolor="#005da1">
                        <v:stroke dashstyle="solid"/>
                      </v:line>
                      <w10:wrap type="none"/>
                    </v:group>
                  </w:pict>
                </mc:Fallback>
              </mc:AlternateContent>
            </w:r>
            <w:hyperlink w:history="true" w:anchor="_bookmark1834">
              <w:r>
                <w:rPr>
                  <w:color w:val="005DA1"/>
                  <w:spacing w:val="-5"/>
                  <w:sz w:val="14"/>
                </w:rPr>
                <w:t>1</w:t>
              </w:r>
            </w:hyperlink>
            <w:r>
              <w:rPr>
                <w:spacing w:val="-5"/>
                <w:sz w:val="14"/>
              </w:rPr>
              <w:t>.</w:t>
            </w:r>
          </w:p>
        </w:tc>
        <w:tc>
          <w:tcPr>
            <w:tcW w:w="8659" w:type="dxa"/>
          </w:tcPr>
          <w:p>
            <w:pPr>
              <w:pStyle w:val="TableParagraph"/>
              <w:spacing w:line="221" w:lineRule="exact" w:before="0"/>
              <w:ind w:left="133"/>
              <w:rPr>
                <w:rFonts w:ascii="Arial"/>
                <w:i/>
                <w:sz w:val="20"/>
              </w:rPr>
            </w:pPr>
            <w:r>
              <w:rPr>
                <w:sz w:val="20"/>
              </w:rPr>
              <w:t>Sutton,</w:t>
            </w:r>
            <w:r>
              <w:rPr>
                <w:spacing w:val="23"/>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TableParagraph"/>
              <w:spacing w:line="227" w:lineRule="exact" w:before="0"/>
              <w:ind w:left="133"/>
              <w:rPr>
                <w:sz w:val="20"/>
              </w:rPr>
            </w:pPr>
            <w:r>
              <w:rPr>
                <w:sz w:val="20"/>
              </w:rPr>
              <w:t>(2014); Shatwell (1955) 1 Sydney Law Review </w:t>
            </w:r>
            <w:r>
              <w:rPr>
                <w:spacing w:val="-4"/>
                <w:sz w:val="20"/>
              </w:rPr>
              <w:t>289.</w:t>
            </w:r>
          </w:p>
        </w:tc>
      </w:tr>
      <w:tr>
        <w:trPr>
          <w:trHeight w:val="1140" w:hRule="atLeast"/>
        </w:trPr>
        <w:tc>
          <w:tcPr>
            <w:tcW w:w="457" w:type="dxa"/>
          </w:tcPr>
          <w:p>
            <w:pPr>
              <w:pStyle w:val="TableParagraph"/>
              <w:ind w:left="50"/>
              <w:rPr>
                <w:sz w:val="14"/>
              </w:rPr>
            </w:pPr>
            <w:bookmarkStart w:name="_bookmark1468" w:id="1470"/>
            <w:bookmarkEnd w:id="1470"/>
            <w:r>
              <w:rPr/>
            </w:r>
            <w:hyperlink w:history="true" w:anchor="_bookmark1429">
              <w:r>
                <w:rPr>
                  <w:color w:val="005DA1"/>
                  <w:spacing w:val="-4"/>
                  <w:sz w:val="14"/>
                  <w:u w:val="single" w:color="005DA1"/>
                </w:rPr>
                <w:t>760</w:t>
              </w:r>
            </w:hyperlink>
            <w:r>
              <w:rPr>
                <w:spacing w:val="-4"/>
                <w:sz w:val="14"/>
              </w:rPr>
              <w:t>.</w:t>
            </w:r>
          </w:p>
        </w:tc>
        <w:tc>
          <w:tcPr>
            <w:tcW w:w="8659" w:type="dxa"/>
          </w:tcPr>
          <w:p>
            <w:pPr>
              <w:pStyle w:val="TableParagraph"/>
              <w:spacing w:line="235" w:lineRule="auto" w:before="118"/>
              <w:ind w:left="133" w:right="48"/>
              <w:jc w:val="both"/>
              <w:rPr>
                <w:sz w:val="20"/>
              </w:rPr>
            </w:pPr>
            <w:r>
              <w:rPr>
                <w:rFonts w:ascii="Arial" w:hAnsi="Arial"/>
                <w:i/>
                <w:sz w:val="20"/>
              </w:rPr>
              <w:t>Cooper v Parker (1855) 15 C.B. 822</w:t>
            </w:r>
            <w:r>
              <w:rPr>
                <w:sz w:val="20"/>
              </w:rPr>
              <w:t>; </w:t>
            </w:r>
            <w:r>
              <w:rPr>
                <w:rFonts w:ascii="Arial" w:hAnsi="Arial"/>
                <w:i/>
                <w:sz w:val="20"/>
              </w:rPr>
              <w:t>Re Warren (1884) 53 L.J.Ch. 1016</w:t>
            </w:r>
            <w:r>
              <w:rPr>
                <w:sz w:val="20"/>
              </w:rPr>
              <w:t>; </w:t>
            </w:r>
            <w:r>
              <w:rPr>
                <w:rFonts w:ascii="Arial" w:hAnsi="Arial"/>
                <w:i/>
                <w:sz w:val="20"/>
              </w:rPr>
              <w:t>Anangel Atlas Compania Naviera SA v Ishikawajima Harima Heavy Industries Co Ltd (No.2) [1990] 2 </w:t>
            </w:r>
            <w:r>
              <w:rPr>
                <w:rFonts w:ascii="Arial" w:hAnsi="Arial"/>
                <w:i/>
                <w:sz w:val="20"/>
              </w:rPr>
              <w:t>Lloyd’s Rep. 526, 544</w:t>
            </w:r>
            <w:r>
              <w:rPr>
                <w:sz w:val="20"/>
              </w:rPr>
              <w:t>; for other consideration in this case, see ibid. at 545 and below, para.4-125; </w:t>
            </w:r>
            <w:r>
              <w:rPr>
                <w:rFonts w:ascii="Arial" w:hAnsi="Arial"/>
                <w:i/>
                <w:sz w:val="20"/>
              </w:rPr>
              <w:t>Huyton SA v Peter Cremer GmbH [1999] 1 Lloyd’s Rep. 620 </w:t>
            </w:r>
            <w:r>
              <w:rPr>
                <w:sz w:val="20"/>
              </w:rPr>
              <w:t>at 629.</w:t>
            </w:r>
          </w:p>
        </w:tc>
      </w:tr>
      <w:tr>
        <w:trPr>
          <w:trHeight w:val="915" w:hRule="atLeast"/>
        </w:trPr>
        <w:tc>
          <w:tcPr>
            <w:tcW w:w="457" w:type="dxa"/>
          </w:tcPr>
          <w:p>
            <w:pPr>
              <w:pStyle w:val="TableParagraph"/>
              <w:ind w:left="50"/>
              <w:rPr>
                <w:sz w:val="14"/>
              </w:rPr>
            </w:pPr>
            <w:bookmarkStart w:name="_bookmark1469" w:id="1471"/>
            <w:bookmarkEnd w:id="1471"/>
            <w:r>
              <w:rPr/>
            </w:r>
            <w:hyperlink w:history="true" w:anchor="_bookmark1430">
              <w:r>
                <w:rPr>
                  <w:color w:val="005DA1"/>
                  <w:spacing w:val="-4"/>
                  <w:sz w:val="14"/>
                  <w:u w:val="single" w:color="005DA1"/>
                </w:rPr>
                <w:t>761</w:t>
              </w:r>
            </w:hyperlink>
            <w:r>
              <w:rPr>
                <w:spacing w:val="-4"/>
                <w:sz w:val="14"/>
              </w:rPr>
              <w:t>.</w:t>
            </w:r>
          </w:p>
        </w:tc>
        <w:tc>
          <w:tcPr>
            <w:tcW w:w="8659" w:type="dxa"/>
          </w:tcPr>
          <w:p>
            <w:pPr>
              <w:pStyle w:val="TableParagraph"/>
              <w:spacing w:line="235" w:lineRule="auto" w:before="118"/>
              <w:ind w:left="133" w:right="48"/>
              <w:jc w:val="both"/>
              <w:rPr>
                <w:sz w:val="20"/>
              </w:rPr>
            </w:pPr>
            <w:r>
              <w:rPr>
                <w:sz w:val="20"/>
              </w:rPr>
              <w:t>Above,</w:t>
            </w:r>
            <w:r>
              <w:rPr>
                <w:spacing w:val="-3"/>
                <w:sz w:val="20"/>
              </w:rPr>
              <w:t> </w:t>
            </w:r>
            <w:r>
              <w:rPr>
                <w:sz w:val="20"/>
              </w:rPr>
              <w:t>para.4-014.</w:t>
            </w:r>
            <w:r>
              <w:rPr>
                <w:spacing w:val="-3"/>
                <w:sz w:val="20"/>
              </w:rPr>
              <w:t> </w:t>
            </w:r>
            <w:r>
              <w:rPr>
                <w:sz w:val="20"/>
              </w:rPr>
              <w:t>But</w:t>
            </w:r>
            <w:r>
              <w:rPr>
                <w:spacing w:val="-3"/>
                <w:sz w:val="20"/>
              </w:rPr>
              <w:t> </w:t>
            </w:r>
            <w:r>
              <w:rPr>
                <w:sz w:val="20"/>
              </w:rPr>
              <w:t>the</w:t>
            </w:r>
            <w:r>
              <w:rPr>
                <w:spacing w:val="-3"/>
                <w:sz w:val="20"/>
              </w:rPr>
              <w:t> </w:t>
            </w:r>
            <w:r>
              <w:rPr>
                <w:sz w:val="20"/>
              </w:rPr>
              <w:t>fact</w:t>
            </w:r>
            <w:r>
              <w:rPr>
                <w:spacing w:val="-3"/>
                <w:sz w:val="20"/>
              </w:rPr>
              <w:t> </w:t>
            </w:r>
            <w:r>
              <w:rPr>
                <w:sz w:val="20"/>
              </w:rPr>
              <w:t>that</w:t>
            </w:r>
            <w:r>
              <w:rPr>
                <w:spacing w:val="-3"/>
                <w:sz w:val="20"/>
              </w:rPr>
              <w:t> </w:t>
            </w:r>
            <w:r>
              <w:rPr>
                <w:sz w:val="20"/>
              </w:rPr>
              <w:t>the</w:t>
            </w:r>
            <w:r>
              <w:rPr>
                <w:spacing w:val="-3"/>
                <w:sz w:val="20"/>
              </w:rPr>
              <w:t> </w:t>
            </w:r>
            <w:r>
              <w:rPr>
                <w:sz w:val="20"/>
              </w:rPr>
              <w:t>sum</w:t>
            </w:r>
            <w:r>
              <w:rPr>
                <w:spacing w:val="-3"/>
                <w:sz w:val="20"/>
              </w:rPr>
              <w:t> </w:t>
            </w:r>
            <w:r>
              <w:rPr>
                <w:sz w:val="20"/>
              </w:rPr>
              <w:t>received</w:t>
            </w:r>
            <w:r>
              <w:rPr>
                <w:spacing w:val="-3"/>
                <w:sz w:val="20"/>
              </w:rPr>
              <w:t> </w:t>
            </w:r>
            <w:r>
              <w:rPr>
                <w:sz w:val="20"/>
              </w:rPr>
              <w:t>is</w:t>
            </w:r>
            <w:r>
              <w:rPr>
                <w:spacing w:val="-3"/>
                <w:sz w:val="20"/>
              </w:rPr>
              <w:t> </w:t>
            </w:r>
            <w:r>
              <w:rPr>
                <w:sz w:val="20"/>
              </w:rPr>
              <w:t>much</w:t>
            </w:r>
            <w:r>
              <w:rPr>
                <w:spacing w:val="-3"/>
                <w:sz w:val="20"/>
              </w:rPr>
              <w:t> </w:t>
            </w:r>
            <w:r>
              <w:rPr>
                <w:sz w:val="20"/>
              </w:rPr>
              <w:t>smaller</w:t>
            </w:r>
            <w:r>
              <w:rPr>
                <w:spacing w:val="-3"/>
                <w:sz w:val="20"/>
              </w:rPr>
              <w:t> </w:t>
            </w:r>
            <w:r>
              <w:rPr>
                <w:sz w:val="20"/>
              </w:rPr>
              <w:t>than</w:t>
            </w:r>
            <w:r>
              <w:rPr>
                <w:spacing w:val="-3"/>
                <w:sz w:val="20"/>
              </w:rPr>
              <w:t> </w:t>
            </w:r>
            <w:r>
              <w:rPr>
                <w:sz w:val="20"/>
              </w:rPr>
              <w:t>that</w:t>
            </w:r>
            <w:r>
              <w:rPr>
                <w:spacing w:val="-3"/>
                <w:sz w:val="20"/>
              </w:rPr>
              <w:t> </w:t>
            </w:r>
            <w:r>
              <w:rPr>
                <w:sz w:val="20"/>
              </w:rPr>
              <w:t>claimed</w:t>
            </w:r>
            <w:r>
              <w:rPr>
                <w:spacing w:val="-3"/>
                <w:sz w:val="20"/>
              </w:rPr>
              <w:t> </w:t>
            </w:r>
            <w:r>
              <w:rPr>
                <w:sz w:val="20"/>
              </w:rPr>
              <w:t>may</w:t>
            </w:r>
            <w:r>
              <w:rPr>
                <w:spacing w:val="-3"/>
                <w:sz w:val="20"/>
              </w:rPr>
              <w:t> </w:t>
            </w:r>
            <w:r>
              <w:rPr>
                <w:sz w:val="20"/>
              </w:rPr>
              <w:t>be evidence</w:t>
            </w:r>
            <w:r>
              <w:rPr>
                <w:spacing w:val="-3"/>
                <w:sz w:val="20"/>
              </w:rPr>
              <w:t> </w:t>
            </w:r>
            <w:r>
              <w:rPr>
                <w:sz w:val="20"/>
              </w:rPr>
              <w:t>that</w:t>
            </w:r>
            <w:r>
              <w:rPr>
                <w:spacing w:val="-3"/>
                <w:sz w:val="20"/>
              </w:rPr>
              <w:t> </w:t>
            </w:r>
            <w:r>
              <w:rPr>
                <w:sz w:val="20"/>
              </w:rPr>
              <w:t>the</w:t>
            </w:r>
            <w:r>
              <w:rPr>
                <w:spacing w:val="-3"/>
                <w:sz w:val="20"/>
              </w:rPr>
              <w:t> </w:t>
            </w:r>
            <w:r>
              <w:rPr>
                <w:sz w:val="20"/>
              </w:rPr>
              <w:t>recipient</w:t>
            </w:r>
            <w:r>
              <w:rPr>
                <w:spacing w:val="-3"/>
                <w:sz w:val="20"/>
              </w:rPr>
              <w:t> </w:t>
            </w:r>
            <w:r>
              <w:rPr>
                <w:sz w:val="20"/>
              </w:rPr>
              <w:t>has</w:t>
            </w:r>
            <w:r>
              <w:rPr>
                <w:spacing w:val="-3"/>
                <w:sz w:val="20"/>
              </w:rPr>
              <w:t> </w:t>
            </w:r>
            <w:r>
              <w:rPr>
                <w:sz w:val="20"/>
              </w:rPr>
              <w:t>not</w:t>
            </w:r>
            <w:r>
              <w:rPr>
                <w:spacing w:val="-3"/>
                <w:sz w:val="20"/>
              </w:rPr>
              <w:t> </w:t>
            </w:r>
            <w:r>
              <w:rPr>
                <w:sz w:val="20"/>
              </w:rPr>
              <w:t>accepted</w:t>
            </w:r>
            <w:r>
              <w:rPr>
                <w:spacing w:val="-3"/>
                <w:sz w:val="20"/>
              </w:rPr>
              <w:t> </w:t>
            </w:r>
            <w:r>
              <w:rPr>
                <w:sz w:val="20"/>
              </w:rPr>
              <w:t>it</w:t>
            </w:r>
            <w:r>
              <w:rPr>
                <w:spacing w:val="-3"/>
                <w:sz w:val="20"/>
              </w:rPr>
              <w:t> </w:t>
            </w:r>
            <w:r>
              <w:rPr>
                <w:sz w:val="20"/>
              </w:rPr>
              <w:t>in</w:t>
            </w:r>
            <w:r>
              <w:rPr>
                <w:spacing w:val="-3"/>
                <w:sz w:val="20"/>
              </w:rPr>
              <w:t> </w:t>
            </w:r>
            <w:r>
              <w:rPr>
                <w:sz w:val="20"/>
              </w:rPr>
              <w:t>full</w:t>
            </w:r>
            <w:r>
              <w:rPr>
                <w:spacing w:val="-3"/>
                <w:sz w:val="20"/>
              </w:rPr>
              <w:t> </w:t>
            </w:r>
            <w:r>
              <w:rPr>
                <w:sz w:val="20"/>
              </w:rPr>
              <w:t>settlement:</w:t>
            </w:r>
            <w:r>
              <w:rPr>
                <w:spacing w:val="-4"/>
                <w:sz w:val="20"/>
              </w:rPr>
              <w:t> </w:t>
            </w:r>
            <w:r>
              <w:rPr>
                <w:rFonts w:ascii="Arial" w:hAnsi="Arial"/>
                <w:i/>
                <w:sz w:val="20"/>
              </w:rPr>
              <w:t>Rustenburg</w:t>
            </w:r>
            <w:r>
              <w:rPr>
                <w:rFonts w:ascii="Arial" w:hAnsi="Arial"/>
                <w:i/>
                <w:spacing w:val="-3"/>
                <w:sz w:val="20"/>
              </w:rPr>
              <w:t> </w:t>
            </w:r>
            <w:r>
              <w:rPr>
                <w:rFonts w:ascii="Arial" w:hAnsi="Arial"/>
                <w:i/>
                <w:sz w:val="20"/>
              </w:rPr>
              <w:t>Platinum</w:t>
            </w:r>
            <w:r>
              <w:rPr>
                <w:rFonts w:ascii="Arial" w:hAnsi="Arial"/>
                <w:i/>
                <w:spacing w:val="-3"/>
                <w:sz w:val="20"/>
              </w:rPr>
              <w:t> </w:t>
            </w:r>
            <w:r>
              <w:rPr>
                <w:rFonts w:ascii="Arial" w:hAnsi="Arial"/>
                <w:i/>
                <w:sz w:val="20"/>
              </w:rPr>
              <w:t>Mines</w:t>
            </w:r>
            <w:r>
              <w:rPr>
                <w:rFonts w:ascii="Arial" w:hAnsi="Arial"/>
                <w:i/>
                <w:spacing w:val="-3"/>
                <w:sz w:val="20"/>
              </w:rPr>
              <w:t> </w:t>
            </w:r>
            <w:r>
              <w:rPr>
                <w:rFonts w:ascii="Arial" w:hAnsi="Arial"/>
                <w:i/>
                <w:sz w:val="20"/>
              </w:rPr>
              <w:t>Ltd v Pan Am [1979] 1 Lloyd’s Rep. 19</w:t>
            </w:r>
            <w:r>
              <w:rPr>
                <w:sz w:val="20"/>
              </w:rPr>
              <w:t>.</w:t>
            </w:r>
          </w:p>
        </w:tc>
      </w:tr>
      <w:tr>
        <w:trPr>
          <w:trHeight w:val="690" w:hRule="atLeast"/>
        </w:trPr>
        <w:tc>
          <w:tcPr>
            <w:tcW w:w="457" w:type="dxa"/>
          </w:tcPr>
          <w:p>
            <w:pPr>
              <w:pStyle w:val="TableParagraph"/>
              <w:ind w:left="50"/>
              <w:rPr>
                <w:sz w:val="14"/>
              </w:rPr>
            </w:pPr>
            <w:bookmarkStart w:name="_bookmark1470" w:id="1472"/>
            <w:bookmarkEnd w:id="1472"/>
            <w:r>
              <w:rPr/>
            </w:r>
            <w:hyperlink w:history="true" w:anchor="_bookmark1431">
              <w:r>
                <w:rPr>
                  <w:color w:val="005DA1"/>
                  <w:spacing w:val="-4"/>
                  <w:sz w:val="14"/>
                  <w:u w:val="single" w:color="005DA1"/>
                </w:rPr>
                <w:t>762</w:t>
              </w:r>
            </w:hyperlink>
            <w:r>
              <w:rPr>
                <w:spacing w:val="-4"/>
                <w:sz w:val="14"/>
              </w:rPr>
              <w:t>.</w:t>
            </w:r>
          </w:p>
        </w:tc>
        <w:tc>
          <w:tcPr>
            <w:tcW w:w="8659" w:type="dxa"/>
          </w:tcPr>
          <w:p>
            <w:pPr>
              <w:pStyle w:val="TableParagraph"/>
              <w:spacing w:line="235" w:lineRule="auto" w:before="118"/>
              <w:ind w:left="133"/>
              <w:rPr>
                <w:sz w:val="20"/>
              </w:rPr>
            </w:pPr>
            <w:r>
              <w:rPr>
                <w:rFonts w:ascii="Arial"/>
                <w:i/>
                <w:sz w:val="20"/>
              </w:rPr>
              <w:t>North</w:t>
            </w:r>
            <w:r>
              <w:rPr>
                <w:rFonts w:ascii="Arial"/>
                <w:i/>
                <w:spacing w:val="40"/>
                <w:sz w:val="20"/>
              </w:rPr>
              <w:t> </w:t>
            </w:r>
            <w:r>
              <w:rPr>
                <w:rFonts w:ascii="Arial"/>
                <w:i/>
                <w:sz w:val="20"/>
              </w:rPr>
              <w:t>Sea</w:t>
            </w:r>
            <w:r>
              <w:rPr>
                <w:rFonts w:ascii="Arial"/>
                <w:i/>
                <w:spacing w:val="40"/>
                <w:sz w:val="20"/>
              </w:rPr>
              <w:t> </w:t>
            </w:r>
            <w:r>
              <w:rPr>
                <w:rFonts w:ascii="Arial"/>
                <w:i/>
                <w:sz w:val="20"/>
              </w:rPr>
              <w:t>Ventures</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Anstead</w:t>
            </w:r>
            <w:r>
              <w:rPr>
                <w:rFonts w:ascii="Arial"/>
                <w:i/>
                <w:spacing w:val="40"/>
                <w:sz w:val="20"/>
              </w:rPr>
              <w:t> </w:t>
            </w:r>
            <w:r>
              <w:rPr>
                <w:rFonts w:ascii="Arial"/>
                <w:i/>
                <w:sz w:val="20"/>
              </w:rPr>
              <w:t>Holdings</w:t>
            </w:r>
            <w:r>
              <w:rPr>
                <w:rFonts w:ascii="Arial"/>
                <w:i/>
                <w:spacing w:val="40"/>
                <w:sz w:val="20"/>
              </w:rPr>
              <w:t> </w:t>
            </w:r>
            <w:r>
              <w:rPr>
                <w:rFonts w:ascii="Arial"/>
                <w:i/>
                <w:sz w:val="20"/>
              </w:rPr>
              <w:t>Inc</w:t>
            </w:r>
            <w:r>
              <w:rPr>
                <w:rFonts w:ascii="Arial"/>
                <w:i/>
                <w:spacing w:val="40"/>
                <w:sz w:val="20"/>
              </w:rPr>
              <w:t> </w:t>
            </w:r>
            <w:r>
              <w:rPr>
                <w:rFonts w:ascii="Arial"/>
                <w:i/>
                <w:sz w:val="20"/>
              </w:rPr>
              <w:t>[2011]</w:t>
            </w:r>
            <w:r>
              <w:rPr>
                <w:rFonts w:ascii="Arial"/>
                <w:i/>
                <w:spacing w:val="40"/>
                <w:sz w:val="20"/>
              </w:rPr>
              <w:t> </w:t>
            </w:r>
            <w:r>
              <w:rPr>
                <w:rFonts w:ascii="Arial"/>
                <w:i/>
                <w:sz w:val="20"/>
              </w:rPr>
              <w:t>EWCA</w:t>
            </w:r>
            <w:r>
              <w:rPr>
                <w:rFonts w:ascii="Arial"/>
                <w:i/>
                <w:spacing w:val="40"/>
                <w:sz w:val="20"/>
              </w:rPr>
              <w:t> </w:t>
            </w:r>
            <w:r>
              <w:rPr>
                <w:rFonts w:ascii="Arial"/>
                <w:i/>
                <w:sz w:val="20"/>
              </w:rPr>
              <w:t>Civ</w:t>
            </w:r>
            <w:r>
              <w:rPr>
                <w:rFonts w:ascii="Arial"/>
                <w:i/>
                <w:spacing w:val="40"/>
                <w:sz w:val="20"/>
              </w:rPr>
              <w:t> </w:t>
            </w:r>
            <w:r>
              <w:rPr>
                <w:rFonts w:ascii="Arial"/>
                <w:i/>
                <w:sz w:val="20"/>
              </w:rPr>
              <w:t>230,</w:t>
            </w:r>
            <w:r>
              <w:rPr>
                <w:rFonts w:ascii="Arial"/>
                <w:i/>
                <w:spacing w:val="40"/>
                <w:sz w:val="20"/>
              </w:rPr>
              <w:t> </w:t>
            </w:r>
            <w:r>
              <w:rPr>
                <w:rFonts w:ascii="Arial"/>
                <w:i/>
                <w:sz w:val="20"/>
              </w:rPr>
              <w:t>[2011]</w:t>
            </w:r>
            <w:r>
              <w:rPr>
                <w:rFonts w:ascii="Arial"/>
                <w:i/>
                <w:spacing w:val="40"/>
                <w:sz w:val="20"/>
              </w:rPr>
              <w:t> </w:t>
            </w:r>
            <w:r>
              <w:rPr>
                <w:rFonts w:ascii="Arial"/>
                <w:i/>
                <w:sz w:val="20"/>
              </w:rPr>
              <w:t>2</w:t>
            </w:r>
            <w:r>
              <w:rPr>
                <w:rFonts w:ascii="Arial"/>
                <w:i/>
                <w:spacing w:val="40"/>
                <w:sz w:val="20"/>
              </w:rPr>
              <w:t> </w:t>
            </w:r>
            <w:r>
              <w:rPr>
                <w:rFonts w:ascii="Arial"/>
                <w:i/>
                <w:sz w:val="20"/>
              </w:rPr>
              <w:t>All</w:t>
            </w:r>
            <w:r>
              <w:rPr>
                <w:rFonts w:ascii="Arial"/>
                <w:i/>
                <w:spacing w:val="40"/>
                <w:sz w:val="20"/>
              </w:rPr>
              <w:t> </w:t>
            </w:r>
            <w:r>
              <w:rPr>
                <w:rFonts w:ascii="Arial"/>
                <w:i/>
                <w:sz w:val="20"/>
              </w:rPr>
              <w:t>E.R. (Comm) 1024 </w:t>
            </w:r>
            <w:r>
              <w:rPr>
                <w:sz w:val="20"/>
              </w:rPr>
              <w:t>at [42], [58].</w:t>
            </w:r>
          </w:p>
        </w:tc>
      </w:tr>
      <w:tr>
        <w:trPr>
          <w:trHeight w:val="465" w:hRule="atLeast"/>
        </w:trPr>
        <w:tc>
          <w:tcPr>
            <w:tcW w:w="457" w:type="dxa"/>
          </w:tcPr>
          <w:p>
            <w:pPr>
              <w:pStyle w:val="TableParagraph"/>
              <w:ind w:left="50"/>
              <w:rPr>
                <w:sz w:val="14"/>
              </w:rPr>
            </w:pPr>
            <w:bookmarkStart w:name="_bookmark1471" w:id="1473"/>
            <w:bookmarkEnd w:id="1473"/>
            <w:r>
              <w:rPr/>
            </w:r>
            <w:hyperlink w:history="true" w:anchor="_bookmark1432">
              <w:r>
                <w:rPr>
                  <w:color w:val="005DA1"/>
                  <w:spacing w:val="-4"/>
                  <w:sz w:val="14"/>
                  <w:u w:val="single" w:color="005DA1"/>
                </w:rPr>
                <w:t>763</w:t>
              </w:r>
            </w:hyperlink>
            <w:r>
              <w:rPr>
                <w:spacing w:val="-4"/>
                <w:sz w:val="14"/>
              </w:rPr>
              <w:t>.</w:t>
            </w:r>
          </w:p>
        </w:tc>
        <w:tc>
          <w:tcPr>
            <w:tcW w:w="8659" w:type="dxa"/>
          </w:tcPr>
          <w:p>
            <w:pPr>
              <w:pStyle w:val="TableParagraph"/>
              <w:spacing w:before="114"/>
              <w:ind w:left="133"/>
              <w:rPr>
                <w:sz w:val="20"/>
              </w:rPr>
            </w:pPr>
            <w:r>
              <w:rPr>
                <w:sz w:val="20"/>
              </w:rPr>
              <w:t>Above, paras 4-052 to 4-</w:t>
            </w:r>
            <w:r>
              <w:rPr>
                <w:spacing w:val="-4"/>
                <w:sz w:val="20"/>
              </w:rPr>
              <w:t>055.</w:t>
            </w:r>
          </w:p>
        </w:tc>
      </w:tr>
      <w:tr>
        <w:trPr>
          <w:trHeight w:val="915" w:hRule="atLeast"/>
        </w:trPr>
        <w:tc>
          <w:tcPr>
            <w:tcW w:w="457" w:type="dxa"/>
          </w:tcPr>
          <w:p>
            <w:pPr>
              <w:pStyle w:val="TableParagraph"/>
              <w:ind w:left="50"/>
              <w:rPr>
                <w:sz w:val="14"/>
              </w:rPr>
            </w:pPr>
            <w:bookmarkStart w:name="_bookmark1472" w:id="1474"/>
            <w:bookmarkEnd w:id="1474"/>
            <w:r>
              <w:rPr/>
            </w:r>
            <w:hyperlink w:history="true" w:anchor="_bookmark1433">
              <w:r>
                <w:rPr>
                  <w:color w:val="005DA1"/>
                  <w:spacing w:val="-4"/>
                  <w:sz w:val="14"/>
                  <w:u w:val="single" w:color="005DA1"/>
                </w:rPr>
                <w:t>764</w:t>
              </w:r>
            </w:hyperlink>
            <w:r>
              <w:rPr>
                <w:spacing w:val="-4"/>
                <w:sz w:val="14"/>
              </w:rPr>
              <w:t>.</w:t>
            </w:r>
          </w:p>
        </w:tc>
        <w:tc>
          <w:tcPr>
            <w:tcW w:w="8659" w:type="dxa"/>
          </w:tcPr>
          <w:p>
            <w:pPr>
              <w:pStyle w:val="TableParagraph"/>
              <w:spacing w:line="235" w:lineRule="auto" w:before="118"/>
              <w:ind w:left="133" w:right="48"/>
              <w:jc w:val="both"/>
              <w:rPr>
                <w:sz w:val="20"/>
              </w:rPr>
            </w:pPr>
            <w:r>
              <w:rPr>
                <w:rFonts w:ascii="Arial" w:hAnsi="Arial"/>
                <w:i/>
                <w:sz w:val="20"/>
              </w:rPr>
              <w:t>Ferguson v Davies [1997] 1 All E.R. 315 </w:t>
            </w:r>
            <w:r>
              <w:rPr>
                <w:sz w:val="20"/>
              </w:rPr>
              <w:t>per Henry L.J.; Evans L.J.’s judgment is based on the ground that, as a matter of construction, the claimant had not accepted the smaller sum in </w:t>
            </w:r>
            <w:r>
              <w:rPr>
                <w:sz w:val="20"/>
              </w:rPr>
              <w:t>full settlement. Aldous L.J. agreed with both the other judgments.</w:t>
            </w:r>
          </w:p>
        </w:tc>
      </w:tr>
      <w:tr>
        <w:trPr>
          <w:trHeight w:val="915" w:hRule="atLeast"/>
        </w:trPr>
        <w:tc>
          <w:tcPr>
            <w:tcW w:w="457" w:type="dxa"/>
          </w:tcPr>
          <w:p>
            <w:pPr>
              <w:pStyle w:val="TableParagraph"/>
              <w:ind w:left="50"/>
              <w:rPr>
                <w:sz w:val="14"/>
              </w:rPr>
            </w:pPr>
            <w:bookmarkStart w:name="_bookmark1473" w:id="1475"/>
            <w:bookmarkEnd w:id="1475"/>
            <w:r>
              <w:rPr/>
            </w:r>
            <w:hyperlink w:history="true" w:anchor="_bookmark1434">
              <w:r>
                <w:rPr>
                  <w:color w:val="005DA1"/>
                  <w:spacing w:val="-4"/>
                  <w:sz w:val="14"/>
                  <w:u w:val="single" w:color="005DA1"/>
                </w:rPr>
                <w:t>765</w:t>
              </w:r>
            </w:hyperlink>
            <w:r>
              <w:rPr>
                <w:spacing w:val="-4"/>
                <w:sz w:val="14"/>
              </w:rPr>
              <w:t>.</w:t>
            </w:r>
          </w:p>
        </w:tc>
        <w:tc>
          <w:tcPr>
            <w:tcW w:w="8659" w:type="dxa"/>
          </w:tcPr>
          <w:p>
            <w:pPr>
              <w:pStyle w:val="TableParagraph"/>
              <w:spacing w:line="235" w:lineRule="auto" w:before="118"/>
              <w:ind w:left="133" w:right="48"/>
              <w:jc w:val="both"/>
              <w:rPr>
                <w:sz w:val="20"/>
              </w:rPr>
            </w:pPr>
            <w:r>
              <w:rPr>
                <w:sz w:val="20"/>
              </w:rPr>
              <w:t>A</w:t>
            </w:r>
            <w:r>
              <w:rPr>
                <w:spacing w:val="-1"/>
                <w:sz w:val="20"/>
              </w:rPr>
              <w:t> </w:t>
            </w:r>
            <w:r>
              <w:rPr>
                <w:sz w:val="20"/>
              </w:rPr>
              <w:t>claim</w:t>
            </w:r>
            <w:r>
              <w:rPr>
                <w:spacing w:val="-1"/>
                <w:sz w:val="20"/>
              </w:rPr>
              <w:t> </w:t>
            </w:r>
            <w:r>
              <w:rPr>
                <w:sz w:val="20"/>
              </w:rPr>
              <w:t>may</w:t>
            </w:r>
            <w:r>
              <w:rPr>
                <w:spacing w:val="-1"/>
                <w:sz w:val="20"/>
              </w:rPr>
              <w:t> </w:t>
            </w:r>
            <w:r>
              <w:rPr>
                <w:sz w:val="20"/>
              </w:rPr>
              <w:t>be</w:t>
            </w:r>
            <w:r>
              <w:rPr>
                <w:spacing w:val="-1"/>
                <w:sz w:val="20"/>
              </w:rPr>
              <w:t> </w:t>
            </w:r>
            <w:r>
              <w:rPr>
                <w:sz w:val="20"/>
              </w:rPr>
              <w:t>“liquidated”</w:t>
            </w:r>
            <w:r>
              <w:rPr>
                <w:spacing w:val="-1"/>
                <w:sz w:val="20"/>
              </w:rPr>
              <w:t> </w:t>
            </w:r>
            <w:r>
              <w:rPr>
                <w:sz w:val="20"/>
              </w:rPr>
              <w:t>even</w:t>
            </w:r>
            <w:r>
              <w:rPr>
                <w:spacing w:val="-1"/>
                <w:sz w:val="20"/>
              </w:rPr>
              <w:t> </w:t>
            </w:r>
            <w:r>
              <w:rPr>
                <w:sz w:val="20"/>
              </w:rPr>
              <w:t>though</w:t>
            </w:r>
            <w:r>
              <w:rPr>
                <w:spacing w:val="-1"/>
                <w:sz w:val="20"/>
              </w:rPr>
              <w:t> </w:t>
            </w:r>
            <w:r>
              <w:rPr>
                <w:sz w:val="20"/>
              </w:rPr>
              <w:t>it</w:t>
            </w:r>
            <w:r>
              <w:rPr>
                <w:spacing w:val="-1"/>
                <w:sz w:val="20"/>
              </w:rPr>
              <w:t> </w:t>
            </w:r>
            <w:r>
              <w:rPr>
                <w:sz w:val="20"/>
              </w:rPr>
              <w:t>is</w:t>
            </w:r>
            <w:r>
              <w:rPr>
                <w:spacing w:val="-1"/>
                <w:sz w:val="20"/>
              </w:rPr>
              <w:t> </w:t>
            </w:r>
            <w:r>
              <w:rPr>
                <w:sz w:val="20"/>
              </w:rPr>
              <w:t>disputed</w:t>
            </w:r>
            <w:r>
              <w:rPr>
                <w:spacing w:val="-1"/>
                <w:sz w:val="20"/>
              </w:rPr>
              <w:t> </w:t>
            </w:r>
            <w:r>
              <w:rPr>
                <w:sz w:val="20"/>
              </w:rPr>
              <w:t>and</w:t>
            </w:r>
            <w:r>
              <w:rPr>
                <w:spacing w:val="-1"/>
                <w:sz w:val="20"/>
              </w:rPr>
              <w:t> </w:t>
            </w:r>
            <w:r>
              <w:rPr>
                <w:sz w:val="20"/>
              </w:rPr>
              <w:t>even</w:t>
            </w:r>
            <w:r>
              <w:rPr>
                <w:spacing w:val="-1"/>
                <w:sz w:val="20"/>
              </w:rPr>
              <w:t> </w:t>
            </w:r>
            <w:r>
              <w:rPr>
                <w:sz w:val="20"/>
              </w:rPr>
              <w:t>though</w:t>
            </w:r>
            <w:r>
              <w:rPr>
                <w:spacing w:val="-1"/>
                <w:sz w:val="20"/>
              </w:rPr>
              <w:t> </w:t>
            </w:r>
            <w:r>
              <w:rPr>
                <w:sz w:val="20"/>
              </w:rPr>
              <w:t>the</w:t>
            </w:r>
            <w:r>
              <w:rPr>
                <w:spacing w:val="-1"/>
                <w:sz w:val="20"/>
              </w:rPr>
              <w:t> </w:t>
            </w:r>
            <w:r>
              <w:rPr>
                <w:sz w:val="20"/>
              </w:rPr>
              <w:t>dispute</w:t>
            </w:r>
            <w:r>
              <w:rPr>
                <w:spacing w:val="-1"/>
                <w:sz w:val="20"/>
              </w:rPr>
              <w:t> </w:t>
            </w:r>
            <w:r>
              <w:rPr>
                <w:sz w:val="20"/>
              </w:rPr>
              <w:t>relates</w:t>
            </w:r>
            <w:r>
              <w:rPr>
                <w:spacing w:val="-1"/>
                <w:sz w:val="20"/>
              </w:rPr>
              <w:t> </w:t>
            </w:r>
            <w:r>
              <w:rPr>
                <w:sz w:val="20"/>
              </w:rPr>
              <w:t>to</w:t>
            </w:r>
            <w:r>
              <w:rPr>
                <w:spacing w:val="-1"/>
                <w:sz w:val="20"/>
              </w:rPr>
              <w:t> </w:t>
            </w:r>
            <w:r>
              <w:rPr>
                <w:sz w:val="20"/>
              </w:rPr>
              <w:t>its amount: e.g. where it is for the price of goods and the buyer alleges short delivery: </w:t>
            </w:r>
            <w:r>
              <w:rPr>
                <w:rFonts w:ascii="Arial" w:hAnsi="Arial"/>
                <w:i/>
                <w:sz w:val="20"/>
              </w:rPr>
              <w:t>Aectra Refining and Manufacturing Inc v Exmar N.V. (The New Vanguard) [1994] 1 W.L.R. 1634</w:t>
            </w:r>
            <w:r>
              <w:rPr>
                <w:sz w:val="20"/>
              </w:rPr>
              <w:t>.</w:t>
            </w:r>
          </w:p>
        </w:tc>
      </w:tr>
      <w:tr>
        <w:trPr>
          <w:trHeight w:val="465" w:hRule="atLeast"/>
        </w:trPr>
        <w:tc>
          <w:tcPr>
            <w:tcW w:w="457" w:type="dxa"/>
          </w:tcPr>
          <w:p>
            <w:pPr>
              <w:pStyle w:val="TableParagraph"/>
              <w:ind w:left="50"/>
              <w:rPr>
                <w:sz w:val="14"/>
              </w:rPr>
            </w:pPr>
            <w:bookmarkStart w:name="_bookmark1474" w:id="1476"/>
            <w:bookmarkEnd w:id="1476"/>
            <w:r>
              <w:rPr/>
            </w:r>
            <w:hyperlink w:history="true" w:anchor="_bookmark1435">
              <w:r>
                <w:rPr>
                  <w:color w:val="005DA1"/>
                  <w:spacing w:val="-4"/>
                  <w:sz w:val="14"/>
                  <w:u w:val="single" w:color="005DA1"/>
                </w:rPr>
                <w:t>766</w:t>
              </w:r>
            </w:hyperlink>
            <w:r>
              <w:rPr>
                <w:spacing w:val="-4"/>
                <w:sz w:val="14"/>
              </w:rPr>
              <w:t>.</w:t>
            </w:r>
          </w:p>
        </w:tc>
        <w:tc>
          <w:tcPr>
            <w:tcW w:w="8659" w:type="dxa"/>
          </w:tcPr>
          <w:p>
            <w:pPr>
              <w:pStyle w:val="TableParagraph"/>
              <w:spacing w:before="114"/>
              <w:ind w:left="133"/>
              <w:rPr>
                <w:sz w:val="20"/>
              </w:rPr>
            </w:pPr>
            <w:r>
              <w:rPr>
                <w:rFonts w:ascii="Arial"/>
                <w:i/>
                <w:sz w:val="20"/>
              </w:rPr>
              <w:t>Wilkinson</w:t>
            </w:r>
            <w:r>
              <w:rPr>
                <w:rFonts w:ascii="Arial"/>
                <w:i/>
                <w:spacing w:val="-1"/>
                <w:sz w:val="20"/>
              </w:rPr>
              <w:t> </w:t>
            </w:r>
            <w:r>
              <w:rPr>
                <w:rFonts w:ascii="Arial"/>
                <w:i/>
                <w:sz w:val="20"/>
              </w:rPr>
              <w:t>v Byers (1834) 1 A. &amp; E. 106</w:t>
            </w:r>
            <w:r>
              <w:rPr>
                <w:sz w:val="20"/>
              </w:rPr>
              <w:t>; </w:t>
            </w:r>
            <w:r>
              <w:rPr>
                <w:rFonts w:ascii="Arial"/>
                <w:i/>
                <w:sz w:val="20"/>
              </w:rPr>
              <w:t>Ibberson v Neck (1886) 2 T.L.R. </w:t>
            </w:r>
            <w:r>
              <w:rPr>
                <w:rFonts w:ascii="Arial"/>
                <w:i/>
                <w:spacing w:val="-4"/>
                <w:sz w:val="20"/>
              </w:rPr>
              <w:t>427</w:t>
            </w:r>
            <w:r>
              <w:rPr>
                <w:spacing w:val="-4"/>
                <w:sz w:val="20"/>
              </w:rPr>
              <w:t>.</w:t>
            </w:r>
          </w:p>
        </w:tc>
      </w:tr>
      <w:tr>
        <w:trPr>
          <w:trHeight w:val="465" w:hRule="atLeast"/>
        </w:trPr>
        <w:tc>
          <w:tcPr>
            <w:tcW w:w="457" w:type="dxa"/>
          </w:tcPr>
          <w:p>
            <w:pPr>
              <w:pStyle w:val="TableParagraph"/>
              <w:ind w:left="50"/>
              <w:rPr>
                <w:sz w:val="14"/>
              </w:rPr>
            </w:pPr>
            <w:bookmarkStart w:name="_bookmark1475" w:id="1477"/>
            <w:bookmarkEnd w:id="1477"/>
            <w:r>
              <w:rPr/>
            </w:r>
            <w:hyperlink w:history="true" w:anchor="_bookmark1436">
              <w:r>
                <w:rPr>
                  <w:color w:val="005DA1"/>
                  <w:spacing w:val="-4"/>
                  <w:sz w:val="14"/>
                  <w:u w:val="single" w:color="005DA1"/>
                </w:rPr>
                <w:t>767</w:t>
              </w:r>
            </w:hyperlink>
            <w:r>
              <w:rPr>
                <w:spacing w:val="-4"/>
                <w:sz w:val="14"/>
              </w:rPr>
              <w:t>.</w:t>
            </w:r>
          </w:p>
        </w:tc>
        <w:tc>
          <w:tcPr>
            <w:tcW w:w="8659" w:type="dxa"/>
          </w:tcPr>
          <w:p>
            <w:pPr>
              <w:pStyle w:val="TableParagraph"/>
              <w:spacing w:before="114"/>
              <w:ind w:left="133"/>
              <w:rPr>
                <w:sz w:val="20"/>
              </w:rPr>
            </w:pPr>
            <w:r>
              <w:rPr>
                <w:rFonts w:ascii="Arial"/>
                <w:i/>
                <w:sz w:val="20"/>
              </w:rPr>
              <w:t>[1966]</w:t>
            </w:r>
            <w:r>
              <w:rPr>
                <w:rFonts w:ascii="Arial"/>
                <w:i/>
                <w:spacing w:val="-1"/>
                <w:sz w:val="20"/>
              </w:rPr>
              <w:t> </w:t>
            </w:r>
            <w:r>
              <w:rPr>
                <w:rFonts w:ascii="Arial"/>
                <w:i/>
                <w:sz w:val="20"/>
              </w:rPr>
              <w:t>2 Q.B. 617</w:t>
            </w:r>
            <w:r>
              <w:rPr>
                <w:sz w:val="20"/>
              </w:rPr>
              <w:t>; above, para.4-</w:t>
            </w:r>
            <w:r>
              <w:rPr>
                <w:spacing w:val="-4"/>
                <w:sz w:val="20"/>
              </w:rPr>
              <w:t>118.</w:t>
            </w:r>
          </w:p>
        </w:tc>
      </w:tr>
      <w:tr>
        <w:trPr>
          <w:trHeight w:val="465" w:hRule="atLeast"/>
        </w:trPr>
        <w:tc>
          <w:tcPr>
            <w:tcW w:w="457" w:type="dxa"/>
          </w:tcPr>
          <w:p>
            <w:pPr>
              <w:pStyle w:val="TableParagraph"/>
              <w:ind w:left="50"/>
              <w:rPr>
                <w:sz w:val="14"/>
              </w:rPr>
            </w:pPr>
            <w:bookmarkStart w:name="_bookmark1476" w:id="1478"/>
            <w:bookmarkEnd w:id="1478"/>
            <w:r>
              <w:rPr/>
            </w:r>
            <w:hyperlink w:history="true" w:anchor="_bookmark1437">
              <w:r>
                <w:rPr>
                  <w:color w:val="005DA1"/>
                  <w:spacing w:val="-4"/>
                  <w:sz w:val="14"/>
                  <w:u w:val="single" w:color="005DA1"/>
                </w:rPr>
                <w:t>768</w:t>
              </w:r>
            </w:hyperlink>
            <w:r>
              <w:rPr>
                <w:spacing w:val="-4"/>
                <w:sz w:val="14"/>
              </w:rPr>
              <w:t>.</w:t>
            </w:r>
          </w:p>
        </w:tc>
        <w:tc>
          <w:tcPr>
            <w:tcW w:w="8659" w:type="dxa"/>
          </w:tcPr>
          <w:p>
            <w:pPr>
              <w:pStyle w:val="TableParagraph"/>
              <w:spacing w:before="114"/>
              <w:ind w:left="133"/>
              <w:rPr>
                <w:sz w:val="20"/>
              </w:rPr>
            </w:pPr>
            <w:r>
              <w:rPr>
                <w:rFonts w:ascii="Arial"/>
                <w:i/>
                <w:sz w:val="20"/>
              </w:rPr>
              <w:t>(1884)</w:t>
            </w:r>
            <w:r>
              <w:rPr>
                <w:rFonts w:ascii="Arial"/>
                <w:i/>
                <w:spacing w:val="-1"/>
                <w:sz w:val="20"/>
              </w:rPr>
              <w:t> </w:t>
            </w:r>
            <w:r>
              <w:rPr>
                <w:rFonts w:ascii="Arial"/>
                <w:i/>
                <w:sz w:val="20"/>
              </w:rPr>
              <w:t>9 App. Cas. 605</w:t>
            </w:r>
            <w:r>
              <w:rPr>
                <w:sz w:val="20"/>
              </w:rPr>
              <w:t>; above, para.4-</w:t>
            </w:r>
            <w:r>
              <w:rPr>
                <w:spacing w:val="-4"/>
                <w:sz w:val="20"/>
              </w:rPr>
              <w:t>117.</w:t>
            </w:r>
          </w:p>
        </w:tc>
      </w:tr>
      <w:tr>
        <w:trPr>
          <w:trHeight w:val="915" w:hRule="atLeast"/>
        </w:trPr>
        <w:tc>
          <w:tcPr>
            <w:tcW w:w="457" w:type="dxa"/>
          </w:tcPr>
          <w:p>
            <w:pPr>
              <w:pStyle w:val="TableParagraph"/>
              <w:ind w:left="50"/>
              <w:rPr>
                <w:sz w:val="14"/>
              </w:rPr>
            </w:pPr>
            <w:bookmarkStart w:name="_bookmark1477" w:id="1479"/>
            <w:bookmarkEnd w:id="1479"/>
            <w:r>
              <w:rPr/>
            </w:r>
            <w:hyperlink w:history="true" w:anchor="_bookmark1438">
              <w:r>
                <w:rPr>
                  <w:color w:val="005DA1"/>
                  <w:spacing w:val="-4"/>
                  <w:sz w:val="14"/>
                  <w:u w:val="single" w:color="005DA1"/>
                </w:rPr>
                <w:t>769</w:t>
              </w:r>
            </w:hyperlink>
            <w:r>
              <w:rPr>
                <w:spacing w:val="-4"/>
                <w:sz w:val="14"/>
              </w:rPr>
              <w:t>.</w:t>
            </w:r>
          </w:p>
        </w:tc>
        <w:tc>
          <w:tcPr>
            <w:tcW w:w="8659" w:type="dxa"/>
          </w:tcPr>
          <w:p>
            <w:pPr>
              <w:pStyle w:val="TableParagraph"/>
              <w:spacing w:line="235" w:lineRule="auto" w:before="118"/>
              <w:ind w:left="133" w:right="48"/>
              <w:jc w:val="both"/>
              <w:rPr>
                <w:sz w:val="20"/>
              </w:rPr>
            </w:pPr>
            <w:r>
              <w:rPr>
                <w:sz w:val="20"/>
              </w:rPr>
              <w:t>cf.</w:t>
            </w:r>
            <w:r>
              <w:rPr>
                <w:spacing w:val="-3"/>
                <w:sz w:val="20"/>
              </w:rPr>
              <w:t> </w:t>
            </w:r>
            <w:r>
              <w:rPr>
                <w:rFonts w:ascii="Arial" w:hAnsi="Arial"/>
                <w:i/>
                <w:sz w:val="20"/>
              </w:rPr>
              <w:t>Amantilla</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Telefusion</w:t>
            </w:r>
            <w:r>
              <w:rPr>
                <w:rFonts w:ascii="Arial" w:hAnsi="Arial"/>
                <w:i/>
                <w:spacing w:val="-3"/>
                <w:sz w:val="20"/>
              </w:rPr>
              <w:t> </w:t>
            </w:r>
            <w:r>
              <w:rPr>
                <w:rFonts w:ascii="Arial" w:hAnsi="Arial"/>
                <w:i/>
                <w:sz w:val="20"/>
              </w:rPr>
              <w:t>(1987)</w:t>
            </w:r>
            <w:r>
              <w:rPr>
                <w:rFonts w:ascii="Arial" w:hAnsi="Arial"/>
                <w:i/>
                <w:spacing w:val="-3"/>
                <w:sz w:val="20"/>
              </w:rPr>
              <w:t> </w:t>
            </w:r>
            <w:r>
              <w:rPr>
                <w:rFonts w:ascii="Arial" w:hAnsi="Arial"/>
                <w:i/>
                <w:sz w:val="20"/>
              </w:rPr>
              <w:t>9</w:t>
            </w:r>
            <w:r>
              <w:rPr>
                <w:rFonts w:ascii="Arial" w:hAnsi="Arial"/>
                <w:i/>
                <w:spacing w:val="-3"/>
                <w:sz w:val="20"/>
              </w:rPr>
              <w:t> </w:t>
            </w:r>
            <w:r>
              <w:rPr>
                <w:rFonts w:ascii="Arial" w:hAnsi="Arial"/>
                <w:i/>
                <w:sz w:val="20"/>
              </w:rPr>
              <w:t>Con.L.R.</w:t>
            </w:r>
            <w:r>
              <w:rPr>
                <w:rFonts w:ascii="Arial" w:hAnsi="Arial"/>
                <w:i/>
                <w:spacing w:val="-3"/>
                <w:sz w:val="20"/>
              </w:rPr>
              <w:t> </w:t>
            </w:r>
            <w:r>
              <w:rPr>
                <w:rFonts w:ascii="Arial" w:hAnsi="Arial"/>
                <w:i/>
                <w:sz w:val="20"/>
              </w:rPr>
              <w:t>139</w:t>
            </w:r>
            <w:r>
              <w:rPr>
                <w:sz w:val="20"/>
              </w:rPr>
              <w:t>,</w:t>
            </w:r>
            <w:r>
              <w:rPr>
                <w:spacing w:val="-3"/>
                <w:sz w:val="20"/>
              </w:rPr>
              <w:t> </w:t>
            </w:r>
            <w:r>
              <w:rPr>
                <w:sz w:val="20"/>
              </w:rPr>
              <w:t>where</w:t>
            </w:r>
            <w:r>
              <w:rPr>
                <w:spacing w:val="-3"/>
                <w:sz w:val="20"/>
              </w:rPr>
              <w:t> </w:t>
            </w:r>
            <w:r>
              <w:rPr>
                <w:sz w:val="20"/>
              </w:rPr>
              <w:t>a</w:t>
            </w:r>
            <w:r>
              <w:rPr>
                <w:spacing w:val="-3"/>
                <w:sz w:val="20"/>
              </w:rPr>
              <w:t> </w:t>
            </w:r>
            <w:r>
              <w:rPr>
                <w:sz w:val="20"/>
              </w:rPr>
              <w:t>builder’s</w:t>
            </w:r>
            <w:r>
              <w:rPr>
                <w:spacing w:val="-3"/>
                <w:sz w:val="20"/>
              </w:rPr>
              <w:t> </w:t>
            </w:r>
            <w:r>
              <w:rPr>
                <w:sz w:val="20"/>
              </w:rPr>
              <w:t>quantum</w:t>
            </w:r>
            <w:r>
              <w:rPr>
                <w:spacing w:val="-3"/>
                <w:sz w:val="20"/>
              </w:rPr>
              <w:t> </w:t>
            </w:r>
            <w:r>
              <w:rPr>
                <w:sz w:val="20"/>
              </w:rPr>
              <w:t>meruit</w:t>
            </w:r>
            <w:r>
              <w:rPr>
                <w:spacing w:val="-3"/>
                <w:sz w:val="20"/>
              </w:rPr>
              <w:t> </w:t>
            </w:r>
            <w:r>
              <w:rPr>
                <w:sz w:val="20"/>
              </w:rPr>
              <w:t>claim,</w:t>
            </w:r>
            <w:r>
              <w:rPr>
                <w:spacing w:val="-3"/>
                <w:sz w:val="20"/>
              </w:rPr>
              <w:t> </w:t>
            </w:r>
            <w:r>
              <w:rPr>
                <w:sz w:val="20"/>
              </w:rPr>
              <w:t>which had not been disputed, was treated as “liquidated” for the purpose of Limitation Act 1980, </w:t>
            </w:r>
            <w:r>
              <w:rPr>
                <w:spacing w:val="-2"/>
                <w:sz w:val="20"/>
              </w:rPr>
              <w:t>s.29(5)(a).</w:t>
            </w:r>
          </w:p>
        </w:tc>
      </w:tr>
      <w:tr>
        <w:trPr>
          <w:trHeight w:val="690" w:hRule="atLeast"/>
        </w:trPr>
        <w:tc>
          <w:tcPr>
            <w:tcW w:w="457" w:type="dxa"/>
          </w:tcPr>
          <w:p>
            <w:pPr>
              <w:pStyle w:val="TableParagraph"/>
              <w:ind w:left="50"/>
              <w:rPr>
                <w:sz w:val="14"/>
              </w:rPr>
            </w:pPr>
            <w:bookmarkStart w:name="_bookmark1478" w:id="1480"/>
            <w:bookmarkEnd w:id="1480"/>
            <w:r>
              <w:rPr/>
            </w:r>
            <w:hyperlink w:history="true" w:anchor="_bookmark1439">
              <w:r>
                <w:rPr>
                  <w:color w:val="005DA1"/>
                  <w:spacing w:val="-4"/>
                  <w:sz w:val="14"/>
                  <w:u w:val="single" w:color="005DA1"/>
                </w:rPr>
                <w:t>770</w:t>
              </w:r>
            </w:hyperlink>
            <w:r>
              <w:rPr>
                <w:spacing w:val="-4"/>
                <w:sz w:val="14"/>
              </w:rPr>
              <w:t>.</w:t>
            </w:r>
          </w:p>
        </w:tc>
        <w:tc>
          <w:tcPr>
            <w:tcW w:w="8659" w:type="dxa"/>
          </w:tcPr>
          <w:p>
            <w:pPr>
              <w:pStyle w:val="TableParagraph"/>
              <w:spacing w:line="235" w:lineRule="auto" w:before="118"/>
              <w:ind w:left="133" w:right="65"/>
              <w:rPr>
                <w:sz w:val="20"/>
              </w:rPr>
            </w:pPr>
            <w:r>
              <w:rPr>
                <w:rFonts w:ascii="Arial" w:hAnsi="Arial"/>
                <w:i/>
                <w:sz w:val="20"/>
              </w:rPr>
              <w:t>[1976] 1 Lloyd’s Rep. 98</w:t>
            </w:r>
            <w:r>
              <w:rPr>
                <w:sz w:val="20"/>
              </w:rPr>
              <w:t>; cf. </w:t>
            </w:r>
            <w:r>
              <w:rPr>
                <w:rFonts w:ascii="Arial" w:hAnsi="Arial"/>
                <w:i/>
                <w:sz w:val="20"/>
              </w:rPr>
              <w:t>Rustenburg Platinum Mines Ltd v Pan Am [1979] 1 Lloyd’s </w:t>
            </w:r>
            <w:r>
              <w:rPr>
                <w:rFonts w:ascii="Arial" w:hAnsi="Arial"/>
                <w:i/>
                <w:sz w:val="20"/>
              </w:rPr>
              <w:t>Rep.</w:t>
            </w:r>
            <w:r>
              <w:rPr>
                <w:rFonts w:ascii="Arial" w:hAnsi="Arial"/>
                <w:i/>
                <w:spacing w:val="80"/>
                <w:sz w:val="20"/>
              </w:rPr>
              <w:t> </w:t>
            </w:r>
            <w:r>
              <w:rPr>
                <w:rFonts w:ascii="Arial" w:hAnsi="Arial"/>
                <w:i/>
                <w:sz w:val="20"/>
              </w:rPr>
              <w:t>19, 24</w:t>
            </w:r>
            <w:r>
              <w:rPr>
                <w:sz w:val="20"/>
              </w:rPr>
              <w:t>.</w:t>
            </w:r>
          </w:p>
        </w:tc>
      </w:tr>
      <w:tr>
        <w:trPr>
          <w:trHeight w:val="690" w:hRule="atLeast"/>
        </w:trPr>
        <w:tc>
          <w:tcPr>
            <w:tcW w:w="457" w:type="dxa"/>
          </w:tcPr>
          <w:p>
            <w:pPr>
              <w:pStyle w:val="TableParagraph"/>
              <w:ind w:left="50"/>
              <w:rPr>
                <w:sz w:val="14"/>
              </w:rPr>
            </w:pPr>
            <w:bookmarkStart w:name="_bookmark1479" w:id="1481"/>
            <w:bookmarkEnd w:id="1481"/>
            <w:r>
              <w:rPr/>
            </w:r>
            <w:hyperlink w:history="true" w:anchor="_bookmark1440">
              <w:r>
                <w:rPr>
                  <w:color w:val="005DA1"/>
                  <w:spacing w:val="-4"/>
                  <w:sz w:val="14"/>
                  <w:u w:val="single" w:color="005DA1"/>
                </w:rPr>
                <w:t>771</w:t>
              </w:r>
            </w:hyperlink>
            <w:r>
              <w:rPr>
                <w:spacing w:val="-4"/>
                <w:sz w:val="14"/>
              </w:rPr>
              <w:t>.</w:t>
            </w:r>
          </w:p>
        </w:tc>
        <w:tc>
          <w:tcPr>
            <w:tcW w:w="8659" w:type="dxa"/>
          </w:tcPr>
          <w:p>
            <w:pPr>
              <w:pStyle w:val="TableParagraph"/>
              <w:spacing w:line="235" w:lineRule="auto" w:before="118"/>
              <w:ind w:left="133"/>
              <w:rPr>
                <w:sz w:val="20"/>
              </w:rPr>
            </w:pPr>
            <w:r>
              <w:rPr>
                <w:sz w:val="20"/>
              </w:rPr>
              <w:t>Per Stephenson and Geoffrey Lane L.JJ.; Lord Denning, M.R. based his decision on a different ground: below, para.4-138, after n.817.</w:t>
            </w:r>
          </w:p>
        </w:tc>
      </w:tr>
      <w:tr>
        <w:trPr>
          <w:trHeight w:val="690" w:hRule="atLeast"/>
        </w:trPr>
        <w:tc>
          <w:tcPr>
            <w:tcW w:w="457" w:type="dxa"/>
          </w:tcPr>
          <w:p>
            <w:pPr>
              <w:pStyle w:val="TableParagraph"/>
              <w:ind w:left="50"/>
              <w:rPr>
                <w:sz w:val="14"/>
              </w:rPr>
            </w:pPr>
            <w:bookmarkStart w:name="_bookmark1480" w:id="1482"/>
            <w:bookmarkEnd w:id="1482"/>
            <w:r>
              <w:rPr/>
            </w:r>
            <w:hyperlink w:history="true" w:anchor="_bookmark1441">
              <w:r>
                <w:rPr>
                  <w:color w:val="005DA1"/>
                  <w:spacing w:val="-4"/>
                  <w:sz w:val="14"/>
                  <w:u w:val="single" w:color="005DA1"/>
                </w:rPr>
                <w:t>772</w:t>
              </w:r>
            </w:hyperlink>
            <w:r>
              <w:rPr>
                <w:spacing w:val="-4"/>
                <w:sz w:val="14"/>
              </w:rPr>
              <w:t>.</w:t>
            </w:r>
          </w:p>
        </w:tc>
        <w:tc>
          <w:tcPr>
            <w:tcW w:w="8659" w:type="dxa"/>
          </w:tcPr>
          <w:p>
            <w:pPr>
              <w:pStyle w:val="TableParagraph"/>
              <w:spacing w:line="235" w:lineRule="auto" w:before="118"/>
              <w:ind w:left="133" w:right="5"/>
              <w:rPr>
                <w:sz w:val="20"/>
              </w:rPr>
            </w:pPr>
            <w:r>
              <w:rPr>
                <w:sz w:val="20"/>
              </w:rPr>
              <w:t>e.g.</w:t>
            </w:r>
            <w:r>
              <w:rPr>
                <w:spacing w:val="-2"/>
                <w:sz w:val="20"/>
              </w:rPr>
              <w:t> </w:t>
            </w:r>
            <w:r>
              <w:rPr>
                <w:rFonts w:ascii="Arial"/>
                <w:i/>
                <w:sz w:val="20"/>
              </w:rPr>
              <w:t>Re</w:t>
            </w:r>
            <w:r>
              <w:rPr>
                <w:rFonts w:ascii="Arial"/>
                <w:i/>
                <w:spacing w:val="-3"/>
                <w:sz w:val="20"/>
              </w:rPr>
              <w:t> </w:t>
            </w:r>
            <w:r>
              <w:rPr>
                <w:rFonts w:ascii="Arial"/>
                <w:i/>
                <w:sz w:val="20"/>
              </w:rPr>
              <w:t>William</w:t>
            </w:r>
            <w:r>
              <w:rPr>
                <w:rFonts w:ascii="Arial"/>
                <w:i/>
                <w:spacing w:val="-2"/>
                <w:sz w:val="20"/>
              </w:rPr>
              <w:t> </w:t>
            </w:r>
            <w:r>
              <w:rPr>
                <w:rFonts w:ascii="Arial"/>
                <w:i/>
                <w:sz w:val="20"/>
              </w:rPr>
              <w:t>Porter</w:t>
            </w:r>
            <w:r>
              <w:rPr>
                <w:rFonts w:ascii="Arial"/>
                <w:i/>
                <w:spacing w:val="-3"/>
                <w:sz w:val="20"/>
              </w:rPr>
              <w:t> </w:t>
            </w:r>
            <w:r>
              <w:rPr>
                <w:rFonts w:ascii="Arial"/>
                <w:i/>
                <w:sz w:val="20"/>
              </w:rPr>
              <w:t>&amp;</w:t>
            </w:r>
            <w:r>
              <w:rPr>
                <w:rFonts w:ascii="Arial"/>
                <w:i/>
                <w:spacing w:val="-2"/>
                <w:sz w:val="20"/>
              </w:rPr>
              <w:t> </w:t>
            </w:r>
            <w:r>
              <w:rPr>
                <w:rFonts w:ascii="Arial"/>
                <w:i/>
                <w:sz w:val="20"/>
              </w:rPr>
              <w:t>Co</w:t>
            </w:r>
            <w:r>
              <w:rPr>
                <w:rFonts w:ascii="Arial"/>
                <w:i/>
                <w:spacing w:val="-3"/>
                <w:sz w:val="20"/>
              </w:rPr>
              <w:t> </w:t>
            </w:r>
            <w:r>
              <w:rPr>
                <w:rFonts w:ascii="Arial"/>
                <w:i/>
                <w:sz w:val="20"/>
              </w:rPr>
              <w:t>[1937]</w:t>
            </w:r>
            <w:r>
              <w:rPr>
                <w:rFonts w:ascii="Arial"/>
                <w:i/>
                <w:spacing w:val="-2"/>
                <w:sz w:val="20"/>
              </w:rPr>
              <w:t> </w:t>
            </w:r>
            <w:r>
              <w:rPr>
                <w:rFonts w:ascii="Arial"/>
                <w:i/>
                <w:sz w:val="20"/>
              </w:rPr>
              <w:t>2</w:t>
            </w:r>
            <w:r>
              <w:rPr>
                <w:rFonts w:ascii="Arial"/>
                <w:i/>
                <w:spacing w:val="-3"/>
                <w:sz w:val="20"/>
              </w:rPr>
              <w:t> </w:t>
            </w:r>
            <w:r>
              <w:rPr>
                <w:rFonts w:ascii="Arial"/>
                <w:i/>
                <w:sz w:val="20"/>
              </w:rPr>
              <w:t>All</w:t>
            </w:r>
            <w:r>
              <w:rPr>
                <w:rFonts w:ascii="Arial"/>
                <w:i/>
                <w:spacing w:val="-2"/>
                <w:sz w:val="20"/>
              </w:rPr>
              <w:t> </w:t>
            </w:r>
            <w:r>
              <w:rPr>
                <w:rFonts w:ascii="Arial"/>
                <w:i/>
                <w:sz w:val="20"/>
              </w:rPr>
              <w:t>E.R.</w:t>
            </w:r>
            <w:r>
              <w:rPr>
                <w:rFonts w:ascii="Arial"/>
                <w:i/>
                <w:spacing w:val="-3"/>
                <w:sz w:val="20"/>
              </w:rPr>
              <w:t> </w:t>
            </w:r>
            <w:r>
              <w:rPr>
                <w:rFonts w:ascii="Arial"/>
                <w:i/>
                <w:sz w:val="20"/>
              </w:rPr>
              <w:t>261</w:t>
            </w:r>
            <w:r>
              <w:rPr>
                <w:sz w:val="20"/>
              </w:rPr>
              <w:t>;</w:t>
            </w:r>
            <w:r>
              <w:rPr>
                <w:spacing w:val="-2"/>
                <w:sz w:val="20"/>
              </w:rPr>
              <w:t> </w:t>
            </w:r>
            <w:r>
              <w:rPr>
                <w:rFonts w:ascii="Arial"/>
                <w:i/>
                <w:sz w:val="20"/>
              </w:rPr>
              <w:t>Ledingham</w:t>
            </w:r>
            <w:r>
              <w:rPr>
                <w:rFonts w:ascii="Arial"/>
                <w:i/>
                <w:spacing w:val="-3"/>
                <w:sz w:val="20"/>
              </w:rPr>
              <w:t> </w:t>
            </w:r>
            <w:r>
              <w:rPr>
                <w:rFonts w:ascii="Arial"/>
                <w:i/>
                <w:sz w:val="20"/>
              </w:rPr>
              <w:t>v</w:t>
            </w:r>
            <w:r>
              <w:rPr>
                <w:rFonts w:ascii="Arial"/>
                <w:i/>
                <w:spacing w:val="-2"/>
                <w:sz w:val="20"/>
              </w:rPr>
              <w:t> </w:t>
            </w:r>
            <w:r>
              <w:rPr>
                <w:rFonts w:ascii="Arial"/>
                <w:i/>
                <w:sz w:val="20"/>
              </w:rPr>
              <w:t>Bermejo</w:t>
            </w:r>
            <w:r>
              <w:rPr>
                <w:rFonts w:ascii="Arial"/>
                <w:i/>
                <w:spacing w:val="-3"/>
                <w:sz w:val="20"/>
              </w:rPr>
              <w:t> </w:t>
            </w:r>
            <w:r>
              <w:rPr>
                <w:rFonts w:ascii="Arial"/>
                <w:i/>
                <w:sz w:val="20"/>
              </w:rPr>
              <w:t>Estancia</w:t>
            </w:r>
            <w:r>
              <w:rPr>
                <w:rFonts w:ascii="Arial"/>
                <w:i/>
                <w:spacing w:val="-2"/>
                <w:sz w:val="20"/>
              </w:rPr>
              <w:t> </w:t>
            </w:r>
            <w:r>
              <w:rPr>
                <w:rFonts w:ascii="Arial"/>
                <w:i/>
                <w:sz w:val="20"/>
              </w:rPr>
              <w:t>Co</w:t>
            </w:r>
            <w:r>
              <w:rPr>
                <w:rFonts w:ascii="Arial"/>
                <w:i/>
                <w:spacing w:val="-3"/>
                <w:sz w:val="20"/>
              </w:rPr>
              <w:t> </w:t>
            </w:r>
            <w:r>
              <w:rPr>
                <w:rFonts w:ascii="Arial"/>
                <w:i/>
                <w:sz w:val="20"/>
              </w:rPr>
              <w:t>Ltd</w:t>
            </w:r>
            <w:r>
              <w:rPr>
                <w:rFonts w:ascii="Arial"/>
                <w:i/>
                <w:spacing w:val="-2"/>
                <w:sz w:val="20"/>
              </w:rPr>
              <w:t> </w:t>
            </w:r>
            <w:r>
              <w:rPr>
                <w:rFonts w:ascii="Arial"/>
                <w:i/>
                <w:sz w:val="20"/>
              </w:rPr>
              <w:t>[1947] 2 All E.R. 748</w:t>
            </w:r>
            <w:r>
              <w:rPr>
                <w:sz w:val="20"/>
              </w:rPr>
              <w:t>.</w:t>
            </w:r>
          </w:p>
        </w:tc>
      </w:tr>
      <w:tr>
        <w:trPr>
          <w:trHeight w:val="465" w:hRule="atLeast"/>
        </w:trPr>
        <w:tc>
          <w:tcPr>
            <w:tcW w:w="457" w:type="dxa"/>
          </w:tcPr>
          <w:p>
            <w:pPr>
              <w:pStyle w:val="TableParagraph"/>
              <w:ind w:left="50"/>
              <w:rPr>
                <w:sz w:val="14"/>
              </w:rPr>
            </w:pPr>
            <w:bookmarkStart w:name="_bookmark1481" w:id="1483"/>
            <w:bookmarkEnd w:id="1483"/>
            <w:r>
              <w:rPr/>
            </w:r>
            <w:hyperlink w:history="true" w:anchor="_bookmark1442">
              <w:r>
                <w:rPr>
                  <w:color w:val="005DA1"/>
                  <w:spacing w:val="-4"/>
                  <w:sz w:val="14"/>
                  <w:u w:val="single" w:color="005DA1"/>
                </w:rPr>
                <w:t>773</w:t>
              </w:r>
            </w:hyperlink>
            <w:r>
              <w:rPr>
                <w:spacing w:val="-4"/>
                <w:sz w:val="14"/>
              </w:rPr>
              <w:t>.</w:t>
            </w:r>
          </w:p>
        </w:tc>
        <w:tc>
          <w:tcPr>
            <w:tcW w:w="8659" w:type="dxa"/>
          </w:tcPr>
          <w:p>
            <w:pPr>
              <w:pStyle w:val="TableParagraph"/>
              <w:spacing w:before="114"/>
              <w:ind w:left="133"/>
              <w:rPr>
                <w:sz w:val="20"/>
              </w:rPr>
            </w:pPr>
            <w:r>
              <w:rPr>
                <w:rFonts w:ascii="Arial" w:hAnsi="Arial"/>
                <w:i/>
                <w:sz w:val="20"/>
              </w:rPr>
              <w:t>Pinnel’s</w:t>
            </w:r>
            <w:r>
              <w:rPr>
                <w:rFonts w:ascii="Arial" w:hAnsi="Arial"/>
                <w:i/>
                <w:spacing w:val="-1"/>
                <w:sz w:val="20"/>
              </w:rPr>
              <w:t> </w:t>
            </w:r>
            <w:r>
              <w:rPr>
                <w:rFonts w:ascii="Arial" w:hAnsi="Arial"/>
                <w:i/>
                <w:sz w:val="20"/>
              </w:rPr>
              <w:t>Case</w:t>
            </w:r>
            <w:r>
              <w:rPr>
                <w:sz w:val="20"/>
              </w:rPr>
              <w:t>, above, para.4-</w:t>
            </w:r>
            <w:r>
              <w:rPr>
                <w:spacing w:val="-4"/>
                <w:sz w:val="20"/>
              </w:rPr>
              <w:t>117.</w:t>
            </w:r>
          </w:p>
        </w:tc>
      </w:tr>
      <w:tr>
        <w:trPr>
          <w:trHeight w:val="344" w:hRule="atLeast"/>
        </w:trPr>
        <w:tc>
          <w:tcPr>
            <w:tcW w:w="457" w:type="dxa"/>
          </w:tcPr>
          <w:p>
            <w:pPr>
              <w:pStyle w:val="TableParagraph"/>
              <w:ind w:left="50"/>
              <w:rPr>
                <w:sz w:val="14"/>
              </w:rPr>
            </w:pPr>
            <w:bookmarkStart w:name="_bookmark1482" w:id="1484"/>
            <w:bookmarkEnd w:id="1484"/>
            <w:r>
              <w:rPr/>
            </w:r>
            <w:hyperlink w:history="true" w:anchor="_bookmark1443">
              <w:r>
                <w:rPr>
                  <w:color w:val="005DA1"/>
                  <w:spacing w:val="-4"/>
                  <w:sz w:val="14"/>
                  <w:u w:val="single" w:color="005DA1"/>
                </w:rPr>
                <w:t>774</w:t>
              </w:r>
            </w:hyperlink>
            <w:r>
              <w:rPr>
                <w:spacing w:val="-4"/>
                <w:sz w:val="14"/>
              </w:rPr>
              <w:t>.</w:t>
            </w:r>
          </w:p>
        </w:tc>
        <w:tc>
          <w:tcPr>
            <w:tcW w:w="8659" w:type="dxa"/>
          </w:tcPr>
          <w:p>
            <w:pPr>
              <w:pStyle w:val="TableParagraph"/>
              <w:spacing w:line="210" w:lineRule="exact" w:before="114"/>
              <w:ind w:left="133"/>
              <w:rPr>
                <w:sz w:val="20"/>
              </w:rPr>
            </w:pPr>
            <w:r>
              <w:rPr>
                <w:spacing w:val="-2"/>
                <w:sz w:val="20"/>
              </w:rPr>
              <w:t>ibid.</w:t>
            </w:r>
          </w:p>
        </w:tc>
      </w:tr>
    </w:tbl>
    <w:p>
      <w:pPr>
        <w:pStyle w:val="TableParagraph"/>
        <w:spacing w:after="0" w:line="210" w:lineRule="exact"/>
        <w:rPr>
          <w:sz w:val="20"/>
        </w:rPr>
        <w:sectPr>
          <w:pgSz w:w="11900" w:h="16840"/>
          <w:pgMar w:header="971" w:footer="0" w:top="1160" w:bottom="280" w:left="1275" w:right="1275"/>
        </w:sectPr>
      </w:pPr>
    </w:p>
    <w:p>
      <w:pPr>
        <w:pStyle w:val="BodyText"/>
        <w:spacing w:before="81"/>
      </w:pPr>
    </w:p>
    <w:p>
      <w:pPr>
        <w:pStyle w:val="BodyText"/>
        <w:tabs>
          <w:tab w:pos="705" w:val="left" w:leader="none"/>
        </w:tabs>
        <w:ind w:left="165"/>
      </w:pPr>
      <w:hyperlink w:history="true" w:anchor="_bookmark1443">
        <w:r>
          <w:rPr>
            <w:color w:val="005DA1"/>
            <w:spacing w:val="-4"/>
            <w:position w:val="5"/>
            <w:sz w:val="14"/>
            <w:u w:val="single" w:color="005DA1"/>
          </w:rPr>
          <w:t>775</w:t>
        </w:r>
      </w:hyperlink>
      <w:r>
        <w:rPr>
          <w:spacing w:val="-4"/>
          <w:position w:val="5"/>
          <w:sz w:val="14"/>
        </w:rPr>
        <w:t>.</w:t>
      </w:r>
      <w:r>
        <w:rPr>
          <w:position w:val="5"/>
          <w:sz w:val="14"/>
        </w:rPr>
        <w:tab/>
      </w:r>
      <w:r>
        <w:rPr/>
        <w:t>cf. above, para.4-</w:t>
      </w:r>
      <w:r>
        <w:rPr>
          <w:spacing w:val="-4"/>
        </w:rPr>
        <w:t>080.</w:t>
      </w:r>
    </w:p>
    <w:p>
      <w:pPr>
        <w:pStyle w:val="BodyText"/>
        <w:spacing w:before="9"/>
      </w:pPr>
    </w:p>
    <w:p>
      <w:pPr>
        <w:spacing w:line="235" w:lineRule="auto" w:before="0"/>
        <w:ind w:left="705" w:right="167" w:hanging="541"/>
        <w:jc w:val="both"/>
        <w:rPr>
          <w:sz w:val="20"/>
        </w:rPr>
      </w:pPr>
      <w:bookmarkStart w:name="_bookmark1483" w:id="1485"/>
      <w:bookmarkEnd w:id="1485"/>
      <w:r>
        <w:rPr/>
      </w:r>
      <w:hyperlink w:history="true" w:anchor="_bookmark1444">
        <w:r>
          <w:rPr>
            <w:color w:val="005DA1"/>
            <w:position w:val="5"/>
            <w:sz w:val="14"/>
            <w:u w:val="single" w:color="005DA1"/>
          </w:rPr>
          <w:t>776</w:t>
        </w:r>
      </w:hyperlink>
      <w:r>
        <w:rPr>
          <w:position w:val="5"/>
          <w:sz w:val="14"/>
        </w:rPr>
        <w:t>.</w:t>
      </w:r>
      <w:r>
        <w:rPr>
          <w:spacing w:val="40"/>
          <w:position w:val="5"/>
          <w:sz w:val="14"/>
        </w:rPr>
        <w:t>  </w:t>
      </w:r>
      <w:r>
        <w:rPr>
          <w:rFonts w:ascii="Arial" w:hAnsi="Arial"/>
          <w:i/>
          <w:sz w:val="20"/>
        </w:rPr>
        <w:t>Pinnel’s Case (1602) 5 Co. Rep. 117a</w:t>
      </w:r>
      <w:r>
        <w:rPr>
          <w:sz w:val="20"/>
        </w:rPr>
        <w:t>, above, para.4-117. Cases which formerly supported the view that part payment by a negotiable instrument, made at the request of the creditor and accepted by him in full settlement, discharged the debt were overruled in </w:t>
      </w:r>
      <w:r>
        <w:rPr>
          <w:rFonts w:ascii="Arial" w:hAnsi="Arial"/>
          <w:i/>
          <w:sz w:val="20"/>
        </w:rPr>
        <w:t>D. &amp; C. Builders Ltd v Rees [1966] 2 Q.B. 617</w:t>
      </w:r>
      <w:r>
        <w:rPr>
          <w:sz w:val="20"/>
        </w:rPr>
        <w:t>.</w:t>
      </w:r>
    </w:p>
    <w:p>
      <w:pPr>
        <w:pStyle w:val="BodyText"/>
        <w:spacing w:before="4"/>
      </w:pPr>
    </w:p>
    <w:p>
      <w:pPr>
        <w:tabs>
          <w:tab w:pos="705" w:val="left" w:leader="none"/>
        </w:tabs>
        <w:spacing w:before="0"/>
        <w:ind w:left="165" w:right="0" w:firstLine="0"/>
        <w:jc w:val="left"/>
        <w:rPr>
          <w:sz w:val="20"/>
        </w:rPr>
      </w:pPr>
      <w:bookmarkStart w:name="_bookmark1484" w:id="1486"/>
      <w:bookmarkEnd w:id="1486"/>
      <w:r>
        <w:rPr/>
      </w:r>
      <w:hyperlink w:history="true" w:anchor="_bookmark1445">
        <w:r>
          <w:rPr>
            <w:color w:val="005DA1"/>
            <w:spacing w:val="-4"/>
            <w:position w:val="5"/>
            <w:sz w:val="14"/>
            <w:u w:val="single" w:color="005DA1"/>
          </w:rPr>
          <w:t>777</w:t>
        </w:r>
      </w:hyperlink>
      <w:r>
        <w:rPr>
          <w:spacing w:val="-4"/>
          <w:position w:val="5"/>
          <w:sz w:val="14"/>
        </w:rPr>
        <w:t>.</w:t>
      </w:r>
      <w:r>
        <w:rPr>
          <w:position w:val="5"/>
          <w:sz w:val="14"/>
        </w:rPr>
        <w:tab/>
      </w:r>
      <w:r>
        <w:rPr>
          <w:rFonts w:ascii="Arial"/>
          <w:i/>
          <w:sz w:val="20"/>
        </w:rPr>
        <w:t>Williams</w:t>
      </w:r>
      <w:r>
        <w:rPr>
          <w:rFonts w:ascii="Arial"/>
          <w:i/>
          <w:spacing w:val="-1"/>
          <w:sz w:val="20"/>
        </w:rPr>
        <w:t> </w:t>
      </w:r>
      <w:r>
        <w:rPr>
          <w:rFonts w:ascii="Arial"/>
          <w:i/>
          <w:sz w:val="20"/>
        </w:rPr>
        <w:t>v Roffey Bros &amp; Nicholls (Contractors) Ltd [1991] 1 Q.B. 1</w:t>
      </w:r>
      <w:r>
        <w:rPr>
          <w:sz w:val="20"/>
        </w:rPr>
        <w:t>, above, para.4-</w:t>
      </w:r>
      <w:r>
        <w:rPr>
          <w:spacing w:val="-4"/>
          <w:sz w:val="20"/>
        </w:rPr>
        <w:t>069.</w:t>
      </w:r>
    </w:p>
    <w:p>
      <w:pPr>
        <w:pStyle w:val="BodyText"/>
        <w:spacing w:before="5"/>
      </w:pPr>
    </w:p>
    <w:p>
      <w:pPr>
        <w:tabs>
          <w:tab w:pos="705" w:val="left" w:leader="none"/>
        </w:tabs>
        <w:spacing w:before="1"/>
        <w:ind w:left="165" w:right="0" w:firstLine="0"/>
        <w:jc w:val="left"/>
        <w:rPr>
          <w:sz w:val="20"/>
        </w:rPr>
      </w:pPr>
      <w:bookmarkStart w:name="_bookmark1485" w:id="1487"/>
      <w:bookmarkEnd w:id="1487"/>
      <w:r>
        <w:rPr/>
      </w:r>
      <w:hyperlink w:history="true" w:anchor="_bookmark1446">
        <w:r>
          <w:rPr>
            <w:color w:val="005DA1"/>
            <w:spacing w:val="-4"/>
            <w:position w:val="5"/>
            <w:sz w:val="14"/>
            <w:u w:val="single" w:color="005DA1"/>
          </w:rPr>
          <w:t>778</w:t>
        </w:r>
      </w:hyperlink>
      <w:r>
        <w:rPr>
          <w:spacing w:val="-4"/>
          <w:position w:val="5"/>
          <w:sz w:val="14"/>
        </w:rPr>
        <w:t>.</w:t>
      </w:r>
      <w:r>
        <w:rPr>
          <w:position w:val="5"/>
          <w:sz w:val="14"/>
        </w:rPr>
        <w:tab/>
      </w:r>
      <w:r>
        <w:rPr>
          <w:rFonts w:ascii="Arial"/>
          <w:i/>
          <w:sz w:val="20"/>
        </w:rPr>
        <w:t>(1884)</w:t>
      </w:r>
      <w:r>
        <w:rPr>
          <w:rFonts w:ascii="Arial"/>
          <w:i/>
          <w:spacing w:val="-1"/>
          <w:sz w:val="20"/>
        </w:rPr>
        <w:t> </w:t>
      </w:r>
      <w:r>
        <w:rPr>
          <w:rFonts w:ascii="Arial"/>
          <w:i/>
          <w:sz w:val="20"/>
        </w:rPr>
        <w:t>9 App. Cas. 605</w:t>
      </w:r>
      <w:r>
        <w:rPr>
          <w:sz w:val="20"/>
        </w:rPr>
        <w:t>, above, para.4-</w:t>
      </w:r>
      <w:r>
        <w:rPr>
          <w:spacing w:val="-4"/>
          <w:sz w:val="20"/>
        </w:rPr>
        <w:t>122.</w:t>
      </w:r>
    </w:p>
    <w:p>
      <w:pPr>
        <w:pStyle w:val="BodyText"/>
        <w:spacing w:before="8"/>
      </w:pPr>
    </w:p>
    <w:p>
      <w:pPr>
        <w:spacing w:line="235" w:lineRule="auto" w:before="0"/>
        <w:ind w:left="705" w:right="167" w:hanging="541"/>
        <w:jc w:val="both"/>
        <w:rPr>
          <w:sz w:val="20"/>
        </w:rPr>
      </w:pPr>
      <w:bookmarkStart w:name="_bookmark1486" w:id="1488"/>
      <w:bookmarkEnd w:id="1488"/>
      <w:r>
        <w:rPr/>
      </w:r>
      <w:hyperlink w:history="true" w:anchor="_bookmark1447">
        <w:r>
          <w:rPr>
            <w:color w:val="005DA1"/>
            <w:position w:val="5"/>
            <w:sz w:val="14"/>
            <w:u w:val="single" w:color="005DA1"/>
          </w:rPr>
          <w:t>779</w:t>
        </w:r>
      </w:hyperlink>
      <w:r>
        <w:rPr>
          <w:position w:val="5"/>
          <w:sz w:val="14"/>
        </w:rPr>
        <w:t>.</w:t>
      </w:r>
      <w:r>
        <w:rPr>
          <w:spacing w:val="80"/>
          <w:w w:val="150"/>
          <w:position w:val="5"/>
          <w:sz w:val="14"/>
        </w:rPr>
        <w:t> </w:t>
      </w:r>
      <w:r>
        <w:rPr>
          <w:rFonts w:ascii="Arial" w:hAnsi="Arial"/>
          <w:i/>
          <w:sz w:val="20"/>
        </w:rPr>
        <w:t>Anangel Atlas Compania Naviera SA v Ishikawajima Harima Heavy Industries Co Ltd (No.2) [1990] 2 Lloyd’s Rep. 526</w:t>
      </w:r>
      <w:r>
        <w:rPr>
          <w:sz w:val="20"/>
        </w:rPr>
        <w:t>. For other consideration in that case, in the form of reducing “a previously ill-defined understanding to ‘precise terms,’ and so settling a potential dispute”, </w:t>
      </w:r>
      <w:r>
        <w:rPr>
          <w:sz w:val="20"/>
        </w:rPr>
        <w:t>see ibid. 544.</w:t>
      </w:r>
    </w:p>
    <w:p>
      <w:pPr>
        <w:pStyle w:val="BodyText"/>
        <w:spacing w:before="5"/>
      </w:pPr>
    </w:p>
    <w:p>
      <w:pPr>
        <w:tabs>
          <w:tab w:pos="705" w:val="left" w:leader="none"/>
        </w:tabs>
        <w:spacing w:before="0"/>
        <w:ind w:left="165" w:right="0" w:firstLine="0"/>
        <w:jc w:val="left"/>
        <w:rPr>
          <w:sz w:val="20"/>
        </w:rPr>
      </w:pPr>
      <w:bookmarkStart w:name="_bookmark1487" w:id="1489"/>
      <w:bookmarkEnd w:id="1489"/>
      <w:r>
        <w:rPr/>
      </w:r>
      <w:hyperlink w:history="true" w:anchor="_bookmark1448">
        <w:r>
          <w:rPr>
            <w:color w:val="005DA1"/>
            <w:spacing w:val="-4"/>
            <w:position w:val="5"/>
            <w:sz w:val="14"/>
            <w:u w:val="single" w:color="005DA1"/>
          </w:rPr>
          <w:t>780</w:t>
        </w:r>
      </w:hyperlink>
      <w:r>
        <w:rPr>
          <w:spacing w:val="-4"/>
          <w:position w:val="5"/>
          <w:sz w:val="14"/>
        </w:rPr>
        <w:t>.</w:t>
      </w:r>
      <w:r>
        <w:rPr>
          <w:position w:val="5"/>
          <w:sz w:val="14"/>
        </w:rPr>
        <w:tab/>
      </w:r>
      <w:r>
        <w:rPr>
          <w:sz w:val="20"/>
        </w:rPr>
        <w:t>ibid., at </w:t>
      </w:r>
      <w:r>
        <w:rPr>
          <w:spacing w:val="-4"/>
          <w:sz w:val="20"/>
        </w:rPr>
        <w:t>544.</w:t>
      </w:r>
    </w:p>
    <w:p>
      <w:pPr>
        <w:pStyle w:val="BodyText"/>
        <w:spacing w:before="5"/>
      </w:pPr>
    </w:p>
    <w:p>
      <w:pPr>
        <w:tabs>
          <w:tab w:pos="705" w:val="left" w:leader="none"/>
        </w:tabs>
        <w:spacing w:before="0"/>
        <w:ind w:left="165" w:right="0" w:firstLine="0"/>
        <w:jc w:val="left"/>
        <w:rPr>
          <w:sz w:val="20"/>
        </w:rPr>
      </w:pPr>
      <w:bookmarkStart w:name="_bookmark1488" w:id="1490"/>
      <w:bookmarkEnd w:id="1490"/>
      <w:r>
        <w:rPr/>
      </w:r>
      <w:hyperlink w:history="true" w:anchor="_bookmark1449">
        <w:r>
          <w:rPr>
            <w:color w:val="005DA1"/>
            <w:spacing w:val="-4"/>
            <w:position w:val="5"/>
            <w:sz w:val="14"/>
            <w:u w:val="single" w:color="005DA1"/>
          </w:rPr>
          <w:t>781</w:t>
        </w:r>
      </w:hyperlink>
      <w:r>
        <w:rPr>
          <w:spacing w:val="-4"/>
          <w:position w:val="5"/>
          <w:sz w:val="14"/>
        </w:rPr>
        <w:t>.</w:t>
      </w:r>
      <w:r>
        <w:rPr>
          <w:position w:val="5"/>
          <w:sz w:val="14"/>
        </w:rPr>
        <w:tab/>
      </w:r>
      <w:r>
        <w:rPr>
          <w:rFonts w:ascii="Arial"/>
          <w:i/>
          <w:sz w:val="20"/>
        </w:rPr>
        <w:t>Brikom</w:t>
      </w:r>
      <w:r>
        <w:rPr>
          <w:rFonts w:ascii="Arial"/>
          <w:i/>
          <w:spacing w:val="-1"/>
          <w:sz w:val="20"/>
        </w:rPr>
        <w:t> </w:t>
      </w:r>
      <w:r>
        <w:rPr>
          <w:rFonts w:ascii="Arial"/>
          <w:i/>
          <w:sz w:val="20"/>
        </w:rPr>
        <w:t>Investments Ltd v Carr [1979] Q.B. 467</w:t>
      </w:r>
      <w:r>
        <w:rPr>
          <w:sz w:val="20"/>
        </w:rPr>
        <w:t>, as explained in para.4-081, </w:t>
      </w:r>
      <w:r>
        <w:rPr>
          <w:spacing w:val="-2"/>
          <w:sz w:val="20"/>
        </w:rPr>
        <w:t>above.</w:t>
      </w:r>
    </w:p>
    <w:p>
      <w:pPr>
        <w:pStyle w:val="BodyText"/>
        <w:spacing w:before="9"/>
      </w:pPr>
    </w:p>
    <w:p>
      <w:pPr>
        <w:spacing w:line="235" w:lineRule="auto" w:before="0"/>
        <w:ind w:left="705" w:right="167" w:hanging="541"/>
        <w:jc w:val="both"/>
        <w:rPr>
          <w:sz w:val="20"/>
        </w:rPr>
      </w:pPr>
      <w:bookmarkStart w:name="_bookmark1489" w:id="1491"/>
      <w:bookmarkEnd w:id="1491"/>
      <w:r>
        <w:rPr/>
      </w:r>
      <w:hyperlink w:history="true" w:anchor="_bookmark1450">
        <w:r>
          <w:rPr>
            <w:color w:val="005DA1"/>
            <w:position w:val="5"/>
            <w:sz w:val="14"/>
            <w:u w:val="single" w:color="005DA1"/>
          </w:rPr>
          <w:t>782</w:t>
        </w:r>
      </w:hyperlink>
      <w:r>
        <w:rPr>
          <w:position w:val="5"/>
          <w:sz w:val="14"/>
        </w:rPr>
        <w:t>.</w:t>
      </w:r>
      <w:r>
        <w:rPr>
          <w:spacing w:val="80"/>
          <w:position w:val="5"/>
          <w:sz w:val="14"/>
        </w:rPr>
        <w:t> </w:t>
      </w:r>
      <w:r>
        <w:rPr>
          <w:sz w:val="20"/>
        </w:rPr>
        <w:t>Provision for publicity and substantial agreement among creditors is made by Deeds </w:t>
      </w:r>
      <w:r>
        <w:rPr>
          <w:sz w:val="20"/>
        </w:rPr>
        <w:t>of Arrangement Act 1914 (repealed in part by Insolvency Act 1985, s.235 and Sch.10, Pt III, and amended by Insolvency Act 1986, s.439(2)). </w:t>
      </w:r>
      <w:r>
        <w:rPr>
          <w:rFonts w:ascii="Arial" w:hAnsi="Arial"/>
          <w:i/>
          <w:sz w:val="20"/>
        </w:rPr>
        <w:t>Oral </w:t>
      </w:r>
      <w:r>
        <w:rPr>
          <w:sz w:val="20"/>
        </w:rPr>
        <w:t>agreements are not caught by the 1914 Act: </w:t>
      </w:r>
      <w:r>
        <w:rPr>
          <w:rFonts w:ascii="Arial" w:hAnsi="Arial"/>
          <w:i/>
          <w:sz w:val="20"/>
        </w:rPr>
        <w:t>Hughes &amp; Falconer v Newton [1939] 3 All E.R. 869</w:t>
      </w:r>
      <w:r>
        <w:rPr>
          <w:sz w:val="20"/>
        </w:rPr>
        <w:t>. “Voluntary arrangements” under Insolvency Act 1986, Pts. I and VIII can, by virtue of ss.5(2) and 260(2), bind even a creditor who did not attend the meeting, or dissented from the proposal, “as if he were a party to the arrangement:” see </w:t>
      </w:r>
      <w:r>
        <w:rPr>
          <w:rFonts w:ascii="Arial" w:hAnsi="Arial"/>
          <w:i/>
          <w:sz w:val="20"/>
        </w:rPr>
        <w:t>Johnson v Davies [1999] Ch. 117 </w:t>
      </w:r>
      <w:r>
        <w:rPr>
          <w:sz w:val="20"/>
        </w:rPr>
        <w:t>at 138; cf. </w:t>
      </w:r>
      <w:r>
        <w:rPr>
          <w:rFonts w:ascii="Arial" w:hAnsi="Arial"/>
          <w:i/>
          <w:sz w:val="20"/>
        </w:rPr>
        <w:t>Re Cancol Ltd [1996] 1 All E.R. 37</w:t>
      </w:r>
      <w:r>
        <w:rPr>
          <w:sz w:val="20"/>
        </w:rPr>
        <w:t>. </w:t>
      </w:r>
      <w:r>
        <w:rPr>
          <w:rFonts w:ascii="Arial" w:hAnsi="Arial"/>
          <w:i/>
          <w:sz w:val="20"/>
        </w:rPr>
        <w:t>Re a Debtor (No.259 of 1990) [1992] 1 W.L.R. 226</w:t>
      </w:r>
      <w:r>
        <w:rPr>
          <w:sz w:val="20"/>
        </w:rPr>
        <w:t>.</w:t>
      </w:r>
    </w:p>
    <w:p>
      <w:pPr>
        <w:pStyle w:val="BodyText"/>
        <w:spacing w:before="7"/>
      </w:pPr>
    </w:p>
    <w:p>
      <w:pPr>
        <w:spacing w:line="235" w:lineRule="auto" w:before="0"/>
        <w:ind w:left="705" w:right="168" w:hanging="541"/>
        <w:jc w:val="both"/>
        <w:rPr>
          <w:sz w:val="20"/>
        </w:rPr>
      </w:pPr>
      <w:bookmarkStart w:name="_bookmark1490" w:id="1492"/>
      <w:bookmarkEnd w:id="1492"/>
      <w:r>
        <w:rPr/>
      </w:r>
      <w:hyperlink w:history="true" w:anchor="_bookmark1451">
        <w:r>
          <w:rPr>
            <w:color w:val="005DA1"/>
            <w:position w:val="5"/>
            <w:sz w:val="14"/>
            <w:u w:val="single" w:color="005DA1"/>
          </w:rPr>
          <w:t>783</w:t>
        </w:r>
      </w:hyperlink>
      <w:r>
        <w:rPr>
          <w:position w:val="5"/>
          <w:sz w:val="14"/>
        </w:rPr>
        <w:t>.</w:t>
      </w:r>
      <w:r>
        <w:rPr>
          <w:spacing w:val="80"/>
          <w:position w:val="5"/>
          <w:sz w:val="14"/>
        </w:rPr>
        <w:t>  </w:t>
      </w:r>
      <w:r>
        <w:rPr>
          <w:rFonts w:ascii="Arial"/>
          <w:i/>
          <w:sz w:val="20"/>
        </w:rPr>
        <w:t>Good v Cheesman (1831) 2 B. &amp; Ad. 328</w:t>
      </w:r>
      <w:r>
        <w:rPr>
          <w:sz w:val="20"/>
        </w:rPr>
        <w:t>; </w:t>
      </w:r>
      <w:r>
        <w:rPr>
          <w:rFonts w:ascii="Arial"/>
          <w:i/>
          <w:sz w:val="20"/>
        </w:rPr>
        <w:t>Boyd v Hind (1857) 1 H. &amp; N. 938</w:t>
      </w:r>
      <w:r>
        <w:rPr>
          <w:sz w:val="20"/>
        </w:rPr>
        <w:t>; an </w:t>
      </w:r>
      <w:r>
        <w:rPr>
          <w:rFonts w:ascii="Arial"/>
          <w:i/>
          <w:sz w:val="20"/>
        </w:rPr>
        <w:t>agreement </w:t>
      </w:r>
      <w:r>
        <w:rPr>
          <w:sz w:val="20"/>
        </w:rPr>
        <w:t>to pay a dividend may, if the parties so intend, operate as satisfaction: </w:t>
      </w:r>
      <w:r>
        <w:rPr>
          <w:rFonts w:ascii="Arial"/>
          <w:i/>
          <w:sz w:val="20"/>
        </w:rPr>
        <w:t>Bradley v Gregory (1810) 2 Camp. 383</w:t>
      </w:r>
      <w:r>
        <w:rPr>
          <w:sz w:val="20"/>
        </w:rPr>
        <w:t>.</w:t>
      </w:r>
    </w:p>
    <w:p>
      <w:pPr>
        <w:pStyle w:val="BodyText"/>
        <w:spacing w:before="5"/>
      </w:pPr>
    </w:p>
    <w:p>
      <w:pPr>
        <w:tabs>
          <w:tab w:pos="705" w:val="left" w:leader="none"/>
        </w:tabs>
        <w:spacing w:before="0"/>
        <w:ind w:left="165" w:right="0" w:firstLine="0"/>
        <w:jc w:val="left"/>
        <w:rPr>
          <w:sz w:val="20"/>
        </w:rPr>
      </w:pPr>
      <w:bookmarkStart w:name="_bookmark1491" w:id="1493"/>
      <w:bookmarkEnd w:id="1493"/>
      <w:r>
        <w:rPr/>
      </w:r>
      <w:hyperlink w:history="true" w:anchor="_bookmark1451">
        <w:r>
          <w:rPr>
            <w:color w:val="005DA1"/>
            <w:spacing w:val="-4"/>
            <w:position w:val="5"/>
            <w:sz w:val="14"/>
            <w:u w:val="single" w:color="005DA1"/>
          </w:rPr>
          <w:t>784</w:t>
        </w:r>
      </w:hyperlink>
      <w:r>
        <w:rPr>
          <w:spacing w:val="-4"/>
          <w:position w:val="5"/>
          <w:sz w:val="14"/>
        </w:rPr>
        <w:t>.</w:t>
      </w:r>
      <w:r>
        <w:rPr>
          <w:position w:val="5"/>
          <w:sz w:val="14"/>
        </w:rPr>
        <w:tab/>
      </w:r>
      <w:r>
        <w:rPr>
          <w:rFonts w:ascii="Arial"/>
          <w:i/>
          <w:sz w:val="20"/>
        </w:rPr>
        <w:t>(1894)</w:t>
      </w:r>
      <w:r>
        <w:rPr>
          <w:rFonts w:ascii="Arial"/>
          <w:i/>
          <w:spacing w:val="-1"/>
          <w:sz w:val="20"/>
        </w:rPr>
        <w:t> </w:t>
      </w:r>
      <w:r>
        <w:rPr>
          <w:rFonts w:ascii="Arial"/>
          <w:i/>
          <w:sz w:val="20"/>
        </w:rPr>
        <w:t>9 App. Cas. 605</w:t>
      </w:r>
      <w:r>
        <w:rPr>
          <w:sz w:val="20"/>
        </w:rPr>
        <w:t>; above, para.4-</w:t>
      </w:r>
      <w:r>
        <w:rPr>
          <w:spacing w:val="-4"/>
          <w:sz w:val="20"/>
        </w:rPr>
        <w:t>117.</w:t>
      </w:r>
    </w:p>
    <w:p>
      <w:pPr>
        <w:pStyle w:val="BodyText"/>
        <w:spacing w:before="5"/>
      </w:pPr>
    </w:p>
    <w:p>
      <w:pPr>
        <w:tabs>
          <w:tab w:pos="705" w:val="left" w:leader="none"/>
        </w:tabs>
        <w:spacing w:before="0"/>
        <w:ind w:left="165" w:right="0" w:firstLine="0"/>
        <w:jc w:val="left"/>
        <w:rPr>
          <w:sz w:val="20"/>
        </w:rPr>
      </w:pPr>
      <w:bookmarkStart w:name="_bookmark1492" w:id="1494"/>
      <w:bookmarkEnd w:id="1494"/>
      <w:r>
        <w:rPr/>
      </w:r>
      <w:hyperlink w:history="true" w:anchor="_bookmark1452">
        <w:r>
          <w:rPr>
            <w:color w:val="005DA1"/>
            <w:spacing w:val="-4"/>
            <w:position w:val="5"/>
            <w:sz w:val="14"/>
            <w:u w:val="single" w:color="005DA1"/>
          </w:rPr>
          <w:t>785</w:t>
        </w:r>
      </w:hyperlink>
      <w:r>
        <w:rPr>
          <w:spacing w:val="-4"/>
          <w:position w:val="5"/>
          <w:sz w:val="14"/>
        </w:rPr>
        <w:t>.</w:t>
      </w:r>
      <w:r>
        <w:rPr>
          <w:position w:val="5"/>
          <w:sz w:val="14"/>
        </w:rPr>
        <w:tab/>
      </w:r>
      <w:r>
        <w:rPr>
          <w:rFonts w:ascii="Arial"/>
          <w:i/>
          <w:sz w:val="20"/>
        </w:rPr>
        <w:t>Wood</w:t>
      </w:r>
      <w:r>
        <w:rPr>
          <w:rFonts w:ascii="Arial"/>
          <w:i/>
          <w:spacing w:val="-1"/>
          <w:sz w:val="20"/>
        </w:rPr>
        <w:t> </w:t>
      </w:r>
      <w:r>
        <w:rPr>
          <w:rFonts w:ascii="Arial"/>
          <w:i/>
          <w:sz w:val="20"/>
        </w:rPr>
        <w:t>v Roberts (1818) 2 Stark. 417</w:t>
      </w:r>
      <w:r>
        <w:rPr>
          <w:sz w:val="20"/>
        </w:rPr>
        <w:t>; </w:t>
      </w:r>
      <w:r>
        <w:rPr>
          <w:rFonts w:ascii="Arial"/>
          <w:i/>
          <w:sz w:val="20"/>
        </w:rPr>
        <w:t>Cook v Lister (1863) 13 C.B.(N.S.) 543, </w:t>
      </w:r>
      <w:r>
        <w:rPr>
          <w:rFonts w:ascii="Arial"/>
          <w:i/>
          <w:spacing w:val="-4"/>
          <w:sz w:val="20"/>
        </w:rPr>
        <w:t>595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93" w:id="1495"/>
      <w:bookmarkEnd w:id="1495"/>
      <w:r>
        <w:rPr/>
      </w:r>
      <w:hyperlink w:history="true" w:anchor="_bookmark1453">
        <w:r>
          <w:rPr>
            <w:color w:val="005DA1"/>
            <w:spacing w:val="-4"/>
            <w:position w:val="5"/>
            <w:sz w:val="14"/>
            <w:u w:val="single" w:color="005DA1"/>
          </w:rPr>
          <w:t>786</w:t>
        </w:r>
      </w:hyperlink>
      <w:r>
        <w:rPr>
          <w:spacing w:val="-4"/>
          <w:position w:val="5"/>
          <w:sz w:val="14"/>
        </w:rPr>
        <w:t>.</w:t>
      </w:r>
      <w:r>
        <w:rPr>
          <w:position w:val="5"/>
          <w:sz w:val="14"/>
        </w:rPr>
        <w:tab/>
      </w:r>
      <w:r>
        <w:rPr>
          <w:rFonts w:ascii="Arial"/>
          <w:i/>
          <w:sz w:val="20"/>
        </w:rPr>
        <w:t>Boothbey v Snowden (1812) 3 Camp. </w:t>
      </w:r>
      <w:r>
        <w:rPr>
          <w:rFonts w:ascii="Arial"/>
          <w:i/>
          <w:spacing w:val="-4"/>
          <w:sz w:val="20"/>
        </w:rPr>
        <w:t>175</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494" w:id="1496"/>
      <w:bookmarkEnd w:id="1496"/>
      <w:r>
        <w:rPr/>
      </w:r>
      <w:hyperlink w:history="true" w:anchor="_bookmark1454">
        <w:r>
          <w:rPr>
            <w:color w:val="005DA1"/>
            <w:spacing w:val="-4"/>
            <w:position w:val="5"/>
            <w:sz w:val="14"/>
            <w:u w:val="single" w:color="005DA1"/>
          </w:rPr>
          <w:t>787</w:t>
        </w:r>
      </w:hyperlink>
      <w:r>
        <w:rPr>
          <w:spacing w:val="-4"/>
          <w:position w:val="5"/>
          <w:sz w:val="14"/>
        </w:rPr>
        <w:t>.</w:t>
      </w:r>
      <w:r>
        <w:rPr>
          <w:position w:val="5"/>
          <w:sz w:val="14"/>
        </w:rPr>
        <w:tab/>
      </w:r>
      <w:r>
        <w:rPr>
          <w:sz w:val="20"/>
        </w:rPr>
        <w:t>As in </w:t>
      </w:r>
      <w:r>
        <w:rPr>
          <w:rFonts w:ascii="Arial"/>
          <w:i/>
          <w:sz w:val="20"/>
        </w:rPr>
        <w:t>Good v Cheesman (1831) 2 B. &amp; Ad. 328 </w:t>
      </w:r>
      <w:r>
        <w:rPr>
          <w:sz w:val="20"/>
        </w:rPr>
        <w:t>where the debtor also made an assignment </w:t>
      </w:r>
      <w:r>
        <w:rPr>
          <w:sz w:val="20"/>
        </w:rPr>
        <w:t>for the benefit of his creditors.</w:t>
      </w:r>
    </w:p>
    <w:p>
      <w:pPr>
        <w:pStyle w:val="BodyText"/>
        <w:spacing w:before="9"/>
      </w:pPr>
    </w:p>
    <w:p>
      <w:pPr>
        <w:pStyle w:val="BodyText"/>
        <w:spacing w:line="235" w:lineRule="auto"/>
        <w:ind w:left="705" w:right="167" w:hanging="541"/>
        <w:jc w:val="both"/>
      </w:pPr>
      <w:bookmarkStart w:name="_bookmark1495" w:id="1497"/>
      <w:bookmarkEnd w:id="1497"/>
      <w:r>
        <w:rPr/>
      </w:r>
      <w:hyperlink w:history="true" w:anchor="_bookmark1455">
        <w:r>
          <w:rPr>
            <w:color w:val="005DA1"/>
            <w:position w:val="5"/>
            <w:sz w:val="14"/>
            <w:u w:val="single" w:color="005DA1"/>
          </w:rPr>
          <w:t>788</w:t>
        </w:r>
      </w:hyperlink>
      <w:r>
        <w:rPr>
          <w:position w:val="5"/>
          <w:sz w:val="14"/>
        </w:rPr>
        <w:t>.</w:t>
      </w:r>
      <w:r>
        <w:rPr>
          <w:spacing w:val="80"/>
          <w:w w:val="150"/>
          <w:position w:val="5"/>
          <w:sz w:val="14"/>
        </w:rPr>
        <w:t> </w:t>
      </w:r>
      <w:r>
        <w:rPr/>
        <w:t>In </w:t>
      </w:r>
      <w:r>
        <w:rPr>
          <w:rFonts w:ascii="Arial" w:hAnsi="Arial"/>
          <w:i/>
        </w:rPr>
        <w:t>West Yorkshire Darracq Agency Ltd v Coleridge [1911] 2 K.B. 326</w:t>
      </w:r>
      <w:r>
        <w:rPr/>
        <w:t>, the same principle was applied although the creditors got nothing; but it is hard to see how this application of the </w:t>
      </w:r>
      <w:r>
        <w:rPr/>
        <w:t>rule can be justified: above, para.4-038, n.236. Even in such a case, the debtor may get the benefit of the agreement if, when he is sued by one creditor, the other (or others) can intervene to stay the action: see </w:t>
      </w:r>
      <w:r>
        <w:rPr>
          <w:rFonts w:ascii="Arial" w:hAnsi="Arial"/>
          <w:i/>
        </w:rPr>
        <w:t>Snelling v John G. Snelling [1973] 1 Q.B. 87</w:t>
      </w:r>
      <w:r>
        <w:rPr/>
        <w:t>, below, para.18-073. The debtor</w:t>
      </w:r>
      <w:r>
        <w:rPr>
          <w:spacing w:val="40"/>
        </w:rPr>
        <w:t> </w:t>
      </w:r>
      <w:r>
        <w:rPr/>
        <w:t>will not, however, be able to avoid the requirement of consideration by relying on the Contracts (Rights of Third Parties) Act 1999 since this applies only in favour of “a person who is </w:t>
      </w:r>
      <w:r>
        <w:rPr>
          <w:rFonts w:ascii="Arial" w:hAnsi="Arial"/>
          <w:i/>
        </w:rPr>
        <w:t>not </w:t>
      </w:r>
      <w:r>
        <w:rPr/>
        <w:t>a party” to the contract (s.1(1)); and in the case of a composition agreement the debtor typically </w:t>
      </w:r>
      <w:r>
        <w:rPr>
          <w:rFonts w:ascii="Arial" w:hAnsi="Arial"/>
          <w:i/>
        </w:rPr>
        <w:t>will </w:t>
      </w:r>
      <w:r>
        <w:rPr/>
        <w:t>be a party.</w:t>
      </w:r>
    </w:p>
    <w:p>
      <w:pPr>
        <w:pStyle w:val="BodyText"/>
        <w:spacing w:before="3"/>
      </w:pPr>
    </w:p>
    <w:p>
      <w:pPr>
        <w:tabs>
          <w:tab w:pos="705" w:val="left" w:leader="none"/>
        </w:tabs>
        <w:spacing w:line="227" w:lineRule="exact" w:before="0"/>
        <w:ind w:left="165" w:right="0" w:firstLine="0"/>
        <w:jc w:val="left"/>
        <w:rPr>
          <w:rFonts w:ascii="Arial"/>
          <w:i/>
          <w:sz w:val="20"/>
        </w:rPr>
      </w:pPr>
      <w:bookmarkStart w:name="_bookmark1496" w:id="1498"/>
      <w:bookmarkEnd w:id="1498"/>
      <w:r>
        <w:rPr/>
      </w:r>
      <w:hyperlink w:history="true" w:anchor="_bookmark1456">
        <w:r>
          <w:rPr>
            <w:color w:val="005DA1"/>
            <w:spacing w:val="-4"/>
            <w:position w:val="5"/>
            <w:sz w:val="14"/>
            <w:u w:val="single" w:color="005DA1"/>
          </w:rPr>
          <w:t>789</w:t>
        </w:r>
      </w:hyperlink>
      <w:r>
        <w:rPr>
          <w:spacing w:val="-4"/>
          <w:position w:val="5"/>
          <w:sz w:val="14"/>
        </w:rPr>
        <w:t>.</w:t>
      </w:r>
      <w:r>
        <w:rPr>
          <w:position w:val="5"/>
          <w:sz w:val="14"/>
        </w:rPr>
        <w:tab/>
      </w:r>
      <w:r>
        <w:rPr>
          <w:rFonts w:ascii="Arial"/>
          <w:i/>
          <w:sz w:val="20"/>
        </w:rPr>
        <w:t>Welby</w:t>
      </w:r>
      <w:r>
        <w:rPr>
          <w:rFonts w:ascii="Arial"/>
          <w:i/>
          <w:spacing w:val="21"/>
          <w:sz w:val="20"/>
        </w:rPr>
        <w:t> </w:t>
      </w:r>
      <w:r>
        <w:rPr>
          <w:rFonts w:ascii="Arial"/>
          <w:i/>
          <w:sz w:val="20"/>
        </w:rPr>
        <w:t>v</w:t>
      </w:r>
      <w:r>
        <w:rPr>
          <w:rFonts w:ascii="Arial"/>
          <w:i/>
          <w:spacing w:val="22"/>
          <w:sz w:val="20"/>
        </w:rPr>
        <w:t> </w:t>
      </w:r>
      <w:r>
        <w:rPr>
          <w:rFonts w:ascii="Arial"/>
          <w:i/>
          <w:sz w:val="20"/>
        </w:rPr>
        <w:t>Drake</w:t>
      </w:r>
      <w:r>
        <w:rPr>
          <w:rFonts w:ascii="Arial"/>
          <w:i/>
          <w:spacing w:val="22"/>
          <w:sz w:val="20"/>
        </w:rPr>
        <w:t> </w:t>
      </w:r>
      <w:r>
        <w:rPr>
          <w:rFonts w:ascii="Arial"/>
          <w:i/>
          <w:sz w:val="20"/>
        </w:rPr>
        <w:t>(1825)</w:t>
      </w:r>
      <w:r>
        <w:rPr>
          <w:rFonts w:ascii="Arial"/>
          <w:i/>
          <w:spacing w:val="22"/>
          <w:sz w:val="20"/>
        </w:rPr>
        <w:t> </w:t>
      </w:r>
      <w:r>
        <w:rPr>
          <w:rFonts w:ascii="Arial"/>
          <w:i/>
          <w:sz w:val="20"/>
        </w:rPr>
        <w:t>1</w:t>
      </w:r>
      <w:r>
        <w:rPr>
          <w:rFonts w:ascii="Arial"/>
          <w:i/>
          <w:spacing w:val="22"/>
          <w:sz w:val="20"/>
        </w:rPr>
        <w:t> </w:t>
      </w:r>
      <w:r>
        <w:rPr>
          <w:rFonts w:ascii="Arial"/>
          <w:i/>
          <w:sz w:val="20"/>
        </w:rPr>
        <w:t>C.&amp;P.</w:t>
      </w:r>
      <w:r>
        <w:rPr>
          <w:rFonts w:ascii="Arial"/>
          <w:i/>
          <w:spacing w:val="22"/>
          <w:sz w:val="20"/>
        </w:rPr>
        <w:t> </w:t>
      </w:r>
      <w:r>
        <w:rPr>
          <w:rFonts w:ascii="Arial"/>
          <w:i/>
          <w:sz w:val="20"/>
        </w:rPr>
        <w:t>557</w:t>
      </w:r>
      <w:r>
        <w:rPr>
          <w:sz w:val="20"/>
        </w:rPr>
        <w:t>;</w:t>
      </w:r>
      <w:r>
        <w:rPr>
          <w:spacing w:val="22"/>
          <w:sz w:val="20"/>
        </w:rPr>
        <w:t> </w:t>
      </w:r>
      <w:r>
        <w:rPr>
          <w:rFonts w:ascii="Arial"/>
          <w:i/>
          <w:sz w:val="20"/>
        </w:rPr>
        <w:t>Cook</w:t>
      </w:r>
      <w:r>
        <w:rPr>
          <w:rFonts w:ascii="Arial"/>
          <w:i/>
          <w:spacing w:val="22"/>
          <w:sz w:val="20"/>
        </w:rPr>
        <w:t> </w:t>
      </w:r>
      <w:r>
        <w:rPr>
          <w:rFonts w:ascii="Arial"/>
          <w:i/>
          <w:sz w:val="20"/>
        </w:rPr>
        <w:t>v</w:t>
      </w:r>
      <w:r>
        <w:rPr>
          <w:rFonts w:ascii="Arial"/>
          <w:i/>
          <w:spacing w:val="22"/>
          <w:sz w:val="20"/>
        </w:rPr>
        <w:t> </w:t>
      </w:r>
      <w:r>
        <w:rPr>
          <w:rFonts w:ascii="Arial"/>
          <w:i/>
          <w:sz w:val="20"/>
        </w:rPr>
        <w:t>Lister</w:t>
      </w:r>
      <w:r>
        <w:rPr>
          <w:rFonts w:ascii="Arial"/>
          <w:i/>
          <w:spacing w:val="22"/>
          <w:sz w:val="20"/>
        </w:rPr>
        <w:t> </w:t>
      </w:r>
      <w:r>
        <w:rPr>
          <w:rFonts w:ascii="Arial"/>
          <w:i/>
          <w:sz w:val="20"/>
        </w:rPr>
        <w:t>(1863)</w:t>
      </w:r>
      <w:r>
        <w:rPr>
          <w:rFonts w:ascii="Arial"/>
          <w:i/>
          <w:spacing w:val="22"/>
          <w:sz w:val="20"/>
        </w:rPr>
        <w:t> </w:t>
      </w:r>
      <w:r>
        <w:rPr>
          <w:rFonts w:ascii="Arial"/>
          <w:i/>
          <w:sz w:val="20"/>
        </w:rPr>
        <w:t>13</w:t>
      </w:r>
      <w:r>
        <w:rPr>
          <w:rFonts w:ascii="Arial"/>
          <w:i/>
          <w:spacing w:val="22"/>
          <w:sz w:val="20"/>
        </w:rPr>
        <w:t> </w:t>
      </w:r>
      <w:r>
        <w:rPr>
          <w:rFonts w:ascii="Arial"/>
          <w:i/>
          <w:sz w:val="20"/>
        </w:rPr>
        <w:t>C.B.N.S.</w:t>
      </w:r>
      <w:r>
        <w:rPr>
          <w:rFonts w:ascii="Arial"/>
          <w:i/>
          <w:spacing w:val="22"/>
          <w:sz w:val="20"/>
        </w:rPr>
        <w:t> </w:t>
      </w:r>
      <w:r>
        <w:rPr>
          <w:rFonts w:ascii="Arial"/>
          <w:i/>
          <w:sz w:val="20"/>
        </w:rPr>
        <w:t>543</w:t>
      </w:r>
      <w:r>
        <w:rPr>
          <w:rFonts w:ascii="Arial"/>
          <w:i/>
          <w:spacing w:val="22"/>
          <w:sz w:val="20"/>
        </w:rPr>
        <w:t> </w:t>
      </w:r>
      <w:r>
        <w:rPr>
          <w:sz w:val="20"/>
        </w:rPr>
        <w:t>at</w:t>
      </w:r>
      <w:r>
        <w:rPr>
          <w:spacing w:val="22"/>
          <w:sz w:val="20"/>
        </w:rPr>
        <w:t> </w:t>
      </w:r>
      <w:r>
        <w:rPr>
          <w:sz w:val="20"/>
        </w:rPr>
        <w:t>595;</w:t>
      </w:r>
      <w:r>
        <w:rPr>
          <w:spacing w:val="22"/>
          <w:sz w:val="20"/>
        </w:rPr>
        <w:t> </w:t>
      </w:r>
      <w:r>
        <w:rPr>
          <w:rFonts w:ascii="Arial"/>
          <w:i/>
          <w:sz w:val="20"/>
        </w:rPr>
        <w:t>Bracken</w:t>
      </w:r>
      <w:r>
        <w:rPr>
          <w:rFonts w:ascii="Arial"/>
          <w:i/>
          <w:spacing w:val="22"/>
          <w:sz w:val="20"/>
        </w:rPr>
        <w:t> </w:t>
      </w:r>
      <w:r>
        <w:rPr>
          <w:rFonts w:ascii="Arial"/>
          <w:i/>
          <w:spacing w:val="-10"/>
          <w:sz w:val="20"/>
        </w:rPr>
        <w:t>v</w:t>
      </w:r>
    </w:p>
    <w:p>
      <w:pPr>
        <w:spacing w:line="227" w:lineRule="exact" w:before="0"/>
        <w:ind w:left="705" w:right="0" w:firstLine="0"/>
        <w:jc w:val="left"/>
        <w:rPr>
          <w:sz w:val="20"/>
        </w:rPr>
      </w:pPr>
      <w:r>
        <w:rPr>
          <w:rFonts w:ascii="Arial"/>
          <w:i/>
          <w:sz w:val="20"/>
        </w:rPr>
        <w:t>Billingshurst [2003] EWHC 1333 (TCC); [2003] All E.R. (D) 488 </w:t>
      </w:r>
      <w:r>
        <w:rPr>
          <w:rFonts w:ascii="Arial"/>
          <w:i/>
          <w:spacing w:val="-2"/>
          <w:sz w:val="20"/>
        </w:rPr>
        <w:t>(Jul)</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497" w:id="1499"/>
      <w:bookmarkEnd w:id="1499"/>
      <w:r>
        <w:rPr/>
      </w:r>
      <w:hyperlink w:history="true" w:anchor="_bookmark1457">
        <w:r>
          <w:rPr>
            <w:color w:val="005DA1"/>
            <w:spacing w:val="-4"/>
            <w:position w:val="5"/>
            <w:sz w:val="14"/>
            <w:u w:val="single" w:color="005DA1"/>
          </w:rPr>
          <w:t>790</w:t>
        </w:r>
      </w:hyperlink>
      <w:r>
        <w:rPr>
          <w:spacing w:val="-4"/>
          <w:position w:val="5"/>
          <w:sz w:val="14"/>
        </w:rPr>
        <w:t>.</w:t>
      </w:r>
      <w:r>
        <w:rPr>
          <w:position w:val="5"/>
          <w:sz w:val="14"/>
        </w:rPr>
        <w:tab/>
      </w:r>
      <w:r>
        <w:rPr>
          <w:sz w:val="20"/>
        </w:rPr>
        <w:t>As</w:t>
      </w:r>
      <w:r>
        <w:rPr>
          <w:spacing w:val="-1"/>
          <w:sz w:val="20"/>
        </w:rPr>
        <w:t> </w:t>
      </w:r>
      <w:r>
        <w:rPr>
          <w:sz w:val="20"/>
        </w:rPr>
        <w:t>in</w:t>
      </w:r>
      <w:r>
        <w:rPr>
          <w:spacing w:val="-1"/>
          <w:sz w:val="20"/>
        </w:rPr>
        <w:t> </w:t>
      </w:r>
      <w:r>
        <w:rPr>
          <w:rFonts w:ascii="Arial"/>
          <w:i/>
          <w:sz w:val="20"/>
        </w:rPr>
        <w:t>Hirachand Punamchand v Temple [1911] 2 K.B. 339</w:t>
      </w:r>
      <w:r>
        <w:rPr>
          <w:sz w:val="20"/>
        </w:rPr>
        <w:t>, below at </w:t>
      </w:r>
      <w:r>
        <w:rPr>
          <w:spacing w:val="-2"/>
          <w:sz w:val="20"/>
        </w:rPr>
        <w:t>n.749.</w:t>
      </w:r>
    </w:p>
    <w:p>
      <w:pPr>
        <w:pStyle w:val="BodyText"/>
        <w:spacing w:before="5"/>
      </w:pPr>
    </w:p>
    <w:p>
      <w:pPr>
        <w:pStyle w:val="BodyText"/>
        <w:tabs>
          <w:tab w:pos="705" w:val="left" w:leader="none"/>
        </w:tabs>
        <w:ind w:left="165"/>
      </w:pPr>
      <w:bookmarkStart w:name="_bookmark1498" w:id="1500"/>
      <w:bookmarkEnd w:id="1500"/>
      <w:r>
        <w:rPr/>
      </w:r>
      <w:hyperlink w:history="true" w:anchor="_bookmark1458">
        <w:r>
          <w:rPr>
            <w:color w:val="005DA1"/>
            <w:spacing w:val="-4"/>
            <w:position w:val="5"/>
            <w:sz w:val="14"/>
            <w:u w:val="single" w:color="005DA1"/>
          </w:rPr>
          <w:t>791</w:t>
        </w:r>
      </w:hyperlink>
      <w:r>
        <w:rPr>
          <w:spacing w:val="-4"/>
          <w:position w:val="5"/>
          <w:sz w:val="14"/>
        </w:rPr>
        <w:t>.</w:t>
      </w:r>
      <w:r>
        <w:rPr>
          <w:position w:val="5"/>
          <w:sz w:val="14"/>
        </w:rPr>
        <w:tab/>
      </w:r>
      <w:r>
        <w:rPr/>
        <w:t>See the first two cases cited in n.744, </w:t>
      </w:r>
      <w:r>
        <w:rPr>
          <w:spacing w:val="-2"/>
        </w:rPr>
        <w:t>above.</w:t>
      </w:r>
    </w:p>
    <w:p>
      <w:pPr>
        <w:pStyle w:val="BodyText"/>
        <w:spacing w:before="5"/>
      </w:pPr>
    </w:p>
    <w:p>
      <w:pPr>
        <w:tabs>
          <w:tab w:pos="705" w:val="left" w:leader="none"/>
        </w:tabs>
        <w:spacing w:before="0"/>
        <w:ind w:left="165" w:right="0" w:firstLine="0"/>
        <w:jc w:val="left"/>
        <w:rPr>
          <w:sz w:val="20"/>
        </w:rPr>
      </w:pPr>
      <w:bookmarkStart w:name="_bookmark1499" w:id="1501"/>
      <w:bookmarkEnd w:id="1501"/>
      <w:r>
        <w:rPr/>
      </w:r>
      <w:hyperlink w:history="true" w:anchor="_bookmark1459">
        <w:r>
          <w:rPr>
            <w:color w:val="005DA1"/>
            <w:spacing w:val="-4"/>
            <w:position w:val="5"/>
            <w:sz w:val="14"/>
            <w:u w:val="single" w:color="005DA1"/>
          </w:rPr>
          <w:t>792</w:t>
        </w:r>
      </w:hyperlink>
      <w:r>
        <w:rPr>
          <w:spacing w:val="-4"/>
          <w:position w:val="5"/>
          <w:sz w:val="14"/>
        </w:rPr>
        <w:t>.</w:t>
      </w:r>
      <w:r>
        <w:rPr>
          <w:position w:val="5"/>
          <w:sz w:val="14"/>
        </w:rPr>
        <w:tab/>
      </w:r>
      <w:r>
        <w:rPr>
          <w:sz w:val="20"/>
        </w:rPr>
        <w:t>Below, para.7-</w:t>
      </w:r>
      <w:r>
        <w:rPr>
          <w:spacing w:val="-4"/>
          <w:sz w:val="20"/>
        </w:rPr>
        <w:t>008.</w:t>
      </w:r>
    </w:p>
    <w:p>
      <w:pPr>
        <w:spacing w:after="0"/>
        <w:jc w:val="left"/>
        <w:rPr>
          <w:sz w:val="20"/>
        </w:rPr>
        <w:sectPr>
          <w:pgSz w:w="11900" w:h="16840"/>
          <w:pgMar w:header="971" w:footer="0" w:top="1160" w:bottom="280" w:left="1275" w:right="1275"/>
        </w:sectPr>
      </w:pPr>
    </w:p>
    <w:p>
      <w:pPr>
        <w:pStyle w:val="BodyText"/>
        <w:spacing w:before="84"/>
      </w:pPr>
    </w:p>
    <w:p>
      <w:pPr>
        <w:tabs>
          <w:tab w:pos="705" w:val="left" w:leader="none"/>
        </w:tabs>
        <w:spacing w:line="235" w:lineRule="auto" w:before="1"/>
        <w:ind w:left="705" w:right="168" w:hanging="541"/>
        <w:jc w:val="left"/>
        <w:rPr>
          <w:sz w:val="20"/>
        </w:rPr>
      </w:pPr>
      <w:hyperlink w:history="true" w:anchor="_bookmark1460">
        <w:r>
          <w:rPr>
            <w:color w:val="005DA1"/>
            <w:spacing w:val="-4"/>
            <w:position w:val="5"/>
            <w:sz w:val="14"/>
            <w:u w:val="single" w:color="005DA1"/>
          </w:rPr>
          <w:t>793</w:t>
        </w:r>
      </w:hyperlink>
      <w:r>
        <w:rPr>
          <w:spacing w:val="-4"/>
          <w:position w:val="5"/>
          <w:sz w:val="14"/>
        </w:rPr>
        <w:t>.</w:t>
      </w:r>
      <w:r>
        <w:rPr>
          <w:position w:val="5"/>
          <w:sz w:val="14"/>
        </w:rPr>
        <w:tab/>
      </w:r>
      <w:r>
        <w:rPr>
          <w:sz w:val="20"/>
        </w:rPr>
        <w:t>See </w:t>
      </w:r>
      <w:r>
        <w:rPr>
          <w:rFonts w:ascii="Arial"/>
          <w:i/>
          <w:sz w:val="20"/>
        </w:rPr>
        <w:t>Snelling v John G. Snelling Ltd [1973] 1 Q.B. 87 </w:t>
      </w:r>
      <w:r>
        <w:rPr>
          <w:sz w:val="20"/>
        </w:rPr>
        <w:t>(below, para.18-072), distinguishing </w:t>
      </w:r>
      <w:r>
        <w:rPr>
          <w:rFonts w:ascii="Arial"/>
          <w:i/>
          <w:sz w:val="20"/>
        </w:rPr>
        <w:t>Gore v Van der Lann [1967] 2 Q.B. 31 </w:t>
      </w:r>
      <w:r>
        <w:rPr>
          <w:sz w:val="20"/>
        </w:rPr>
        <w:t>where no promise was made not to sue C.</w:t>
      </w:r>
    </w:p>
    <w:p>
      <w:pPr>
        <w:pStyle w:val="BodyText"/>
        <w:spacing w:before="5"/>
      </w:pPr>
    </w:p>
    <w:p>
      <w:pPr>
        <w:tabs>
          <w:tab w:pos="705" w:val="left" w:leader="none"/>
        </w:tabs>
        <w:spacing w:before="0"/>
        <w:ind w:left="165" w:right="0" w:firstLine="0"/>
        <w:jc w:val="left"/>
        <w:rPr>
          <w:sz w:val="20"/>
        </w:rPr>
      </w:pPr>
      <w:bookmarkStart w:name="_bookmark1500" w:id="1502"/>
      <w:bookmarkEnd w:id="1502"/>
      <w:r>
        <w:rPr/>
      </w:r>
      <w:hyperlink w:history="true" w:anchor="_bookmark1461">
        <w:r>
          <w:rPr>
            <w:color w:val="005DA1"/>
            <w:spacing w:val="-4"/>
            <w:position w:val="5"/>
            <w:sz w:val="14"/>
            <w:u w:val="single" w:color="005DA1"/>
          </w:rPr>
          <w:t>794</w:t>
        </w:r>
      </w:hyperlink>
      <w:r>
        <w:rPr>
          <w:spacing w:val="-4"/>
          <w:position w:val="5"/>
          <w:sz w:val="14"/>
        </w:rPr>
        <w:t>.</w:t>
      </w:r>
      <w:r>
        <w:rPr>
          <w:position w:val="5"/>
          <w:sz w:val="14"/>
        </w:rPr>
        <w:tab/>
      </w:r>
      <w:r>
        <w:rPr>
          <w:rFonts w:ascii="Arial"/>
          <w:i/>
          <w:sz w:val="20"/>
        </w:rPr>
        <w:t>[1911]</w:t>
      </w:r>
      <w:r>
        <w:rPr>
          <w:rFonts w:ascii="Arial"/>
          <w:i/>
          <w:spacing w:val="-2"/>
          <w:sz w:val="20"/>
        </w:rPr>
        <w:t> </w:t>
      </w:r>
      <w:r>
        <w:rPr>
          <w:rFonts w:ascii="Arial"/>
          <w:i/>
          <w:sz w:val="20"/>
        </w:rPr>
        <w:t>2 K.B. </w:t>
      </w:r>
      <w:r>
        <w:rPr>
          <w:rFonts w:ascii="Arial"/>
          <w:i/>
          <w:spacing w:val="-4"/>
          <w:sz w:val="20"/>
        </w:rPr>
        <w:t>330</w:t>
      </w:r>
      <w:r>
        <w:rPr>
          <w:spacing w:val="-4"/>
          <w:sz w:val="20"/>
        </w:rPr>
        <w:t>.</w:t>
      </w:r>
    </w:p>
    <w:p>
      <w:pPr>
        <w:pStyle w:val="BodyText"/>
        <w:spacing w:before="9"/>
      </w:pPr>
    </w:p>
    <w:p>
      <w:pPr>
        <w:pStyle w:val="BodyText"/>
        <w:spacing w:line="235" w:lineRule="auto"/>
        <w:ind w:left="705" w:right="167" w:hanging="541"/>
        <w:jc w:val="both"/>
      </w:pPr>
      <w:bookmarkStart w:name="_bookmark1501" w:id="1503"/>
      <w:bookmarkEnd w:id="1503"/>
      <w:r>
        <w:rPr/>
      </w:r>
      <w:hyperlink w:history="true" w:anchor="_bookmark1462">
        <w:r>
          <w:rPr>
            <w:color w:val="005DA1"/>
            <w:position w:val="5"/>
            <w:sz w:val="14"/>
            <w:u w:val="single" w:color="005DA1"/>
          </w:rPr>
          <w:t>795</w:t>
        </w:r>
      </w:hyperlink>
      <w:r>
        <w:rPr>
          <w:position w:val="5"/>
          <w:sz w:val="14"/>
        </w:rPr>
        <w:t>.</w:t>
      </w:r>
      <w:r>
        <w:rPr>
          <w:spacing w:val="80"/>
          <w:w w:val="150"/>
          <w:position w:val="5"/>
          <w:sz w:val="14"/>
        </w:rPr>
        <w:t> </w:t>
      </w:r>
      <w:r>
        <w:rPr/>
        <w:t>ibid. at 336; cf., in the case of joint debts, </w:t>
      </w:r>
      <w:r>
        <w:rPr>
          <w:rFonts w:ascii="Arial" w:hAnsi="Arial"/>
          <w:i/>
        </w:rPr>
        <w:t>Johnson v Davies [1999] Ch. 117, 130</w:t>
      </w:r>
      <w:r>
        <w:rPr/>
        <w:t>. In </w:t>
      </w:r>
      <w:r>
        <w:rPr>
          <w:rFonts w:ascii="Arial" w:hAnsi="Arial"/>
          <w:i/>
        </w:rPr>
        <w:t>Chelsea Building Society v Nash [2010] EWCA Civ 1247 </w:t>
      </w:r>
      <w:r>
        <w:rPr/>
        <w:t>B and C were jointly and severally indebted </w:t>
      </w:r>
      <w:r>
        <w:rPr/>
        <w:t>to</w:t>
      </w:r>
      <w:r>
        <w:rPr>
          <w:spacing w:val="40"/>
        </w:rPr>
        <w:t> </w:t>
      </w:r>
      <w:r>
        <w:rPr/>
        <w:t>A who agreed with B to accept part payment “in full and final settlement.” It was held that this agreement prevented A from suing C for the share of the debt attributed by A to C as the agreement between A and B was not shown by A to have either expressly or impliedly to have reserved A’s rights against C. In the Court of Appeal A also relied for the first time on the rule in </w:t>
      </w:r>
      <w:r>
        <w:rPr>
          <w:rFonts w:ascii="Arial" w:hAnsi="Arial"/>
          <w:i/>
        </w:rPr>
        <w:t>Pinnel’s case (1602) Co.Rep. 117a </w:t>
      </w:r>
      <w:r>
        <w:rPr/>
        <w:t>(above, para.4-117) but it was held that this point could not be taken at this late stage as the opportunity to find relevant facts (presumably relating to the limitations on the scope of that rule discussed in paras 4-120 above et seq.) had been irretrievably lost (at [40]).</w:t>
      </w:r>
    </w:p>
    <w:p>
      <w:pPr>
        <w:pStyle w:val="BodyText"/>
        <w:spacing w:before="2"/>
      </w:pPr>
    </w:p>
    <w:p>
      <w:pPr>
        <w:pStyle w:val="BodyText"/>
        <w:tabs>
          <w:tab w:pos="705" w:val="left" w:leader="none"/>
        </w:tabs>
        <w:ind w:left="165"/>
      </w:pPr>
      <w:bookmarkStart w:name="_bookmark1502" w:id="1504"/>
      <w:bookmarkEnd w:id="1504"/>
      <w:r>
        <w:rPr/>
      </w:r>
      <w:hyperlink w:history="true" w:anchor="_bookmark1463">
        <w:r>
          <w:rPr>
            <w:color w:val="005DA1"/>
            <w:spacing w:val="-4"/>
            <w:position w:val="5"/>
            <w:sz w:val="14"/>
            <w:u w:val="single" w:color="005DA1"/>
          </w:rPr>
          <w:t>796</w:t>
        </w:r>
      </w:hyperlink>
      <w:r>
        <w:rPr>
          <w:spacing w:val="-4"/>
          <w:position w:val="5"/>
          <w:sz w:val="14"/>
        </w:rPr>
        <w:t>.</w:t>
      </w:r>
      <w:r>
        <w:rPr>
          <w:position w:val="5"/>
          <w:sz w:val="14"/>
        </w:rPr>
        <w:tab/>
      </w:r>
      <w:r>
        <w:rPr/>
        <w:t>Bills of Exchange Act 1882, s.62; below, paras 22-020 and Vol.II, 34-</w:t>
      </w:r>
      <w:r>
        <w:rPr>
          <w:spacing w:val="-4"/>
        </w:rPr>
        <w:t>138.</w:t>
      </w:r>
    </w:p>
    <w:p>
      <w:pPr>
        <w:pStyle w:val="BodyText"/>
        <w:spacing w:before="5"/>
      </w:pPr>
    </w:p>
    <w:p>
      <w:pPr>
        <w:pStyle w:val="BodyText"/>
        <w:tabs>
          <w:tab w:pos="705" w:val="left" w:leader="none"/>
        </w:tabs>
        <w:ind w:left="165"/>
      </w:pPr>
      <w:bookmarkStart w:name="_bookmark1503" w:id="1505"/>
      <w:bookmarkEnd w:id="1505"/>
      <w:r>
        <w:rPr/>
      </w:r>
      <w:hyperlink w:history="true" w:anchor="_bookmark1464">
        <w:r>
          <w:rPr>
            <w:color w:val="005DA1"/>
            <w:spacing w:val="-4"/>
            <w:position w:val="5"/>
            <w:sz w:val="14"/>
            <w:u w:val="single" w:color="005DA1"/>
          </w:rPr>
          <w:t>797</w:t>
        </w:r>
      </w:hyperlink>
      <w:r>
        <w:rPr>
          <w:spacing w:val="-4"/>
          <w:position w:val="5"/>
          <w:sz w:val="14"/>
        </w:rPr>
        <w:t>.</w:t>
      </w:r>
      <w:r>
        <w:rPr>
          <w:position w:val="5"/>
          <w:sz w:val="14"/>
        </w:rPr>
        <w:tab/>
      </w:r>
      <w:r>
        <w:rPr/>
        <w:t>Below,</w:t>
      </w:r>
      <w:r>
        <w:rPr>
          <w:spacing w:val="-2"/>
        </w:rPr>
        <w:t> </w:t>
      </w:r>
      <w:r>
        <w:rPr/>
        <w:t>para.18-090 et </w:t>
      </w:r>
      <w:r>
        <w:rPr>
          <w:spacing w:val="-4"/>
        </w:rPr>
        <w:t>seq.</w:t>
      </w:r>
    </w:p>
    <w:p>
      <w:pPr>
        <w:pStyle w:val="BodyText"/>
        <w:spacing w:before="9"/>
      </w:pPr>
    </w:p>
    <w:p>
      <w:pPr>
        <w:pStyle w:val="BodyText"/>
        <w:tabs>
          <w:tab w:pos="705" w:val="left" w:leader="none"/>
        </w:tabs>
        <w:spacing w:line="235" w:lineRule="auto"/>
        <w:ind w:left="705" w:right="168" w:hanging="541"/>
      </w:pPr>
      <w:bookmarkStart w:name="_bookmark1504" w:id="1506"/>
      <w:bookmarkEnd w:id="1506"/>
      <w:r>
        <w:rPr/>
      </w:r>
      <w:hyperlink w:history="true" w:anchor="_bookmark1465">
        <w:r>
          <w:rPr>
            <w:color w:val="005DA1"/>
            <w:spacing w:val="-4"/>
            <w:position w:val="5"/>
            <w:sz w:val="14"/>
            <w:u w:val="single" w:color="005DA1"/>
          </w:rPr>
          <w:t>798</w:t>
        </w:r>
      </w:hyperlink>
      <w:r>
        <w:rPr>
          <w:spacing w:val="-4"/>
          <w:position w:val="5"/>
          <w:sz w:val="14"/>
        </w:rPr>
        <w:t>.</w:t>
      </w:r>
      <w:r>
        <w:rPr>
          <w:position w:val="5"/>
          <w:sz w:val="14"/>
        </w:rPr>
        <w:tab/>
      </w:r>
      <w:r>
        <w:rPr/>
        <w:t>Above, para.4-046, below para.18-102. For the purposes of the Act it is the debtor who, in the example given above, is the “third party”.</w:t>
      </w:r>
    </w:p>
    <w:p>
      <w:pPr>
        <w:pStyle w:val="BodyText"/>
        <w:spacing w:before="9"/>
      </w:pPr>
    </w:p>
    <w:p>
      <w:pPr>
        <w:spacing w:line="235" w:lineRule="auto" w:before="1"/>
        <w:ind w:left="705" w:right="167" w:hanging="541"/>
        <w:jc w:val="both"/>
        <w:rPr>
          <w:sz w:val="20"/>
        </w:rPr>
      </w:pPr>
      <w:bookmarkStart w:name="_bookmark1505" w:id="1507"/>
      <w:bookmarkEnd w:id="1507"/>
      <w:r>
        <w:rPr/>
      </w:r>
      <w:hyperlink w:history="true" w:anchor="_bookmark1466">
        <w:r>
          <w:rPr>
            <w:color w:val="005DA1"/>
            <w:position w:val="5"/>
            <w:sz w:val="14"/>
            <w:u w:val="single" w:color="005DA1"/>
          </w:rPr>
          <w:t>799</w:t>
        </w:r>
      </w:hyperlink>
      <w:r>
        <w:rPr>
          <w:position w:val="5"/>
          <w:sz w:val="14"/>
        </w:rPr>
        <w:t>.</w:t>
      </w:r>
      <w:r>
        <w:rPr>
          <w:spacing w:val="80"/>
          <w:w w:val="150"/>
          <w:position w:val="5"/>
          <w:sz w:val="14"/>
        </w:rPr>
        <w:t> </w:t>
      </w:r>
      <w:r>
        <w:rPr>
          <w:rFonts w:ascii="Arial"/>
          <w:i/>
          <w:sz w:val="20"/>
        </w:rPr>
        <w:t>[1979] Q.B. 467</w:t>
      </w:r>
      <w:r>
        <w:rPr>
          <w:sz w:val="20"/>
        </w:rPr>
        <w:t>. Contrast, on the issue of contractual intention necessary to establish a</w:t>
      </w:r>
      <w:r>
        <w:rPr>
          <w:spacing w:val="80"/>
          <w:sz w:val="20"/>
        </w:rPr>
        <w:t> </w:t>
      </w:r>
      <w:r>
        <w:rPr>
          <w:sz w:val="20"/>
        </w:rPr>
        <w:t>collateral</w:t>
      </w:r>
      <w:r>
        <w:rPr>
          <w:spacing w:val="-1"/>
          <w:sz w:val="20"/>
        </w:rPr>
        <w:t> </w:t>
      </w:r>
      <w:r>
        <w:rPr>
          <w:sz w:val="20"/>
        </w:rPr>
        <w:t>contract,</w:t>
      </w:r>
      <w:r>
        <w:rPr>
          <w:spacing w:val="-2"/>
          <w:sz w:val="20"/>
        </w:rPr>
        <w:t> </w:t>
      </w:r>
      <w:r>
        <w:rPr>
          <w:rFonts w:ascii="Arial"/>
          <w:i/>
          <w:sz w:val="20"/>
        </w:rPr>
        <w:t>Business</w:t>
      </w:r>
      <w:r>
        <w:rPr>
          <w:rFonts w:ascii="Arial"/>
          <w:i/>
          <w:spacing w:val="-1"/>
          <w:sz w:val="20"/>
        </w:rPr>
        <w:t> </w:t>
      </w:r>
      <w:r>
        <w:rPr>
          <w:rFonts w:ascii="Arial"/>
          <w:i/>
          <w:sz w:val="20"/>
        </w:rPr>
        <w:t>Environment</w:t>
      </w:r>
      <w:r>
        <w:rPr>
          <w:rFonts w:ascii="Arial"/>
          <w:i/>
          <w:spacing w:val="-1"/>
          <w:sz w:val="20"/>
        </w:rPr>
        <w:t> </w:t>
      </w:r>
      <w:r>
        <w:rPr>
          <w:rFonts w:ascii="Arial"/>
          <w:i/>
          <w:sz w:val="20"/>
        </w:rPr>
        <w:t>Bow</w:t>
      </w:r>
      <w:r>
        <w:rPr>
          <w:rFonts w:ascii="Arial"/>
          <w:i/>
          <w:spacing w:val="-1"/>
          <w:sz w:val="20"/>
        </w:rPr>
        <w:t> </w:t>
      </w:r>
      <w:r>
        <w:rPr>
          <w:rFonts w:ascii="Arial"/>
          <w:i/>
          <w:sz w:val="20"/>
        </w:rPr>
        <w:t>Lane</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Deanwater</w:t>
      </w:r>
      <w:r>
        <w:rPr>
          <w:rFonts w:ascii="Arial"/>
          <w:i/>
          <w:spacing w:val="-1"/>
          <w:sz w:val="20"/>
        </w:rPr>
        <w:t> </w:t>
      </w:r>
      <w:r>
        <w:rPr>
          <w:rFonts w:ascii="Arial"/>
          <w:i/>
          <w:sz w:val="20"/>
        </w:rPr>
        <w:t>Estates</w:t>
      </w:r>
      <w:r>
        <w:rPr>
          <w:rFonts w:ascii="Arial"/>
          <w:i/>
          <w:spacing w:val="-1"/>
          <w:sz w:val="20"/>
        </w:rPr>
        <w:t> </w:t>
      </w:r>
      <w:r>
        <w:rPr>
          <w:rFonts w:ascii="Arial"/>
          <w:i/>
          <w:sz w:val="20"/>
        </w:rPr>
        <w:t>Ltd</w:t>
      </w:r>
      <w:r>
        <w:rPr>
          <w:rFonts w:ascii="Arial"/>
          <w:i/>
          <w:spacing w:val="-1"/>
          <w:sz w:val="20"/>
        </w:rPr>
        <w:t> </w:t>
      </w:r>
      <w:r>
        <w:rPr>
          <w:rFonts w:ascii="Arial"/>
          <w:i/>
          <w:sz w:val="20"/>
        </w:rPr>
        <w:t>[2007]</w:t>
      </w:r>
      <w:r>
        <w:rPr>
          <w:rFonts w:ascii="Arial"/>
          <w:i/>
          <w:spacing w:val="-1"/>
          <w:sz w:val="20"/>
        </w:rPr>
        <w:t> </w:t>
      </w:r>
      <w:r>
        <w:rPr>
          <w:rFonts w:ascii="Arial"/>
          <w:i/>
          <w:sz w:val="20"/>
        </w:rPr>
        <w:t>EWCA Civ 622, [2007] L. &amp; T.R. 26</w:t>
      </w:r>
      <w:r>
        <w:rPr>
          <w:sz w:val="20"/>
        </w:rPr>
        <w:t>, above para.2-174.</w:t>
      </w:r>
    </w:p>
    <w:p>
      <w:pPr>
        <w:pStyle w:val="BodyText"/>
        <w:spacing w:before="8"/>
      </w:pPr>
    </w:p>
    <w:p>
      <w:pPr>
        <w:pStyle w:val="BodyText"/>
        <w:tabs>
          <w:tab w:pos="705" w:val="left" w:leader="none"/>
        </w:tabs>
        <w:spacing w:line="235" w:lineRule="auto"/>
        <w:ind w:left="705" w:right="168" w:hanging="541"/>
      </w:pPr>
      <w:bookmarkStart w:name="_bookmark1506" w:id="1508"/>
      <w:bookmarkEnd w:id="1508"/>
      <w:r>
        <w:rPr/>
      </w:r>
      <w:hyperlink w:history="true" w:anchor="_bookmark1467">
        <w:r>
          <w:rPr>
            <w:color w:val="005DA1"/>
            <w:spacing w:val="-4"/>
            <w:position w:val="5"/>
            <w:sz w:val="14"/>
            <w:u w:val="single" w:color="005DA1"/>
          </w:rPr>
          <w:t>800</w:t>
        </w:r>
      </w:hyperlink>
      <w:r>
        <w:rPr>
          <w:spacing w:val="-4"/>
          <w:position w:val="5"/>
          <w:sz w:val="14"/>
        </w:rPr>
        <w:t>.</w:t>
      </w:r>
      <w:r>
        <w:rPr>
          <w:position w:val="5"/>
          <w:sz w:val="14"/>
        </w:rPr>
        <w:tab/>
      </w:r>
      <w:r>
        <w:rPr/>
        <w:t>For the consideration supporting this promise, see above, para.4-081; for other grounds for the decision, see below, para.4-135.</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727" w:right="2730"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2229248">
                <wp:simplePos x="0" y="0"/>
                <wp:positionH relativeFrom="page">
                  <wp:posOffset>4707940</wp:posOffset>
                </wp:positionH>
                <wp:positionV relativeFrom="paragraph">
                  <wp:posOffset>377436</wp:posOffset>
                </wp:positionV>
                <wp:extent cx="42545"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87232" from="370.70401pt,29.719406pt" to="374.04001pt,29.719406pt" stroked="true" strokeweight=".428pt" strokecolor="#005da1">
                <v:stroke dashstyle="solid"/>
                <w10:wrap type="none"/>
              </v:line>
            </w:pict>
          </mc:Fallback>
        </mc:AlternateContent>
      </w: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4 - Consideration </w:t>
      </w:r>
      <w:r>
        <w:rPr>
          <w:rFonts w:ascii="Arial"/>
          <w:b/>
          <w:color w:val="005DA1"/>
          <w:position w:val="11"/>
          <w:sz w:val="12"/>
        </w:rPr>
        <w:t>1</w:t>
      </w:r>
    </w:p>
    <w:p>
      <w:pPr>
        <w:spacing w:before="2"/>
        <w:ind w:left="940" w:right="943" w:firstLine="0"/>
        <w:jc w:val="center"/>
        <w:rPr>
          <w:rFonts w:ascii="Arial"/>
          <w:b/>
          <w:sz w:val="24"/>
        </w:rPr>
      </w:pPr>
      <w:r>
        <w:rPr>
          <w:rFonts w:ascii="Arial"/>
          <w:b/>
          <w:sz w:val="24"/>
        </w:rPr>
        <w:t>Section 10. - Part Payment of a </w:t>
      </w:r>
      <w:r>
        <w:rPr>
          <w:rFonts w:ascii="Arial"/>
          <w:b/>
          <w:spacing w:val="-4"/>
          <w:sz w:val="24"/>
        </w:rPr>
        <w:t>Debt</w:t>
      </w:r>
    </w:p>
    <w:p>
      <w:pPr>
        <w:spacing w:before="194"/>
        <w:ind w:left="3238" w:right="0" w:firstLine="0"/>
        <w:jc w:val="left"/>
        <w:rPr>
          <w:rFonts w:ascii="Arial"/>
          <w:b/>
          <w:sz w:val="24"/>
        </w:rPr>
      </w:pPr>
      <w:r>
        <w:rPr>
          <w:rFonts w:ascii="Arial"/>
          <w:b/>
          <w:sz w:val="24"/>
        </w:rPr>
        <w:t>(c) - Limitations in </w:t>
      </w:r>
      <w:r>
        <w:rPr>
          <w:rFonts w:ascii="Arial"/>
          <w:b/>
          <w:spacing w:val="-2"/>
          <w:sz w:val="24"/>
        </w:rPr>
        <w:t>Equity</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Equitable </w:t>
      </w:r>
      <w:r>
        <w:rPr>
          <w:rFonts w:ascii="Arial"/>
          <w:b/>
          <w:spacing w:val="-2"/>
          <w:sz w:val="18"/>
        </w:rPr>
        <w:t>forbearance</w:t>
      </w:r>
    </w:p>
    <w:p>
      <w:pPr>
        <w:pStyle w:val="BodyText"/>
        <w:spacing w:before="41"/>
        <w:rPr>
          <w:rFonts w:ascii="Arial"/>
          <w:b/>
          <w:sz w:val="18"/>
        </w:rPr>
      </w:pPr>
    </w:p>
    <w:p>
      <w:pPr>
        <w:pStyle w:val="Heading2"/>
      </w:pPr>
      <w:r>
        <w:rPr/>
        <w:t>4-</w:t>
      </w:r>
      <w:r>
        <w:rPr>
          <w:spacing w:val="-5"/>
        </w:rPr>
        <w:t>130</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4"/>
        </w:rPr>
        <w:t> </w:t>
      </w:r>
      <w:bookmarkStart w:name="_bookmark1507" w:id="1509"/>
      <w:bookmarkEnd w:id="1509"/>
      <w:r>
        <w:rPr>
          <w:rFonts w:ascii="Times New Roman" w:hAnsi="Times New Roman"/>
          <w:spacing w:val="17"/>
        </w:rPr>
      </w:r>
      <w:r>
        <w:rPr/>
        <w:t>Under the equitable doctrine of </w:t>
      </w:r>
      <w:r>
        <w:rPr>
          <w:rFonts w:ascii="Arial" w:hAnsi="Arial"/>
          <w:i/>
        </w:rPr>
        <w:t>Hughes v Metropolitan Ry </w:t>
      </w:r>
      <w:r>
        <w:rPr>
          <w:color w:val="005DA1"/>
          <w:u w:val="single" w:color="005DA1"/>
          <w:vertAlign w:val="superscript"/>
        </w:rPr>
        <w:t>801</w:t>
      </w:r>
      <w:r>
        <w:rPr>
          <w:color w:val="005DA1"/>
          <w:vertAlign w:val="baseline"/>
        </w:rPr>
        <w:t> </w:t>
      </w:r>
      <w:r>
        <w:rPr>
          <w:vertAlign w:val="baseline"/>
        </w:rPr>
        <w:t>a promise by a contracting party </w:t>
      </w:r>
      <w:r>
        <w:rPr>
          <w:vertAlign w:val="baseline"/>
        </w:rPr>
        <w:t>not</w:t>
      </w:r>
      <w:r>
        <w:rPr>
          <w:spacing w:val="40"/>
          <w:vertAlign w:val="baseline"/>
        </w:rPr>
        <w:t> </w:t>
      </w:r>
      <w:r>
        <w:rPr>
          <w:vertAlign w:val="baseline"/>
        </w:rPr>
        <w:t>to enforce his strict legal rights has (even where it is not supported by consideration) at least a limited effect in equity. Before 1947, this doctrine had not been applied where a creditor’s promise to accept </w:t>
      </w:r>
      <w:bookmarkStart w:name="_bookmark1508" w:id="1510"/>
      <w:bookmarkEnd w:id="1510"/>
      <w:r>
        <w:rPr>
          <w:vertAlign w:val="baseline"/>
        </w:rPr>
        <w:t>part</w:t>
      </w:r>
      <w:r>
        <w:rPr>
          <w:vertAlign w:val="baseline"/>
        </w:rPr>
        <w:t> payment of a debt in full settlement was not supported by any consideration moving from the debtor. </w:t>
      </w:r>
      <w:r>
        <w:rPr>
          <w:color w:val="005DA1"/>
          <w:u w:val="single" w:color="005DA1"/>
          <w:vertAlign w:val="superscript"/>
        </w:rPr>
        <w:t>802</w:t>
      </w:r>
      <w:r>
        <w:rPr>
          <w:color w:val="005DA1"/>
          <w:vertAlign w:val="baseline"/>
        </w:rPr>
        <w:t> </w:t>
      </w:r>
      <w:r>
        <w:rPr>
          <w:vertAlign w:val="baseline"/>
        </w:rPr>
        <w:t>Such an extension of the rule seemed to be barred by </w:t>
      </w:r>
      <w:r>
        <w:rPr>
          <w:rFonts w:ascii="Arial" w:hAnsi="Arial"/>
          <w:i/>
          <w:vertAlign w:val="baseline"/>
        </w:rPr>
        <w:t>Foakes v Beer</w:t>
      </w:r>
      <w:r>
        <w:rPr>
          <w:vertAlign w:val="baseline"/>
        </w:rPr>
        <w:t>. </w:t>
      </w:r>
      <w:r>
        <w:rPr>
          <w:color w:val="005DA1"/>
          <w:u w:val="single" w:color="005DA1"/>
          <w:vertAlign w:val="superscript"/>
        </w:rPr>
        <w:t>803</w:t>
      </w:r>
      <w:r>
        <w:rPr>
          <w:color w:val="005DA1"/>
          <w:vertAlign w:val="baseline"/>
        </w:rPr>
        <w:t> </w:t>
      </w:r>
      <w:r>
        <w:rPr>
          <w:vertAlign w:val="baseline"/>
        </w:rPr>
        <w:t>The possibility of </w:t>
      </w:r>
      <w:bookmarkStart w:name="_bookmark1509" w:id="1511"/>
      <w:bookmarkEnd w:id="1511"/>
      <w:r>
        <w:rPr>
          <w:vertAlign w:val="baseline"/>
        </w:rPr>
        <w:t>making</w:t>
      </w:r>
      <w:r>
        <w:rPr>
          <w:vertAlign w:val="baseline"/>
        </w:rPr>
        <w:t> the extension was, however, suggested in 1947 in </w:t>
      </w:r>
      <w:r>
        <w:rPr>
          <w:rFonts w:ascii="Arial" w:hAnsi="Arial"/>
          <w:i/>
          <w:vertAlign w:val="baseline"/>
        </w:rPr>
        <w:t>Central London Property Trust Ltd v High Trees House Ltd</w:t>
      </w:r>
      <w:r>
        <w:rPr>
          <w:vertAlign w:val="baseline"/>
        </w:rPr>
        <w:t>. </w:t>
      </w:r>
      <w:r>
        <w:rPr>
          <w:color w:val="005DA1"/>
          <w:u w:val="single" w:color="005DA1"/>
          <w:vertAlign w:val="superscript"/>
        </w:rPr>
        <w:t>804</w:t>
      </w:r>
      <w:r>
        <w:rPr>
          <w:color w:val="005DA1"/>
          <w:vertAlign w:val="baseline"/>
        </w:rPr>
        <w:t> </w:t>
      </w:r>
      <w:r>
        <w:rPr>
          <w:vertAlign w:val="baseline"/>
        </w:rPr>
        <w:t>In that case a block of flats had been let for 99 years to the defendants in 1937</w:t>
      </w:r>
      <w:r>
        <w:rPr>
          <w:spacing w:val="40"/>
          <w:vertAlign w:val="baseline"/>
        </w:rPr>
        <w:t> </w:t>
      </w:r>
      <w:r>
        <w:rPr>
          <w:vertAlign w:val="baseline"/>
        </w:rPr>
        <w:t>at a rent of £2,500 a year. In January 1940 the landlords agreed to reduce this rent to £1,250 a year because of wartime conditions as a result of which only a few of the flats were let. After the end of the war,</w:t>
      </w:r>
      <w:r>
        <w:rPr>
          <w:spacing w:val="-1"/>
          <w:vertAlign w:val="baseline"/>
        </w:rPr>
        <w:t> </w:t>
      </w:r>
      <w:r>
        <w:rPr>
          <w:vertAlign w:val="baseline"/>
        </w:rPr>
        <w:t>when</w:t>
      </w:r>
      <w:r>
        <w:rPr>
          <w:spacing w:val="-1"/>
          <w:vertAlign w:val="baseline"/>
        </w:rPr>
        <w:t> </w:t>
      </w:r>
      <w:r>
        <w:rPr>
          <w:vertAlign w:val="baseline"/>
        </w:rPr>
        <w:t>the</w:t>
      </w:r>
      <w:r>
        <w:rPr>
          <w:spacing w:val="-1"/>
          <w:vertAlign w:val="baseline"/>
        </w:rPr>
        <w:t> </w:t>
      </w:r>
      <w:r>
        <w:rPr>
          <w:vertAlign w:val="baseline"/>
        </w:rPr>
        <w:t>flats</w:t>
      </w:r>
      <w:r>
        <w:rPr>
          <w:spacing w:val="-1"/>
          <w:vertAlign w:val="baseline"/>
        </w:rPr>
        <w:t> </w:t>
      </w:r>
      <w:r>
        <w:rPr>
          <w:vertAlign w:val="baseline"/>
        </w:rPr>
        <w:t>were</w:t>
      </w:r>
      <w:r>
        <w:rPr>
          <w:spacing w:val="-1"/>
          <w:vertAlign w:val="baseline"/>
        </w:rPr>
        <w:t> </w:t>
      </w:r>
      <w:r>
        <w:rPr>
          <w:vertAlign w:val="baseline"/>
        </w:rPr>
        <w:t>fully</w:t>
      </w:r>
      <w:r>
        <w:rPr>
          <w:spacing w:val="-1"/>
          <w:vertAlign w:val="baseline"/>
        </w:rPr>
        <w:t> </w:t>
      </w:r>
      <w:r>
        <w:rPr>
          <w:vertAlign w:val="baseline"/>
        </w:rPr>
        <w:t>let,</w:t>
      </w:r>
      <w:r>
        <w:rPr>
          <w:spacing w:val="-1"/>
          <w:vertAlign w:val="baseline"/>
        </w:rPr>
        <w:t> </w:t>
      </w:r>
      <w:r>
        <w:rPr>
          <w:vertAlign w:val="baseline"/>
        </w:rPr>
        <w:t>the</w:t>
      </w:r>
      <w:r>
        <w:rPr>
          <w:spacing w:val="-1"/>
          <w:vertAlign w:val="baseline"/>
        </w:rPr>
        <w:t> </w:t>
      </w:r>
      <w:r>
        <w:rPr>
          <w:vertAlign w:val="baseline"/>
        </w:rPr>
        <w:t>landlords</w:t>
      </w:r>
      <w:r>
        <w:rPr>
          <w:spacing w:val="-1"/>
          <w:vertAlign w:val="baseline"/>
        </w:rPr>
        <w:t> </w:t>
      </w:r>
      <w:r>
        <w:rPr>
          <w:vertAlign w:val="baseline"/>
        </w:rPr>
        <w:t>claimed</w:t>
      </w:r>
      <w:r>
        <w:rPr>
          <w:spacing w:val="-1"/>
          <w:vertAlign w:val="baseline"/>
        </w:rPr>
        <w:t> </w:t>
      </w:r>
      <w:r>
        <w:rPr>
          <w:vertAlign w:val="baseline"/>
        </w:rPr>
        <w:t>the</w:t>
      </w:r>
      <w:r>
        <w:rPr>
          <w:spacing w:val="-1"/>
          <w:vertAlign w:val="baseline"/>
        </w:rPr>
        <w:t> </w:t>
      </w:r>
      <w:r>
        <w:rPr>
          <w:vertAlign w:val="baseline"/>
        </w:rPr>
        <w:t>full</w:t>
      </w:r>
      <w:r>
        <w:rPr>
          <w:spacing w:val="-1"/>
          <w:vertAlign w:val="baseline"/>
        </w:rPr>
        <w:t> </w:t>
      </w:r>
      <w:r>
        <w:rPr>
          <w:vertAlign w:val="baseline"/>
        </w:rPr>
        <w:t>rent,</w:t>
      </w:r>
      <w:r>
        <w:rPr>
          <w:spacing w:val="-1"/>
          <w:vertAlign w:val="baseline"/>
        </w:rPr>
        <w:t> </w:t>
      </w:r>
      <w:r>
        <w:rPr>
          <w:vertAlign w:val="baseline"/>
        </w:rPr>
        <w:t>and</w:t>
      </w:r>
      <w:r>
        <w:rPr>
          <w:spacing w:val="-1"/>
          <w:vertAlign w:val="baseline"/>
        </w:rPr>
        <w:t> </w:t>
      </w:r>
      <w:r>
        <w:rPr>
          <w:vertAlign w:val="baseline"/>
        </w:rPr>
        <w:t>tested</w:t>
      </w:r>
      <w:r>
        <w:rPr>
          <w:spacing w:val="-1"/>
          <w:vertAlign w:val="baseline"/>
        </w:rPr>
        <w:t> </w:t>
      </w:r>
      <w:r>
        <w:rPr>
          <w:vertAlign w:val="baseline"/>
        </w:rPr>
        <w:t>their</w:t>
      </w:r>
      <w:r>
        <w:rPr>
          <w:spacing w:val="-1"/>
          <w:vertAlign w:val="baseline"/>
        </w:rPr>
        <w:t> </w:t>
      </w:r>
      <w:r>
        <w:rPr>
          <w:vertAlign w:val="baseline"/>
        </w:rPr>
        <w:t>claim</w:t>
      </w:r>
      <w:r>
        <w:rPr>
          <w:spacing w:val="-1"/>
          <w:vertAlign w:val="baseline"/>
        </w:rPr>
        <w:t> </w:t>
      </w:r>
      <w:r>
        <w:rPr>
          <w:vertAlign w:val="baseline"/>
        </w:rPr>
        <w:t>by</w:t>
      </w:r>
      <w:r>
        <w:rPr>
          <w:spacing w:val="-1"/>
          <w:vertAlign w:val="baseline"/>
        </w:rPr>
        <w:t> </w:t>
      </w:r>
      <w:r>
        <w:rPr>
          <w:vertAlign w:val="baseline"/>
        </w:rPr>
        <w:t>suing</w:t>
      </w:r>
      <w:r>
        <w:rPr>
          <w:spacing w:val="-1"/>
          <w:vertAlign w:val="baseline"/>
        </w:rPr>
        <w:t> </w:t>
      </w:r>
      <w:r>
        <w:rPr>
          <w:vertAlign w:val="baseline"/>
        </w:rPr>
        <w:t>for rent at the original rate for the last two quarters of 1945. Denning J. upheld the claim on the ground that,</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matter</w:t>
      </w:r>
      <w:r>
        <w:rPr>
          <w:spacing w:val="-2"/>
          <w:vertAlign w:val="baseline"/>
        </w:rPr>
        <w:t> </w:t>
      </w:r>
      <w:r>
        <w:rPr>
          <w:vertAlign w:val="baseline"/>
        </w:rPr>
        <w:t>of</w:t>
      </w:r>
      <w:r>
        <w:rPr>
          <w:spacing w:val="-2"/>
          <w:vertAlign w:val="baseline"/>
        </w:rPr>
        <w:t> </w:t>
      </w:r>
      <w:r>
        <w:rPr>
          <w:vertAlign w:val="baseline"/>
        </w:rPr>
        <w:t>construction,</w:t>
      </w:r>
      <w:r>
        <w:rPr>
          <w:spacing w:val="-2"/>
          <w:vertAlign w:val="baseline"/>
        </w:rPr>
        <w:t> </w:t>
      </w:r>
      <w:r>
        <w:rPr>
          <w:vertAlign w:val="baseline"/>
        </w:rPr>
        <w:t>the</w:t>
      </w:r>
      <w:r>
        <w:rPr>
          <w:spacing w:val="-2"/>
          <w:vertAlign w:val="baseline"/>
        </w:rPr>
        <w:t> </w:t>
      </w:r>
      <w:r>
        <w:rPr>
          <w:vertAlign w:val="baseline"/>
        </w:rPr>
        <w:t>agreement</w:t>
      </w:r>
      <w:r>
        <w:rPr>
          <w:spacing w:val="-2"/>
          <w:vertAlign w:val="baseline"/>
        </w:rPr>
        <w:t> </w:t>
      </w:r>
      <w:r>
        <w:rPr>
          <w:vertAlign w:val="baseline"/>
        </w:rPr>
        <w:t>of</w:t>
      </w:r>
      <w:r>
        <w:rPr>
          <w:spacing w:val="-2"/>
          <w:vertAlign w:val="baseline"/>
        </w:rPr>
        <w:t> </w:t>
      </w:r>
      <w:r>
        <w:rPr>
          <w:vertAlign w:val="baseline"/>
        </w:rPr>
        <w:t>1940</w:t>
      </w:r>
      <w:r>
        <w:rPr>
          <w:spacing w:val="-2"/>
          <w:vertAlign w:val="baseline"/>
        </w:rPr>
        <w:t> </w:t>
      </w:r>
      <w:r>
        <w:rPr>
          <w:vertAlign w:val="baseline"/>
        </w:rPr>
        <w:t>was</w:t>
      </w:r>
      <w:r>
        <w:rPr>
          <w:spacing w:val="-2"/>
          <w:vertAlign w:val="baseline"/>
        </w:rPr>
        <w:t> </w:t>
      </w:r>
      <w:r>
        <w:rPr>
          <w:vertAlign w:val="baseline"/>
        </w:rPr>
        <w:t>intended</w:t>
      </w:r>
      <w:r>
        <w:rPr>
          <w:spacing w:val="-2"/>
          <w:vertAlign w:val="baseline"/>
        </w:rPr>
        <w:t> </w:t>
      </w:r>
      <w:r>
        <w:rPr>
          <w:vertAlign w:val="baseline"/>
        </w:rPr>
        <w:t>to</w:t>
      </w:r>
      <w:r>
        <w:rPr>
          <w:spacing w:val="-2"/>
          <w:vertAlign w:val="baseline"/>
        </w:rPr>
        <w:t> </w:t>
      </w:r>
      <w:r>
        <w:rPr>
          <w:vertAlign w:val="baseline"/>
        </w:rPr>
        <w:t>apply</w:t>
      </w:r>
      <w:r>
        <w:rPr>
          <w:spacing w:val="-2"/>
          <w:vertAlign w:val="baseline"/>
        </w:rPr>
        <w:t> </w:t>
      </w:r>
      <w:r>
        <w:rPr>
          <w:vertAlign w:val="baseline"/>
        </w:rPr>
        <w:t>only</w:t>
      </w:r>
      <w:r>
        <w:rPr>
          <w:spacing w:val="-2"/>
          <w:vertAlign w:val="baseline"/>
        </w:rPr>
        <w:t> </w:t>
      </w:r>
      <w:r>
        <w:rPr>
          <w:vertAlign w:val="baseline"/>
        </w:rPr>
        <w:t>while</w:t>
      </w:r>
      <w:r>
        <w:rPr>
          <w:spacing w:val="-2"/>
          <w:vertAlign w:val="baseline"/>
        </w:rPr>
        <w:t> </w:t>
      </w:r>
      <w:r>
        <w:rPr>
          <w:vertAlign w:val="baseline"/>
        </w:rPr>
        <w:t>the</w:t>
      </w:r>
      <w:r>
        <w:rPr>
          <w:spacing w:val="-2"/>
          <w:vertAlign w:val="baseline"/>
        </w:rPr>
        <w:t> </w:t>
      </w:r>
      <w:r>
        <w:rPr>
          <w:vertAlign w:val="baseline"/>
        </w:rPr>
        <w:t>war-time </w:t>
      </w:r>
      <w:bookmarkStart w:name="_bookmark1510" w:id="1512"/>
      <w:bookmarkEnd w:id="1512"/>
      <w:r>
        <w:rPr>
          <w:vertAlign w:val="baseline"/>
        </w:rPr>
        <w:t>difficulties</w:t>
      </w:r>
      <w:r>
        <w:rPr>
          <w:spacing w:val="14"/>
          <w:vertAlign w:val="baseline"/>
        </w:rPr>
        <w:t> </w:t>
      </w:r>
      <w:r>
        <w:rPr>
          <w:vertAlign w:val="baseline"/>
        </w:rPr>
        <w:t>of</w:t>
      </w:r>
      <w:r>
        <w:rPr>
          <w:spacing w:val="14"/>
          <w:vertAlign w:val="baseline"/>
        </w:rPr>
        <w:t> </w:t>
      </w:r>
      <w:r>
        <w:rPr>
          <w:vertAlign w:val="baseline"/>
        </w:rPr>
        <w:t>sub-letting</w:t>
      </w:r>
      <w:r>
        <w:rPr>
          <w:spacing w:val="14"/>
          <w:vertAlign w:val="baseline"/>
        </w:rPr>
        <w:t> </w:t>
      </w:r>
      <w:r>
        <w:rPr>
          <w:vertAlign w:val="baseline"/>
        </w:rPr>
        <w:t>lasted,</w:t>
      </w:r>
      <w:r>
        <w:rPr>
          <w:spacing w:val="14"/>
          <w:vertAlign w:val="baseline"/>
        </w:rPr>
        <w:t> </w:t>
      </w:r>
      <w:r>
        <w:rPr>
          <w:vertAlign w:val="baseline"/>
        </w:rPr>
        <w:t>and</w:t>
      </w:r>
      <w:r>
        <w:rPr>
          <w:spacing w:val="14"/>
          <w:vertAlign w:val="baseline"/>
        </w:rPr>
        <w:t> </w:t>
      </w:r>
      <w:r>
        <w:rPr>
          <w:vertAlign w:val="baseline"/>
        </w:rPr>
        <w:t>that</w:t>
      </w:r>
      <w:r>
        <w:rPr>
          <w:spacing w:val="14"/>
          <w:vertAlign w:val="baseline"/>
        </w:rPr>
        <w:t> </w:t>
      </w:r>
      <w:r>
        <w:rPr>
          <w:vertAlign w:val="baseline"/>
        </w:rPr>
        <w:t>it</w:t>
      </w:r>
      <w:r>
        <w:rPr>
          <w:spacing w:val="14"/>
          <w:vertAlign w:val="baseline"/>
        </w:rPr>
        <w:t> </w:t>
      </w:r>
      <w:r>
        <w:rPr>
          <w:vertAlign w:val="baseline"/>
        </w:rPr>
        <w:t>had</w:t>
      </w:r>
      <w:r>
        <w:rPr>
          <w:spacing w:val="14"/>
          <w:vertAlign w:val="baseline"/>
        </w:rPr>
        <w:t> </w:t>
      </w:r>
      <w:r>
        <w:rPr>
          <w:vertAlign w:val="baseline"/>
        </w:rPr>
        <w:t>therefore</w:t>
      </w:r>
      <w:r>
        <w:rPr>
          <w:spacing w:val="14"/>
          <w:vertAlign w:val="baseline"/>
        </w:rPr>
        <w:t> </w:t>
      </w:r>
      <w:r>
        <w:rPr>
          <w:vertAlign w:val="baseline"/>
        </w:rPr>
        <w:t>ceased</w:t>
      </w:r>
      <w:r>
        <w:rPr>
          <w:spacing w:val="14"/>
          <w:vertAlign w:val="baseline"/>
        </w:rPr>
        <w:t> </w:t>
      </w:r>
      <w:r>
        <w:rPr>
          <w:vertAlign w:val="baseline"/>
        </w:rPr>
        <w:t>to</w:t>
      </w:r>
      <w:r>
        <w:rPr>
          <w:spacing w:val="14"/>
          <w:vertAlign w:val="baseline"/>
        </w:rPr>
        <w:t> </w:t>
      </w:r>
      <w:r>
        <w:rPr>
          <w:vertAlign w:val="baseline"/>
        </w:rPr>
        <w:t>operate</w:t>
      </w:r>
      <w:r>
        <w:rPr>
          <w:spacing w:val="14"/>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early</w:t>
      </w:r>
      <w:r>
        <w:rPr>
          <w:spacing w:val="14"/>
          <w:vertAlign w:val="baseline"/>
        </w:rPr>
        <w:t> </w:t>
      </w:r>
      <w:r>
        <w:rPr>
          <w:vertAlign w:val="baseline"/>
        </w:rPr>
        <w:t>part</w:t>
      </w:r>
      <w:r>
        <w:rPr>
          <w:spacing w:val="14"/>
          <w:vertAlign w:val="baseline"/>
        </w:rPr>
        <w:t> </w:t>
      </w:r>
      <w:r>
        <w:rPr>
          <w:vertAlign w:val="baseline"/>
        </w:rPr>
        <w:t>of</w:t>
      </w:r>
      <w:r>
        <w:rPr>
          <w:spacing w:val="14"/>
          <w:vertAlign w:val="baseline"/>
        </w:rPr>
        <w:t> </w:t>
      </w:r>
      <w:r>
        <w:rPr>
          <w:spacing w:val="-2"/>
          <w:vertAlign w:val="baseline"/>
        </w:rPr>
        <w:t>1945,</w:t>
      </w:r>
    </w:p>
    <w:p>
      <w:pPr>
        <w:pStyle w:val="BodyText"/>
        <w:spacing w:line="235" w:lineRule="auto" w:before="115"/>
        <w:ind w:left="164" w:right="167"/>
        <w:jc w:val="both"/>
      </w:pPr>
      <w:bookmarkStart w:name="_bookmark1511" w:id="1513"/>
      <w:bookmarkEnd w:id="1513"/>
      <w:r>
        <w:rPr/>
      </w:r>
      <w:r>
        <w:rPr/>
        <w:t>when these difficulties had come to an end. </w:t>
      </w:r>
      <w:r>
        <w:rPr>
          <w:color w:val="005DA1"/>
          <w:u w:val="single" w:color="005DA1"/>
          <w:vertAlign w:val="superscript"/>
        </w:rPr>
        <w:t>805</w:t>
      </w:r>
      <w:r>
        <w:rPr>
          <w:color w:val="005DA1"/>
          <w:spacing w:val="80"/>
          <w:w w:val="150"/>
          <w:vertAlign w:val="baseline"/>
        </w:rPr>
        <w:t> </w:t>
      </w:r>
      <w:r>
        <w:rPr>
          <w:color w:val="005DA1"/>
          <w:spacing w:val="12"/>
          <w:position w:val="-2"/>
          <w:vertAlign w:val="baseline"/>
        </w:rPr>
        <w:drawing>
          <wp:inline distT="0" distB="0" distL="0" distR="0">
            <wp:extent cx="107988" cy="107988"/>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12"/>
          <w:vertAlign w:val="baseline"/>
        </w:rPr>
        <w:t> </w:t>
      </w:r>
      <w:r>
        <w:rPr>
          <w:vertAlign w:val="baseline"/>
        </w:rPr>
        <w:t>But he also said that the landlords would have been precluded by the equitable doctrine of </w:t>
      </w:r>
      <w:r>
        <w:rPr>
          <w:rFonts w:ascii="Arial" w:hAnsi="Arial"/>
          <w:i/>
          <w:vertAlign w:val="baseline"/>
        </w:rPr>
        <w:t>Hughes v Metropolitan Ry </w:t>
      </w:r>
      <w:r>
        <w:rPr>
          <w:color w:val="005DA1"/>
          <w:u w:val="single" w:color="005DA1"/>
          <w:vertAlign w:val="superscript"/>
        </w:rPr>
        <w:t>806</w:t>
      </w:r>
      <w:r>
        <w:rPr>
          <w:color w:val="005DA1"/>
          <w:vertAlign w:val="baseline"/>
        </w:rPr>
        <w:t> </w:t>
      </w:r>
      <w:r>
        <w:rPr>
          <w:vertAlign w:val="baseline"/>
        </w:rPr>
        <w:t>from recovering the full rent for a period which </w:t>
      </w:r>
      <w:r>
        <w:rPr>
          <w:rFonts w:ascii="Arial" w:hAnsi="Arial"/>
          <w:i/>
          <w:vertAlign w:val="baseline"/>
        </w:rPr>
        <w:t>was </w:t>
      </w:r>
      <w:r>
        <w:rPr>
          <w:vertAlign w:val="baseline"/>
        </w:rPr>
        <w:t>covered by the agreement of 1940. He added: “The logical consequence </w:t>
      </w:r>
      <w:r>
        <w:rPr>
          <w:vertAlign w:val="baseline"/>
        </w:rPr>
        <w:t>no </w:t>
      </w:r>
      <w:bookmarkStart w:name="_bookmark1512" w:id="1514"/>
      <w:bookmarkEnd w:id="1514"/>
      <w:r>
        <w:rPr>
          <w:vertAlign w:val="baseline"/>
        </w:rPr>
        <w:t>doubt</w:t>
      </w:r>
      <w:r>
        <w:rPr>
          <w:vertAlign w:val="baseline"/>
        </w:rPr>
        <w:t> is that a promise to accept a smaller sum in discharge of a larger sum, if acted upon, is binding </w:t>
      </w:r>
      <w:bookmarkStart w:name="_bookmark1513" w:id="1515"/>
      <w:bookmarkEnd w:id="1515"/>
      <w:r>
        <w:rPr>
          <w:vertAlign w:val="baseline"/>
        </w:rPr>
        <w:t>notwithstanding</w:t>
      </w:r>
      <w:r>
        <w:rPr>
          <w:vertAlign w:val="baseline"/>
        </w:rPr>
        <w:t> the absence of consideration.” </w:t>
      </w:r>
      <w:r>
        <w:rPr>
          <w:color w:val="005DA1"/>
          <w:u w:val="single" w:color="005DA1"/>
          <w:vertAlign w:val="superscript"/>
        </w:rPr>
        <w:t>807</w:t>
      </w:r>
      <w:r>
        <w:rPr>
          <w:color w:val="005DA1"/>
          <w:vertAlign w:val="baseline"/>
        </w:rPr>
        <w:t> </w:t>
      </w:r>
      <w:r>
        <w:rPr>
          <w:vertAlign w:val="baseline"/>
        </w:rPr>
        <w:t>The requirements of the equitable doctrine have already been discussed. </w:t>
      </w:r>
      <w:r>
        <w:rPr>
          <w:color w:val="005DA1"/>
          <w:u w:val="single" w:color="005DA1"/>
          <w:vertAlign w:val="superscript"/>
        </w:rPr>
        <w:t>808</w:t>
      </w:r>
      <w:r>
        <w:rPr>
          <w:color w:val="005DA1"/>
          <w:vertAlign w:val="baseline"/>
        </w:rPr>
        <w:t> </w:t>
      </w:r>
      <w:r>
        <w:rPr>
          <w:vertAlign w:val="baseline"/>
        </w:rPr>
        <w:t>A number of further points give rise to difficulty in its application to promises</w:t>
      </w:r>
      <w:r>
        <w:rPr>
          <w:spacing w:val="25"/>
          <w:vertAlign w:val="baseline"/>
        </w:rPr>
        <w:t> </w:t>
      </w:r>
      <w:r>
        <w:rPr>
          <w:vertAlign w:val="baseline"/>
        </w:rPr>
        <w:t>to</w:t>
      </w:r>
      <w:r>
        <w:rPr>
          <w:spacing w:val="25"/>
          <w:vertAlign w:val="baseline"/>
        </w:rPr>
        <w:t> </w:t>
      </w:r>
      <w:r>
        <w:rPr>
          <w:vertAlign w:val="baseline"/>
        </w:rPr>
        <w:t>accept</w:t>
      </w:r>
      <w:r>
        <w:rPr>
          <w:spacing w:val="25"/>
          <w:vertAlign w:val="baseline"/>
        </w:rPr>
        <w:t> </w:t>
      </w:r>
      <w:r>
        <w:rPr>
          <w:vertAlign w:val="baseline"/>
        </w:rPr>
        <w:t>part</w:t>
      </w:r>
      <w:r>
        <w:rPr>
          <w:spacing w:val="25"/>
          <w:vertAlign w:val="baseline"/>
        </w:rPr>
        <w:t> </w:t>
      </w:r>
      <w:r>
        <w:rPr>
          <w:vertAlign w:val="baseline"/>
        </w:rPr>
        <w:t>payment</w:t>
      </w:r>
      <w:r>
        <w:rPr>
          <w:spacing w:val="25"/>
          <w:vertAlign w:val="baseline"/>
        </w:rPr>
        <w:t> </w:t>
      </w:r>
      <w:r>
        <w:rPr>
          <w:vertAlign w:val="baseline"/>
        </w:rPr>
        <w:t>in</w:t>
      </w:r>
      <w:r>
        <w:rPr>
          <w:spacing w:val="25"/>
          <w:vertAlign w:val="baseline"/>
        </w:rPr>
        <w:t> </w:t>
      </w:r>
      <w:r>
        <w:rPr>
          <w:vertAlign w:val="baseline"/>
        </w:rPr>
        <w:t>full</w:t>
      </w:r>
      <w:r>
        <w:rPr>
          <w:spacing w:val="25"/>
          <w:vertAlign w:val="baseline"/>
        </w:rPr>
        <w:t> </w:t>
      </w:r>
      <w:r>
        <w:rPr>
          <w:vertAlign w:val="baseline"/>
        </w:rPr>
        <w:t>settlement</w:t>
      </w:r>
      <w:r>
        <w:rPr>
          <w:spacing w:val="25"/>
          <w:vertAlign w:val="baseline"/>
        </w:rPr>
        <w:t> </w:t>
      </w:r>
      <w:r>
        <w:rPr>
          <w:vertAlign w:val="baseline"/>
        </w:rPr>
        <w:t>of</w:t>
      </w:r>
      <w:r>
        <w:rPr>
          <w:spacing w:val="25"/>
          <w:vertAlign w:val="baseline"/>
        </w:rPr>
        <w:t> </w:t>
      </w:r>
      <w:r>
        <w:rPr>
          <w:vertAlign w:val="baseline"/>
        </w:rPr>
        <w:t>a</w:t>
      </w:r>
      <w:r>
        <w:rPr>
          <w:spacing w:val="25"/>
          <w:vertAlign w:val="baseline"/>
        </w:rPr>
        <w:t> </w:t>
      </w:r>
      <w:r>
        <w:rPr>
          <w:vertAlign w:val="baseline"/>
        </w:rPr>
        <w:t>debt;</w:t>
      </w:r>
      <w:r>
        <w:rPr>
          <w:spacing w:val="25"/>
          <w:vertAlign w:val="baseline"/>
        </w:rPr>
        <w:t> </w:t>
      </w:r>
      <w:r>
        <w:rPr>
          <w:vertAlign w:val="baseline"/>
        </w:rPr>
        <w:t>these</w:t>
      </w:r>
      <w:r>
        <w:rPr>
          <w:spacing w:val="25"/>
          <w:vertAlign w:val="baseline"/>
        </w:rPr>
        <w:t> </w:t>
      </w:r>
      <w:r>
        <w:rPr>
          <w:vertAlign w:val="baseline"/>
        </w:rPr>
        <w:t>points</w:t>
      </w:r>
      <w:r>
        <w:rPr>
          <w:spacing w:val="25"/>
          <w:vertAlign w:val="baseline"/>
        </w:rPr>
        <w:t> </w:t>
      </w:r>
      <w:r>
        <w:rPr>
          <w:vertAlign w:val="baseline"/>
        </w:rPr>
        <w:t>are</w:t>
      </w:r>
      <w:r>
        <w:rPr>
          <w:spacing w:val="25"/>
          <w:vertAlign w:val="baseline"/>
        </w:rPr>
        <w:t> </w:t>
      </w:r>
      <w:r>
        <w:rPr>
          <w:vertAlign w:val="baseline"/>
        </w:rPr>
        <w:t>considered</w:t>
      </w:r>
      <w:r>
        <w:rPr>
          <w:spacing w:val="25"/>
          <w:vertAlign w:val="baseline"/>
        </w:rPr>
        <w:t> </w:t>
      </w:r>
      <w:r>
        <w:rPr>
          <w:vertAlign w:val="baseline"/>
        </w:rPr>
        <w:t>in</w:t>
      </w:r>
      <w:r>
        <w:rPr>
          <w:spacing w:val="25"/>
          <w:vertAlign w:val="baseline"/>
        </w:rPr>
        <w:t> </w:t>
      </w:r>
      <w:r>
        <w:rPr>
          <w:vertAlign w:val="baseline"/>
        </w:rPr>
        <w:t>paras 4-131 to 4-138 below.</w:t>
      </w:r>
    </w:p>
    <w:p>
      <w:pPr>
        <w:pStyle w:val="BodyText"/>
      </w:pPr>
    </w:p>
    <w:p>
      <w:pPr>
        <w:pStyle w:val="BodyText"/>
        <w:spacing w:before="35"/>
      </w:pPr>
    </w:p>
    <w:p>
      <w:pPr>
        <w:spacing w:before="0"/>
        <w:ind w:left="165" w:right="0" w:firstLine="0"/>
        <w:jc w:val="both"/>
        <w:rPr>
          <w:rFonts w:ascii="Arial"/>
          <w:b/>
          <w:sz w:val="18"/>
        </w:rPr>
      </w:pPr>
      <w:r>
        <w:rPr>
          <w:rFonts w:ascii="Arial"/>
          <w:b/>
          <w:sz w:val="18"/>
        </w:rPr>
        <w:t>Suspensive nature of the </w:t>
      </w:r>
      <w:r>
        <w:rPr>
          <w:rFonts w:ascii="Arial"/>
          <w:b/>
          <w:spacing w:val="-2"/>
          <w:sz w:val="18"/>
        </w:rPr>
        <w:t>doctrine</w:t>
      </w:r>
    </w:p>
    <w:p>
      <w:pPr>
        <w:pStyle w:val="BodyText"/>
        <w:spacing w:before="42"/>
        <w:rPr>
          <w:rFonts w:ascii="Arial"/>
          <w:b/>
          <w:sz w:val="18"/>
        </w:rPr>
      </w:pPr>
    </w:p>
    <w:p>
      <w:pPr>
        <w:pStyle w:val="Heading2"/>
      </w:pPr>
      <w:r>
        <w:rPr/>
        <w:t>4-</w:t>
      </w:r>
      <w:r>
        <w:rPr>
          <w:spacing w:val="-5"/>
        </w:rPr>
        <w:t>131</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61"/>
        </w:rPr>
        <w:t> </w:t>
      </w:r>
      <w:bookmarkStart w:name="_bookmark1514" w:id="1516"/>
      <w:bookmarkEnd w:id="1516"/>
      <w:r>
        <w:rPr>
          <w:rFonts w:ascii="Times New Roman" w:hAnsi="Times New Roman"/>
          <w:spacing w:val="13"/>
        </w:rPr>
      </w:r>
      <w:r>
        <w:rPr/>
        <w:t>The</w:t>
      </w:r>
      <w:r>
        <w:rPr>
          <w:spacing w:val="40"/>
        </w:rPr>
        <w:t> </w:t>
      </w:r>
      <w:r>
        <w:rPr/>
        <w:t>first</w:t>
      </w:r>
      <w:r>
        <w:rPr>
          <w:spacing w:val="40"/>
        </w:rPr>
        <w:t> </w:t>
      </w:r>
      <w:r>
        <w:rPr/>
        <w:t>difficulty</w:t>
      </w:r>
      <w:r>
        <w:rPr>
          <w:spacing w:val="40"/>
        </w:rPr>
        <w:t> </w:t>
      </w:r>
      <w:r>
        <w:rPr/>
        <w:t>is</w:t>
      </w:r>
      <w:r>
        <w:rPr>
          <w:spacing w:val="40"/>
        </w:rPr>
        <w:t> </w:t>
      </w:r>
      <w:r>
        <w:rPr/>
        <w:t>to</w:t>
      </w:r>
      <w:r>
        <w:rPr>
          <w:spacing w:val="40"/>
        </w:rPr>
        <w:t> </w:t>
      </w:r>
      <w:r>
        <w:rPr/>
        <w:t>reconcile</w:t>
      </w:r>
      <w:r>
        <w:rPr>
          <w:spacing w:val="40"/>
        </w:rPr>
        <w:t> </w:t>
      </w:r>
      <w:r>
        <w:rPr/>
        <w:t>Denning</w:t>
      </w:r>
      <w:r>
        <w:rPr>
          <w:spacing w:val="40"/>
        </w:rPr>
        <w:t> </w:t>
      </w:r>
      <w:r>
        <w:rPr/>
        <w:t>J.’s</w:t>
      </w:r>
      <w:r>
        <w:rPr>
          <w:spacing w:val="40"/>
        </w:rPr>
        <w:t> </w:t>
      </w:r>
      <w:r>
        <w:rPr/>
        <w:t>statement</w:t>
      </w:r>
      <w:r>
        <w:rPr>
          <w:spacing w:val="40"/>
        </w:rPr>
        <w:t> </w:t>
      </w:r>
      <w:r>
        <w:rPr/>
        <w:t>in</w:t>
      </w:r>
      <w:r>
        <w:rPr>
          <w:spacing w:val="40"/>
        </w:rPr>
        <w:t> </w:t>
      </w:r>
      <w:r>
        <w:rPr/>
        <w:t>the</w:t>
      </w:r>
      <w:r>
        <w:rPr>
          <w:spacing w:val="40"/>
        </w:rPr>
        <w:t> </w:t>
      </w:r>
      <w:r>
        <w:rPr>
          <w:rFonts w:ascii="Arial" w:hAnsi="Arial"/>
          <w:i/>
        </w:rPr>
        <w:t>High</w:t>
      </w:r>
      <w:r>
        <w:rPr>
          <w:rFonts w:ascii="Arial" w:hAnsi="Arial"/>
          <w:i/>
          <w:spacing w:val="40"/>
        </w:rPr>
        <w:t> </w:t>
      </w:r>
      <w:r>
        <w:rPr>
          <w:rFonts w:ascii="Arial" w:hAnsi="Arial"/>
          <w:i/>
        </w:rPr>
        <w:t>Trees</w:t>
      </w:r>
      <w:r>
        <w:rPr>
          <w:rFonts w:ascii="Arial" w:hAnsi="Arial"/>
          <w:i/>
          <w:spacing w:val="40"/>
        </w:rPr>
        <w:t> </w:t>
      </w:r>
      <w:r>
        <w:rPr/>
        <w:t>case,</w:t>
      </w:r>
      <w:r>
        <w:rPr>
          <w:spacing w:val="40"/>
        </w:rPr>
        <w:t> </w:t>
      </w:r>
      <w:r>
        <w:rPr/>
        <w:t>quoted</w:t>
      </w:r>
      <w:r>
        <w:rPr>
          <w:spacing w:val="40"/>
        </w:rPr>
        <w:t> </w:t>
      </w:r>
      <w:r>
        <w:rPr/>
        <w:t>in para.4-130 above, </w:t>
      </w:r>
      <w:r>
        <w:rPr>
          <w:color w:val="005DA1"/>
          <w:u w:val="single" w:color="005DA1"/>
          <w:vertAlign w:val="superscript"/>
        </w:rPr>
        <w:t>809</w:t>
      </w:r>
      <w:r>
        <w:rPr>
          <w:color w:val="005DA1"/>
          <w:vertAlign w:val="baseline"/>
        </w:rPr>
        <w:t> </w:t>
      </w:r>
      <w:r>
        <w:rPr>
          <w:vertAlign w:val="baseline"/>
        </w:rPr>
        <w:t>with the actual decision in </w:t>
      </w:r>
      <w:r>
        <w:rPr>
          <w:rFonts w:ascii="Arial" w:hAnsi="Arial"/>
          <w:i/>
          <w:vertAlign w:val="baseline"/>
        </w:rPr>
        <w:t>Foakes v Beer</w:t>
      </w:r>
      <w:r>
        <w:rPr>
          <w:vertAlign w:val="baseline"/>
        </w:rPr>
        <w:t>. </w:t>
      </w:r>
      <w:r>
        <w:rPr>
          <w:color w:val="005DA1"/>
          <w:u w:val="single" w:color="005DA1"/>
          <w:vertAlign w:val="superscript"/>
        </w:rPr>
        <w:t>810</w:t>
      </w:r>
      <w:r>
        <w:rPr>
          <w:color w:val="005DA1"/>
          <w:vertAlign w:val="baseline"/>
        </w:rPr>
        <w:t> </w:t>
      </w:r>
      <w:r>
        <w:rPr>
          <w:vertAlign w:val="baseline"/>
        </w:rPr>
        <w:t>If Mrs Beer could go back on her promise not to claim interest, why could not the landlords in the </w:t>
      </w:r>
      <w:r>
        <w:rPr>
          <w:rFonts w:ascii="Arial" w:hAnsi="Arial"/>
          <w:i/>
          <w:vertAlign w:val="baseline"/>
        </w:rPr>
        <w:t>High Trees </w:t>
      </w:r>
      <w:r>
        <w:rPr>
          <w:vertAlign w:val="baseline"/>
        </w:rPr>
        <w:t>case go back on their </w:t>
      </w:r>
      <w:bookmarkStart w:name="_bookmark1515" w:id="1517"/>
      <w:bookmarkEnd w:id="1517"/>
      <w:r>
        <w:rPr>
          <w:vertAlign w:val="baseline"/>
        </w:rPr>
        <w:t>promise</w:t>
      </w:r>
      <w:r>
        <w:rPr>
          <w:vertAlign w:val="baseline"/>
        </w:rPr>
        <w:t> not to ask for the full rent in (say) 1941, when the war-time difficulties of subletting </w:t>
      </w:r>
      <w:r>
        <w:rPr>
          <w:vertAlign w:val="baseline"/>
        </w:rPr>
        <w:t>still </w:t>
      </w:r>
      <w:bookmarkStart w:name="_bookmark1516" w:id="1518"/>
      <w:bookmarkEnd w:id="1518"/>
      <w:r>
        <w:rPr>
          <w:vertAlign w:val="baseline"/>
        </w:rPr>
        <w:t>prevailed?</w:t>
      </w:r>
      <w:r>
        <w:rPr>
          <w:vertAlign w:val="baseline"/>
        </w:rPr>
        <w:t> One possibility is to say that “That aspect was not considered in </w:t>
      </w:r>
      <w:r>
        <w:rPr>
          <w:rFonts w:ascii="Arial" w:hAnsi="Arial"/>
          <w:i/>
          <w:vertAlign w:val="baseline"/>
        </w:rPr>
        <w:t>Foakes v Beer</w:t>
      </w:r>
      <w:r>
        <w:rPr>
          <w:vertAlign w:val="baseline"/>
        </w:rPr>
        <w:t>” </w:t>
      </w:r>
      <w:r>
        <w:rPr>
          <w:color w:val="005DA1"/>
          <w:u w:val="single" w:color="005DA1"/>
          <w:vertAlign w:val="superscript"/>
        </w:rPr>
        <w:t>811</w:t>
      </w:r>
      <w:r>
        <w:rPr>
          <w:color w:val="005DA1"/>
          <w:vertAlign w:val="baseline"/>
        </w:rPr>
        <w:t> </w:t>
      </w:r>
      <w:r>
        <w:rPr>
          <w:vertAlign w:val="baseline"/>
        </w:rPr>
        <w:t>which </w:t>
      </w:r>
      <w:bookmarkStart w:name="_bookmark1517" w:id="1519"/>
      <w:bookmarkEnd w:id="1519"/>
      <w:r>
        <w:rPr>
          <w:vertAlign w:val="baseline"/>
        </w:rPr>
        <w:t>was</w:t>
      </w:r>
      <w:r>
        <w:rPr>
          <w:vertAlign w:val="baseline"/>
        </w:rPr>
        <w:t> decided on purely common law principles, without reference to equity, </w:t>
      </w:r>
      <w:r>
        <w:rPr>
          <w:color w:val="005DA1"/>
          <w:u w:val="single" w:color="005DA1"/>
          <w:vertAlign w:val="superscript"/>
        </w:rPr>
        <w:t>812</w:t>
      </w:r>
      <w:r>
        <w:rPr>
          <w:color w:val="005DA1"/>
          <w:vertAlign w:val="baseline"/>
        </w:rPr>
        <w:t> </w:t>
      </w:r>
      <w:r>
        <w:rPr>
          <w:vertAlign w:val="baseline"/>
        </w:rPr>
        <w:t>and is therefore “no </w:t>
      </w:r>
      <w:bookmarkStart w:name="_bookmark1518" w:id="1520"/>
      <w:bookmarkEnd w:id="1520"/>
      <w:r>
        <w:rPr>
          <w:vertAlign w:val="baseline"/>
        </w:rPr>
        <w:t>longer</w:t>
      </w:r>
      <w:r>
        <w:rPr>
          <w:vertAlign w:val="baseline"/>
        </w:rPr>
        <w:t> valid” </w:t>
      </w:r>
      <w:r>
        <w:rPr>
          <w:color w:val="005DA1"/>
          <w:u w:val="single" w:color="005DA1"/>
          <w:vertAlign w:val="superscript"/>
        </w:rPr>
        <w:t>813</w:t>
      </w:r>
      <w:r>
        <w:rPr>
          <w:vertAlign w:val="baseline"/>
        </w:rPr>
        <w:t>; but this reasoning is open to the objection that the rule in </w:t>
      </w:r>
      <w:r>
        <w:rPr>
          <w:rFonts w:ascii="Arial" w:hAnsi="Arial"/>
          <w:i/>
          <w:vertAlign w:val="baseline"/>
        </w:rPr>
        <w:t>Pinnel’s Case </w:t>
      </w:r>
      <w:r>
        <w:rPr>
          <w:color w:val="005DA1"/>
          <w:u w:val="single" w:color="005DA1"/>
          <w:vertAlign w:val="superscript"/>
        </w:rPr>
        <w:t>814</w:t>
      </w:r>
      <w:r>
        <w:rPr>
          <w:color w:val="005DA1"/>
          <w:vertAlign w:val="baseline"/>
        </w:rPr>
        <w:t> </w:t>
      </w:r>
      <w:r>
        <w:rPr>
          <w:vertAlign w:val="baseline"/>
        </w:rPr>
        <w:t>(on which </w:t>
      </w:r>
      <w:r>
        <w:rPr>
          <w:rFonts w:ascii="Arial" w:hAnsi="Arial"/>
          <w:i/>
          <w:vertAlign w:val="baseline"/>
        </w:rPr>
        <w:t>Foakes v Beer </w:t>
      </w:r>
      <w:r>
        <w:rPr>
          <w:vertAlign w:val="baseline"/>
        </w:rPr>
        <w:t>was based) was recognised in equity no less than at common law. </w:t>
      </w:r>
      <w:r>
        <w:rPr>
          <w:color w:val="005DA1"/>
          <w:u w:val="single" w:color="005DA1"/>
          <w:vertAlign w:val="superscript"/>
        </w:rPr>
        <w:t>815</w:t>
      </w:r>
      <w:r>
        <w:rPr>
          <w:color w:val="005DA1"/>
          <w:vertAlign w:val="baseline"/>
        </w:rPr>
        <w:t> </w:t>
      </w:r>
      <w:r>
        <w:rPr>
          <w:vertAlign w:val="baseline"/>
        </w:rPr>
        <w:t>Another </w:t>
      </w:r>
      <w:bookmarkStart w:name="_bookmark1519" w:id="1521"/>
      <w:bookmarkEnd w:id="1521"/>
      <w:r>
        <w:rPr>
          <w:vertAlign w:val="baseline"/>
        </w:rPr>
        <w:t>possibility,</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one</w:t>
      </w:r>
      <w:r>
        <w:rPr>
          <w:spacing w:val="-1"/>
          <w:vertAlign w:val="baseline"/>
        </w:rPr>
        <w:t> </w:t>
      </w:r>
      <w:r>
        <w:rPr>
          <w:vertAlign w:val="baseline"/>
        </w:rPr>
        <w:t>which</w:t>
      </w:r>
      <w:r>
        <w:rPr>
          <w:spacing w:val="-1"/>
          <w:vertAlign w:val="baseline"/>
        </w:rPr>
        <w:t> </w:t>
      </w:r>
      <w:r>
        <w:rPr>
          <w:vertAlign w:val="baseline"/>
        </w:rPr>
        <w:t>does</w:t>
      </w:r>
      <w:r>
        <w:rPr>
          <w:spacing w:val="-1"/>
          <w:vertAlign w:val="baseline"/>
        </w:rPr>
        <w:t> </w:t>
      </w:r>
      <w:r>
        <w:rPr>
          <w:vertAlign w:val="baseline"/>
        </w:rPr>
        <w:t>least</w:t>
      </w:r>
      <w:r>
        <w:rPr>
          <w:spacing w:val="-1"/>
          <w:vertAlign w:val="baseline"/>
        </w:rPr>
        <w:t> </w:t>
      </w:r>
      <w:r>
        <w:rPr>
          <w:vertAlign w:val="baseline"/>
        </w:rPr>
        <w:t>violence</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authorities,</w:t>
      </w:r>
      <w:r>
        <w:rPr>
          <w:spacing w:val="-1"/>
          <w:vertAlign w:val="baseline"/>
        </w:rPr>
        <w:t> </w:t>
      </w:r>
      <w:r>
        <w:rPr>
          <w:vertAlign w:val="baseline"/>
        </w:rPr>
        <w:t>is</w:t>
      </w:r>
      <w:r>
        <w:rPr>
          <w:spacing w:val="-1"/>
          <w:vertAlign w:val="baseline"/>
        </w:rPr>
        <w:t> </w:t>
      </w:r>
      <w:r>
        <w:rPr>
          <w:vertAlign w:val="baseline"/>
        </w:rPr>
        <w:t>to</w:t>
      </w:r>
      <w:r>
        <w:rPr>
          <w:spacing w:val="-1"/>
          <w:vertAlign w:val="baseline"/>
        </w:rPr>
        <w:t> </w:t>
      </w:r>
      <w:r>
        <w:rPr>
          <w:vertAlign w:val="baseline"/>
        </w:rPr>
        <w:t>say</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creditor’s</w:t>
      </w:r>
      <w:r>
        <w:rPr>
          <w:spacing w:val="-1"/>
          <w:vertAlign w:val="baseline"/>
        </w:rPr>
        <w:t> </w:t>
      </w:r>
      <w:r>
        <w:rPr>
          <w:vertAlign w:val="baseline"/>
        </w:rPr>
        <w:t>right</w:t>
      </w:r>
      <w:r>
        <w:rPr>
          <w:spacing w:val="-1"/>
          <w:vertAlign w:val="baseline"/>
        </w:rPr>
        <w:t> </w:t>
      </w:r>
      <w:r>
        <w:rPr>
          <w:vertAlign w:val="baseline"/>
        </w:rPr>
        <w:t>to </w:t>
      </w:r>
      <w:bookmarkStart w:name="_bookmark1520" w:id="1522"/>
      <w:bookmarkEnd w:id="1522"/>
      <w:r>
        <w:rPr>
          <w:vertAlign w:val="baseline"/>
        </w:rPr>
        <w:t>the</w:t>
      </w:r>
      <w:r>
        <w:rPr>
          <w:spacing w:val="-3"/>
          <w:vertAlign w:val="baseline"/>
        </w:rPr>
        <w:t> </w:t>
      </w:r>
      <w:r>
        <w:rPr>
          <w:vertAlign w:val="baseline"/>
        </w:rPr>
        <w:t>balance</w:t>
      </w:r>
      <w:r>
        <w:rPr>
          <w:spacing w:val="-3"/>
          <w:vertAlign w:val="baseline"/>
        </w:rPr>
        <w:t> </w:t>
      </w:r>
      <w:r>
        <w:rPr>
          <w:vertAlign w:val="baseline"/>
        </w:rPr>
        <w:t>of</w:t>
      </w:r>
      <w:r>
        <w:rPr>
          <w:spacing w:val="-3"/>
          <w:vertAlign w:val="baseline"/>
        </w:rPr>
        <w:t> </w:t>
      </w:r>
      <w:r>
        <w:rPr>
          <w:vertAlign w:val="baseline"/>
        </w:rPr>
        <w:t>his</w:t>
      </w:r>
      <w:r>
        <w:rPr>
          <w:spacing w:val="-3"/>
          <w:vertAlign w:val="baseline"/>
        </w:rPr>
        <w:t> </w:t>
      </w:r>
      <w:r>
        <w:rPr>
          <w:vertAlign w:val="baseline"/>
        </w:rPr>
        <w:t>debt</w:t>
      </w:r>
      <w:r>
        <w:rPr>
          <w:spacing w:val="-3"/>
          <w:vertAlign w:val="baseline"/>
        </w:rPr>
        <w:t> </w:t>
      </w:r>
      <w:r>
        <w:rPr>
          <w:vertAlign w:val="baseline"/>
        </w:rPr>
        <w:t>is</w:t>
      </w:r>
      <w:r>
        <w:rPr>
          <w:spacing w:val="-3"/>
          <w:vertAlign w:val="baseline"/>
        </w:rPr>
        <w:t> </w:t>
      </w:r>
      <w:r>
        <w:rPr>
          <w:vertAlign w:val="baseline"/>
        </w:rPr>
        <w:t>(save</w:t>
      </w:r>
      <w:r>
        <w:rPr>
          <w:spacing w:val="-3"/>
          <w:vertAlign w:val="baseline"/>
        </w:rPr>
        <w:t> </w:t>
      </w:r>
      <w:r>
        <w:rPr>
          <w:vertAlign w:val="baseline"/>
        </w:rPr>
        <w:t>in</w:t>
      </w:r>
      <w:r>
        <w:rPr>
          <w:spacing w:val="-3"/>
          <w:vertAlign w:val="baseline"/>
        </w:rPr>
        <w:t> </w:t>
      </w:r>
      <w:r>
        <w:rPr>
          <w:vertAlign w:val="baseline"/>
        </w:rPr>
        <w:t>exceptional</w:t>
      </w:r>
      <w:r>
        <w:rPr>
          <w:spacing w:val="-3"/>
          <w:vertAlign w:val="baseline"/>
        </w:rPr>
        <w:t> </w:t>
      </w:r>
      <w:r>
        <w:rPr>
          <w:vertAlign w:val="baseline"/>
        </w:rPr>
        <w:t>cases</w:t>
      </w:r>
      <w:r>
        <w:rPr>
          <w:spacing w:val="-3"/>
          <w:vertAlign w:val="baseline"/>
        </w:rPr>
        <w:t> </w:t>
      </w:r>
      <w:r>
        <w:rPr>
          <w:color w:val="005DA1"/>
          <w:u w:val="single" w:color="005DA1"/>
          <w:vertAlign w:val="superscript"/>
        </w:rPr>
        <w:t>816</w:t>
      </w:r>
      <w:r>
        <w:rPr>
          <w:vertAlign w:val="baseline"/>
        </w:rPr>
        <w:t>)</w:t>
      </w:r>
      <w:r>
        <w:rPr>
          <w:spacing w:val="-3"/>
          <w:vertAlign w:val="baseline"/>
        </w:rPr>
        <w:t> </w:t>
      </w:r>
      <w:r>
        <w:rPr>
          <w:vertAlign w:val="baseline"/>
        </w:rPr>
        <w:t>not</w:t>
      </w:r>
      <w:r>
        <w:rPr>
          <w:spacing w:val="-3"/>
          <w:vertAlign w:val="baseline"/>
        </w:rPr>
        <w:t> </w:t>
      </w:r>
      <w:r>
        <w:rPr>
          <w:vertAlign w:val="baseline"/>
        </w:rPr>
        <w:t>extinguished</w:t>
      </w:r>
      <w:r>
        <w:rPr>
          <w:spacing w:val="-3"/>
          <w:vertAlign w:val="baseline"/>
        </w:rPr>
        <w:t> </w:t>
      </w:r>
      <w:r>
        <w:rPr>
          <w:vertAlign w:val="baseline"/>
        </w:rPr>
        <w:t>but</w:t>
      </w:r>
      <w:r>
        <w:rPr>
          <w:spacing w:val="-3"/>
          <w:vertAlign w:val="baseline"/>
        </w:rPr>
        <w:t> </w:t>
      </w:r>
      <w:r>
        <w:rPr>
          <w:vertAlign w:val="baseline"/>
        </w:rPr>
        <w:t>only</w:t>
      </w:r>
      <w:r>
        <w:rPr>
          <w:spacing w:val="-3"/>
          <w:vertAlign w:val="baseline"/>
        </w:rPr>
        <w:t> </w:t>
      </w:r>
      <w:r>
        <w:rPr>
          <w:vertAlign w:val="baseline"/>
        </w:rPr>
        <w:t>suspended.</w:t>
      </w:r>
      <w:r>
        <w:rPr>
          <w:spacing w:val="-3"/>
          <w:vertAlign w:val="baseline"/>
        </w:rPr>
        <w:t> </w:t>
      </w:r>
      <w:r>
        <w:rPr>
          <w:color w:val="005DA1"/>
          <w:u w:val="single" w:color="005DA1"/>
          <w:vertAlign w:val="superscript"/>
        </w:rPr>
        <w:t>817</w:t>
      </w:r>
      <w:r>
        <w:rPr>
          <w:color w:val="005DA1"/>
          <w:spacing w:val="-3"/>
          <w:vertAlign w:val="baseline"/>
        </w:rPr>
        <w:t> </w:t>
      </w:r>
      <w:r>
        <w:rPr>
          <w:vertAlign w:val="baseline"/>
        </w:rPr>
        <w:t>This is</w:t>
      </w:r>
      <w:r>
        <w:rPr>
          <w:spacing w:val="18"/>
          <w:vertAlign w:val="baseline"/>
        </w:rPr>
        <w:t> </w:t>
      </w:r>
      <w:r>
        <w:rPr>
          <w:vertAlign w:val="baseline"/>
        </w:rPr>
        <w:t>generally</w:t>
      </w:r>
      <w:r>
        <w:rPr>
          <w:spacing w:val="18"/>
          <w:vertAlign w:val="baseline"/>
        </w:rPr>
        <w:t> </w:t>
      </w:r>
      <w:r>
        <w:rPr>
          <w:vertAlign w:val="baseline"/>
        </w:rPr>
        <w:t>the</w:t>
      </w:r>
      <w:r>
        <w:rPr>
          <w:spacing w:val="18"/>
          <w:vertAlign w:val="baseline"/>
        </w:rPr>
        <w:t> </w:t>
      </w:r>
      <w:r>
        <w:rPr>
          <w:vertAlign w:val="baseline"/>
        </w:rPr>
        <w:t>sole</w:t>
      </w:r>
      <w:r>
        <w:rPr>
          <w:spacing w:val="18"/>
          <w:vertAlign w:val="baseline"/>
        </w:rPr>
        <w:t> </w:t>
      </w:r>
      <w:r>
        <w:rPr>
          <w:vertAlign w:val="baseline"/>
        </w:rPr>
        <w:t>effect</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rule</w:t>
      </w:r>
      <w:r>
        <w:rPr>
          <w:spacing w:val="18"/>
          <w:vertAlign w:val="baseline"/>
        </w:rPr>
        <w:t> </w:t>
      </w:r>
      <w:r>
        <w:rPr>
          <w:vertAlign w:val="baseline"/>
        </w:rPr>
        <w:t>in</w:t>
      </w:r>
      <w:r>
        <w:rPr>
          <w:spacing w:val="17"/>
          <w:vertAlign w:val="baseline"/>
        </w:rPr>
        <w:t> </w:t>
      </w:r>
      <w:r>
        <w:rPr>
          <w:rFonts w:ascii="Arial" w:hAnsi="Arial"/>
          <w:i/>
          <w:vertAlign w:val="baseline"/>
        </w:rPr>
        <w:t>Hughes</w:t>
      </w:r>
      <w:r>
        <w:rPr>
          <w:rFonts w:ascii="Arial" w:hAnsi="Arial"/>
          <w:i/>
          <w:spacing w:val="18"/>
          <w:vertAlign w:val="baseline"/>
        </w:rPr>
        <w:t> </w:t>
      </w:r>
      <w:r>
        <w:rPr>
          <w:rFonts w:ascii="Arial" w:hAnsi="Arial"/>
          <w:i/>
          <w:vertAlign w:val="baseline"/>
        </w:rPr>
        <w:t>v</w:t>
      </w:r>
      <w:r>
        <w:rPr>
          <w:rFonts w:ascii="Arial" w:hAnsi="Arial"/>
          <w:i/>
          <w:spacing w:val="18"/>
          <w:vertAlign w:val="baseline"/>
        </w:rPr>
        <w:t> </w:t>
      </w:r>
      <w:r>
        <w:rPr>
          <w:rFonts w:ascii="Arial" w:hAnsi="Arial"/>
          <w:i/>
          <w:vertAlign w:val="baseline"/>
        </w:rPr>
        <w:t>Metropolitan</w:t>
      </w:r>
      <w:r>
        <w:rPr>
          <w:rFonts w:ascii="Arial" w:hAnsi="Arial"/>
          <w:i/>
          <w:spacing w:val="18"/>
          <w:vertAlign w:val="baseline"/>
        </w:rPr>
        <w:t> </w:t>
      </w:r>
      <w:r>
        <w:rPr>
          <w:rFonts w:ascii="Arial" w:hAnsi="Arial"/>
          <w:i/>
          <w:vertAlign w:val="baseline"/>
        </w:rPr>
        <w:t>Ry</w:t>
      </w:r>
      <w:r>
        <w:rPr>
          <w:vertAlign w:val="baseline"/>
        </w:rPr>
        <w:t>.</w:t>
      </w:r>
      <w:r>
        <w:rPr>
          <w:spacing w:val="18"/>
          <w:vertAlign w:val="baseline"/>
        </w:rPr>
        <w:t> </w:t>
      </w:r>
      <w:r>
        <w:rPr>
          <w:color w:val="005DA1"/>
          <w:u w:val="single" w:color="005DA1"/>
          <w:vertAlign w:val="superscript"/>
        </w:rPr>
        <w:t>818</w:t>
      </w:r>
      <w:r>
        <w:rPr>
          <w:color w:val="005DA1"/>
          <w:spacing w:val="18"/>
          <w:vertAlign w:val="baseline"/>
        </w:rPr>
        <w:t> </w:t>
      </w:r>
      <w:r>
        <w:rPr>
          <w:vertAlign w:val="baseline"/>
        </w:rPr>
        <w:t>and</w:t>
      </w:r>
      <w:r>
        <w:rPr>
          <w:spacing w:val="18"/>
          <w:vertAlign w:val="baseline"/>
        </w:rPr>
        <w:t> </w:t>
      </w:r>
      <w:r>
        <w:rPr>
          <w:vertAlign w:val="baseline"/>
        </w:rPr>
        <w:t>in</w:t>
      </w:r>
      <w:r>
        <w:rPr>
          <w:spacing w:val="18"/>
          <w:vertAlign w:val="baseline"/>
        </w:rPr>
        <w:t> </w:t>
      </w:r>
      <w:r>
        <w:rPr>
          <w:vertAlign w:val="baseline"/>
        </w:rPr>
        <w:t>the</w:t>
      </w:r>
      <w:r>
        <w:rPr>
          <w:spacing w:val="18"/>
          <w:vertAlign w:val="baseline"/>
        </w:rPr>
        <w:t> </w:t>
      </w:r>
      <w:r>
        <w:rPr>
          <w:vertAlign w:val="baseline"/>
        </w:rPr>
        <w:t>present</w:t>
      </w:r>
      <w:r>
        <w:rPr>
          <w:spacing w:val="18"/>
          <w:vertAlign w:val="baseline"/>
        </w:rPr>
        <w:t> </w:t>
      </w:r>
      <w:r>
        <w:rPr>
          <w:vertAlign w:val="baseline"/>
        </w:rPr>
        <w:t>context</w:t>
      </w:r>
      <w:r>
        <w:rPr>
          <w:spacing w:val="18"/>
          <w:vertAlign w:val="baseline"/>
        </w:rPr>
        <w:t> </w:t>
      </w:r>
      <w:r>
        <w:rPr>
          <w:spacing w:val="-5"/>
          <w:vertAlign w:val="baseline"/>
        </w:rPr>
        <w:t>it</w:t>
      </w:r>
    </w:p>
    <w:p>
      <w:pPr>
        <w:pStyle w:val="BodyText"/>
        <w:spacing w:after="0" w:line="235" w:lineRule="auto"/>
        <w:jc w:val="both"/>
        <w:sectPr>
          <w:headerReference w:type="default" r:id="rId48"/>
          <w:headerReference w:type="even" r:id="rId49"/>
          <w:pgSz w:w="11900" w:h="16840"/>
          <w:pgMar w:header="971" w:footer="0" w:top="1160" w:bottom="280" w:left="1275" w:right="1275"/>
          <w:pgNumType w:start="1"/>
        </w:sectPr>
      </w:pPr>
    </w:p>
    <w:p>
      <w:pPr>
        <w:pStyle w:val="BodyText"/>
        <w:spacing w:before="24"/>
      </w:pPr>
    </w:p>
    <w:p>
      <w:pPr>
        <w:pStyle w:val="BodyText"/>
        <w:spacing w:line="235" w:lineRule="auto" w:before="1"/>
        <w:ind w:left="164" w:right="167"/>
        <w:jc w:val="both"/>
      </w:pPr>
      <w:bookmarkStart w:name="_bookmark1521" w:id="1523"/>
      <w:bookmarkEnd w:id="1523"/>
      <w:r>
        <w:rPr/>
      </w:r>
      <w:r>
        <w:rPr/>
        <w:t>would give effect to the intention of the parties where the purpose of the arrangement was merely to give the debtor extra time to pay, </w:t>
      </w:r>
      <w:r>
        <w:rPr>
          <w:color w:val="005DA1"/>
          <w:u w:val="single" w:color="005DA1"/>
          <w:vertAlign w:val="superscript"/>
        </w:rPr>
        <w:t>819</w:t>
      </w:r>
      <w:r>
        <w:rPr>
          <w:color w:val="005DA1"/>
          <w:vertAlign w:val="baseline"/>
        </w:rPr>
        <w:t> </w:t>
      </w:r>
      <w:r>
        <w:rPr>
          <w:vertAlign w:val="baseline"/>
        </w:rPr>
        <w:t>rather than to extinguish the debt. Of course where the intention </w:t>
      </w:r>
      <w:bookmarkStart w:name="_bookmark1522" w:id="1524"/>
      <w:bookmarkEnd w:id="1524"/>
      <w:r>
        <w:rPr>
          <w:vertAlign w:val="baseline"/>
        </w:rPr>
        <w:t>is</w:t>
      </w:r>
      <w:r>
        <w:rPr>
          <w:vertAlign w:val="baseline"/>
        </w:rPr>
        <w:t> to extinguish, and not merely to suspend, the creditor’s right to the balance, the suggestion that he </w:t>
      </w:r>
      <w:bookmarkStart w:name="_bookmark1523" w:id="1525"/>
      <w:bookmarkEnd w:id="1525"/>
      <w:r>
        <w:rPr>
          <w:vertAlign w:val="baseline"/>
        </w:rPr>
        <w:t>is</w:t>
      </w:r>
      <w:r>
        <w:rPr>
          <w:spacing w:val="7"/>
          <w:vertAlign w:val="baseline"/>
        </w:rPr>
        <w:t> </w:t>
      </w:r>
      <w:r>
        <w:rPr>
          <w:vertAlign w:val="baseline"/>
        </w:rPr>
        <w:t>permanently</w:t>
      </w:r>
      <w:r>
        <w:rPr>
          <w:spacing w:val="7"/>
          <w:vertAlign w:val="baseline"/>
        </w:rPr>
        <w:t> </w:t>
      </w:r>
      <w:r>
        <w:rPr>
          <w:vertAlign w:val="baseline"/>
        </w:rPr>
        <w:t>bound</w:t>
      </w:r>
      <w:r>
        <w:rPr>
          <w:spacing w:val="7"/>
          <w:vertAlign w:val="baseline"/>
        </w:rPr>
        <w:t> </w:t>
      </w:r>
      <w:r>
        <w:rPr>
          <w:vertAlign w:val="baseline"/>
        </w:rPr>
        <w:t>by</w:t>
      </w:r>
      <w:r>
        <w:rPr>
          <w:spacing w:val="7"/>
          <w:vertAlign w:val="baseline"/>
        </w:rPr>
        <w:t> </w:t>
      </w:r>
      <w:r>
        <w:rPr>
          <w:vertAlign w:val="baseline"/>
        </w:rPr>
        <w:t>his</w:t>
      </w:r>
      <w:r>
        <w:rPr>
          <w:spacing w:val="7"/>
          <w:vertAlign w:val="baseline"/>
        </w:rPr>
        <w:t> </w:t>
      </w:r>
      <w:r>
        <w:rPr>
          <w:vertAlign w:val="baseline"/>
        </w:rPr>
        <w:t>promise</w:t>
      </w:r>
      <w:r>
        <w:rPr>
          <w:spacing w:val="7"/>
          <w:vertAlign w:val="baseline"/>
        </w:rPr>
        <w:t> </w:t>
      </w:r>
      <w:r>
        <w:rPr>
          <w:vertAlign w:val="baseline"/>
        </w:rPr>
        <w:t>to</w:t>
      </w:r>
      <w:r>
        <w:rPr>
          <w:spacing w:val="7"/>
          <w:vertAlign w:val="baseline"/>
        </w:rPr>
        <w:t> </w:t>
      </w:r>
      <w:r>
        <w:rPr>
          <w:vertAlign w:val="baseline"/>
        </w:rPr>
        <w:t>accept</w:t>
      </w:r>
      <w:r>
        <w:rPr>
          <w:spacing w:val="7"/>
          <w:vertAlign w:val="baseline"/>
        </w:rPr>
        <w:t> </w:t>
      </w:r>
      <w:r>
        <w:rPr>
          <w:vertAlign w:val="baseline"/>
        </w:rPr>
        <w:t>part</w:t>
      </w:r>
      <w:r>
        <w:rPr>
          <w:spacing w:val="7"/>
          <w:vertAlign w:val="baseline"/>
        </w:rPr>
        <w:t> </w:t>
      </w:r>
      <w:r>
        <w:rPr>
          <w:vertAlign w:val="baseline"/>
        </w:rPr>
        <w:t>payment</w:t>
      </w:r>
      <w:r>
        <w:rPr>
          <w:spacing w:val="7"/>
          <w:vertAlign w:val="baseline"/>
        </w:rPr>
        <w:t> </w:t>
      </w:r>
      <w:r>
        <w:rPr>
          <w:vertAlign w:val="baseline"/>
        </w:rPr>
        <w:t>in</w:t>
      </w:r>
      <w:r>
        <w:rPr>
          <w:spacing w:val="7"/>
          <w:vertAlign w:val="baseline"/>
        </w:rPr>
        <w:t> </w:t>
      </w:r>
      <w:r>
        <w:rPr>
          <w:vertAlign w:val="baseline"/>
        </w:rPr>
        <w:t>full</w:t>
      </w:r>
      <w:r>
        <w:rPr>
          <w:spacing w:val="7"/>
          <w:vertAlign w:val="baseline"/>
        </w:rPr>
        <w:t> </w:t>
      </w:r>
      <w:r>
        <w:rPr>
          <w:vertAlign w:val="baseline"/>
        </w:rPr>
        <w:t>settlement</w:t>
      </w:r>
      <w:r>
        <w:rPr>
          <w:spacing w:val="6"/>
          <w:vertAlign w:val="baseline"/>
        </w:rPr>
        <w:t> </w:t>
      </w:r>
      <w:r>
        <w:rPr>
          <w:color w:val="005DA1"/>
          <w:u w:val="single" w:color="005DA1"/>
          <w:vertAlign w:val="superscript"/>
        </w:rPr>
        <w:t>820</w:t>
      </w:r>
      <w:r>
        <w:rPr>
          <w:color w:val="005DA1"/>
          <w:spacing w:val="7"/>
          <w:vertAlign w:val="baseline"/>
        </w:rPr>
        <w:t> </w:t>
      </w:r>
      <w:r>
        <w:rPr>
          <w:vertAlign w:val="baseline"/>
        </w:rPr>
        <w:t>may</w:t>
      </w:r>
      <w:r>
        <w:rPr>
          <w:spacing w:val="7"/>
          <w:vertAlign w:val="baseline"/>
        </w:rPr>
        <w:t> </w:t>
      </w:r>
      <w:r>
        <w:rPr>
          <w:vertAlign w:val="baseline"/>
        </w:rPr>
        <w:t>seem</w:t>
      </w:r>
      <w:r>
        <w:rPr>
          <w:spacing w:val="7"/>
          <w:vertAlign w:val="baseline"/>
        </w:rPr>
        <w:t> </w:t>
      </w:r>
      <w:r>
        <w:rPr>
          <w:vertAlign w:val="baseline"/>
        </w:rPr>
        <w:t>to</w:t>
      </w:r>
      <w:r>
        <w:rPr>
          <w:spacing w:val="7"/>
          <w:vertAlign w:val="baseline"/>
        </w:rPr>
        <w:t> </w:t>
      </w:r>
      <w:r>
        <w:rPr>
          <w:vertAlign w:val="baseline"/>
        </w:rPr>
        <w:t>be</w:t>
      </w:r>
      <w:r>
        <w:rPr>
          <w:spacing w:val="7"/>
          <w:vertAlign w:val="baseline"/>
        </w:rPr>
        <w:t> </w:t>
      </w:r>
      <w:r>
        <w:rPr>
          <w:spacing w:val="-5"/>
          <w:vertAlign w:val="baseline"/>
        </w:rPr>
        <w:t>an</w:t>
      </w:r>
    </w:p>
    <w:p>
      <w:pPr>
        <w:pStyle w:val="BodyText"/>
        <w:spacing w:line="235" w:lineRule="auto" w:before="118"/>
        <w:ind w:left="164" w:right="167"/>
        <w:jc w:val="both"/>
      </w:pPr>
      <w:r>
        <w:rPr/>
        <w:t>attractive one. </w:t>
      </w:r>
      <w:r>
        <w:rPr>
          <w:color w:val="005DA1"/>
          <w:u w:val="single" w:color="005DA1"/>
          <w:vertAlign w:val="superscript"/>
        </w:rPr>
        <w:t>821</w:t>
      </w:r>
      <w:r>
        <w:rPr>
          <w:color w:val="005DA1"/>
          <w:spacing w:val="80"/>
          <w:w w:val="150"/>
          <w:vertAlign w:val="baseline"/>
        </w:rPr>
        <w:t> </w:t>
      </w:r>
      <w:r>
        <w:rPr>
          <w:color w:val="005DA1"/>
          <w:spacing w:val="-7"/>
          <w:position w:val="-2"/>
          <w:vertAlign w:val="baseline"/>
        </w:rPr>
        <w:drawing>
          <wp:inline distT="0" distB="0" distL="0" distR="0">
            <wp:extent cx="107988" cy="107988"/>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hAnsi="Times New Roman"/>
          <w:color w:val="005DA1"/>
          <w:spacing w:val="40"/>
          <w:vertAlign w:val="baseline"/>
        </w:rPr>
        <w:t> </w:t>
      </w:r>
      <w:r>
        <w:rPr>
          <w:vertAlign w:val="baseline"/>
        </w:rPr>
        <w:t>But such an extension of the principle of </w:t>
      </w:r>
      <w:r>
        <w:rPr>
          <w:rFonts w:ascii="Arial" w:hAnsi="Arial"/>
          <w:i/>
          <w:vertAlign w:val="baseline"/>
        </w:rPr>
        <w:t>Hughes v Metropolitan Ry </w:t>
      </w:r>
      <w:r>
        <w:rPr>
          <w:vertAlign w:val="baseline"/>
        </w:rPr>
        <w:t>would require the overruling of </w:t>
      </w:r>
      <w:r>
        <w:rPr>
          <w:rFonts w:ascii="Arial" w:hAnsi="Arial"/>
          <w:i/>
          <w:vertAlign w:val="baseline"/>
        </w:rPr>
        <w:t>Foakes v Beer</w:t>
      </w:r>
      <w:r>
        <w:rPr>
          <w:vertAlign w:val="baseline"/>
        </w:rPr>
        <w:t>. It is, no doubt, with such difficulties in mind that Lord </w:t>
      </w:r>
      <w:bookmarkStart w:name="_bookmark1524" w:id="1526"/>
      <w:bookmarkEnd w:id="1526"/>
      <w:r>
        <w:rPr>
          <w:vertAlign w:val="baseline"/>
        </w:rPr>
        <w:t>Hailsham</w:t>
      </w:r>
      <w:r>
        <w:rPr>
          <w:vertAlign w:val="baseline"/>
        </w:rPr>
        <w:t> L.C. has said that the </w:t>
      </w:r>
      <w:r>
        <w:rPr>
          <w:rFonts w:ascii="Arial" w:hAnsi="Arial"/>
          <w:i/>
          <w:vertAlign w:val="baseline"/>
        </w:rPr>
        <w:t>High Trees </w:t>
      </w:r>
      <w:r>
        <w:rPr>
          <w:vertAlign w:val="baseline"/>
        </w:rPr>
        <w:t>principle “may need to be reviewed and reduced to a coherent body of doctrine by the courts.” </w:t>
      </w:r>
      <w:r>
        <w:rPr>
          <w:color w:val="005DA1"/>
          <w:u w:val="single" w:color="005DA1"/>
          <w:vertAlign w:val="superscript"/>
        </w:rPr>
        <w:t>822</w:t>
      </w:r>
    </w:p>
    <w:p>
      <w:pPr>
        <w:pStyle w:val="BodyText"/>
      </w:pPr>
    </w:p>
    <w:p>
      <w:pPr>
        <w:pStyle w:val="BodyText"/>
        <w:spacing w:before="37"/>
      </w:pPr>
    </w:p>
    <w:p>
      <w:pPr>
        <w:spacing w:before="0"/>
        <w:ind w:left="165" w:right="0" w:firstLine="0"/>
        <w:jc w:val="both"/>
        <w:rPr>
          <w:rFonts w:ascii="Arial"/>
          <w:b/>
          <w:sz w:val="18"/>
        </w:rPr>
      </w:pPr>
      <w:r>
        <w:rPr>
          <w:rFonts w:ascii="Arial"/>
          <w:b/>
          <w:sz w:val="18"/>
        </w:rPr>
        <w:t>Continuing </w:t>
      </w:r>
      <w:r>
        <w:rPr>
          <w:rFonts w:ascii="Arial"/>
          <w:b/>
          <w:spacing w:val="-2"/>
          <w:sz w:val="18"/>
        </w:rPr>
        <w:t>obligations</w:t>
      </w:r>
    </w:p>
    <w:p>
      <w:pPr>
        <w:pStyle w:val="BodyText"/>
        <w:spacing w:before="41"/>
        <w:rPr>
          <w:rFonts w:ascii="Arial"/>
          <w:b/>
          <w:sz w:val="18"/>
        </w:rPr>
      </w:pPr>
    </w:p>
    <w:p>
      <w:pPr>
        <w:pStyle w:val="Heading2"/>
        <w:spacing w:before="1"/>
      </w:pPr>
      <w:r>
        <w:rPr/>
        <w:t>4-</w:t>
      </w:r>
      <w:r>
        <w:rPr>
          <w:spacing w:val="-5"/>
        </w:rPr>
        <w:t>132</w:t>
      </w:r>
    </w:p>
    <w:p>
      <w:pPr>
        <w:pStyle w:val="BodyText"/>
        <w:spacing w:line="235" w:lineRule="auto" w:before="202"/>
        <w:ind w:left="165" w:right="166"/>
        <w:jc w:val="both"/>
      </w:pPr>
      <w:r>
        <w:rPr/>
        <w:t>For the present, the better view is that the principle only suspends rights; but the meaning of this </w:t>
      </w:r>
      <w:bookmarkStart w:name="_bookmark1525" w:id="1527"/>
      <w:bookmarkEnd w:id="1527"/>
      <w:r>
        <w:rPr/>
        <w:t>statement</w:t>
      </w:r>
      <w:r>
        <w:rPr/>
        <w:t> is not entirely clear where the promisee is under a continuing obligation to make a series of </w:t>
      </w:r>
      <w:bookmarkStart w:name="_bookmark1526" w:id="1528"/>
      <w:bookmarkEnd w:id="1528"/>
      <w:r>
        <w:rPr/>
        <w:t>payments,</w:t>
      </w:r>
      <w:r>
        <w:rPr/>
        <w:t> e.g. of rent under a lease, </w:t>
      </w:r>
      <w:r>
        <w:rPr>
          <w:color w:val="005DA1"/>
          <w:u w:val="single" w:color="005DA1"/>
          <w:vertAlign w:val="superscript"/>
        </w:rPr>
        <w:t>823</w:t>
      </w:r>
      <w:r>
        <w:rPr>
          <w:color w:val="005DA1"/>
          <w:vertAlign w:val="baseline"/>
        </w:rPr>
        <w:t> </w:t>
      </w:r>
      <w:r>
        <w:rPr>
          <w:vertAlign w:val="baseline"/>
        </w:rPr>
        <w:t>of royalties under a licence to use a patent, </w:t>
      </w:r>
      <w:r>
        <w:rPr>
          <w:color w:val="005DA1"/>
          <w:u w:val="single" w:color="005DA1"/>
          <w:vertAlign w:val="superscript"/>
        </w:rPr>
        <w:t>824</w:t>
      </w:r>
      <w:r>
        <w:rPr>
          <w:color w:val="005DA1"/>
          <w:vertAlign w:val="baseline"/>
        </w:rPr>
        <w:t> </w:t>
      </w:r>
      <w:r>
        <w:rPr>
          <w:vertAlign w:val="baseline"/>
        </w:rPr>
        <w:t>or of instalments under a hire-purchase agreement. </w:t>
      </w:r>
      <w:r>
        <w:rPr>
          <w:color w:val="005DA1"/>
          <w:u w:val="single" w:color="005DA1"/>
          <w:vertAlign w:val="superscript"/>
        </w:rPr>
        <w:t>825</w:t>
      </w:r>
      <w:r>
        <w:rPr>
          <w:color w:val="005DA1"/>
          <w:vertAlign w:val="baseline"/>
        </w:rPr>
        <w:t> </w:t>
      </w:r>
      <w:r>
        <w:rPr>
          <w:vertAlign w:val="baseline"/>
        </w:rPr>
        <w:t>In such cases the statement may mean one of </w:t>
      </w:r>
      <w:r>
        <w:rPr>
          <w:vertAlign w:val="baseline"/>
        </w:rPr>
        <w:t>two </w:t>
      </w:r>
      <w:bookmarkStart w:name="_bookmark1527" w:id="1529"/>
      <w:bookmarkEnd w:id="1529"/>
      <w:r>
        <w:rPr>
          <w:vertAlign w:val="baseline"/>
        </w:rPr>
        <w:t>things:</w:t>
      </w:r>
      <w:r>
        <w:rPr>
          <w:vertAlign w:val="baseline"/>
        </w:rPr>
        <w:t> first, that the creditor is entitled to payment in full only of amounts which fall due after the</w:t>
      </w:r>
      <w:r>
        <w:rPr>
          <w:spacing w:val="40"/>
          <w:vertAlign w:val="baseline"/>
        </w:rPr>
        <w:t> </w:t>
      </w:r>
      <w:r>
        <w:rPr>
          <w:vertAlign w:val="baseline"/>
        </w:rPr>
        <w:t>expiry of a reasonable notice of the retraction of the promise, </w:t>
      </w:r>
      <w:r>
        <w:rPr>
          <w:color w:val="005DA1"/>
          <w:u w:val="single" w:color="005DA1"/>
          <w:vertAlign w:val="superscript"/>
        </w:rPr>
        <w:t>826</w:t>
      </w:r>
      <w:r>
        <w:rPr>
          <w:color w:val="005DA1"/>
          <w:vertAlign w:val="baseline"/>
        </w:rPr>
        <w:t> </w:t>
      </w:r>
      <w:r>
        <w:rPr>
          <w:vertAlign w:val="baseline"/>
        </w:rPr>
        <w:t>or, secondly, that he is then entitled, not only to future payments in full, but also to the balance of past ones. Of course the latter </w:t>
      </w:r>
      <w:bookmarkStart w:name="_bookmark1528" w:id="1530"/>
      <w:bookmarkEnd w:id="1530"/>
      <w:r>
        <w:rPr>
          <w:vertAlign w:val="baseline"/>
        </w:rPr>
        <w:t>interpretation</w:t>
      </w:r>
      <w:r>
        <w:rPr>
          <w:vertAlign w:val="baseline"/>
        </w:rPr>
        <w:t> of the rule might sometimes be at variance with the intention of the parties at the time of the promise. </w:t>
      </w:r>
      <w:r>
        <w:rPr>
          <w:color w:val="005DA1"/>
          <w:u w:val="single" w:color="005DA1"/>
          <w:vertAlign w:val="superscript"/>
        </w:rPr>
        <w:t>827</w:t>
      </w:r>
      <w:r>
        <w:rPr>
          <w:color w:val="005DA1"/>
          <w:vertAlign w:val="baseline"/>
        </w:rPr>
        <w:t> </w:t>
      </w:r>
      <w:r>
        <w:rPr>
          <w:vertAlign w:val="baseline"/>
        </w:rPr>
        <w:t>On the other hand it is hard to see why a debtor whose liability accrues from time to time should, for the purpose of the present rule, be in a more favourable position than one whose liability is to pay a single lump sum; nor is it clear which of the two possible rules should apply where</w:t>
      </w:r>
      <w:r>
        <w:rPr>
          <w:spacing w:val="40"/>
          <w:vertAlign w:val="baseline"/>
        </w:rPr>
        <w:t> </w:t>
      </w:r>
      <w:r>
        <w:rPr>
          <w:vertAlign w:val="baseline"/>
        </w:rPr>
        <w:t>a debtor who owed a lump sum promised to pay it off in instalments and the creditor first made, and then gave reasonable notice revoking, a promise to accept reduced instalments. In such a case, it is at least arguable that the intention of the creditor is only to give extra time for payment. Hence the </w:t>
      </w:r>
      <w:bookmarkStart w:name="_bookmark1529" w:id="1531"/>
      <w:bookmarkEnd w:id="1531"/>
      <w:r>
        <w:rPr>
          <w:vertAlign w:val="baseline"/>
        </w:rPr>
        <w:t>total</w:t>
      </w:r>
      <w:r>
        <w:rPr>
          <w:vertAlign w:val="baseline"/>
        </w:rPr>
        <w:t> debt remains due, and the only effect of the promise is to extend the period over which it is to be repaid. </w:t>
      </w:r>
      <w:r>
        <w:rPr>
          <w:color w:val="005DA1"/>
          <w:u w:val="single" w:color="005DA1"/>
          <w:vertAlign w:val="superscript"/>
        </w:rPr>
        <w:t>828</w:t>
      </w:r>
    </w:p>
    <w:p>
      <w:pPr>
        <w:pStyle w:val="BodyText"/>
        <w:spacing w:before="75"/>
      </w:pPr>
    </w:p>
    <w:p>
      <w:pPr>
        <w:pStyle w:val="Heading2"/>
        <w:spacing w:before="1"/>
      </w:pPr>
      <w:r>
        <w:rPr/>
        <w:t>4-</w:t>
      </w:r>
      <w:r>
        <w:rPr>
          <w:spacing w:val="-5"/>
        </w:rPr>
        <w:t>133</w:t>
      </w:r>
    </w:p>
    <w:p>
      <w:pPr>
        <w:pStyle w:val="BodyText"/>
        <w:spacing w:line="235" w:lineRule="auto" w:before="202"/>
        <w:ind w:left="165" w:right="167"/>
        <w:jc w:val="both"/>
      </w:pPr>
      <w:bookmarkStart w:name="_bookmark1530" w:id="1532"/>
      <w:bookmarkEnd w:id="1532"/>
      <w:r>
        <w:rPr/>
      </w:r>
      <w:r>
        <w:rPr/>
        <w:t>In </w:t>
      </w:r>
      <w:r>
        <w:rPr>
          <w:rFonts w:ascii="Arial" w:hAnsi="Arial"/>
          <w:i/>
        </w:rPr>
        <w:t>Tool Metal Manufacturing Co Ltd v Tungsten Electric Co Ltd </w:t>
      </w:r>
      <w:r>
        <w:rPr>
          <w:color w:val="005DA1"/>
          <w:u w:val="single" w:color="005DA1"/>
          <w:vertAlign w:val="superscript"/>
        </w:rPr>
        <w:t>829</w:t>
      </w:r>
      <w:r>
        <w:rPr>
          <w:color w:val="005DA1"/>
          <w:vertAlign w:val="baseline"/>
        </w:rPr>
        <w:t> </w:t>
      </w:r>
      <w:r>
        <w:rPr>
          <w:vertAlign w:val="baseline"/>
        </w:rPr>
        <w:t>a licence for the use of a patent provided that the licensees should pay “compensation” if they manufactured more than a stated number of articles incorporating the patent. The owners of the patent agreed in 1942 to suspend the obligation to pay compensation until a new agreement was made. No such agreement had been</w:t>
      </w:r>
      <w:r>
        <w:rPr>
          <w:spacing w:val="40"/>
          <w:vertAlign w:val="baseline"/>
        </w:rPr>
        <w:t> </w:t>
      </w:r>
      <w:r>
        <w:rPr>
          <w:vertAlign w:val="baseline"/>
        </w:rPr>
        <w:t>made by 1944, when disputes arose between the parties. In 1945 the owners claimed to </w:t>
      </w:r>
      <w:r>
        <w:rPr>
          <w:vertAlign w:val="baseline"/>
        </w:rPr>
        <w:t>have</w:t>
      </w:r>
      <w:r>
        <w:rPr>
          <w:spacing w:val="40"/>
          <w:vertAlign w:val="baseline"/>
        </w:rPr>
        <w:t> </w:t>
      </w:r>
      <w:r>
        <w:rPr>
          <w:vertAlign w:val="baseline"/>
        </w:rPr>
        <w:t>revoked their suspension and to be entitled to the “compensation” as from June 1, 1945. This claim failed, the Court of Appeal holding that the arrangement to suspend claims for compensation was binding until proper notice of its termination had been given; and that no such notice had been given. The owners then brought the present action claiming compensation as from January 1, 1947. The House of Lords upheld the claim on the ground that, by then, sufficient notice had been given of the ending of the suspension period. It seems to have been assumed that the defendants were no longer liable</w:t>
      </w:r>
      <w:r>
        <w:rPr>
          <w:spacing w:val="-1"/>
          <w:vertAlign w:val="baseline"/>
        </w:rPr>
        <w:t> </w:t>
      </w:r>
      <w:r>
        <w:rPr>
          <w:vertAlign w:val="baseline"/>
        </w:rPr>
        <w:t>to</w:t>
      </w:r>
      <w:r>
        <w:rPr>
          <w:spacing w:val="-1"/>
          <w:vertAlign w:val="baseline"/>
        </w:rPr>
        <w:t> </w:t>
      </w:r>
      <w:r>
        <w:rPr>
          <w:vertAlign w:val="baseline"/>
        </w:rPr>
        <w:t>pay</w:t>
      </w:r>
      <w:r>
        <w:rPr>
          <w:spacing w:val="-1"/>
          <w:vertAlign w:val="baseline"/>
        </w:rPr>
        <w:t> </w:t>
      </w:r>
      <w:r>
        <w:rPr>
          <w:vertAlign w:val="baseline"/>
        </w:rPr>
        <w:t>the</w:t>
      </w:r>
      <w:r>
        <w:rPr>
          <w:spacing w:val="-1"/>
          <w:vertAlign w:val="baseline"/>
        </w:rPr>
        <w:t> </w:t>
      </w:r>
      <w:r>
        <w:rPr>
          <w:vertAlign w:val="baseline"/>
        </w:rPr>
        <w:t>sums</w:t>
      </w:r>
      <w:r>
        <w:rPr>
          <w:spacing w:val="-1"/>
          <w:vertAlign w:val="baseline"/>
        </w:rPr>
        <w:t> </w:t>
      </w:r>
      <w:r>
        <w:rPr>
          <w:vertAlign w:val="baseline"/>
        </w:rPr>
        <w:t>which</w:t>
      </w:r>
      <w:r>
        <w:rPr>
          <w:spacing w:val="-1"/>
          <w:vertAlign w:val="baseline"/>
        </w:rPr>
        <w:t> </w:t>
      </w:r>
      <w:r>
        <w:rPr>
          <w:vertAlign w:val="baseline"/>
        </w:rPr>
        <w:t>would,</w:t>
      </w:r>
      <w:r>
        <w:rPr>
          <w:spacing w:val="-1"/>
          <w:vertAlign w:val="baseline"/>
        </w:rPr>
        <w:t> </w:t>
      </w:r>
      <w:r>
        <w:rPr>
          <w:vertAlign w:val="baseline"/>
        </w:rPr>
        <w:t>under</w:t>
      </w:r>
      <w:r>
        <w:rPr>
          <w:spacing w:val="-1"/>
          <w:vertAlign w:val="baseline"/>
        </w:rPr>
        <w:t> </w:t>
      </w:r>
      <w:r>
        <w:rPr>
          <w:vertAlign w:val="baseline"/>
        </w:rPr>
        <w:t>the</w:t>
      </w:r>
      <w:r>
        <w:rPr>
          <w:spacing w:val="-1"/>
          <w:vertAlign w:val="baseline"/>
        </w:rPr>
        <w:t> </w:t>
      </w:r>
      <w:r>
        <w:rPr>
          <w:vertAlign w:val="baseline"/>
        </w:rPr>
        <w:t>original</w:t>
      </w:r>
      <w:r>
        <w:rPr>
          <w:spacing w:val="-1"/>
          <w:vertAlign w:val="baseline"/>
        </w:rPr>
        <w:t> </w:t>
      </w:r>
      <w:r>
        <w:rPr>
          <w:vertAlign w:val="baseline"/>
        </w:rPr>
        <w:t>contract,</w:t>
      </w:r>
      <w:r>
        <w:rPr>
          <w:spacing w:val="-1"/>
          <w:vertAlign w:val="baseline"/>
        </w:rPr>
        <w:t> </w:t>
      </w:r>
      <w:r>
        <w:rPr>
          <w:vertAlign w:val="baseline"/>
        </w:rPr>
        <w:t>have</w:t>
      </w:r>
      <w:r>
        <w:rPr>
          <w:spacing w:val="-1"/>
          <w:vertAlign w:val="baseline"/>
        </w:rPr>
        <w:t> </w:t>
      </w:r>
      <w:r>
        <w:rPr>
          <w:vertAlign w:val="baseline"/>
        </w:rPr>
        <w:t>fallen</w:t>
      </w:r>
      <w:r>
        <w:rPr>
          <w:spacing w:val="-1"/>
          <w:vertAlign w:val="baseline"/>
        </w:rPr>
        <w:t> </w:t>
      </w:r>
      <w:r>
        <w:rPr>
          <w:vertAlign w:val="baseline"/>
        </w:rPr>
        <w:t>due</w:t>
      </w:r>
      <w:r>
        <w:rPr>
          <w:spacing w:val="-1"/>
          <w:vertAlign w:val="baseline"/>
        </w:rPr>
        <w:t> </w:t>
      </w:r>
      <w:r>
        <w:rPr>
          <w:vertAlign w:val="baseline"/>
        </w:rPr>
        <w:t>during</w:t>
      </w:r>
      <w:r>
        <w:rPr>
          <w:spacing w:val="-1"/>
          <w:vertAlign w:val="baseline"/>
        </w:rPr>
        <w:t> </w:t>
      </w:r>
      <w:r>
        <w:rPr>
          <w:vertAlign w:val="baseline"/>
        </w:rPr>
        <w:t>the</w:t>
      </w:r>
      <w:r>
        <w:rPr>
          <w:spacing w:val="-1"/>
          <w:vertAlign w:val="baseline"/>
        </w:rPr>
        <w:t> </w:t>
      </w:r>
      <w:r>
        <w:rPr>
          <w:vertAlign w:val="baseline"/>
        </w:rPr>
        <w:t>suspension period. But this point was not directly considered by the House of Lords; so that the case does not conclusively determine the precise results that flow, in cases of continuing obligations, from the suspensive nature of the doctrine.</w:t>
      </w:r>
    </w:p>
    <w:p>
      <w:pPr>
        <w:pStyle w:val="BodyText"/>
      </w:pPr>
    </w:p>
    <w:p>
      <w:pPr>
        <w:pStyle w:val="BodyText"/>
        <w:spacing w:before="33"/>
      </w:pPr>
    </w:p>
    <w:p>
      <w:pPr>
        <w:spacing w:before="0"/>
        <w:ind w:left="165" w:right="0" w:firstLine="0"/>
        <w:jc w:val="left"/>
        <w:rPr>
          <w:rFonts w:ascii="Arial"/>
          <w:b/>
          <w:sz w:val="18"/>
        </w:rPr>
      </w:pPr>
      <w:r>
        <w:rPr>
          <w:rFonts w:ascii="Arial"/>
          <w:b/>
          <w:sz w:val="18"/>
        </w:rPr>
        <w:t>Extinctive effects in exceptional </w:t>
      </w:r>
      <w:r>
        <w:rPr>
          <w:rFonts w:ascii="Arial"/>
          <w:b/>
          <w:spacing w:val="-2"/>
          <w:sz w:val="18"/>
        </w:rPr>
        <w:t>cases</w:t>
      </w:r>
    </w:p>
    <w:p>
      <w:pPr>
        <w:pStyle w:val="BodyText"/>
        <w:spacing w:before="41"/>
        <w:rPr>
          <w:rFonts w:ascii="Arial"/>
          <w:b/>
          <w:sz w:val="18"/>
        </w:rPr>
      </w:pPr>
    </w:p>
    <w:p>
      <w:pPr>
        <w:pStyle w:val="Heading2"/>
      </w:pPr>
      <w:r>
        <w:rPr/>
        <w:t>4-</w:t>
      </w:r>
      <w:r>
        <w:rPr>
          <w:spacing w:val="-5"/>
        </w:rPr>
        <w:t>134</w:t>
      </w:r>
    </w:p>
    <w:p>
      <w:pPr>
        <w:pStyle w:val="BodyText"/>
        <w:spacing w:line="235" w:lineRule="auto" w:before="203"/>
        <w:ind w:left="165" w:right="166"/>
        <w:jc w:val="both"/>
      </w:pPr>
      <w:bookmarkStart w:name="_bookmark1531" w:id="1533"/>
      <w:bookmarkEnd w:id="1533"/>
      <w:r>
        <w:rPr/>
      </w:r>
      <w:r>
        <w:rPr/>
        <w:t>There may, moreover, be exceptional situations in which the creditor’s promise can wholly extinguish </w:t>
      </w:r>
      <w:bookmarkStart w:name="_bookmark1532" w:id="1534"/>
      <w:bookmarkEnd w:id="1534"/>
      <w:r>
        <w:rPr/>
        <w:t>his</w:t>
      </w:r>
      <w:r>
        <w:rPr/>
        <w:t> rights. We have seen that, under the rule in </w:t>
      </w:r>
      <w:r>
        <w:rPr>
          <w:rFonts w:ascii="Arial" w:hAnsi="Arial"/>
          <w:i/>
        </w:rPr>
        <w:t>Hughes v Metropolitan Ry</w:t>
      </w:r>
      <w:r>
        <w:rPr/>
        <w:t>, </w:t>
      </w:r>
      <w:r>
        <w:rPr>
          <w:color w:val="005DA1"/>
          <w:u w:val="single" w:color="005DA1"/>
          <w:vertAlign w:val="superscript"/>
        </w:rPr>
        <w:t>830</w:t>
      </w:r>
      <w:r>
        <w:rPr>
          <w:color w:val="005DA1"/>
          <w:vertAlign w:val="baseline"/>
        </w:rPr>
        <w:t> </w:t>
      </w:r>
      <w:r>
        <w:rPr>
          <w:vertAlign w:val="baseline"/>
        </w:rPr>
        <w:t>a promise cannot </w:t>
      </w:r>
      <w:r>
        <w:rPr>
          <w:vertAlign w:val="baseline"/>
        </w:rPr>
        <w:t>be retracted where subsequent events make it impossible to perform the original obligation. </w:t>
      </w:r>
      <w:r>
        <w:rPr>
          <w:color w:val="005DA1"/>
          <w:u w:val="single" w:color="005DA1"/>
          <w:vertAlign w:val="superscript"/>
        </w:rPr>
        <w:t>831</w:t>
      </w:r>
      <w:r>
        <w:rPr>
          <w:color w:val="005DA1"/>
          <w:vertAlign w:val="baseline"/>
        </w:rPr>
        <w:t> </w:t>
      </w:r>
      <w:r>
        <w:rPr>
          <w:vertAlign w:val="baseline"/>
        </w:rPr>
        <w:t>That principle cannot, as such, be applied to cases of part payment of a debt, since performance of the original obligation, being one to pay money, can never become literally impossible. But there is also support</w:t>
      </w:r>
      <w:r>
        <w:rPr>
          <w:spacing w:val="28"/>
          <w:vertAlign w:val="baseline"/>
        </w:rPr>
        <w:t> </w:t>
      </w:r>
      <w:r>
        <w:rPr>
          <w:vertAlign w:val="baseline"/>
        </w:rPr>
        <w:t>for</w:t>
      </w:r>
      <w:r>
        <w:rPr>
          <w:spacing w:val="28"/>
          <w:vertAlign w:val="baseline"/>
        </w:rPr>
        <w:t> </w:t>
      </w:r>
      <w:r>
        <w:rPr>
          <w:vertAlign w:val="baseline"/>
        </w:rPr>
        <w:t>the</w:t>
      </w:r>
      <w:r>
        <w:rPr>
          <w:spacing w:val="28"/>
          <w:vertAlign w:val="baseline"/>
        </w:rPr>
        <w:t> </w:t>
      </w:r>
      <w:r>
        <w:rPr>
          <w:vertAlign w:val="baseline"/>
        </w:rPr>
        <w:t>view</w:t>
      </w:r>
      <w:r>
        <w:rPr>
          <w:spacing w:val="28"/>
          <w:vertAlign w:val="baseline"/>
        </w:rPr>
        <w:t> </w:t>
      </w:r>
      <w:r>
        <w:rPr>
          <w:vertAlign w:val="baseline"/>
        </w:rPr>
        <w:t>that</w:t>
      </w:r>
      <w:r>
        <w:rPr>
          <w:spacing w:val="28"/>
          <w:vertAlign w:val="baseline"/>
        </w:rPr>
        <w:t> </w:t>
      </w:r>
      <w:r>
        <w:rPr>
          <w:vertAlign w:val="baseline"/>
        </w:rPr>
        <w:t>a</w:t>
      </w:r>
      <w:r>
        <w:rPr>
          <w:spacing w:val="28"/>
          <w:vertAlign w:val="baseline"/>
        </w:rPr>
        <w:t> </w:t>
      </w:r>
      <w:r>
        <w:rPr>
          <w:vertAlign w:val="baseline"/>
        </w:rPr>
        <w:t>forbearance</w:t>
      </w:r>
      <w:r>
        <w:rPr>
          <w:spacing w:val="28"/>
          <w:vertAlign w:val="baseline"/>
        </w:rPr>
        <w:t> </w:t>
      </w:r>
      <w:r>
        <w:rPr>
          <w:vertAlign w:val="baseline"/>
        </w:rPr>
        <w:t>cannot</w:t>
      </w:r>
      <w:r>
        <w:rPr>
          <w:spacing w:val="28"/>
          <w:vertAlign w:val="baseline"/>
        </w:rPr>
        <w:t> </w:t>
      </w:r>
      <w:r>
        <w:rPr>
          <w:vertAlign w:val="baseline"/>
        </w:rPr>
        <w:t>be</w:t>
      </w:r>
      <w:r>
        <w:rPr>
          <w:spacing w:val="28"/>
          <w:vertAlign w:val="baseline"/>
        </w:rPr>
        <w:t> </w:t>
      </w:r>
      <w:r>
        <w:rPr>
          <w:vertAlign w:val="baseline"/>
        </w:rPr>
        <w:t>retracted</w:t>
      </w:r>
      <w:r>
        <w:rPr>
          <w:spacing w:val="28"/>
          <w:vertAlign w:val="baseline"/>
        </w:rPr>
        <w:t> </w:t>
      </w:r>
      <w:r>
        <w:rPr>
          <w:vertAlign w:val="baseline"/>
        </w:rPr>
        <w:t>where</w:t>
      </w:r>
      <w:r>
        <w:rPr>
          <w:spacing w:val="28"/>
          <w:vertAlign w:val="baseline"/>
        </w:rPr>
        <w:t> </w:t>
      </w:r>
      <w:r>
        <w:rPr>
          <w:vertAlign w:val="baseline"/>
        </w:rPr>
        <w:t>it</w:t>
      </w:r>
      <w:r>
        <w:rPr>
          <w:spacing w:val="28"/>
          <w:vertAlign w:val="baseline"/>
        </w:rPr>
        <w:t> </w:t>
      </w:r>
      <w:r>
        <w:rPr>
          <w:vertAlign w:val="baseline"/>
        </w:rPr>
        <w:t>would,</w:t>
      </w:r>
      <w:r>
        <w:rPr>
          <w:spacing w:val="28"/>
          <w:vertAlign w:val="baseline"/>
        </w:rPr>
        <w:t> </w:t>
      </w:r>
      <w:r>
        <w:rPr>
          <w:vertAlign w:val="baseline"/>
        </w:rPr>
        <w:t>even</w:t>
      </w:r>
      <w:r>
        <w:rPr>
          <w:spacing w:val="28"/>
          <w:vertAlign w:val="baseline"/>
        </w:rPr>
        <w:t> </w:t>
      </w:r>
      <w:r>
        <w:rPr>
          <w:vertAlign w:val="baseline"/>
        </w:rPr>
        <w:t>after</w:t>
      </w:r>
      <w:r>
        <w:rPr>
          <w:spacing w:val="28"/>
          <w:vertAlign w:val="baseline"/>
        </w:rPr>
        <w:t> </w:t>
      </w:r>
      <w:r>
        <w:rPr>
          <w:spacing w:val="-2"/>
          <w:vertAlign w:val="baseline"/>
        </w:rPr>
        <w:t>reasonable</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bookmarkStart w:name="_bookmark1533" w:id="1535"/>
      <w:bookmarkEnd w:id="1535"/>
      <w:r>
        <w:rPr/>
      </w:r>
      <w:r>
        <w:rPr/>
        <w:t>notice,</w:t>
      </w:r>
      <w:r>
        <w:rPr>
          <w:spacing w:val="-2"/>
        </w:rPr>
        <w:t> </w:t>
      </w:r>
      <w:r>
        <w:rPr/>
        <w:t>be</w:t>
      </w:r>
      <w:r>
        <w:rPr>
          <w:spacing w:val="-2"/>
        </w:rPr>
        <w:t> </w:t>
      </w:r>
      <w:r>
        <w:rPr/>
        <w:t>highly</w:t>
      </w:r>
      <w:r>
        <w:rPr>
          <w:spacing w:val="-2"/>
        </w:rPr>
        <w:t> </w:t>
      </w:r>
      <w:r>
        <w:rPr/>
        <w:t>inequitable</w:t>
      </w:r>
      <w:r>
        <w:rPr>
          <w:spacing w:val="-2"/>
        </w:rPr>
        <w:t> </w:t>
      </w:r>
      <w:r>
        <w:rPr/>
        <w:t>to</w:t>
      </w:r>
      <w:r>
        <w:rPr>
          <w:spacing w:val="-2"/>
        </w:rPr>
        <w:t> </w:t>
      </w:r>
      <w:r>
        <w:rPr/>
        <w:t>require</w:t>
      </w:r>
      <w:r>
        <w:rPr>
          <w:spacing w:val="-2"/>
        </w:rPr>
        <w:t> </w:t>
      </w:r>
      <w:r>
        <w:rPr/>
        <w:t>performance</w:t>
      </w:r>
      <w:r>
        <w:rPr>
          <w:spacing w:val="-2"/>
        </w:rPr>
        <w:t> </w:t>
      </w:r>
      <w:r>
        <w:rPr/>
        <w:t>of</w:t>
      </w:r>
      <w:r>
        <w:rPr>
          <w:spacing w:val="-2"/>
        </w:rPr>
        <w:t> </w:t>
      </w:r>
      <w:r>
        <w:rPr/>
        <w:t>the</w:t>
      </w:r>
      <w:r>
        <w:rPr>
          <w:spacing w:val="-2"/>
        </w:rPr>
        <w:t> </w:t>
      </w:r>
      <w:r>
        <w:rPr/>
        <w:t>original</w:t>
      </w:r>
      <w:r>
        <w:rPr>
          <w:spacing w:val="-2"/>
        </w:rPr>
        <w:t> </w:t>
      </w:r>
      <w:r>
        <w:rPr/>
        <w:t>obligation</w:t>
      </w:r>
      <w:r>
        <w:rPr>
          <w:spacing w:val="-4"/>
        </w:rPr>
        <w:t> </w:t>
      </w:r>
      <w:r>
        <w:rPr>
          <w:color w:val="005DA1"/>
          <w:u w:val="single" w:color="005DA1"/>
          <w:vertAlign w:val="superscript"/>
        </w:rPr>
        <w:t>832</w:t>
      </w:r>
      <w:r>
        <w:rPr>
          <w:vertAlign w:val="baseline"/>
        </w:rPr>
        <w:t>;</w:t>
      </w:r>
      <w:r>
        <w:rPr>
          <w:spacing w:val="-2"/>
          <w:vertAlign w:val="baseline"/>
        </w:rPr>
        <w:t> </w:t>
      </w:r>
      <w:r>
        <w:rPr>
          <w:vertAlign w:val="baseline"/>
        </w:rPr>
        <w:t>and</w:t>
      </w:r>
      <w:r>
        <w:rPr>
          <w:spacing w:val="-2"/>
          <w:vertAlign w:val="baseline"/>
        </w:rPr>
        <w:t> </w:t>
      </w:r>
      <w:r>
        <w:rPr>
          <w:vertAlign w:val="baseline"/>
        </w:rPr>
        <w:t>this</w:t>
      </w:r>
      <w:r>
        <w:rPr>
          <w:spacing w:val="-2"/>
          <w:vertAlign w:val="baseline"/>
        </w:rPr>
        <w:t> </w:t>
      </w:r>
      <w:r>
        <w:rPr>
          <w:vertAlign w:val="baseline"/>
        </w:rPr>
        <w:t>aspect</w:t>
      </w:r>
      <w:r>
        <w:rPr>
          <w:spacing w:val="-2"/>
          <w:vertAlign w:val="baseline"/>
        </w:rPr>
        <w:t> </w:t>
      </w:r>
      <w:r>
        <w:rPr>
          <w:vertAlign w:val="baseline"/>
        </w:rPr>
        <w:t>of</w:t>
      </w:r>
      <w:r>
        <w:rPr>
          <w:spacing w:val="-2"/>
          <w:vertAlign w:val="baseline"/>
        </w:rPr>
        <w:t> </w:t>
      </w:r>
      <w:r>
        <w:rPr>
          <w:vertAlign w:val="baseline"/>
        </w:rPr>
        <w:t>the </w:t>
      </w:r>
      <w:bookmarkStart w:name="_bookmark1534" w:id="1536"/>
      <w:bookmarkEnd w:id="1536"/>
      <w:r>
        <w:rPr>
          <w:vertAlign w:val="baseline"/>
        </w:rPr>
        <w:t>principle</w:t>
      </w:r>
      <w:r>
        <w:rPr>
          <w:vertAlign w:val="baseline"/>
        </w:rPr>
        <w:t> could be applied to cases of the present kind, with the result that the promise becomes “final and</w:t>
      </w:r>
      <w:r>
        <w:rPr>
          <w:spacing w:val="-3"/>
          <w:vertAlign w:val="baseline"/>
        </w:rPr>
        <w:t> </w:t>
      </w:r>
      <w:r>
        <w:rPr>
          <w:vertAlign w:val="baseline"/>
        </w:rPr>
        <w:t>irrevocable</w:t>
      </w:r>
      <w:r>
        <w:rPr>
          <w:spacing w:val="-3"/>
          <w:vertAlign w:val="baseline"/>
        </w:rPr>
        <w:t> </w:t>
      </w:r>
      <w:r>
        <w:rPr>
          <w:vertAlign w:val="baseline"/>
        </w:rPr>
        <w:t>if</w:t>
      </w:r>
      <w:r>
        <w:rPr>
          <w:spacing w:val="-3"/>
          <w:vertAlign w:val="baseline"/>
        </w:rPr>
        <w:t> </w:t>
      </w:r>
      <w:r>
        <w:rPr>
          <w:vertAlign w:val="baseline"/>
        </w:rPr>
        <w:t>the</w:t>
      </w:r>
      <w:r>
        <w:rPr>
          <w:spacing w:val="-3"/>
          <w:vertAlign w:val="baseline"/>
        </w:rPr>
        <w:t> </w:t>
      </w:r>
      <w:r>
        <w:rPr>
          <w:vertAlign w:val="baseline"/>
        </w:rPr>
        <w:t>promisee</w:t>
      </w:r>
      <w:r>
        <w:rPr>
          <w:spacing w:val="-3"/>
          <w:vertAlign w:val="baseline"/>
        </w:rPr>
        <w:t> </w:t>
      </w:r>
      <w:r>
        <w:rPr>
          <w:vertAlign w:val="baseline"/>
        </w:rPr>
        <w:t>cannot</w:t>
      </w:r>
      <w:r>
        <w:rPr>
          <w:spacing w:val="-3"/>
          <w:vertAlign w:val="baseline"/>
        </w:rPr>
        <w:t> </w:t>
      </w:r>
      <w:r>
        <w:rPr>
          <w:vertAlign w:val="baseline"/>
        </w:rPr>
        <w:t>resume</w:t>
      </w:r>
      <w:r>
        <w:rPr>
          <w:spacing w:val="-3"/>
          <w:vertAlign w:val="baseline"/>
        </w:rPr>
        <w:t> </w:t>
      </w:r>
      <w:r>
        <w:rPr>
          <w:vertAlign w:val="baseline"/>
        </w:rPr>
        <w:t>his</w:t>
      </w:r>
      <w:r>
        <w:rPr>
          <w:spacing w:val="-3"/>
          <w:vertAlign w:val="baseline"/>
        </w:rPr>
        <w:t> </w:t>
      </w:r>
      <w:r>
        <w:rPr>
          <w:vertAlign w:val="baseline"/>
        </w:rPr>
        <w:t>position.”</w:t>
      </w:r>
      <w:r>
        <w:rPr>
          <w:spacing w:val="-4"/>
          <w:vertAlign w:val="baseline"/>
        </w:rPr>
        <w:t> </w:t>
      </w:r>
      <w:r>
        <w:rPr>
          <w:color w:val="005DA1"/>
          <w:u w:val="single" w:color="005DA1"/>
          <w:vertAlign w:val="superscript"/>
        </w:rPr>
        <w:t>833</w:t>
      </w:r>
      <w:r>
        <w:rPr>
          <w:color w:val="005DA1"/>
          <w:spacing w:val="-3"/>
          <w:vertAlign w:val="baseline"/>
        </w:rPr>
        <w:t> </w:t>
      </w:r>
      <w:r>
        <w:rPr>
          <w:vertAlign w:val="baseline"/>
        </w:rPr>
        <w:t>Thus</w:t>
      </w:r>
      <w:r>
        <w:rPr>
          <w:spacing w:val="-3"/>
          <w:vertAlign w:val="baseline"/>
        </w:rPr>
        <w:t> </w:t>
      </w:r>
      <w:r>
        <w:rPr>
          <w:vertAlign w:val="baseline"/>
        </w:rPr>
        <w:t>the</w:t>
      </w:r>
      <w:r>
        <w:rPr>
          <w:spacing w:val="-3"/>
          <w:vertAlign w:val="baseline"/>
        </w:rPr>
        <w:t> </w:t>
      </w:r>
      <w:r>
        <w:rPr>
          <w:vertAlign w:val="baseline"/>
        </w:rPr>
        <w:t>creditor’s</w:t>
      </w:r>
      <w:r>
        <w:rPr>
          <w:spacing w:val="-3"/>
          <w:vertAlign w:val="baseline"/>
        </w:rPr>
        <w:t> </w:t>
      </w:r>
      <w:r>
        <w:rPr>
          <w:vertAlign w:val="baseline"/>
        </w:rPr>
        <w:t>right</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balance of a debt might be extinguished if in reliance on his promise the debtor had undertaken new </w:t>
      </w:r>
      <w:bookmarkStart w:name="_bookmark1535" w:id="1537"/>
      <w:bookmarkEnd w:id="1537"/>
      <w:r>
        <w:rPr>
          <w:vertAlign w:val="baseline"/>
        </w:rPr>
        <w:t>commitments</w:t>
      </w:r>
      <w:r>
        <w:rPr>
          <w:vertAlign w:val="baseline"/>
        </w:rPr>
        <w:t> in relation to the subject-matter: if, for example, the tenant in the </w:t>
      </w:r>
      <w:r>
        <w:rPr>
          <w:rFonts w:ascii="Arial" w:hAnsi="Arial"/>
          <w:i/>
          <w:vertAlign w:val="baseline"/>
        </w:rPr>
        <w:t>High Trees </w:t>
      </w:r>
      <w:r>
        <w:rPr>
          <w:vertAlign w:val="baseline"/>
        </w:rPr>
        <w:t>case had used the rebate to modernise the flats. </w:t>
      </w:r>
      <w:r>
        <w:rPr>
          <w:color w:val="005DA1"/>
          <w:u w:val="single" w:color="005DA1"/>
          <w:vertAlign w:val="superscript"/>
        </w:rPr>
        <w:t>834</w:t>
      </w:r>
      <w:r>
        <w:rPr>
          <w:color w:val="005DA1"/>
          <w:vertAlign w:val="baseline"/>
        </w:rPr>
        <w:t> </w:t>
      </w:r>
      <w:r>
        <w:rPr>
          <w:vertAlign w:val="baseline"/>
        </w:rPr>
        <w:t>There is some support in the authorities for the view that</w:t>
      </w:r>
      <w:r>
        <w:rPr>
          <w:spacing w:val="40"/>
          <w:vertAlign w:val="baseline"/>
        </w:rPr>
        <w:t> </w:t>
      </w:r>
      <w:r>
        <w:rPr>
          <w:vertAlign w:val="baseline"/>
        </w:rPr>
        <w:t>the creditor’s right may be extinguished (as opposed to being suspended) even where the debtor’s reliance on the creditor’s promise goes no further than merely paying the part of the debt which the </w:t>
      </w:r>
      <w:bookmarkStart w:name="_bookmark1536" w:id="1538"/>
      <w:bookmarkEnd w:id="1538"/>
      <w:r>
        <w:rPr>
          <w:vertAlign w:val="baseline"/>
        </w:rPr>
        <w:t>creditor</w:t>
      </w:r>
      <w:r>
        <w:rPr>
          <w:vertAlign w:val="baseline"/>
        </w:rPr>
        <w:t> had agreed to accept in full settlement. This had been the view of Lord Denning MR in </w:t>
      </w:r>
      <w:r>
        <w:rPr>
          <w:rFonts w:ascii="Arial" w:hAnsi="Arial"/>
          <w:i/>
          <w:vertAlign w:val="baseline"/>
        </w:rPr>
        <w:t>D &amp; C Buildings Ltd v Rees</w:t>
      </w:r>
      <w:r>
        <w:rPr>
          <w:vertAlign w:val="baseline"/>
        </w:rPr>
        <w:t>. </w:t>
      </w:r>
      <w:r>
        <w:rPr>
          <w:color w:val="005DA1"/>
          <w:u w:val="single" w:color="005DA1"/>
          <w:vertAlign w:val="superscript"/>
        </w:rPr>
        <w:t>835</w:t>
      </w:r>
      <w:r>
        <w:rPr>
          <w:color w:val="005DA1"/>
          <w:vertAlign w:val="baseline"/>
        </w:rPr>
        <w:t> </w:t>
      </w:r>
      <w:r>
        <w:rPr>
          <w:vertAlign w:val="baseline"/>
        </w:rPr>
        <w:t>His actual decision there was that it was not “inequitable” for the creditor to </w:t>
      </w:r>
      <w:bookmarkStart w:name="_bookmark1537" w:id="1539"/>
      <w:bookmarkEnd w:id="1539"/>
      <w:r>
        <w:rPr>
          <w:vertAlign w:val="baseline"/>
        </w:rPr>
        <w:t>go</w:t>
      </w:r>
      <w:r>
        <w:rPr>
          <w:vertAlign w:val="baseline"/>
        </w:rPr>
        <w:t> back on his promise to accept part payment of the debt in full settlement as there had been no “true accord” to this effect. </w:t>
      </w:r>
      <w:r>
        <w:rPr>
          <w:color w:val="005DA1"/>
          <w:u w:val="single" w:color="005DA1"/>
          <w:vertAlign w:val="superscript"/>
        </w:rPr>
        <w:t>836</w:t>
      </w:r>
      <w:r>
        <w:rPr>
          <w:color w:val="005DA1"/>
          <w:vertAlign w:val="baseline"/>
        </w:rPr>
        <w:t> </w:t>
      </w:r>
      <w:r>
        <w:rPr>
          <w:vertAlign w:val="baseline"/>
        </w:rPr>
        <w:t>But he went on to say that “where there has been a </w:t>
      </w:r>
      <w:r>
        <w:rPr>
          <w:rFonts w:ascii="Arial" w:hAnsi="Arial"/>
          <w:i/>
          <w:vertAlign w:val="baseline"/>
        </w:rPr>
        <w:t>true accord</w:t>
      </w:r>
      <w:r>
        <w:rPr>
          <w:vertAlign w:val="baseline"/>
        </w:rPr>
        <w:t>” and </w:t>
      </w:r>
      <w:bookmarkStart w:name="_bookmark1538" w:id="1540"/>
      <w:bookmarkEnd w:id="1540"/>
      <w:r>
        <w:rPr>
          <w:vertAlign w:val="baseline"/>
        </w:rPr>
        <w:t>“the</w:t>
      </w:r>
      <w:r>
        <w:rPr>
          <w:vertAlign w:val="baseline"/>
        </w:rPr>
        <w:t> debtor </w:t>
      </w:r>
      <w:r>
        <w:rPr>
          <w:rFonts w:ascii="Arial" w:hAnsi="Arial"/>
          <w:i/>
          <w:vertAlign w:val="baseline"/>
        </w:rPr>
        <w:t>acts upon </w:t>
      </w:r>
      <w:r>
        <w:rPr>
          <w:vertAlign w:val="baseline"/>
        </w:rPr>
        <w:t>that accord by paying the lesser sum, then it is inequitable for the creditor afterwards to insist on the balance.” </w:t>
      </w:r>
      <w:r>
        <w:rPr>
          <w:color w:val="005DA1"/>
          <w:u w:val="single" w:color="005DA1"/>
          <w:vertAlign w:val="superscript"/>
        </w:rPr>
        <w:t>837</w:t>
      </w:r>
      <w:r>
        <w:rPr>
          <w:color w:val="005DA1"/>
          <w:vertAlign w:val="baseline"/>
        </w:rPr>
        <w:t> </w:t>
      </w:r>
      <w:r>
        <w:rPr>
          <w:vertAlign w:val="baseline"/>
        </w:rPr>
        <w:t>In </w:t>
      </w:r>
      <w:r>
        <w:rPr>
          <w:rFonts w:ascii="Arial" w:hAnsi="Arial"/>
          <w:i/>
          <w:vertAlign w:val="baseline"/>
        </w:rPr>
        <w:t>Collier v P &amp; M.J. Wright (Holdings) Ltd </w:t>
      </w:r>
      <w:r>
        <w:rPr>
          <w:color w:val="005DA1"/>
          <w:u w:val="single" w:color="005DA1"/>
          <w:vertAlign w:val="superscript"/>
        </w:rPr>
        <w:t>838</w:t>
      </w:r>
      <w:r>
        <w:rPr>
          <w:color w:val="005DA1"/>
          <w:vertAlign w:val="baseline"/>
        </w:rPr>
        <w:t> </w:t>
      </w:r>
      <w:r>
        <w:rPr>
          <w:vertAlign w:val="baseline"/>
        </w:rPr>
        <w:t>Arden LJ relied on this dictum in support of the view that, if a creditor promised to accept part payment in full settlement</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debt,</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debtor</w:t>
      </w:r>
      <w:r>
        <w:rPr>
          <w:spacing w:val="-2"/>
          <w:vertAlign w:val="baseline"/>
        </w:rPr>
        <w:t> </w:t>
      </w:r>
      <w:r>
        <w:rPr>
          <w:vertAlign w:val="baseline"/>
        </w:rPr>
        <w:t>relied</w:t>
      </w:r>
      <w:r>
        <w:rPr>
          <w:spacing w:val="-2"/>
          <w:vertAlign w:val="baseline"/>
        </w:rPr>
        <w:t> </w:t>
      </w:r>
      <w:r>
        <w:rPr>
          <w:vertAlign w:val="baseline"/>
        </w:rPr>
        <w:t>on</w:t>
      </w:r>
      <w:r>
        <w:rPr>
          <w:spacing w:val="-2"/>
          <w:vertAlign w:val="baseline"/>
        </w:rPr>
        <w:t> </w:t>
      </w:r>
      <w:r>
        <w:rPr>
          <w:vertAlign w:val="baseline"/>
        </w:rPr>
        <w:t>that</w:t>
      </w:r>
      <w:r>
        <w:rPr>
          <w:spacing w:val="-2"/>
          <w:vertAlign w:val="baseline"/>
        </w:rPr>
        <w:t> </w:t>
      </w:r>
      <w:r>
        <w:rPr>
          <w:vertAlign w:val="baseline"/>
        </w:rPr>
        <w:t>promise</w:t>
      </w:r>
      <w:r>
        <w:rPr>
          <w:spacing w:val="-2"/>
          <w:vertAlign w:val="baseline"/>
        </w:rPr>
        <w:t> </w:t>
      </w:r>
      <w:r>
        <w:rPr>
          <w:vertAlign w:val="baseline"/>
        </w:rPr>
        <w:t>by</w:t>
      </w:r>
      <w:r>
        <w:rPr>
          <w:spacing w:val="-2"/>
          <w:vertAlign w:val="baseline"/>
        </w:rPr>
        <w:t> </w:t>
      </w:r>
      <w:r>
        <w:rPr>
          <w:vertAlign w:val="baseline"/>
        </w:rPr>
        <w:t>making</w:t>
      </w:r>
      <w:r>
        <w:rPr>
          <w:spacing w:val="-2"/>
          <w:vertAlign w:val="baseline"/>
        </w:rPr>
        <w:t> </w:t>
      </w:r>
      <w:r>
        <w:rPr>
          <w:vertAlign w:val="baseline"/>
        </w:rPr>
        <w:t>the</w:t>
      </w:r>
      <w:r>
        <w:rPr>
          <w:spacing w:val="-2"/>
          <w:vertAlign w:val="baseline"/>
        </w:rPr>
        <w:t> </w:t>
      </w:r>
      <w:r>
        <w:rPr>
          <w:vertAlign w:val="baseline"/>
        </w:rPr>
        <w:t>stipulated</w:t>
      </w:r>
      <w:r>
        <w:rPr>
          <w:spacing w:val="-2"/>
          <w:vertAlign w:val="baseline"/>
        </w:rPr>
        <w:t> </w:t>
      </w:r>
      <w:r>
        <w:rPr>
          <w:vertAlign w:val="baseline"/>
        </w:rPr>
        <w:t>payment,</w:t>
      </w:r>
      <w:r>
        <w:rPr>
          <w:spacing w:val="-2"/>
          <w:vertAlign w:val="baseline"/>
        </w:rPr>
        <w:t> </w:t>
      </w:r>
      <w:r>
        <w:rPr>
          <w:vertAlign w:val="baseline"/>
        </w:rPr>
        <w:t>then</w:t>
      </w:r>
      <w:r>
        <w:rPr>
          <w:spacing w:val="-2"/>
          <w:vertAlign w:val="baseline"/>
        </w:rPr>
        <w:t> </w:t>
      </w:r>
      <w:r>
        <w:rPr>
          <w:vertAlign w:val="baseline"/>
        </w:rPr>
        <w:t>the </w:t>
      </w:r>
      <w:bookmarkStart w:name="_bookmark1539" w:id="1541"/>
      <w:bookmarkEnd w:id="1541"/>
      <w:r>
        <w:rPr>
          <w:vertAlign w:val="baseline"/>
        </w:rPr>
        <w:t>debtor’s</w:t>
      </w:r>
      <w:r>
        <w:rPr>
          <w:vertAlign w:val="baseline"/>
        </w:rPr>
        <w:t> defence on the ground of promissory estoppel was one which had a real prospect of</w:t>
      </w:r>
      <w:r>
        <w:rPr>
          <w:spacing w:val="40"/>
          <w:vertAlign w:val="baseline"/>
        </w:rPr>
        <w:t> </w:t>
      </w:r>
      <w:r>
        <w:rPr>
          <w:vertAlign w:val="baseline"/>
        </w:rPr>
        <w:t>success. </w:t>
      </w:r>
      <w:r>
        <w:rPr>
          <w:color w:val="005DA1"/>
          <w:u w:val="single" w:color="005DA1"/>
          <w:vertAlign w:val="superscript"/>
        </w:rPr>
        <w:t>839</w:t>
      </w:r>
      <w:r>
        <w:rPr>
          <w:color w:val="005DA1"/>
          <w:vertAlign w:val="baseline"/>
        </w:rPr>
        <w:t> </w:t>
      </w:r>
      <w:r>
        <w:rPr>
          <w:vertAlign w:val="baseline"/>
        </w:rPr>
        <w:t>She accepted that “the effect of promissory estoppel is usually suspensory only” but </w:t>
      </w:r>
      <w:bookmarkStart w:name="_bookmark1540" w:id="1542"/>
      <w:bookmarkEnd w:id="1542"/>
      <w:r>
        <w:rPr>
          <w:vertAlign w:val="baseline"/>
        </w:rPr>
        <w:t>added</w:t>
      </w:r>
      <w:r>
        <w:rPr>
          <w:vertAlign w:val="baseline"/>
        </w:rPr>
        <w:t> that “if the effect of resiling is sufficiently inequitable, a debtor may be able to show that the right to recover the debt is not merely postponed but extinguished.” </w:t>
      </w:r>
      <w:r>
        <w:rPr>
          <w:color w:val="005DA1"/>
          <w:u w:val="single" w:color="005DA1"/>
          <w:vertAlign w:val="superscript"/>
        </w:rPr>
        <w:t>840</w:t>
      </w:r>
      <w:r>
        <w:rPr>
          <w:color w:val="005DA1"/>
          <w:vertAlign w:val="baseline"/>
        </w:rPr>
        <w:t> </w:t>
      </w:r>
      <w:r>
        <w:rPr>
          <w:vertAlign w:val="baseline"/>
        </w:rPr>
        <w:t>There may, indeed, as is pointed out in para.4-138 below, be special circumstances in which promissory estoppel may, exceptionally, have such an extinctive effect; but the difficulty to which the </w:t>
      </w:r>
      <w:r>
        <w:rPr>
          <w:rFonts w:ascii="Arial" w:hAnsi="Arial"/>
          <w:i/>
          <w:vertAlign w:val="baseline"/>
        </w:rPr>
        <w:t>Collier </w:t>
      </w:r>
      <w:r>
        <w:rPr>
          <w:vertAlign w:val="baseline"/>
        </w:rPr>
        <w:t>case gives rise is that</w:t>
      </w:r>
      <w:r>
        <w:rPr>
          <w:spacing w:val="-1"/>
          <w:vertAlign w:val="baseline"/>
        </w:rPr>
        <w:t> </w:t>
      </w:r>
      <w:r>
        <w:rPr>
          <w:vertAlign w:val="baseline"/>
        </w:rPr>
        <w:t>the</w:t>
      </w:r>
      <w:r>
        <w:rPr>
          <w:spacing w:val="-1"/>
          <w:vertAlign w:val="baseline"/>
        </w:rPr>
        <w:t> </w:t>
      </w:r>
      <w:r>
        <w:rPr>
          <w:vertAlign w:val="baseline"/>
        </w:rPr>
        <w:t>judgments</w:t>
      </w:r>
      <w:r>
        <w:rPr>
          <w:spacing w:val="-1"/>
          <w:vertAlign w:val="baseline"/>
        </w:rPr>
        <w:t> </w:t>
      </w:r>
      <w:r>
        <w:rPr>
          <w:vertAlign w:val="baseline"/>
        </w:rPr>
        <w:t>do</w:t>
      </w:r>
      <w:r>
        <w:rPr>
          <w:spacing w:val="-1"/>
          <w:vertAlign w:val="baseline"/>
        </w:rPr>
        <w:t> </w:t>
      </w:r>
      <w:r>
        <w:rPr>
          <w:vertAlign w:val="baseline"/>
        </w:rPr>
        <w:t>not</w:t>
      </w:r>
      <w:r>
        <w:rPr>
          <w:spacing w:val="-1"/>
          <w:vertAlign w:val="baseline"/>
        </w:rPr>
        <w:t> </w:t>
      </w:r>
      <w:r>
        <w:rPr>
          <w:vertAlign w:val="baseline"/>
        </w:rPr>
        <w:t>identify</w:t>
      </w:r>
      <w:r>
        <w:rPr>
          <w:spacing w:val="-1"/>
          <w:vertAlign w:val="baseline"/>
        </w:rPr>
        <w:t> </w:t>
      </w:r>
      <w:r>
        <w:rPr>
          <w:vertAlign w:val="baseline"/>
        </w:rPr>
        <w:t>any</w:t>
      </w:r>
      <w:r>
        <w:rPr>
          <w:spacing w:val="-1"/>
          <w:vertAlign w:val="baseline"/>
        </w:rPr>
        <w:t> </w:t>
      </w:r>
      <w:r>
        <w:rPr>
          <w:vertAlign w:val="baseline"/>
        </w:rPr>
        <w:t>such</w:t>
      </w:r>
      <w:r>
        <w:rPr>
          <w:spacing w:val="-1"/>
          <w:vertAlign w:val="baseline"/>
        </w:rPr>
        <w:t> </w:t>
      </w:r>
      <w:r>
        <w:rPr>
          <w:vertAlign w:val="baseline"/>
        </w:rPr>
        <w:t>circumstances</w:t>
      </w:r>
      <w:r>
        <w:rPr>
          <w:spacing w:val="-1"/>
          <w:vertAlign w:val="baseline"/>
        </w:rPr>
        <w:t> </w:t>
      </w:r>
      <w:r>
        <w:rPr>
          <w:vertAlign w:val="baseline"/>
        </w:rPr>
        <w:t>beyond</w:t>
      </w:r>
      <w:r>
        <w:rPr>
          <w:spacing w:val="-1"/>
          <w:vertAlign w:val="baseline"/>
        </w:rPr>
        <w:t> </w:t>
      </w:r>
      <w:r>
        <w:rPr>
          <w:vertAlign w:val="baseline"/>
        </w:rPr>
        <w:t>(a)</w:t>
      </w:r>
      <w:r>
        <w:rPr>
          <w:spacing w:val="-1"/>
          <w:vertAlign w:val="baseline"/>
        </w:rPr>
        <w:t> </w:t>
      </w:r>
      <w:r>
        <w:rPr>
          <w:vertAlign w:val="baseline"/>
        </w:rPr>
        <w:t>the</w:t>
      </w:r>
      <w:r>
        <w:rPr>
          <w:spacing w:val="-1"/>
          <w:vertAlign w:val="baseline"/>
        </w:rPr>
        <w:t> </w:t>
      </w:r>
      <w:r>
        <w:rPr>
          <w:vertAlign w:val="baseline"/>
        </w:rPr>
        <w:t>creditor’s</w:t>
      </w:r>
      <w:r>
        <w:rPr>
          <w:spacing w:val="-1"/>
          <w:vertAlign w:val="baseline"/>
        </w:rPr>
        <w:t> </w:t>
      </w:r>
      <w:r>
        <w:rPr>
          <w:vertAlign w:val="baseline"/>
        </w:rPr>
        <w:t>promise</w:t>
      </w:r>
      <w:r>
        <w:rPr>
          <w:spacing w:val="-1"/>
          <w:vertAlign w:val="baseline"/>
        </w:rPr>
        <w:t> </w:t>
      </w:r>
      <w:r>
        <w:rPr>
          <w:vertAlign w:val="baseline"/>
        </w:rPr>
        <w:t>to</w:t>
      </w:r>
      <w:r>
        <w:rPr>
          <w:spacing w:val="-1"/>
          <w:vertAlign w:val="baseline"/>
        </w:rPr>
        <w:t> </w:t>
      </w:r>
      <w:r>
        <w:rPr>
          <w:vertAlign w:val="baseline"/>
        </w:rPr>
        <w:t>accept part payment in full settlement and (b) the debtor’s making the stipulated part payment. If these </w:t>
      </w:r>
      <w:bookmarkStart w:name="_bookmark1541" w:id="1543"/>
      <w:bookmarkEnd w:id="1543"/>
      <w:r>
        <w:rPr>
          <w:vertAlign w:val="baseline"/>
        </w:rPr>
        <w:t>circumstances</w:t>
      </w:r>
      <w:r>
        <w:rPr>
          <w:vertAlign w:val="baseline"/>
        </w:rPr>
        <w:t> were sufficient for the application of promissory estoppel with extinctive effect, the difficulty mentioned in the discussion of the </w:t>
      </w:r>
      <w:r>
        <w:rPr>
          <w:rFonts w:ascii="Arial" w:hAnsi="Arial"/>
          <w:i/>
          <w:vertAlign w:val="baseline"/>
        </w:rPr>
        <w:t>High Trees </w:t>
      </w:r>
      <w:r>
        <w:rPr>
          <w:vertAlign w:val="baseline"/>
        </w:rPr>
        <w:t>case </w:t>
      </w:r>
      <w:r>
        <w:rPr>
          <w:color w:val="005DA1"/>
          <w:u w:val="single" w:color="005DA1"/>
          <w:vertAlign w:val="superscript"/>
        </w:rPr>
        <w:t>841</w:t>
      </w:r>
      <w:r>
        <w:rPr>
          <w:color w:val="005DA1"/>
          <w:vertAlign w:val="baseline"/>
        </w:rPr>
        <w:t> </w:t>
      </w:r>
      <w:r>
        <w:rPr>
          <w:vertAlign w:val="baseline"/>
        </w:rPr>
        <w:t>in para.4-131 above would again </w:t>
      </w:r>
      <w:bookmarkStart w:name="_bookmark1542" w:id="1544"/>
      <w:bookmarkEnd w:id="1544"/>
      <w:r>
        <w:rPr>
          <w:vertAlign w:val="baseline"/>
        </w:rPr>
        <w:t>arise:</w:t>
      </w:r>
      <w:r>
        <w:rPr>
          <w:vertAlign w:val="baseline"/>
        </w:rPr>
        <w:t> that is, there would be a direct conflict between such an application and the outcome in </w:t>
      </w:r>
      <w:r>
        <w:rPr>
          <w:rFonts w:ascii="Arial" w:hAnsi="Arial"/>
          <w:i/>
          <w:vertAlign w:val="baseline"/>
        </w:rPr>
        <w:t>Foakes v Beer</w:t>
      </w:r>
      <w:r>
        <w:rPr>
          <w:vertAlign w:val="baseline"/>
        </w:rPr>
        <w:t>. </w:t>
      </w:r>
      <w:r>
        <w:rPr>
          <w:color w:val="005DA1"/>
          <w:u w:val="single" w:color="005DA1"/>
          <w:vertAlign w:val="superscript"/>
        </w:rPr>
        <w:t>842</w:t>
      </w:r>
      <w:r>
        <w:rPr>
          <w:color w:val="005DA1"/>
          <w:vertAlign w:val="baseline"/>
        </w:rPr>
        <w:t> </w:t>
      </w:r>
      <w:r>
        <w:rPr>
          <w:vertAlign w:val="baseline"/>
        </w:rPr>
        <w:t>No doubt, the law as laid down in that case may, for reasons given in para.4-119, be defective, at least in its operation in some situations. But any such defect would be more satisfactorily dealt with by a reconsideration by the Supreme Court of </w:t>
      </w:r>
      <w:r>
        <w:rPr>
          <w:rFonts w:ascii="Arial" w:hAnsi="Arial"/>
          <w:i/>
          <w:vertAlign w:val="baseline"/>
        </w:rPr>
        <w:t>Foakes v Beer </w:t>
      </w:r>
      <w:r>
        <w:rPr>
          <w:vertAlign w:val="baseline"/>
        </w:rPr>
        <w:t>than by continuing to regard that case as good law while seeking to bypass its consequences by invoking the doctrine of promissory estoppel. The latter course would provide no clear guidance as to which of the two conflicting principles would apply in any particular situation and so be a source of undesirable </w:t>
      </w:r>
      <w:bookmarkStart w:name="_bookmark1543" w:id="1545"/>
      <w:bookmarkEnd w:id="1545"/>
      <w:r>
        <w:rPr>
          <w:vertAlign w:val="baseline"/>
        </w:rPr>
        <w:t>uncertainty.</w:t>
      </w:r>
      <w:r>
        <w:rPr>
          <w:vertAlign w:val="baseline"/>
        </w:rPr>
        <w:t> The point is well illustrated by the </w:t>
      </w:r>
      <w:r>
        <w:rPr>
          <w:rFonts w:ascii="Arial" w:hAnsi="Arial"/>
          <w:i/>
          <w:vertAlign w:val="baseline"/>
        </w:rPr>
        <w:t>D &amp; C Builders </w:t>
      </w:r>
      <w:r>
        <w:rPr>
          <w:vertAlign w:val="baseline"/>
        </w:rPr>
        <w:t>case itself where the judgment of Lord </w:t>
      </w:r>
      <w:bookmarkStart w:name="_bookmark1544" w:id="1546"/>
      <w:bookmarkEnd w:id="1546"/>
      <w:r>
        <w:rPr>
          <w:vertAlign w:val="baseline"/>
        </w:rPr>
        <w:t>Denning</w:t>
      </w:r>
      <w:r>
        <w:rPr>
          <w:vertAlign w:val="baseline"/>
        </w:rPr>
        <w:t> was based on the doctrine of promissory estoppel, </w:t>
      </w:r>
      <w:r>
        <w:rPr>
          <w:color w:val="005DA1"/>
          <w:u w:val="single" w:color="005DA1"/>
          <w:vertAlign w:val="superscript"/>
        </w:rPr>
        <w:t>843</w:t>
      </w:r>
      <w:r>
        <w:rPr>
          <w:color w:val="005DA1"/>
          <w:vertAlign w:val="baseline"/>
        </w:rPr>
        <w:t> </w:t>
      </w:r>
      <w:r>
        <w:rPr>
          <w:vertAlign w:val="baseline"/>
        </w:rPr>
        <w:t>while those of Danckwerts and Winn L.JJ. were based on the rule in </w:t>
      </w:r>
      <w:r>
        <w:rPr>
          <w:rFonts w:ascii="Arial" w:hAnsi="Arial"/>
          <w:i/>
          <w:vertAlign w:val="baseline"/>
        </w:rPr>
        <w:t>Foakes v Beer </w:t>
      </w:r>
      <w:r>
        <w:rPr>
          <w:color w:val="005DA1"/>
          <w:u w:val="single" w:color="005DA1"/>
          <w:vertAlign w:val="superscript"/>
        </w:rPr>
        <w:t>844</w:t>
      </w:r>
      <w:r>
        <w:rPr>
          <w:color w:val="005DA1"/>
          <w:vertAlign w:val="baseline"/>
        </w:rPr>
        <w:t> </w:t>
      </w:r>
      <w:r>
        <w:rPr>
          <w:vertAlign w:val="baseline"/>
        </w:rPr>
        <w:t>and conflict between these two approaches was </w:t>
      </w:r>
      <w:bookmarkStart w:name="_bookmark1545" w:id="1547"/>
      <w:bookmarkEnd w:id="1547"/>
      <w:r>
        <w:rPr>
          <w:vertAlign w:val="baseline"/>
        </w:rPr>
        <w:t>avoided</w:t>
      </w:r>
      <w:r>
        <w:rPr>
          <w:vertAlign w:val="baseline"/>
        </w:rPr>
        <w:t> in the </w:t>
      </w:r>
      <w:r>
        <w:rPr>
          <w:rFonts w:ascii="Arial" w:hAnsi="Arial"/>
          <w:i/>
          <w:vertAlign w:val="baseline"/>
        </w:rPr>
        <w:t>D &amp; C Builders </w:t>
      </w:r>
      <w:r>
        <w:rPr>
          <w:vertAlign w:val="baseline"/>
        </w:rPr>
        <w:t>case only by Lord Denning’s conclusion that promissory estoppel was</w:t>
      </w:r>
      <w:r>
        <w:rPr>
          <w:spacing w:val="40"/>
          <w:vertAlign w:val="baseline"/>
        </w:rPr>
        <w:t> </w:t>
      </w:r>
      <w:r>
        <w:rPr>
          <w:vertAlign w:val="baseline"/>
        </w:rPr>
        <w:t>of no avail by reason of the debtor’s conduct in securing the creditor’s promise. </w:t>
      </w:r>
      <w:r>
        <w:rPr>
          <w:color w:val="005DA1"/>
          <w:u w:val="single" w:color="005DA1"/>
          <w:vertAlign w:val="superscript"/>
        </w:rPr>
        <w:t>845</w:t>
      </w:r>
      <w:r>
        <w:rPr>
          <w:color w:val="005DA1"/>
          <w:vertAlign w:val="baseline"/>
        </w:rPr>
        <w:t> </w:t>
      </w:r>
      <w:r>
        <w:rPr>
          <w:vertAlign w:val="baseline"/>
        </w:rPr>
        <w:t>In the </w:t>
      </w:r>
      <w:r>
        <w:rPr>
          <w:rFonts w:ascii="Arial" w:hAnsi="Arial"/>
          <w:i/>
          <w:vertAlign w:val="baseline"/>
        </w:rPr>
        <w:t>Collier </w:t>
      </w:r>
      <w:r>
        <w:rPr>
          <w:vertAlign w:val="baseline"/>
        </w:rPr>
        <w:t>case, it was assumed that there was no such objectionable conduct on the debtor’s part. The conflict between the two approaches was thus a real one and the judgments do not provide any principled basis for its resolution.</w:t>
      </w:r>
    </w:p>
    <w:p>
      <w:pPr>
        <w:pStyle w:val="BodyText"/>
        <w:spacing w:before="65"/>
      </w:pPr>
    </w:p>
    <w:p>
      <w:pPr>
        <w:pStyle w:val="Heading2"/>
        <w:spacing w:before="1"/>
      </w:pPr>
      <w:r>
        <w:rPr/>
        <w:t>4-</w:t>
      </w:r>
      <w:r>
        <w:rPr>
          <w:spacing w:val="-5"/>
        </w:rPr>
        <w:t>135</w:t>
      </w:r>
    </w:p>
    <w:p>
      <w:pPr>
        <w:pStyle w:val="BodyText"/>
        <w:spacing w:line="235" w:lineRule="auto" w:before="202"/>
        <w:ind w:left="165" w:right="167"/>
        <w:jc w:val="both"/>
      </w:pPr>
      <w:bookmarkStart w:name="_bookmark1546" w:id="1548"/>
      <w:bookmarkEnd w:id="1548"/>
      <w:r>
        <w:rPr/>
      </w:r>
      <w:r>
        <w:rPr/>
        <w:t>In</w:t>
      </w:r>
      <w:r>
        <w:rPr>
          <w:spacing w:val="-2"/>
        </w:rPr>
        <w:t> </w:t>
      </w:r>
      <w:r>
        <w:rPr>
          <w:rFonts w:ascii="Arial" w:hAnsi="Arial"/>
          <w:i/>
        </w:rPr>
        <w:t>Brikom</w:t>
      </w:r>
      <w:r>
        <w:rPr>
          <w:rFonts w:ascii="Arial" w:hAnsi="Arial"/>
          <w:i/>
          <w:spacing w:val="-2"/>
        </w:rPr>
        <w:t> </w:t>
      </w:r>
      <w:r>
        <w:rPr>
          <w:rFonts w:ascii="Arial" w:hAnsi="Arial"/>
          <w:i/>
        </w:rPr>
        <w:t>Investments</w:t>
      </w:r>
      <w:r>
        <w:rPr>
          <w:rFonts w:ascii="Arial" w:hAnsi="Arial"/>
          <w:i/>
          <w:spacing w:val="-2"/>
        </w:rPr>
        <w:t> </w:t>
      </w:r>
      <w:r>
        <w:rPr>
          <w:rFonts w:ascii="Arial" w:hAnsi="Arial"/>
          <w:i/>
        </w:rPr>
        <w:t>Ltd</w:t>
      </w:r>
      <w:r>
        <w:rPr>
          <w:rFonts w:ascii="Arial" w:hAnsi="Arial"/>
          <w:i/>
          <w:spacing w:val="-2"/>
        </w:rPr>
        <w:t> </w:t>
      </w:r>
      <w:r>
        <w:rPr>
          <w:rFonts w:ascii="Arial" w:hAnsi="Arial"/>
          <w:i/>
        </w:rPr>
        <w:t>v</w:t>
      </w:r>
      <w:r>
        <w:rPr>
          <w:rFonts w:ascii="Arial" w:hAnsi="Arial"/>
          <w:i/>
          <w:spacing w:val="-2"/>
        </w:rPr>
        <w:t> </w:t>
      </w:r>
      <w:r>
        <w:rPr>
          <w:rFonts w:ascii="Arial" w:hAnsi="Arial"/>
          <w:i/>
        </w:rPr>
        <w:t>Carr</w:t>
      </w:r>
      <w:r>
        <w:rPr>
          <w:rFonts w:ascii="Arial" w:hAnsi="Arial"/>
          <w:i/>
          <w:spacing w:val="-3"/>
        </w:rPr>
        <w:t> </w:t>
      </w:r>
      <w:r>
        <w:rPr>
          <w:color w:val="005DA1"/>
          <w:u w:val="single" w:color="005DA1"/>
          <w:vertAlign w:val="superscript"/>
        </w:rPr>
        <w:t>846</w:t>
      </w:r>
      <w:r>
        <w:rPr>
          <w:color w:val="005DA1"/>
          <w:spacing w:val="-2"/>
          <w:vertAlign w:val="baseline"/>
        </w:rPr>
        <w:t> </w:t>
      </w:r>
      <w:r>
        <w:rPr>
          <w:vertAlign w:val="baseline"/>
        </w:rPr>
        <w:t>long</w:t>
      </w:r>
      <w:r>
        <w:rPr>
          <w:spacing w:val="-2"/>
          <w:vertAlign w:val="baseline"/>
        </w:rPr>
        <w:t> </w:t>
      </w:r>
      <w:r>
        <w:rPr>
          <w:vertAlign w:val="baseline"/>
        </w:rPr>
        <w:t>leases</w:t>
      </w:r>
      <w:r>
        <w:rPr>
          <w:spacing w:val="-2"/>
          <w:vertAlign w:val="baseline"/>
        </w:rPr>
        <w:t> </w:t>
      </w:r>
      <w:r>
        <w:rPr>
          <w:vertAlign w:val="baseline"/>
        </w:rPr>
        <w:t>of</w:t>
      </w:r>
      <w:r>
        <w:rPr>
          <w:spacing w:val="-2"/>
          <w:vertAlign w:val="baseline"/>
        </w:rPr>
        <w:t> </w:t>
      </w:r>
      <w:r>
        <w:rPr>
          <w:vertAlign w:val="baseline"/>
        </w:rPr>
        <w:t>flats</w:t>
      </w:r>
      <w:r>
        <w:rPr>
          <w:spacing w:val="-2"/>
          <w:vertAlign w:val="baseline"/>
        </w:rPr>
        <w:t> </w:t>
      </w:r>
      <w:r>
        <w:rPr>
          <w:vertAlign w:val="baseline"/>
        </w:rPr>
        <w:t>obliged</w:t>
      </w:r>
      <w:r>
        <w:rPr>
          <w:spacing w:val="-2"/>
          <w:vertAlign w:val="baseline"/>
        </w:rPr>
        <w:t> </w:t>
      </w:r>
      <w:r>
        <w:rPr>
          <w:vertAlign w:val="baseline"/>
        </w:rPr>
        <w:t>the</w:t>
      </w:r>
      <w:r>
        <w:rPr>
          <w:spacing w:val="-2"/>
          <w:vertAlign w:val="baseline"/>
        </w:rPr>
        <w:t> </w:t>
      </w:r>
      <w:r>
        <w:rPr>
          <w:vertAlign w:val="baseline"/>
        </w:rPr>
        <w:t>tenants</w:t>
      </w:r>
      <w:r>
        <w:rPr>
          <w:spacing w:val="-2"/>
          <w:vertAlign w:val="baseline"/>
        </w:rPr>
        <w:t> </w:t>
      </w:r>
      <w:r>
        <w:rPr>
          <w:vertAlign w:val="baseline"/>
        </w:rPr>
        <w:t>to</w:t>
      </w:r>
      <w:r>
        <w:rPr>
          <w:spacing w:val="-2"/>
          <w:vertAlign w:val="baseline"/>
        </w:rPr>
        <w:t> </w:t>
      </w:r>
      <w:r>
        <w:rPr>
          <w:vertAlign w:val="baseline"/>
        </w:rPr>
        <w:t>pay,</w:t>
      </w:r>
      <w:r>
        <w:rPr>
          <w:spacing w:val="-2"/>
          <w:vertAlign w:val="baseline"/>
        </w:rPr>
        <w:t> </w:t>
      </w:r>
      <w:r>
        <w:rPr>
          <w:vertAlign w:val="baseline"/>
        </w:rPr>
        <w:t>not</w:t>
      </w:r>
      <w:r>
        <w:rPr>
          <w:spacing w:val="-2"/>
          <w:vertAlign w:val="baseline"/>
        </w:rPr>
        <w:t> </w:t>
      </w:r>
      <w:r>
        <w:rPr>
          <w:vertAlign w:val="baseline"/>
        </w:rPr>
        <w:t>only</w:t>
      </w:r>
      <w:r>
        <w:rPr>
          <w:spacing w:val="-2"/>
          <w:vertAlign w:val="baseline"/>
        </w:rPr>
        <w:t> </w:t>
      </w:r>
      <w:r>
        <w:rPr>
          <w:vertAlign w:val="baseline"/>
        </w:rPr>
        <w:t>rent</w:t>
      </w:r>
      <w:r>
        <w:rPr>
          <w:spacing w:val="-2"/>
          <w:vertAlign w:val="baseline"/>
        </w:rPr>
        <w:t> </w:t>
      </w:r>
      <w:r>
        <w:rPr>
          <w:vertAlign w:val="baseline"/>
        </w:rPr>
        <w:t>and</w:t>
      </w:r>
      <w:r>
        <w:rPr>
          <w:spacing w:val="-2"/>
          <w:vertAlign w:val="baseline"/>
        </w:rPr>
        <w:t> </w:t>
      </w:r>
      <w:r>
        <w:rPr>
          <w:vertAlign w:val="baseline"/>
        </w:rPr>
        <w:t>a maintenance charge, but also contributions in respect of certain “excess expenses” incurred by the landlords in keeping the structure in repair. In the course of the negotiations leading to the execution </w:t>
      </w:r>
      <w:bookmarkStart w:name="_bookmark1547" w:id="1549"/>
      <w:bookmarkEnd w:id="1549"/>
      <w:r>
        <w:rPr>
          <w:vertAlign w:val="baseline"/>
        </w:rPr>
        <w:t>of</w:t>
      </w:r>
      <w:r>
        <w:rPr>
          <w:spacing w:val="-1"/>
          <w:vertAlign w:val="baseline"/>
        </w:rPr>
        <w:t> </w:t>
      </w:r>
      <w:r>
        <w:rPr>
          <w:vertAlign w:val="baseline"/>
        </w:rPr>
        <w:t>the</w:t>
      </w:r>
      <w:r>
        <w:rPr>
          <w:spacing w:val="-1"/>
          <w:vertAlign w:val="baseline"/>
        </w:rPr>
        <w:t> </w:t>
      </w:r>
      <w:r>
        <w:rPr>
          <w:vertAlign w:val="baseline"/>
        </w:rPr>
        <w:t>leases,</w:t>
      </w:r>
      <w:r>
        <w:rPr>
          <w:spacing w:val="-1"/>
          <w:vertAlign w:val="baseline"/>
        </w:rPr>
        <w:t> </w:t>
      </w:r>
      <w:r>
        <w:rPr>
          <w:vertAlign w:val="baseline"/>
        </w:rPr>
        <w:t>the</w:t>
      </w:r>
      <w:r>
        <w:rPr>
          <w:spacing w:val="-1"/>
          <w:vertAlign w:val="baseline"/>
        </w:rPr>
        <w:t> </w:t>
      </w:r>
      <w:r>
        <w:rPr>
          <w:vertAlign w:val="baseline"/>
        </w:rPr>
        <w:t>landlords</w:t>
      </w:r>
      <w:r>
        <w:rPr>
          <w:spacing w:val="-1"/>
          <w:vertAlign w:val="baseline"/>
        </w:rPr>
        <w:t> </w:t>
      </w:r>
      <w:r>
        <w:rPr>
          <w:vertAlign w:val="baseline"/>
        </w:rPr>
        <w:t>had</w:t>
      </w:r>
      <w:r>
        <w:rPr>
          <w:spacing w:val="-1"/>
          <w:vertAlign w:val="baseline"/>
        </w:rPr>
        <w:t> </w:t>
      </w:r>
      <w:r>
        <w:rPr>
          <w:vertAlign w:val="baseline"/>
        </w:rPr>
        <w:t>promised</w:t>
      </w:r>
      <w:r>
        <w:rPr>
          <w:spacing w:val="-1"/>
          <w:vertAlign w:val="baseline"/>
        </w:rPr>
        <w:t> </w:t>
      </w:r>
      <w:r>
        <w:rPr>
          <w:vertAlign w:val="baseline"/>
        </w:rPr>
        <w:t>to</w:t>
      </w:r>
      <w:r>
        <w:rPr>
          <w:spacing w:val="-1"/>
          <w:vertAlign w:val="baseline"/>
        </w:rPr>
        <w:t> </w:t>
      </w:r>
      <w:r>
        <w:rPr>
          <w:vertAlign w:val="baseline"/>
        </w:rPr>
        <w:t>put</w:t>
      </w:r>
      <w:r>
        <w:rPr>
          <w:spacing w:val="-1"/>
          <w:vertAlign w:val="baseline"/>
        </w:rPr>
        <w:t> </w:t>
      </w:r>
      <w:r>
        <w:rPr>
          <w:vertAlign w:val="baseline"/>
        </w:rPr>
        <w:t>the</w:t>
      </w:r>
      <w:r>
        <w:rPr>
          <w:spacing w:val="-1"/>
          <w:vertAlign w:val="baseline"/>
        </w:rPr>
        <w:t> </w:t>
      </w:r>
      <w:r>
        <w:rPr>
          <w:vertAlign w:val="baseline"/>
        </w:rPr>
        <w:t>roof</w:t>
      </w:r>
      <w:r>
        <w:rPr>
          <w:spacing w:val="-1"/>
          <w:vertAlign w:val="baseline"/>
        </w:rPr>
        <w:t> </w:t>
      </w:r>
      <w:r>
        <w:rPr>
          <w:vertAlign w:val="baseline"/>
        </w:rPr>
        <w:t>into</w:t>
      </w:r>
      <w:r>
        <w:rPr>
          <w:spacing w:val="-1"/>
          <w:vertAlign w:val="baseline"/>
        </w:rPr>
        <w:t> </w:t>
      </w:r>
      <w:r>
        <w:rPr>
          <w:vertAlign w:val="baseline"/>
        </w:rPr>
        <w:t>repair</w:t>
      </w:r>
      <w:r>
        <w:rPr>
          <w:spacing w:val="-1"/>
          <w:vertAlign w:val="baseline"/>
        </w:rPr>
        <w:t> </w:t>
      </w:r>
      <w:r>
        <w:rPr>
          <w:vertAlign w:val="baseline"/>
        </w:rPr>
        <w:t>“at</w:t>
      </w:r>
      <w:r>
        <w:rPr>
          <w:spacing w:val="-1"/>
          <w:vertAlign w:val="baseline"/>
        </w:rPr>
        <w:t> </w:t>
      </w:r>
      <w:r>
        <w:rPr>
          <w:vertAlign w:val="baseline"/>
        </w:rPr>
        <w:t>our</w:t>
      </w:r>
      <w:r>
        <w:rPr>
          <w:spacing w:val="-1"/>
          <w:vertAlign w:val="baseline"/>
        </w:rPr>
        <w:t> </w:t>
      </w:r>
      <w:r>
        <w:rPr>
          <w:vertAlign w:val="baseline"/>
        </w:rPr>
        <w:t>own</w:t>
      </w:r>
      <w:r>
        <w:rPr>
          <w:spacing w:val="-1"/>
          <w:vertAlign w:val="baseline"/>
        </w:rPr>
        <w:t> </w:t>
      </w:r>
      <w:r>
        <w:rPr>
          <w:vertAlign w:val="baseline"/>
        </w:rPr>
        <w:t>cost.”</w:t>
      </w:r>
      <w:r>
        <w:rPr>
          <w:spacing w:val="-1"/>
          <w:vertAlign w:val="baseline"/>
        </w:rPr>
        <w:t> </w:t>
      </w:r>
      <w:r>
        <w:rPr>
          <w:vertAlign w:val="baseline"/>
        </w:rPr>
        <w:t>This</w:t>
      </w:r>
      <w:r>
        <w:rPr>
          <w:spacing w:val="-1"/>
          <w:vertAlign w:val="baseline"/>
        </w:rPr>
        <w:t> </w:t>
      </w:r>
      <w:r>
        <w:rPr>
          <w:vertAlign w:val="baseline"/>
        </w:rPr>
        <w:t>was</w:t>
      </w:r>
      <w:r>
        <w:rPr>
          <w:spacing w:val="-1"/>
          <w:vertAlign w:val="baseline"/>
        </w:rPr>
        <w:t> </w:t>
      </w:r>
      <w:r>
        <w:rPr>
          <w:vertAlign w:val="baseline"/>
        </w:rPr>
        <w:t>held</w:t>
      </w:r>
      <w:r>
        <w:rPr>
          <w:spacing w:val="-1"/>
          <w:vertAlign w:val="baseline"/>
        </w:rPr>
        <w:t> </w:t>
      </w:r>
      <w:r>
        <w:rPr>
          <w:vertAlign w:val="baseline"/>
        </w:rPr>
        <w:t>to amount to a collateral contract </w:t>
      </w:r>
      <w:r>
        <w:rPr>
          <w:color w:val="005DA1"/>
          <w:u w:val="single" w:color="005DA1"/>
          <w:vertAlign w:val="superscript"/>
        </w:rPr>
        <w:t>847</w:t>
      </w:r>
      <w:r>
        <w:rPr>
          <w:color w:val="005DA1"/>
          <w:vertAlign w:val="baseline"/>
        </w:rPr>
        <w:t> </w:t>
      </w:r>
      <w:r>
        <w:rPr>
          <w:vertAlign w:val="baseline"/>
        </w:rPr>
        <w:t>with one of the original tenants, precluding the landlords from enforcing against her the provision in the lease requiring her to contribute to the cost of the roof repairs. It was further held that claims for contributions to the cost of those repairs could not be made against</w:t>
      </w:r>
      <w:r>
        <w:rPr>
          <w:spacing w:val="-3"/>
          <w:vertAlign w:val="baseline"/>
        </w:rPr>
        <w:t> </w:t>
      </w:r>
      <w:r>
        <w:rPr>
          <w:vertAlign w:val="baseline"/>
        </w:rPr>
        <w:t>assignees</w:t>
      </w:r>
      <w:r>
        <w:rPr>
          <w:spacing w:val="-3"/>
          <w:vertAlign w:val="baseline"/>
        </w:rPr>
        <w:t> </w:t>
      </w:r>
      <w:r>
        <w:rPr>
          <w:vertAlign w:val="baseline"/>
        </w:rPr>
        <w:t>and</w:t>
      </w:r>
      <w:r>
        <w:rPr>
          <w:spacing w:val="-3"/>
          <w:vertAlign w:val="baseline"/>
        </w:rPr>
        <w:t> </w:t>
      </w:r>
      <w:r>
        <w:rPr>
          <w:vertAlign w:val="baseline"/>
        </w:rPr>
        <w:t>sub-assignees</w:t>
      </w:r>
      <w:r>
        <w:rPr>
          <w:spacing w:val="-3"/>
          <w:vertAlign w:val="baseline"/>
        </w:rPr>
        <w:t> </w:t>
      </w:r>
      <w:r>
        <w:rPr>
          <w:vertAlign w:val="baseline"/>
        </w:rPr>
        <w:t>of</w:t>
      </w:r>
      <w:r>
        <w:rPr>
          <w:spacing w:val="-3"/>
          <w:vertAlign w:val="baseline"/>
        </w:rPr>
        <w:t> </w:t>
      </w:r>
      <w:r>
        <w:rPr>
          <w:vertAlign w:val="baseline"/>
        </w:rPr>
        <w:t>original</w:t>
      </w:r>
      <w:r>
        <w:rPr>
          <w:spacing w:val="-3"/>
          <w:vertAlign w:val="baseline"/>
        </w:rPr>
        <w:t> </w:t>
      </w:r>
      <w:r>
        <w:rPr>
          <w:vertAlign w:val="baseline"/>
        </w:rPr>
        <w:t>tenants,</w:t>
      </w:r>
      <w:r>
        <w:rPr>
          <w:spacing w:val="-3"/>
          <w:vertAlign w:val="baseline"/>
        </w:rPr>
        <w:t> </w:t>
      </w:r>
      <w:r>
        <w:rPr>
          <w:vertAlign w:val="baseline"/>
        </w:rPr>
        <w:t>even</w:t>
      </w:r>
      <w:r>
        <w:rPr>
          <w:spacing w:val="-3"/>
          <w:vertAlign w:val="baseline"/>
        </w:rPr>
        <w:t> </w:t>
      </w:r>
      <w:r>
        <w:rPr>
          <w:vertAlign w:val="baseline"/>
        </w:rPr>
        <w:t>though</w:t>
      </w:r>
      <w:r>
        <w:rPr>
          <w:spacing w:val="-3"/>
          <w:vertAlign w:val="baseline"/>
        </w:rPr>
        <w:t> </w:t>
      </w:r>
      <w:r>
        <w:rPr>
          <w:vertAlign w:val="baseline"/>
        </w:rPr>
        <w:t>there</w:t>
      </w:r>
      <w:r>
        <w:rPr>
          <w:spacing w:val="-3"/>
          <w:vertAlign w:val="baseline"/>
        </w:rPr>
        <w:t> </w:t>
      </w:r>
      <w:r>
        <w:rPr>
          <w:vertAlign w:val="baseline"/>
        </w:rPr>
        <w:t>was</w:t>
      </w:r>
      <w:r>
        <w:rPr>
          <w:spacing w:val="-3"/>
          <w:vertAlign w:val="baseline"/>
        </w:rPr>
        <w:t> </w:t>
      </w:r>
      <w:r>
        <w:rPr>
          <w:vertAlign w:val="baseline"/>
        </w:rPr>
        <w:t>no</w:t>
      </w:r>
      <w:r>
        <w:rPr>
          <w:spacing w:val="-3"/>
          <w:vertAlign w:val="baseline"/>
        </w:rPr>
        <w:t> </w:t>
      </w:r>
      <w:r>
        <w:rPr>
          <w:vertAlign w:val="baseline"/>
        </w:rPr>
        <w:t>collateral</w:t>
      </w:r>
      <w:r>
        <w:rPr>
          <w:spacing w:val="-3"/>
          <w:vertAlign w:val="baseline"/>
        </w:rPr>
        <w:t> </w:t>
      </w:r>
      <w:r>
        <w:rPr>
          <w:vertAlign w:val="baseline"/>
        </w:rPr>
        <w:t>contract with these persons. Lord Denning, M.R. based this conclusion on the </w:t>
      </w:r>
      <w:r>
        <w:rPr>
          <w:rFonts w:ascii="Arial" w:hAnsi="Arial"/>
          <w:i/>
          <w:vertAlign w:val="baseline"/>
        </w:rPr>
        <w:t>High Trees </w:t>
      </w:r>
      <w:r>
        <w:rPr>
          <w:vertAlign w:val="baseline"/>
        </w:rPr>
        <w:t>principle which, in </w:t>
      </w:r>
      <w:bookmarkStart w:name="_bookmark1548" w:id="1550"/>
      <w:bookmarkEnd w:id="1550"/>
      <w:r>
        <w:rPr>
          <w:vertAlign w:val="baseline"/>
        </w:rPr>
        <w:t>his</w:t>
      </w:r>
      <w:r>
        <w:rPr>
          <w:vertAlign w:val="baseline"/>
        </w:rPr>
        <w:t> view, was available not only between the original parties, but also in favour of and against their assigns. </w:t>
      </w:r>
      <w:r>
        <w:rPr>
          <w:color w:val="005DA1"/>
          <w:u w:val="single" w:color="005DA1"/>
          <w:vertAlign w:val="superscript"/>
        </w:rPr>
        <w:t>848</w:t>
      </w:r>
      <w:r>
        <w:rPr>
          <w:color w:val="005DA1"/>
          <w:vertAlign w:val="baseline"/>
        </w:rPr>
        <w:t> </w:t>
      </w:r>
      <w:r>
        <w:rPr>
          <w:vertAlign w:val="baseline"/>
        </w:rPr>
        <w:t>The extinctive effect of the principle in these circumstances can perhaps be supported on the ground that the original tenants, the assignees and the sub-assignees had all, in reliance on the </w:t>
      </w:r>
      <w:bookmarkStart w:name="_bookmark1549" w:id="1551"/>
      <w:bookmarkEnd w:id="1551"/>
      <w:r>
        <w:rPr>
          <w:vertAlign w:val="baseline"/>
        </w:rPr>
        <w:t>landlords’</w:t>
      </w:r>
      <w:r>
        <w:rPr>
          <w:vertAlign w:val="baseline"/>
        </w:rPr>
        <w:t> promise, undertaken fresh commitments by entering into long leases of the flats. Roskill</w:t>
      </w:r>
      <w:r>
        <w:rPr>
          <w:spacing w:val="40"/>
          <w:vertAlign w:val="baseline"/>
        </w:rPr>
        <w:t> </w:t>
      </w:r>
      <w:bookmarkStart w:name="_bookmark1550" w:id="1552"/>
      <w:bookmarkEnd w:id="1552"/>
      <w:r>
        <w:rPr>
          <w:vertAlign w:val="baseline"/>
        </w:rPr>
        <w:t>and</w:t>
      </w:r>
      <w:r>
        <w:rPr>
          <w:vertAlign w:val="baseline"/>
        </w:rPr>
        <w:t> Cumming-Bruce L.JJ., on the other hand, treated the case, not as one of “promissory estoppel,” </w:t>
      </w:r>
      <w:r>
        <w:rPr>
          <w:color w:val="005DA1"/>
          <w:u w:val="single" w:color="005DA1"/>
          <w:vertAlign w:val="superscript"/>
        </w:rPr>
        <w:t>849</w:t>
      </w:r>
      <w:r>
        <w:rPr>
          <w:color w:val="005DA1"/>
          <w:spacing w:val="-2"/>
          <w:vertAlign w:val="baseline"/>
        </w:rPr>
        <w:t> </w:t>
      </w:r>
      <w:bookmarkStart w:name="_bookmark1551" w:id="1553"/>
      <w:bookmarkEnd w:id="1553"/>
      <w:r>
        <w:rPr>
          <w:color w:val="005DA1"/>
          <w:spacing w:val="1"/>
          <w:vertAlign w:val="baseline"/>
        </w:rPr>
      </w:r>
      <w:r>
        <w:rPr>
          <w:vertAlign w:val="baseline"/>
        </w:rPr>
        <w:t>but</w:t>
      </w:r>
      <w:r>
        <w:rPr>
          <w:spacing w:val="-3"/>
          <w:vertAlign w:val="baseline"/>
        </w:rPr>
        <w:t> </w:t>
      </w:r>
      <w:r>
        <w:rPr>
          <w:vertAlign w:val="baseline"/>
        </w:rPr>
        <w:t>as</w:t>
      </w:r>
      <w:r>
        <w:rPr>
          <w:spacing w:val="-2"/>
          <w:vertAlign w:val="baseline"/>
        </w:rPr>
        <w:t> </w:t>
      </w:r>
      <w:r>
        <w:rPr>
          <w:vertAlign w:val="baseline"/>
        </w:rPr>
        <w:t>one</w:t>
      </w:r>
      <w:r>
        <w:rPr>
          <w:spacing w:val="-3"/>
          <w:vertAlign w:val="baseline"/>
        </w:rPr>
        <w:t> </w:t>
      </w:r>
      <w:r>
        <w:rPr>
          <w:vertAlign w:val="baseline"/>
        </w:rPr>
        <w:t>of</w:t>
      </w:r>
      <w:r>
        <w:rPr>
          <w:spacing w:val="-2"/>
          <w:vertAlign w:val="baseline"/>
        </w:rPr>
        <w:t> </w:t>
      </w:r>
      <w:r>
        <w:rPr>
          <w:vertAlign w:val="baseline"/>
        </w:rPr>
        <w:t>“waiver.”</w:t>
      </w:r>
      <w:r>
        <w:rPr>
          <w:spacing w:val="-3"/>
          <w:vertAlign w:val="baseline"/>
        </w:rPr>
        <w:t> </w:t>
      </w:r>
      <w:r>
        <w:rPr>
          <w:color w:val="005DA1"/>
          <w:u w:val="single" w:color="005DA1"/>
          <w:vertAlign w:val="superscript"/>
        </w:rPr>
        <w:t>850</w:t>
      </w:r>
      <w:r>
        <w:rPr>
          <w:color w:val="005DA1"/>
          <w:spacing w:val="-2"/>
          <w:vertAlign w:val="baseline"/>
        </w:rPr>
        <w:t> </w:t>
      </w:r>
      <w:r>
        <w:rPr>
          <w:vertAlign w:val="baseline"/>
        </w:rPr>
        <w:t>It</w:t>
      </w:r>
      <w:r>
        <w:rPr>
          <w:spacing w:val="-3"/>
          <w:vertAlign w:val="baseline"/>
        </w:rPr>
        <w:t> </w:t>
      </w:r>
      <w:r>
        <w:rPr>
          <w:vertAlign w:val="baseline"/>
        </w:rPr>
        <w:t>seems</w:t>
      </w:r>
      <w:r>
        <w:rPr>
          <w:spacing w:val="-2"/>
          <w:vertAlign w:val="baseline"/>
        </w:rPr>
        <w:t> </w:t>
      </w:r>
      <w:r>
        <w:rPr>
          <w:vertAlign w:val="baseline"/>
        </w:rPr>
        <w:t>that</w:t>
      </w:r>
      <w:r>
        <w:rPr>
          <w:spacing w:val="-3"/>
          <w:vertAlign w:val="baseline"/>
        </w:rPr>
        <w:t> </w:t>
      </w:r>
      <w:r>
        <w:rPr>
          <w:vertAlign w:val="baseline"/>
        </w:rPr>
        <w:t>the</w:t>
      </w:r>
      <w:r>
        <w:rPr>
          <w:spacing w:val="-2"/>
          <w:vertAlign w:val="baseline"/>
        </w:rPr>
        <w:t> </w:t>
      </w:r>
      <w:r>
        <w:rPr>
          <w:vertAlign w:val="baseline"/>
        </w:rPr>
        <w:t>latter</w:t>
      </w:r>
      <w:r>
        <w:rPr>
          <w:spacing w:val="-3"/>
          <w:vertAlign w:val="baseline"/>
        </w:rPr>
        <w:t> </w:t>
      </w:r>
      <w:r>
        <w:rPr>
          <w:vertAlign w:val="baseline"/>
        </w:rPr>
        <w:t>expression</w:t>
      </w:r>
      <w:r>
        <w:rPr>
          <w:spacing w:val="-2"/>
          <w:vertAlign w:val="baseline"/>
        </w:rPr>
        <w:t> </w:t>
      </w:r>
      <w:r>
        <w:rPr>
          <w:vertAlign w:val="baseline"/>
        </w:rPr>
        <w:t>here</w:t>
      </w:r>
      <w:r>
        <w:rPr>
          <w:spacing w:val="-3"/>
          <w:vertAlign w:val="baseline"/>
        </w:rPr>
        <w:t> </w:t>
      </w:r>
      <w:r>
        <w:rPr>
          <w:vertAlign w:val="baseline"/>
        </w:rPr>
        <w:t>refers</w:t>
      </w:r>
      <w:r>
        <w:rPr>
          <w:spacing w:val="-2"/>
          <w:vertAlign w:val="baseline"/>
        </w:rPr>
        <w:t> </w:t>
      </w:r>
      <w:r>
        <w:rPr>
          <w:vertAlign w:val="baseline"/>
        </w:rPr>
        <w:t>to</w:t>
      </w:r>
      <w:r>
        <w:rPr>
          <w:spacing w:val="-3"/>
          <w:vertAlign w:val="baseline"/>
        </w:rPr>
        <w:t> </w:t>
      </w:r>
      <w:r>
        <w:rPr>
          <w:vertAlign w:val="baseline"/>
        </w:rPr>
        <w:t>a</w:t>
      </w:r>
      <w:r>
        <w:rPr>
          <w:spacing w:val="-2"/>
          <w:vertAlign w:val="baseline"/>
        </w:rPr>
        <w:t> </w:t>
      </w:r>
      <w:r>
        <w:rPr>
          <w:vertAlign w:val="baseline"/>
        </w:rPr>
        <w:t>variation</w:t>
      </w:r>
      <w:r>
        <w:rPr>
          <w:spacing w:val="-3"/>
          <w:vertAlign w:val="baseline"/>
        </w:rPr>
        <w:t> </w:t>
      </w:r>
      <w:r>
        <w:rPr>
          <w:vertAlign w:val="baseline"/>
        </w:rPr>
        <w:t>supported</w:t>
      </w:r>
      <w:r>
        <w:rPr>
          <w:spacing w:val="-2"/>
          <w:vertAlign w:val="baseline"/>
        </w:rPr>
        <w:t> </w:t>
      </w:r>
      <w:r>
        <w:rPr>
          <w:vertAlign w:val="baseline"/>
        </w:rPr>
        <w:t>by consideration,</w:t>
      </w:r>
      <w:r>
        <w:rPr>
          <w:spacing w:val="-1"/>
          <w:vertAlign w:val="baseline"/>
        </w:rPr>
        <w:t> </w:t>
      </w:r>
      <w:r>
        <w:rPr>
          <w:color w:val="005DA1"/>
          <w:u w:val="single" w:color="005DA1"/>
          <w:vertAlign w:val="superscript"/>
        </w:rPr>
        <w:t>851</w:t>
      </w:r>
      <w:r>
        <w:rPr>
          <w:color w:val="005DA1"/>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consideration</w:t>
      </w:r>
      <w:r>
        <w:rPr>
          <w:spacing w:val="-1"/>
          <w:vertAlign w:val="baseline"/>
        </w:rPr>
        <w:t> </w:t>
      </w:r>
      <w:r>
        <w:rPr>
          <w:vertAlign w:val="baseline"/>
        </w:rPr>
        <w:t>provided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tenants</w:t>
      </w:r>
      <w:r>
        <w:rPr>
          <w:spacing w:val="-1"/>
          <w:vertAlign w:val="baseline"/>
        </w:rPr>
        <w:t> </w:t>
      </w:r>
      <w:r>
        <w:rPr>
          <w:color w:val="005DA1"/>
          <w:u w:val="single" w:color="005DA1"/>
          <w:vertAlign w:val="superscript"/>
        </w:rPr>
        <w:t>852</w:t>
      </w:r>
      <w:r>
        <w:rPr>
          <w:color w:val="005DA1"/>
          <w:spacing w:val="-1"/>
          <w:vertAlign w:val="baseline"/>
        </w:rPr>
        <w:t> </w:t>
      </w:r>
      <w:r>
        <w:rPr>
          <w:vertAlign w:val="baseline"/>
        </w:rPr>
        <w:t>could</w:t>
      </w:r>
      <w:r>
        <w:rPr>
          <w:spacing w:val="-1"/>
          <w:vertAlign w:val="baseline"/>
        </w:rPr>
        <w:t> </w:t>
      </w:r>
      <w:r>
        <w:rPr>
          <w:vertAlign w:val="baseline"/>
        </w:rPr>
        <w:t>equally</w:t>
      </w:r>
      <w:r>
        <w:rPr>
          <w:spacing w:val="-1"/>
          <w:vertAlign w:val="baseline"/>
        </w:rPr>
        <w:t> </w:t>
      </w:r>
      <w:r>
        <w:rPr>
          <w:vertAlign w:val="baseline"/>
        </w:rPr>
        <w:t>support</w:t>
      </w:r>
      <w:r>
        <w:rPr>
          <w:spacing w:val="-1"/>
          <w:vertAlign w:val="baseline"/>
        </w:rPr>
        <w:t> </w:t>
      </w:r>
      <w:r>
        <w:rPr>
          <w:vertAlign w:val="baseline"/>
        </w:rPr>
        <w:t>the</w:t>
      </w:r>
      <w:r>
        <w:rPr>
          <w:spacing w:val="-1"/>
          <w:vertAlign w:val="baseline"/>
        </w:rPr>
        <w:t> </w:t>
      </w:r>
      <w:r>
        <w:rPr>
          <w:vertAlign w:val="baseline"/>
        </w:rPr>
        <w:t>landlords’ promise</w:t>
      </w:r>
      <w:r>
        <w:rPr>
          <w:spacing w:val="55"/>
          <w:vertAlign w:val="baseline"/>
        </w:rPr>
        <w:t> </w:t>
      </w:r>
      <w:r>
        <w:rPr>
          <w:vertAlign w:val="baseline"/>
        </w:rPr>
        <w:t>whether</w:t>
      </w:r>
      <w:r>
        <w:rPr>
          <w:spacing w:val="56"/>
          <w:vertAlign w:val="baseline"/>
        </w:rPr>
        <w:t> </w:t>
      </w:r>
      <w:r>
        <w:rPr>
          <w:vertAlign w:val="baseline"/>
        </w:rPr>
        <w:t>that</w:t>
      </w:r>
      <w:r>
        <w:rPr>
          <w:spacing w:val="55"/>
          <w:vertAlign w:val="baseline"/>
        </w:rPr>
        <w:t> </w:t>
      </w:r>
      <w:r>
        <w:rPr>
          <w:vertAlign w:val="baseline"/>
        </w:rPr>
        <w:t>promise</w:t>
      </w:r>
      <w:r>
        <w:rPr>
          <w:spacing w:val="56"/>
          <w:vertAlign w:val="baseline"/>
        </w:rPr>
        <w:t> </w:t>
      </w:r>
      <w:r>
        <w:rPr>
          <w:vertAlign w:val="baseline"/>
        </w:rPr>
        <w:t>was</w:t>
      </w:r>
      <w:r>
        <w:rPr>
          <w:spacing w:val="55"/>
          <w:vertAlign w:val="baseline"/>
        </w:rPr>
        <w:t> </w:t>
      </w:r>
      <w:r>
        <w:rPr>
          <w:vertAlign w:val="baseline"/>
        </w:rPr>
        <w:t>regarded</w:t>
      </w:r>
      <w:r>
        <w:rPr>
          <w:spacing w:val="56"/>
          <w:vertAlign w:val="baseline"/>
        </w:rPr>
        <w:t> </w:t>
      </w:r>
      <w:r>
        <w:rPr>
          <w:vertAlign w:val="baseline"/>
        </w:rPr>
        <w:t>as</w:t>
      </w:r>
      <w:r>
        <w:rPr>
          <w:spacing w:val="55"/>
          <w:vertAlign w:val="baseline"/>
        </w:rPr>
        <w:t> </w:t>
      </w:r>
      <w:r>
        <w:rPr>
          <w:vertAlign w:val="baseline"/>
        </w:rPr>
        <w:t>a</w:t>
      </w:r>
      <w:r>
        <w:rPr>
          <w:spacing w:val="56"/>
          <w:vertAlign w:val="baseline"/>
        </w:rPr>
        <w:t> </w:t>
      </w:r>
      <w:r>
        <w:rPr>
          <w:vertAlign w:val="baseline"/>
        </w:rPr>
        <w:t>collateral</w:t>
      </w:r>
      <w:r>
        <w:rPr>
          <w:spacing w:val="56"/>
          <w:vertAlign w:val="baseline"/>
        </w:rPr>
        <w:t> </w:t>
      </w:r>
      <w:r>
        <w:rPr>
          <w:vertAlign w:val="baseline"/>
        </w:rPr>
        <w:t>contract</w:t>
      </w:r>
      <w:r>
        <w:rPr>
          <w:spacing w:val="55"/>
          <w:vertAlign w:val="baseline"/>
        </w:rPr>
        <w:t> </w:t>
      </w:r>
      <w:r>
        <w:rPr>
          <w:vertAlign w:val="baseline"/>
        </w:rPr>
        <w:t>or</w:t>
      </w:r>
      <w:r>
        <w:rPr>
          <w:spacing w:val="56"/>
          <w:vertAlign w:val="baseline"/>
        </w:rPr>
        <w:t> </w:t>
      </w:r>
      <w:r>
        <w:rPr>
          <w:vertAlign w:val="baseline"/>
        </w:rPr>
        <w:t>as</w:t>
      </w:r>
      <w:r>
        <w:rPr>
          <w:spacing w:val="55"/>
          <w:vertAlign w:val="baseline"/>
        </w:rPr>
        <w:t> </w:t>
      </w:r>
      <w:r>
        <w:rPr>
          <w:vertAlign w:val="baseline"/>
        </w:rPr>
        <w:t>a</w:t>
      </w:r>
      <w:r>
        <w:rPr>
          <w:spacing w:val="56"/>
          <w:vertAlign w:val="baseline"/>
        </w:rPr>
        <w:t> </w:t>
      </w:r>
      <w:r>
        <w:rPr>
          <w:vertAlign w:val="baseline"/>
        </w:rPr>
        <w:t>variation.</w:t>
      </w:r>
      <w:r>
        <w:rPr>
          <w:spacing w:val="55"/>
          <w:vertAlign w:val="baseline"/>
        </w:rPr>
        <w:t> </w:t>
      </w:r>
      <w:r>
        <w:rPr>
          <w:vertAlign w:val="baseline"/>
        </w:rPr>
        <w:t>On</w:t>
      </w:r>
      <w:r>
        <w:rPr>
          <w:spacing w:val="56"/>
          <w:vertAlign w:val="baseline"/>
        </w:rPr>
        <w:t> </w:t>
      </w:r>
      <w:r>
        <w:rPr>
          <w:spacing w:val="-4"/>
          <w:vertAlign w:val="baseline"/>
        </w:rPr>
        <w:t>this</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interpretation of the case, there is no difficulty in accounting for the extinctive effect of the landlords’ promise. It amounted to a variation supported by consideration, so that the liability of the </w:t>
      </w:r>
      <w:r>
        <w:rPr/>
        <w:t>original tenants to contribute to the cost of the repairs in question was extinguished; and once it had been so extinguished it was not revived on assignment of the leases.</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Requirements</w:t>
      </w:r>
    </w:p>
    <w:p>
      <w:pPr>
        <w:pStyle w:val="BodyText"/>
        <w:spacing w:before="41"/>
        <w:rPr>
          <w:rFonts w:ascii="Arial"/>
          <w:b/>
          <w:sz w:val="18"/>
        </w:rPr>
      </w:pPr>
    </w:p>
    <w:p>
      <w:pPr>
        <w:pStyle w:val="Heading2"/>
      </w:pPr>
      <w:r>
        <w:rPr/>
        <w:t>4-</w:t>
      </w:r>
      <w:r>
        <w:rPr>
          <w:spacing w:val="-5"/>
        </w:rPr>
        <w:t>136</w:t>
      </w:r>
    </w:p>
    <w:p>
      <w:pPr>
        <w:pStyle w:val="BodyText"/>
        <w:spacing w:line="235" w:lineRule="auto" w:before="203"/>
        <w:ind w:left="165" w:right="167"/>
        <w:jc w:val="both"/>
      </w:pPr>
      <w:r>
        <w:rPr/>
        <w:t>Granted that the equitable principle can apply to cases of part payment of a debt, it is in this context </w:t>
      </w:r>
      <w:bookmarkStart w:name="_bookmark1552" w:id="1554"/>
      <w:bookmarkEnd w:id="1554"/>
      <w:r>
        <w:rPr/>
        <w:t>subject</w:t>
      </w:r>
      <w:r>
        <w:rPr/>
        <w:t> to the usual requirements on which its operation depends. These have already been considered </w:t>
      </w:r>
      <w:r>
        <w:rPr>
          <w:color w:val="005DA1"/>
          <w:u w:val="single" w:color="005DA1"/>
          <w:vertAlign w:val="superscript"/>
        </w:rPr>
        <w:t>853</w:t>
      </w:r>
      <w:r>
        <w:rPr>
          <w:color w:val="005DA1"/>
          <w:vertAlign w:val="baseline"/>
        </w:rPr>
        <w:t> </w:t>
      </w:r>
      <w:r>
        <w:rPr>
          <w:vertAlign w:val="baseline"/>
        </w:rPr>
        <w:t>but two of them call for further discussion at this point.</w:t>
      </w:r>
    </w:p>
    <w:p>
      <w:pPr>
        <w:pStyle w:val="BodyText"/>
      </w:pPr>
    </w:p>
    <w:p>
      <w:pPr>
        <w:pStyle w:val="BodyText"/>
        <w:spacing w:before="37"/>
      </w:pPr>
    </w:p>
    <w:p>
      <w:pPr>
        <w:spacing w:before="0"/>
        <w:ind w:left="165" w:right="0" w:firstLine="0"/>
        <w:jc w:val="left"/>
        <w:rPr>
          <w:rFonts w:ascii="Arial"/>
          <w:b/>
          <w:sz w:val="18"/>
        </w:rPr>
      </w:pPr>
      <w:r>
        <w:rPr>
          <w:rFonts w:ascii="Arial"/>
          <w:b/>
          <w:sz w:val="18"/>
        </w:rPr>
        <w:t>Whether detriment </w:t>
      </w:r>
      <w:r>
        <w:rPr>
          <w:rFonts w:ascii="Arial"/>
          <w:b/>
          <w:spacing w:val="-2"/>
          <w:sz w:val="18"/>
        </w:rPr>
        <w:t>necessary</w:t>
      </w:r>
    </w:p>
    <w:p>
      <w:pPr>
        <w:pStyle w:val="BodyText"/>
        <w:spacing w:before="41"/>
        <w:rPr>
          <w:rFonts w:ascii="Arial"/>
          <w:b/>
          <w:sz w:val="18"/>
        </w:rPr>
      </w:pPr>
    </w:p>
    <w:p>
      <w:pPr>
        <w:pStyle w:val="Heading2"/>
        <w:spacing w:before="1"/>
      </w:pPr>
      <w:r>
        <w:rPr/>
        <w:t>4-</w:t>
      </w:r>
      <w:r>
        <w:rPr>
          <w:spacing w:val="-5"/>
        </w:rPr>
        <w:t>137</w:t>
      </w:r>
    </w:p>
    <w:p>
      <w:pPr>
        <w:pStyle w:val="BodyText"/>
        <w:spacing w:line="235" w:lineRule="auto" w:before="202"/>
        <w:ind w:left="164" w:right="167"/>
        <w:jc w:val="both"/>
      </w:pPr>
      <w:bookmarkStart w:name="_bookmark1553" w:id="1555"/>
      <w:bookmarkEnd w:id="1555"/>
      <w:r>
        <w:rPr/>
      </w:r>
      <w:r>
        <w:rPr/>
        <w:t>The equitable principle is sometimes said to be analogous to the doctrine of estoppel by </w:t>
      </w:r>
      <w:bookmarkStart w:name="_bookmark1554" w:id="1556"/>
      <w:bookmarkEnd w:id="1556"/>
      <w:r>
        <w:rPr/>
        <w:t>representation.</w:t>
      </w:r>
      <w:r>
        <w:rPr/>
        <w:t> </w:t>
      </w:r>
      <w:r>
        <w:rPr>
          <w:color w:val="005DA1"/>
          <w:u w:val="single" w:color="005DA1"/>
          <w:vertAlign w:val="superscript"/>
        </w:rPr>
        <w:t>854</w:t>
      </w:r>
      <w:r>
        <w:rPr>
          <w:color w:val="005DA1"/>
          <w:vertAlign w:val="baseline"/>
        </w:rPr>
        <w:t> </w:t>
      </w:r>
      <w:r>
        <w:rPr>
          <w:vertAlign w:val="baseline"/>
        </w:rPr>
        <w:t>According to this analogy, the principle would operate only in favour of a </w:t>
      </w:r>
      <w:r>
        <w:rPr>
          <w:vertAlign w:val="baseline"/>
        </w:rPr>
        <w:t>person who had suffered some “detriment” in the sense in which that word is used in that branch of the law. </w:t>
      </w:r>
      <w:r>
        <w:rPr>
          <w:color w:val="005DA1"/>
          <w:u w:val="single" w:color="005DA1"/>
          <w:vertAlign w:val="superscript"/>
        </w:rPr>
        <w:t>855</w:t>
      </w:r>
      <w:r>
        <w:rPr>
          <w:color w:val="005DA1"/>
          <w:vertAlign w:val="baseline"/>
        </w:rPr>
        <w:t> </w:t>
      </w:r>
      <w:r>
        <w:rPr>
          <w:vertAlign w:val="baseline"/>
        </w:rPr>
        <w:t>Where, as in the </w:t>
      </w:r>
      <w:r>
        <w:rPr>
          <w:rFonts w:ascii="Arial" w:hAnsi="Arial"/>
          <w:i/>
          <w:vertAlign w:val="baseline"/>
        </w:rPr>
        <w:t>High Trees </w:t>
      </w:r>
      <w:r>
        <w:rPr>
          <w:vertAlign w:val="baseline"/>
        </w:rPr>
        <w:t>case, a tenant pays only half the agreed rent he suffers no such </w:t>
      </w:r>
      <w:bookmarkStart w:name="_bookmark1555" w:id="1557"/>
      <w:bookmarkEnd w:id="1557"/>
      <w:r>
        <w:rPr>
          <w:vertAlign w:val="baseline"/>
        </w:rPr>
        <w:t>“detriment”;</w:t>
      </w:r>
      <w:r>
        <w:rPr>
          <w:vertAlign w:val="baseline"/>
        </w:rPr>
        <w:t> and although ingenious attempts have been made to find some other “detriment” in the </w:t>
      </w:r>
      <w:bookmarkStart w:name="_bookmark1556" w:id="1558"/>
      <w:bookmarkEnd w:id="1558"/>
      <w:r>
        <w:rPr>
          <w:vertAlign w:val="baseline"/>
        </w:rPr>
      </w:r>
      <w:r>
        <w:rPr>
          <w:rFonts w:ascii="Arial" w:hAnsi="Arial"/>
          <w:i/>
          <w:vertAlign w:val="baseline"/>
        </w:rPr>
        <w:t>High Trees </w:t>
      </w:r>
      <w:r>
        <w:rPr>
          <w:vertAlign w:val="baseline"/>
        </w:rPr>
        <w:t>case, </w:t>
      </w:r>
      <w:r>
        <w:rPr>
          <w:color w:val="005DA1"/>
          <w:u w:val="single" w:color="005DA1"/>
          <w:vertAlign w:val="superscript"/>
        </w:rPr>
        <w:t>856</w:t>
      </w:r>
      <w:r>
        <w:rPr>
          <w:color w:val="005DA1"/>
          <w:vertAlign w:val="baseline"/>
        </w:rPr>
        <w:t> </w:t>
      </w:r>
      <w:r>
        <w:rPr>
          <w:vertAlign w:val="baseline"/>
        </w:rPr>
        <w:t>the better view is that “detriment” of the kind required for the purpose of estoppel </w:t>
      </w:r>
      <w:bookmarkStart w:name="_bookmark1557" w:id="1559"/>
      <w:bookmarkEnd w:id="1559"/>
      <w:r>
        <w:rPr>
          <w:vertAlign w:val="baseline"/>
        </w:rPr>
        <w:t>by</w:t>
      </w:r>
      <w:r>
        <w:rPr>
          <w:vertAlign w:val="baseline"/>
        </w:rPr>
        <w:t> representation is not an essential requirement of the operation of the equitable principle. </w:t>
      </w:r>
      <w:r>
        <w:rPr>
          <w:color w:val="005DA1"/>
          <w:u w:val="single" w:color="005DA1"/>
          <w:vertAlign w:val="superscript"/>
        </w:rPr>
        <w:t>857</w:t>
      </w:r>
      <w:r>
        <w:rPr>
          <w:color w:val="005DA1"/>
          <w:vertAlign w:val="baseline"/>
        </w:rPr>
        <w:t> </w:t>
      </w:r>
      <w:r>
        <w:rPr>
          <w:vertAlign w:val="baseline"/>
        </w:rPr>
        <w:t>This is the position under the rule in </w:t>
      </w:r>
      <w:r>
        <w:rPr>
          <w:rFonts w:ascii="Arial" w:hAnsi="Arial"/>
          <w:i/>
          <w:vertAlign w:val="baseline"/>
        </w:rPr>
        <w:t>Hughes v Metropolitan Ry </w:t>
      </w:r>
      <w:r>
        <w:rPr>
          <w:color w:val="005DA1"/>
          <w:u w:val="single" w:color="005DA1"/>
          <w:vertAlign w:val="superscript"/>
        </w:rPr>
        <w:t>858</w:t>
      </w:r>
      <w:r>
        <w:rPr>
          <w:color w:val="005DA1"/>
          <w:vertAlign w:val="baseline"/>
        </w:rPr>
        <w:t> </w:t>
      </w:r>
      <w:r>
        <w:rPr>
          <w:vertAlign w:val="baseline"/>
        </w:rPr>
        <w:t>on which the </w:t>
      </w:r>
      <w:r>
        <w:rPr>
          <w:rFonts w:ascii="Arial" w:hAnsi="Arial"/>
          <w:i/>
          <w:vertAlign w:val="baseline"/>
        </w:rPr>
        <w:t>High Trees </w:t>
      </w:r>
      <w:r>
        <w:rPr>
          <w:vertAlign w:val="baseline"/>
        </w:rPr>
        <w:t>case is based; </w:t>
      </w:r>
      <w:bookmarkStart w:name="_bookmark1558" w:id="1560"/>
      <w:bookmarkEnd w:id="1560"/>
      <w:r>
        <w:rPr>
          <w:vertAlign w:val="baseline"/>
        </w:rPr>
        <w:t>and</w:t>
      </w:r>
      <w:r>
        <w:rPr>
          <w:vertAlign w:val="baseline"/>
        </w:rPr>
        <w:t> no such requirement of “detriment” is mentioned by Denning J. in the </w:t>
      </w:r>
      <w:r>
        <w:rPr>
          <w:rFonts w:ascii="Arial" w:hAnsi="Arial"/>
          <w:i/>
          <w:vertAlign w:val="baseline"/>
        </w:rPr>
        <w:t>High Trees </w:t>
      </w:r>
      <w:r>
        <w:rPr>
          <w:vertAlign w:val="baseline"/>
        </w:rPr>
        <w:t>case itself or in his later statements of the principle. </w:t>
      </w:r>
      <w:r>
        <w:rPr>
          <w:color w:val="005DA1"/>
          <w:u w:val="single" w:color="005DA1"/>
          <w:vertAlign w:val="superscript"/>
        </w:rPr>
        <w:t>859</w:t>
      </w:r>
      <w:r>
        <w:rPr>
          <w:color w:val="005DA1"/>
          <w:vertAlign w:val="baseline"/>
        </w:rPr>
        <w:t> </w:t>
      </w:r>
      <w:r>
        <w:rPr>
          <w:vertAlign w:val="baseline"/>
        </w:rPr>
        <w:t>All that is necessary is that the promisee should have acted in </w:t>
      </w:r>
      <w:bookmarkStart w:name="_bookmark1559" w:id="1561"/>
      <w:bookmarkEnd w:id="1561"/>
      <w:r>
        <w:rPr>
          <w:vertAlign w:val="baseline"/>
        </w:rPr>
        <w:t>reliance</w:t>
      </w:r>
      <w:r>
        <w:rPr>
          <w:vertAlign w:val="baseline"/>
        </w:rPr>
        <w:t> on the promise in such a way as to make it inequitable to allow the promisor to act inconsistently with it. </w:t>
      </w:r>
      <w:r>
        <w:rPr>
          <w:color w:val="005DA1"/>
          <w:u w:val="single" w:color="005DA1"/>
          <w:vertAlign w:val="superscript"/>
        </w:rPr>
        <w:t>860</w:t>
      </w:r>
      <w:r>
        <w:rPr>
          <w:color w:val="005DA1"/>
          <w:vertAlign w:val="baseline"/>
        </w:rPr>
        <w:t> </w:t>
      </w:r>
      <w:r>
        <w:rPr>
          <w:vertAlign w:val="baseline"/>
        </w:rPr>
        <w:t>This requirement was satisfied on the facts of the </w:t>
      </w:r>
      <w:r>
        <w:rPr>
          <w:rFonts w:ascii="Arial" w:hAnsi="Arial"/>
          <w:i/>
          <w:vertAlign w:val="baseline"/>
        </w:rPr>
        <w:t>High Trees </w:t>
      </w:r>
      <w:r>
        <w:rPr>
          <w:vertAlign w:val="baseline"/>
        </w:rPr>
        <w:t>case, no less than on those of </w:t>
      </w:r>
      <w:r>
        <w:rPr>
          <w:rFonts w:ascii="Arial" w:hAnsi="Arial"/>
          <w:i/>
          <w:vertAlign w:val="baseline"/>
        </w:rPr>
        <w:t>Hughes v Metropolitan Ry</w:t>
      </w:r>
      <w:r>
        <w:rPr>
          <w:vertAlign w:val="baseline"/>
        </w:rPr>
        <w:t>.</w:t>
      </w:r>
    </w:p>
    <w:p>
      <w:pPr>
        <w:pStyle w:val="BodyText"/>
      </w:pPr>
    </w:p>
    <w:p>
      <w:pPr>
        <w:pStyle w:val="BodyText"/>
        <w:spacing w:before="34"/>
      </w:pPr>
    </w:p>
    <w:p>
      <w:pPr>
        <w:spacing w:before="0"/>
        <w:ind w:left="165" w:right="0" w:firstLine="0"/>
        <w:jc w:val="left"/>
        <w:rPr>
          <w:rFonts w:ascii="Arial"/>
          <w:b/>
          <w:sz w:val="18"/>
        </w:rPr>
      </w:pPr>
      <w:r>
        <w:rPr>
          <w:rFonts w:ascii="Arial"/>
          <w:b/>
          <w:spacing w:val="-2"/>
          <w:sz w:val="18"/>
        </w:rPr>
        <w:t>Inequitable</w:t>
      </w:r>
    </w:p>
    <w:p>
      <w:pPr>
        <w:pStyle w:val="BodyText"/>
        <w:spacing w:before="41"/>
        <w:rPr>
          <w:rFonts w:ascii="Arial"/>
          <w:b/>
          <w:sz w:val="18"/>
        </w:rPr>
      </w:pPr>
    </w:p>
    <w:p>
      <w:pPr>
        <w:pStyle w:val="Heading2"/>
      </w:pPr>
      <w:r>
        <w:rPr/>
        <w:t>4-</w:t>
      </w:r>
      <w:r>
        <w:rPr>
          <w:spacing w:val="-5"/>
        </w:rPr>
        <w:t>138</w:t>
      </w:r>
    </w:p>
    <w:p>
      <w:pPr>
        <w:pStyle w:val="BodyText"/>
        <w:spacing w:line="235" w:lineRule="auto" w:before="203"/>
        <w:ind w:left="165" w:right="167"/>
        <w:jc w:val="both"/>
      </w:pPr>
      <w:r>
        <w:rPr/>
        <w:t>By making the part payment, the debtor acts in reliance on the creditor’s promise, and so makes it prima facie “inequitable” for the creditor peremptorily to go back on his promise. But other </w:t>
      </w:r>
      <w:bookmarkStart w:name="_bookmark1560" w:id="1562"/>
      <w:bookmarkEnd w:id="1562"/>
      <w:r>
        <w:rPr/>
        <w:t>circumstances</w:t>
      </w:r>
      <w:r>
        <w:rPr/>
        <w:t> may lead to the conclusion that it would not be “inequitable” for the creditor to reassert </w:t>
      </w:r>
      <w:bookmarkStart w:name="_bookmark1561" w:id="1563"/>
      <w:bookmarkEnd w:id="1563"/>
      <w:r>
        <w:rPr/>
        <w:t>his</w:t>
      </w:r>
      <w:r>
        <w:rPr/>
        <w:t> claim for the full amount </w:t>
      </w:r>
      <w:r>
        <w:rPr>
          <w:color w:val="005DA1"/>
          <w:u w:val="single" w:color="005DA1"/>
          <w:vertAlign w:val="superscript"/>
        </w:rPr>
        <w:t>861</w:t>
      </w:r>
      <w:r>
        <w:rPr>
          <w:vertAlign w:val="baseline"/>
        </w:rPr>
        <w:t>: this would, for example, be the position where the debtor had failed to perform his promise to pay the smaller amount. </w:t>
      </w:r>
      <w:r>
        <w:rPr>
          <w:color w:val="005DA1"/>
          <w:u w:val="single" w:color="005DA1"/>
          <w:vertAlign w:val="superscript"/>
        </w:rPr>
        <w:t>862</w:t>
      </w:r>
      <w:r>
        <w:rPr>
          <w:color w:val="005DA1"/>
          <w:vertAlign w:val="baseline"/>
        </w:rPr>
        <w:t> </w:t>
      </w:r>
      <w:r>
        <w:rPr>
          <w:vertAlign w:val="baseline"/>
        </w:rPr>
        <w:t>Another such circumstance may be the conduct of </w:t>
      </w:r>
      <w:bookmarkStart w:name="_bookmark1562" w:id="1564"/>
      <w:bookmarkEnd w:id="1564"/>
      <w:r>
        <w:rPr>
          <w:vertAlign w:val="baseline"/>
        </w:rPr>
        <w:t>the</w:t>
      </w:r>
      <w:r>
        <w:rPr>
          <w:vertAlign w:val="baseline"/>
        </w:rPr>
        <w:t> debtor in obtaining the creditor’s promise. This possibility may be illustrated by further reference </w:t>
      </w:r>
      <w:r>
        <w:rPr>
          <w:spacing w:val="-5"/>
          <w:vertAlign w:val="baseline"/>
        </w:rPr>
        <w:t>to</w:t>
      </w:r>
    </w:p>
    <w:p>
      <w:pPr>
        <w:pStyle w:val="BodyText"/>
        <w:spacing w:line="235" w:lineRule="auto"/>
        <w:ind w:left="164" w:right="167"/>
        <w:jc w:val="both"/>
      </w:pPr>
      <w:r>
        <w:rPr>
          <w:rFonts w:ascii="Arial" w:hAnsi="Arial"/>
          <w:i/>
        </w:rPr>
        <w:t>D. &amp; C. Builders Ltd v Rees</w:t>
      </w:r>
      <w:r>
        <w:rPr/>
        <w:t>. </w:t>
      </w:r>
      <w:r>
        <w:rPr>
          <w:color w:val="005DA1"/>
          <w:u w:val="single" w:color="005DA1"/>
          <w:vertAlign w:val="superscript"/>
        </w:rPr>
        <w:t>863</w:t>
      </w:r>
      <w:r>
        <w:rPr>
          <w:color w:val="005DA1"/>
          <w:vertAlign w:val="baseline"/>
        </w:rPr>
        <w:t> </w:t>
      </w:r>
      <w:r>
        <w:rPr>
          <w:vertAlign w:val="baseline"/>
        </w:rPr>
        <w:t>Lord Denning, M.R. there stressed the fact that the builders’ promise to accept £300 in full settlement of their claim for £482 had been obtained by taking undue </w:t>
      </w:r>
      <w:r>
        <w:rPr>
          <w:vertAlign w:val="baseline"/>
        </w:rPr>
        <w:t>advantage of their desperate financial position. In these circumstances it was not “inequitable” for the builders to go back on their promise, so that the </w:t>
      </w:r>
      <w:r>
        <w:rPr>
          <w:rFonts w:ascii="Arial" w:hAnsi="Arial"/>
          <w:i/>
          <w:vertAlign w:val="baseline"/>
        </w:rPr>
        <w:t>High Trees </w:t>
      </w:r>
      <w:r>
        <w:rPr>
          <w:vertAlign w:val="baseline"/>
        </w:rPr>
        <w:t>principle did not apply. The difficulty with this reasoning is that most debtors who offer part payment in full settlement try to exert some kind of </w:t>
      </w:r>
      <w:bookmarkStart w:name="_bookmark1563" w:id="1565"/>
      <w:bookmarkEnd w:id="1565"/>
      <w:r>
        <w:rPr>
          <w:vertAlign w:val="baseline"/>
        </w:rPr>
        <w:t>“pressure”</w:t>
      </w:r>
      <w:r>
        <w:rPr>
          <w:vertAlign w:val="baseline"/>
        </w:rPr>
        <w:t> against their creditors. The law now recognises that it is possible for such “pressure” to </w:t>
      </w:r>
      <w:bookmarkStart w:name="_bookmark1564" w:id="1566"/>
      <w:bookmarkEnd w:id="1566"/>
      <w:r>
        <w:rPr>
          <w:vertAlign w:val="baseline"/>
        </w:rPr>
        <w:t>amount</w:t>
      </w:r>
      <w:r>
        <w:rPr>
          <w:vertAlign w:val="baseline"/>
        </w:rPr>
        <w:t> to duress, </w:t>
      </w:r>
      <w:r>
        <w:rPr>
          <w:color w:val="005DA1"/>
          <w:u w:val="single" w:color="005DA1"/>
          <w:vertAlign w:val="superscript"/>
        </w:rPr>
        <w:t>864</w:t>
      </w:r>
      <w:r>
        <w:rPr>
          <w:color w:val="005DA1"/>
          <w:vertAlign w:val="baseline"/>
        </w:rPr>
        <w:t> </w:t>
      </w:r>
      <w:r>
        <w:rPr>
          <w:vertAlign w:val="baseline"/>
        </w:rPr>
        <w:t>and where it has this effect, a promise obtained as a result of it should clearly not bring the </w:t>
      </w:r>
      <w:r>
        <w:rPr>
          <w:rFonts w:ascii="Arial" w:hAnsi="Arial"/>
          <w:i/>
          <w:vertAlign w:val="baseline"/>
        </w:rPr>
        <w:t>High Trees </w:t>
      </w:r>
      <w:r>
        <w:rPr>
          <w:vertAlign w:val="baseline"/>
        </w:rPr>
        <w:t>principle into operation. </w:t>
      </w:r>
      <w:r>
        <w:rPr>
          <w:color w:val="005DA1"/>
          <w:u w:val="single" w:color="005DA1"/>
          <w:vertAlign w:val="superscript"/>
        </w:rPr>
        <w:t>865</w:t>
      </w:r>
      <w:r>
        <w:rPr>
          <w:color w:val="005DA1"/>
          <w:vertAlign w:val="baseline"/>
        </w:rPr>
        <w:t> </w:t>
      </w:r>
      <w:r>
        <w:rPr>
          <w:vertAlign w:val="baseline"/>
        </w:rPr>
        <w:t>Where, on the other hand, there is no duress, the </w:t>
      </w:r>
      <w:r>
        <w:rPr>
          <w:rFonts w:ascii="Arial" w:hAnsi="Arial"/>
          <w:i/>
          <w:vertAlign w:val="baseline"/>
        </w:rPr>
        <w:t>High Trees </w:t>
      </w:r>
      <w:r>
        <w:rPr>
          <w:vertAlign w:val="baseline"/>
        </w:rPr>
        <w:t>principle should not be excluded merely because it could be said that the promise has </w:t>
      </w:r>
      <w:bookmarkStart w:name="_bookmark1565" w:id="1567"/>
      <w:bookmarkEnd w:id="1567"/>
      <w:r>
        <w:rPr>
          <w:vertAlign w:val="baseline"/>
        </w:rPr>
        <w:t>been</w:t>
      </w:r>
      <w:r>
        <w:rPr>
          <w:vertAlign w:val="baseline"/>
        </w:rPr>
        <w:t> “improperly obtained.” Such an intermediate category between promises obtained by duress</w:t>
      </w:r>
      <w:r>
        <w:rPr>
          <w:spacing w:val="40"/>
          <w:vertAlign w:val="baseline"/>
        </w:rPr>
        <w:t> </w:t>
      </w:r>
      <w:bookmarkStart w:name="_bookmark1566" w:id="1568"/>
      <w:bookmarkEnd w:id="1568"/>
      <w:r>
        <w:rPr>
          <w:vertAlign w:val="baseline"/>
        </w:rPr>
        <w:t>and</w:t>
      </w:r>
      <w:r>
        <w:rPr>
          <w:vertAlign w:val="baseline"/>
        </w:rPr>
        <w:t> those not so obtained should here, as elsewhere, </w:t>
      </w:r>
      <w:r>
        <w:rPr>
          <w:color w:val="005DA1"/>
          <w:u w:val="single" w:color="005DA1"/>
          <w:vertAlign w:val="superscript"/>
        </w:rPr>
        <w:t>866</w:t>
      </w:r>
      <w:r>
        <w:rPr>
          <w:color w:val="005DA1"/>
          <w:vertAlign w:val="baseline"/>
        </w:rPr>
        <w:t> </w:t>
      </w:r>
      <w:r>
        <w:rPr>
          <w:vertAlign w:val="baseline"/>
        </w:rPr>
        <w:t>be rejected as “unhelpful because it would render the law uncertain.” </w:t>
      </w:r>
      <w:r>
        <w:rPr>
          <w:color w:val="005DA1"/>
          <w:u w:val="single" w:color="005DA1"/>
          <w:vertAlign w:val="superscript"/>
        </w:rPr>
        <w:t>867</w:t>
      </w:r>
    </w:p>
    <w:p>
      <w:pPr>
        <w:pStyle w:val="BodyText"/>
      </w:pPr>
    </w:p>
    <w:p>
      <w:pPr>
        <w:pStyle w:val="BodyText"/>
        <w:spacing w:before="33"/>
      </w:pPr>
      <w:r>
        <w:rPr/>
        <mc:AlternateContent>
          <mc:Choice Requires="wps">
            <w:drawing>
              <wp:anchor distT="0" distB="0" distL="0" distR="0" allowOverlap="1" layoutInCell="1" locked="0" behindDoc="1" simplePos="0" relativeHeight="487663104">
                <wp:simplePos x="0" y="0"/>
                <wp:positionH relativeFrom="page">
                  <wp:posOffset>914400</wp:posOffset>
                </wp:positionH>
                <wp:positionV relativeFrom="paragraph">
                  <wp:posOffset>182354</wp:posOffset>
                </wp:positionV>
                <wp:extent cx="5724525" cy="1270"/>
                <wp:effectExtent l="0" t="0" r="0" b="0"/>
                <wp:wrapTopAndBottom/>
                <wp:docPr id="300" name="Graphic 300"/>
                <wp:cNvGraphicFramePr>
                  <a:graphicFrameLocks/>
                </wp:cNvGraphicFramePr>
                <a:graphic>
                  <a:graphicData uri="http://schemas.microsoft.com/office/word/2010/wordprocessingShape">
                    <wps:wsp>
                      <wps:cNvPr id="300" name="Graphic 30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58656pt;width:450.75pt;height:.1pt;mso-position-horizontal-relative:page;mso-position-vertical-relative:paragraph;z-index:-15653376;mso-wrap-distance-left:0;mso-wrap-distance-right:0" id="docshape70" coordorigin="1440,287" coordsize="9015,0" path="m1440,287l10454,287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230272">
                <wp:simplePos x="0" y="0"/>
                <wp:positionH relativeFrom="page">
                  <wp:posOffset>914400</wp:posOffset>
                </wp:positionH>
                <wp:positionV relativeFrom="paragraph">
                  <wp:posOffset>97116</wp:posOffset>
                </wp:positionV>
                <wp:extent cx="49530" cy="127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86208"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spacing w:after="0"/>
        <w:jc w:val="left"/>
        <w:rPr>
          <w:rFonts w:ascii="Arial"/>
          <w:i/>
          <w:sz w:val="20"/>
        </w:rPr>
        <w:sectPr>
          <w:pgSz w:w="11900" w:h="16840"/>
          <w:pgMar w:header="971" w:footer="0" w:top="1160" w:bottom="280" w:left="1275" w:right="1275"/>
        </w:sectPr>
      </w:pPr>
    </w:p>
    <w:p>
      <w:pPr>
        <w:pStyle w:val="BodyText"/>
        <w:spacing w:before="81"/>
        <w:rPr>
          <w:rFonts w:ascii="Arial"/>
          <w:i/>
        </w:rPr>
      </w:pPr>
    </w:p>
    <w:p>
      <w:pPr>
        <w:pStyle w:val="BodyText"/>
        <w:ind w:left="705"/>
      </w:pPr>
      <w:r>
        <w:rPr/>
        <w:t>(2014); Shatwell (1955) 1 Sydney Law Review </w:t>
      </w:r>
      <w:r>
        <w:rPr>
          <w:spacing w:val="-4"/>
        </w:rPr>
        <w:t>289.</w:t>
      </w:r>
    </w:p>
    <w:p>
      <w:pPr>
        <w:pStyle w:val="BodyText"/>
        <w:spacing w:before="5"/>
      </w:pPr>
    </w:p>
    <w:p>
      <w:pPr>
        <w:tabs>
          <w:tab w:pos="705" w:val="left" w:leader="none"/>
        </w:tabs>
        <w:spacing w:before="0"/>
        <w:ind w:left="165" w:right="0" w:firstLine="0"/>
        <w:jc w:val="left"/>
        <w:rPr>
          <w:sz w:val="20"/>
        </w:rPr>
      </w:pPr>
      <w:bookmarkStart w:name="_bookmark1567" w:id="1569"/>
      <w:bookmarkEnd w:id="1569"/>
      <w:r>
        <w:rPr/>
      </w:r>
      <w:hyperlink w:history="true" w:anchor="_bookmark1507">
        <w:r>
          <w:rPr>
            <w:color w:val="005DA1"/>
            <w:spacing w:val="-4"/>
            <w:position w:val="5"/>
            <w:sz w:val="14"/>
            <w:u w:val="single" w:color="005DA1"/>
          </w:rPr>
          <w:t>801</w:t>
        </w:r>
      </w:hyperlink>
      <w:r>
        <w:rPr>
          <w:spacing w:val="-4"/>
          <w:position w:val="5"/>
          <w:sz w:val="14"/>
        </w:rPr>
        <w:t>.</w:t>
      </w:r>
      <w:r>
        <w:rPr>
          <w:position w:val="5"/>
          <w:sz w:val="14"/>
        </w:rPr>
        <w:tab/>
      </w:r>
      <w:r>
        <w:rPr>
          <w:rFonts w:ascii="Arial"/>
          <w:i/>
          <w:sz w:val="20"/>
        </w:rPr>
        <w:t>(1877)</w:t>
      </w:r>
      <w:r>
        <w:rPr>
          <w:rFonts w:ascii="Arial"/>
          <w:i/>
          <w:spacing w:val="-1"/>
          <w:sz w:val="20"/>
        </w:rPr>
        <w:t> </w:t>
      </w:r>
      <w:r>
        <w:rPr>
          <w:rFonts w:ascii="Arial"/>
          <w:i/>
          <w:sz w:val="20"/>
        </w:rPr>
        <w:t>2 App. Cas. 439</w:t>
      </w:r>
      <w:r>
        <w:rPr>
          <w:sz w:val="20"/>
        </w:rPr>
        <w:t>; above, para.4-</w:t>
      </w:r>
      <w:r>
        <w:rPr>
          <w:spacing w:val="-4"/>
          <w:sz w:val="20"/>
        </w:rPr>
        <w:t>086.</w:t>
      </w:r>
    </w:p>
    <w:p>
      <w:pPr>
        <w:pStyle w:val="BodyText"/>
        <w:spacing w:before="9"/>
      </w:pPr>
    </w:p>
    <w:p>
      <w:pPr>
        <w:pStyle w:val="BodyText"/>
        <w:spacing w:line="235" w:lineRule="auto"/>
        <w:ind w:left="705" w:right="167" w:hanging="541"/>
        <w:jc w:val="both"/>
      </w:pPr>
      <w:bookmarkStart w:name="_bookmark1568" w:id="1570"/>
      <w:bookmarkEnd w:id="1570"/>
      <w:r>
        <w:rPr/>
      </w:r>
      <w:hyperlink w:history="true" w:anchor="_bookmark1508">
        <w:r>
          <w:rPr>
            <w:color w:val="005DA1"/>
            <w:position w:val="5"/>
            <w:sz w:val="14"/>
            <w:u w:val="single" w:color="005DA1"/>
          </w:rPr>
          <w:t>802</w:t>
        </w:r>
      </w:hyperlink>
      <w:r>
        <w:rPr>
          <w:position w:val="5"/>
          <w:sz w:val="14"/>
        </w:rPr>
        <w:t>.</w:t>
      </w:r>
      <w:r>
        <w:rPr>
          <w:spacing w:val="80"/>
          <w:position w:val="5"/>
          <w:sz w:val="14"/>
        </w:rPr>
        <w:t>  </w:t>
      </w:r>
      <w:r>
        <w:rPr/>
        <w:t>The</w:t>
      </w:r>
      <w:r>
        <w:rPr>
          <w:spacing w:val="-1"/>
        </w:rPr>
        <w:t> </w:t>
      </w:r>
      <w:r>
        <w:rPr/>
        <w:t>doctrine</w:t>
      </w:r>
      <w:r>
        <w:rPr>
          <w:spacing w:val="-1"/>
        </w:rPr>
        <w:t> </w:t>
      </w:r>
      <w:r>
        <w:rPr/>
        <w:t>had</w:t>
      </w:r>
      <w:r>
        <w:rPr>
          <w:spacing w:val="-1"/>
        </w:rPr>
        <w:t> </w:t>
      </w:r>
      <w:r>
        <w:rPr/>
        <w:t>been</w:t>
      </w:r>
      <w:r>
        <w:rPr>
          <w:spacing w:val="-1"/>
        </w:rPr>
        <w:t> </w:t>
      </w:r>
      <w:r>
        <w:rPr/>
        <w:t>applied</w:t>
      </w:r>
      <w:r>
        <w:rPr>
          <w:spacing w:val="-1"/>
        </w:rPr>
        <w:t> </w:t>
      </w:r>
      <w:r>
        <w:rPr/>
        <w:t>in</w:t>
      </w:r>
      <w:r>
        <w:rPr>
          <w:spacing w:val="-2"/>
        </w:rPr>
        <w:t> </w:t>
      </w:r>
      <w:r>
        <w:rPr>
          <w:rFonts w:ascii="Arial" w:hAnsi="Arial"/>
          <w:i/>
        </w:rPr>
        <w:t>Buttery</w:t>
      </w:r>
      <w:r>
        <w:rPr>
          <w:rFonts w:ascii="Arial" w:hAnsi="Arial"/>
          <w:i/>
          <w:spacing w:val="-1"/>
        </w:rPr>
        <w:t> </w:t>
      </w:r>
      <w:r>
        <w:rPr>
          <w:rFonts w:ascii="Arial" w:hAnsi="Arial"/>
          <w:i/>
        </w:rPr>
        <w:t>v</w:t>
      </w:r>
      <w:r>
        <w:rPr>
          <w:rFonts w:ascii="Arial" w:hAnsi="Arial"/>
          <w:i/>
          <w:spacing w:val="-1"/>
        </w:rPr>
        <w:t> </w:t>
      </w:r>
      <w:r>
        <w:rPr>
          <w:rFonts w:ascii="Arial" w:hAnsi="Arial"/>
          <w:i/>
        </w:rPr>
        <w:t>Pickard</w:t>
      </w:r>
      <w:r>
        <w:rPr>
          <w:rFonts w:ascii="Arial" w:hAnsi="Arial"/>
          <w:i/>
          <w:spacing w:val="-1"/>
        </w:rPr>
        <w:t> </w:t>
      </w:r>
      <w:r>
        <w:rPr>
          <w:rFonts w:ascii="Arial" w:hAnsi="Arial"/>
          <w:i/>
        </w:rPr>
        <w:t>(1946)</w:t>
      </w:r>
      <w:r>
        <w:rPr>
          <w:rFonts w:ascii="Arial" w:hAnsi="Arial"/>
          <w:i/>
          <w:spacing w:val="-1"/>
        </w:rPr>
        <w:t> </w:t>
      </w:r>
      <w:r>
        <w:rPr>
          <w:rFonts w:ascii="Arial" w:hAnsi="Arial"/>
          <w:i/>
        </w:rPr>
        <w:t>62</w:t>
      </w:r>
      <w:r>
        <w:rPr>
          <w:rFonts w:ascii="Arial" w:hAnsi="Arial"/>
          <w:i/>
          <w:spacing w:val="-1"/>
        </w:rPr>
        <w:t> </w:t>
      </w:r>
      <w:r>
        <w:rPr>
          <w:rFonts w:ascii="Arial" w:hAnsi="Arial"/>
          <w:i/>
        </w:rPr>
        <w:t>T.L.R.</w:t>
      </w:r>
      <w:r>
        <w:rPr>
          <w:rFonts w:ascii="Arial" w:hAnsi="Arial"/>
          <w:i/>
          <w:spacing w:val="-1"/>
        </w:rPr>
        <w:t> </w:t>
      </w:r>
      <w:r>
        <w:rPr>
          <w:rFonts w:ascii="Arial" w:hAnsi="Arial"/>
          <w:i/>
        </w:rPr>
        <w:t>241</w:t>
      </w:r>
      <w:r>
        <w:rPr>
          <w:rFonts w:ascii="Arial" w:hAnsi="Arial"/>
          <w:i/>
          <w:spacing w:val="-1"/>
        </w:rPr>
        <w:t> </w:t>
      </w:r>
      <w:r>
        <w:rPr/>
        <w:t>to</w:t>
      </w:r>
      <w:r>
        <w:rPr>
          <w:spacing w:val="-1"/>
        </w:rPr>
        <w:t> </w:t>
      </w:r>
      <w:r>
        <w:rPr/>
        <w:t>a</w:t>
      </w:r>
      <w:r>
        <w:rPr>
          <w:spacing w:val="-1"/>
        </w:rPr>
        <w:t> </w:t>
      </w:r>
      <w:r>
        <w:rPr/>
        <w:t>landlord’s</w:t>
      </w:r>
      <w:r>
        <w:rPr>
          <w:spacing w:val="-1"/>
        </w:rPr>
        <w:t> </w:t>
      </w:r>
      <w:r>
        <w:rPr/>
        <w:t>promise to accept payment of part of the rent in full settlement, but in that case consideration did move from</w:t>
      </w:r>
      <w:r>
        <w:rPr>
          <w:spacing w:val="-3"/>
        </w:rPr>
        <w:t> </w:t>
      </w:r>
      <w:r>
        <w:rPr/>
        <w:t>the</w:t>
      </w:r>
      <w:r>
        <w:rPr>
          <w:spacing w:val="-3"/>
        </w:rPr>
        <w:t> </w:t>
      </w:r>
      <w:r>
        <w:rPr/>
        <w:t>tenant</w:t>
      </w:r>
      <w:r>
        <w:rPr>
          <w:spacing w:val="-3"/>
        </w:rPr>
        <w:t> </w:t>
      </w:r>
      <w:r>
        <w:rPr/>
        <w:t>in</w:t>
      </w:r>
      <w:r>
        <w:rPr>
          <w:spacing w:val="-3"/>
        </w:rPr>
        <w:t> </w:t>
      </w:r>
      <w:r>
        <w:rPr/>
        <w:t>the</w:t>
      </w:r>
      <w:r>
        <w:rPr>
          <w:spacing w:val="-3"/>
        </w:rPr>
        <w:t> </w:t>
      </w:r>
      <w:r>
        <w:rPr/>
        <w:t>shape</w:t>
      </w:r>
      <w:r>
        <w:rPr>
          <w:spacing w:val="-3"/>
        </w:rPr>
        <w:t> </w:t>
      </w:r>
      <w:r>
        <w:rPr/>
        <w:t>of</w:t>
      </w:r>
      <w:r>
        <w:rPr>
          <w:spacing w:val="-3"/>
        </w:rPr>
        <w:t> </w:t>
      </w:r>
      <w:r>
        <w:rPr/>
        <w:t>her</w:t>
      </w:r>
      <w:r>
        <w:rPr>
          <w:spacing w:val="-3"/>
        </w:rPr>
        <w:t> </w:t>
      </w:r>
      <w:r>
        <w:rPr/>
        <w:t>forbearance</w:t>
      </w:r>
      <w:r>
        <w:rPr>
          <w:spacing w:val="-3"/>
        </w:rPr>
        <w:t> </w:t>
      </w:r>
      <w:r>
        <w:rPr/>
        <w:t>to</w:t>
      </w:r>
      <w:r>
        <w:rPr>
          <w:spacing w:val="-3"/>
        </w:rPr>
        <w:t> </w:t>
      </w:r>
      <w:r>
        <w:rPr/>
        <w:t>exercise</w:t>
      </w:r>
      <w:r>
        <w:rPr>
          <w:spacing w:val="-3"/>
        </w:rPr>
        <w:t> </w:t>
      </w:r>
      <w:r>
        <w:rPr/>
        <w:t>her</w:t>
      </w:r>
      <w:r>
        <w:rPr>
          <w:spacing w:val="-3"/>
        </w:rPr>
        <w:t> </w:t>
      </w:r>
      <w:r>
        <w:rPr/>
        <w:t>contractual</w:t>
      </w:r>
      <w:r>
        <w:rPr>
          <w:spacing w:val="-3"/>
        </w:rPr>
        <w:t> </w:t>
      </w:r>
      <w:r>
        <w:rPr/>
        <w:t>right</w:t>
      </w:r>
      <w:r>
        <w:rPr>
          <w:spacing w:val="-3"/>
        </w:rPr>
        <w:t> </w:t>
      </w:r>
      <w:r>
        <w:rPr/>
        <w:t>to</w:t>
      </w:r>
      <w:r>
        <w:rPr>
          <w:spacing w:val="-3"/>
        </w:rPr>
        <w:t> </w:t>
      </w:r>
      <w:r>
        <w:rPr/>
        <w:t>terminate</w:t>
      </w:r>
      <w:r>
        <w:rPr>
          <w:spacing w:val="-3"/>
        </w:rPr>
        <w:t> </w:t>
      </w:r>
      <w:r>
        <w:rPr/>
        <w:t>the lease (though this was not the ratio decidendi to the case).</w:t>
      </w:r>
    </w:p>
    <w:p>
      <w:pPr>
        <w:pStyle w:val="BodyText"/>
        <w:spacing w:before="4"/>
      </w:pPr>
    </w:p>
    <w:p>
      <w:pPr>
        <w:tabs>
          <w:tab w:pos="705" w:val="left" w:leader="none"/>
        </w:tabs>
        <w:spacing w:before="1"/>
        <w:ind w:left="165" w:right="0" w:firstLine="0"/>
        <w:jc w:val="left"/>
        <w:rPr>
          <w:sz w:val="20"/>
        </w:rPr>
      </w:pPr>
      <w:bookmarkStart w:name="_bookmark1569" w:id="1571"/>
      <w:bookmarkEnd w:id="1571"/>
      <w:r>
        <w:rPr/>
      </w:r>
      <w:hyperlink w:history="true" w:anchor="_bookmark1508">
        <w:r>
          <w:rPr>
            <w:color w:val="005DA1"/>
            <w:spacing w:val="-4"/>
            <w:position w:val="5"/>
            <w:sz w:val="14"/>
            <w:u w:val="single" w:color="005DA1"/>
          </w:rPr>
          <w:t>803</w:t>
        </w:r>
      </w:hyperlink>
      <w:r>
        <w:rPr>
          <w:spacing w:val="-4"/>
          <w:position w:val="5"/>
          <w:sz w:val="14"/>
        </w:rPr>
        <w:t>.</w:t>
      </w:r>
      <w:r>
        <w:rPr>
          <w:position w:val="5"/>
          <w:sz w:val="14"/>
        </w:rPr>
        <w:tab/>
      </w:r>
      <w:r>
        <w:rPr>
          <w:rFonts w:ascii="Arial"/>
          <w:i/>
          <w:sz w:val="20"/>
        </w:rPr>
        <w:t>(1884)</w:t>
      </w:r>
      <w:r>
        <w:rPr>
          <w:rFonts w:ascii="Arial"/>
          <w:i/>
          <w:spacing w:val="-1"/>
          <w:sz w:val="20"/>
        </w:rPr>
        <w:t> </w:t>
      </w:r>
      <w:r>
        <w:rPr>
          <w:rFonts w:ascii="Arial"/>
          <w:i/>
          <w:sz w:val="20"/>
        </w:rPr>
        <w:t>9 App. Cas. 605</w:t>
      </w:r>
      <w:r>
        <w:rPr>
          <w:sz w:val="20"/>
        </w:rPr>
        <w:t>, above, para.4-</w:t>
      </w:r>
      <w:r>
        <w:rPr>
          <w:spacing w:val="-4"/>
          <w:sz w:val="20"/>
        </w:rPr>
        <w:t>117.</w:t>
      </w:r>
    </w:p>
    <w:p>
      <w:pPr>
        <w:pStyle w:val="BodyText"/>
        <w:spacing w:before="4"/>
      </w:pPr>
    </w:p>
    <w:p>
      <w:pPr>
        <w:tabs>
          <w:tab w:pos="540" w:val="left" w:leader="none"/>
        </w:tabs>
        <w:spacing w:line="227" w:lineRule="exact" w:before="1"/>
        <w:ind w:left="0" w:right="167" w:firstLine="0"/>
        <w:jc w:val="right"/>
        <w:rPr>
          <w:sz w:val="20"/>
        </w:rPr>
      </w:pPr>
      <w:bookmarkStart w:name="_bookmark1570" w:id="1572"/>
      <w:bookmarkEnd w:id="1572"/>
      <w:r>
        <w:rPr/>
      </w:r>
      <w:hyperlink w:history="true" w:anchor="_bookmark1509">
        <w:r>
          <w:rPr>
            <w:color w:val="005DA1"/>
            <w:spacing w:val="-4"/>
            <w:position w:val="5"/>
            <w:sz w:val="14"/>
            <w:u w:val="single" w:color="005DA1"/>
          </w:rPr>
          <w:t>804</w:t>
        </w:r>
      </w:hyperlink>
      <w:r>
        <w:rPr>
          <w:spacing w:val="-4"/>
          <w:position w:val="5"/>
          <w:sz w:val="14"/>
        </w:rPr>
        <w:t>.</w:t>
      </w:r>
      <w:r>
        <w:rPr>
          <w:position w:val="5"/>
          <w:sz w:val="14"/>
        </w:rPr>
        <w:tab/>
      </w:r>
      <w:r>
        <w:rPr>
          <w:rFonts w:ascii="Arial"/>
          <w:i/>
          <w:sz w:val="20"/>
        </w:rPr>
        <w:t>[1947]</w:t>
      </w:r>
      <w:r>
        <w:rPr>
          <w:rFonts w:ascii="Arial"/>
          <w:i/>
          <w:spacing w:val="2"/>
          <w:sz w:val="20"/>
        </w:rPr>
        <w:t> </w:t>
      </w:r>
      <w:r>
        <w:rPr>
          <w:rFonts w:ascii="Arial"/>
          <w:i/>
          <w:sz w:val="20"/>
        </w:rPr>
        <w:t>K.B.</w:t>
      </w:r>
      <w:r>
        <w:rPr>
          <w:rFonts w:ascii="Arial"/>
          <w:i/>
          <w:spacing w:val="3"/>
          <w:sz w:val="20"/>
        </w:rPr>
        <w:t> </w:t>
      </w:r>
      <w:r>
        <w:rPr>
          <w:rFonts w:ascii="Arial"/>
          <w:i/>
          <w:sz w:val="20"/>
        </w:rPr>
        <w:t>130</w:t>
      </w:r>
      <w:r>
        <w:rPr>
          <w:sz w:val="20"/>
        </w:rPr>
        <w:t>;</w:t>
      </w:r>
      <w:r>
        <w:rPr>
          <w:spacing w:val="3"/>
          <w:sz w:val="20"/>
        </w:rPr>
        <w:t> </w:t>
      </w:r>
      <w:r>
        <w:rPr>
          <w:sz w:val="20"/>
        </w:rPr>
        <w:t>Denning</w:t>
      </w:r>
      <w:r>
        <w:rPr>
          <w:spacing w:val="3"/>
          <w:sz w:val="20"/>
        </w:rPr>
        <w:t> </w:t>
      </w:r>
      <w:r>
        <w:rPr>
          <w:sz w:val="20"/>
        </w:rPr>
        <w:t>(1952)</w:t>
      </w:r>
      <w:r>
        <w:rPr>
          <w:spacing w:val="3"/>
          <w:sz w:val="20"/>
        </w:rPr>
        <w:t> </w:t>
      </w:r>
      <w:r>
        <w:rPr>
          <w:sz w:val="20"/>
        </w:rPr>
        <w:t>15</w:t>
      </w:r>
      <w:r>
        <w:rPr>
          <w:spacing w:val="3"/>
          <w:sz w:val="20"/>
        </w:rPr>
        <w:t> </w:t>
      </w:r>
      <w:r>
        <w:rPr>
          <w:sz w:val="20"/>
        </w:rPr>
        <w:t>M.L.R.</w:t>
      </w:r>
      <w:r>
        <w:rPr>
          <w:spacing w:val="3"/>
          <w:sz w:val="20"/>
        </w:rPr>
        <w:t> </w:t>
      </w:r>
      <w:r>
        <w:rPr>
          <w:sz w:val="20"/>
        </w:rPr>
        <w:t>1;</w:t>
      </w:r>
      <w:r>
        <w:rPr>
          <w:spacing w:val="3"/>
          <w:sz w:val="20"/>
        </w:rPr>
        <w:t> </w:t>
      </w:r>
      <w:r>
        <w:rPr>
          <w:sz w:val="20"/>
        </w:rPr>
        <w:t>Wilson</w:t>
      </w:r>
      <w:r>
        <w:rPr>
          <w:spacing w:val="3"/>
          <w:sz w:val="20"/>
        </w:rPr>
        <w:t> </w:t>
      </w:r>
      <w:r>
        <w:rPr>
          <w:sz w:val="20"/>
        </w:rPr>
        <w:t>(1951)</w:t>
      </w:r>
      <w:r>
        <w:rPr>
          <w:spacing w:val="3"/>
          <w:sz w:val="20"/>
        </w:rPr>
        <w:t> </w:t>
      </w:r>
      <w:r>
        <w:rPr>
          <w:sz w:val="20"/>
        </w:rPr>
        <w:t>67</w:t>
      </w:r>
      <w:r>
        <w:rPr>
          <w:spacing w:val="3"/>
          <w:sz w:val="20"/>
        </w:rPr>
        <w:t> </w:t>
      </w:r>
      <w:r>
        <w:rPr>
          <w:sz w:val="20"/>
        </w:rPr>
        <w:t>L.Q.R.</w:t>
      </w:r>
      <w:r>
        <w:rPr>
          <w:spacing w:val="3"/>
          <w:sz w:val="20"/>
        </w:rPr>
        <w:t> </w:t>
      </w:r>
      <w:r>
        <w:rPr>
          <w:sz w:val="20"/>
        </w:rPr>
        <w:t>330;</w:t>
      </w:r>
      <w:r>
        <w:rPr>
          <w:spacing w:val="3"/>
          <w:sz w:val="20"/>
        </w:rPr>
        <w:t> </w:t>
      </w:r>
      <w:r>
        <w:rPr>
          <w:sz w:val="20"/>
        </w:rPr>
        <w:t>Sheridan</w:t>
      </w:r>
      <w:r>
        <w:rPr>
          <w:spacing w:val="3"/>
          <w:sz w:val="20"/>
        </w:rPr>
        <w:t> </w:t>
      </w:r>
      <w:r>
        <w:rPr>
          <w:sz w:val="20"/>
        </w:rPr>
        <w:t>(1952)</w:t>
      </w:r>
      <w:r>
        <w:rPr>
          <w:spacing w:val="3"/>
          <w:sz w:val="20"/>
        </w:rPr>
        <w:t> </w:t>
      </w:r>
      <w:r>
        <w:rPr>
          <w:spacing w:val="-5"/>
          <w:sz w:val="20"/>
        </w:rPr>
        <w:t>15</w:t>
      </w:r>
    </w:p>
    <w:p>
      <w:pPr>
        <w:pStyle w:val="BodyText"/>
        <w:spacing w:line="225" w:lineRule="exact"/>
        <w:ind w:right="167"/>
        <w:jc w:val="right"/>
      </w:pPr>
      <w:r>
        <w:rPr/>
        <w:t>M.L.R.</w:t>
      </w:r>
      <w:r>
        <w:rPr>
          <w:spacing w:val="48"/>
        </w:rPr>
        <w:t> </w:t>
      </w:r>
      <w:r>
        <w:rPr/>
        <w:t>325;</w:t>
      </w:r>
      <w:r>
        <w:rPr>
          <w:spacing w:val="48"/>
        </w:rPr>
        <w:t> </w:t>
      </w:r>
      <w:r>
        <w:rPr/>
        <w:t>Bennion</w:t>
      </w:r>
      <w:r>
        <w:rPr>
          <w:spacing w:val="48"/>
        </w:rPr>
        <w:t> </w:t>
      </w:r>
      <w:r>
        <w:rPr/>
        <w:t>(1953)</w:t>
      </w:r>
      <w:r>
        <w:rPr>
          <w:spacing w:val="48"/>
        </w:rPr>
        <w:t> </w:t>
      </w:r>
      <w:r>
        <w:rPr/>
        <w:t>16</w:t>
      </w:r>
      <w:r>
        <w:rPr>
          <w:spacing w:val="48"/>
        </w:rPr>
        <w:t> </w:t>
      </w:r>
      <w:r>
        <w:rPr/>
        <w:t>M.L.R.</w:t>
      </w:r>
      <w:r>
        <w:rPr>
          <w:spacing w:val="48"/>
        </w:rPr>
        <w:t> </w:t>
      </w:r>
      <w:r>
        <w:rPr/>
        <w:t>441;</w:t>
      </w:r>
      <w:r>
        <w:rPr>
          <w:spacing w:val="48"/>
        </w:rPr>
        <w:t> </w:t>
      </w:r>
      <w:r>
        <w:rPr/>
        <w:t>Guest</w:t>
      </w:r>
      <w:r>
        <w:rPr>
          <w:spacing w:val="48"/>
        </w:rPr>
        <w:t> </w:t>
      </w:r>
      <w:r>
        <w:rPr/>
        <w:t>(1955)</w:t>
      </w:r>
      <w:r>
        <w:rPr>
          <w:spacing w:val="48"/>
        </w:rPr>
        <w:t> </w:t>
      </w:r>
      <w:r>
        <w:rPr/>
        <w:t>30</w:t>
      </w:r>
      <w:r>
        <w:rPr>
          <w:spacing w:val="48"/>
        </w:rPr>
        <w:t> </w:t>
      </w:r>
      <w:r>
        <w:rPr/>
        <w:t>A.L.J.</w:t>
      </w:r>
      <w:r>
        <w:rPr>
          <w:spacing w:val="48"/>
        </w:rPr>
        <w:t> </w:t>
      </w:r>
      <w:r>
        <w:rPr/>
        <w:t>187;</w:t>
      </w:r>
      <w:r>
        <w:rPr>
          <w:spacing w:val="48"/>
        </w:rPr>
        <w:t> </w:t>
      </w:r>
      <w:r>
        <w:rPr/>
        <w:t>Turner</w:t>
      </w:r>
      <w:r>
        <w:rPr>
          <w:spacing w:val="48"/>
        </w:rPr>
        <w:t> </w:t>
      </w:r>
      <w:r>
        <w:rPr/>
        <w:t>(1964)</w:t>
      </w:r>
      <w:r>
        <w:rPr>
          <w:spacing w:val="48"/>
        </w:rPr>
        <w:t> </w:t>
      </w:r>
      <w:r>
        <w:rPr>
          <w:spacing w:val="-10"/>
        </w:rPr>
        <w:t>1</w:t>
      </w:r>
    </w:p>
    <w:p>
      <w:pPr>
        <w:pStyle w:val="BodyText"/>
        <w:spacing w:line="227" w:lineRule="exact"/>
        <w:ind w:left="705"/>
      </w:pPr>
      <w:r>
        <w:rPr/>
        <w:t>N.Z.U.L.Rev. 185; Campbell, ibid. </w:t>
      </w:r>
      <w:r>
        <w:rPr>
          <w:spacing w:val="-4"/>
        </w:rPr>
        <w:t>232.</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4928">
            <wp:simplePos x="0" y="0"/>
            <wp:positionH relativeFrom="page">
              <wp:posOffset>1257846</wp:posOffset>
            </wp:positionH>
            <wp:positionV relativeFrom="paragraph">
              <wp:posOffset>160577</wp:posOffset>
            </wp:positionV>
            <wp:extent cx="107988" cy="107988"/>
            <wp:effectExtent l="0" t="0" r="0" b="0"/>
            <wp:wrapNone/>
            <wp:docPr id="302" name="Image 302"/>
            <wp:cNvGraphicFramePr>
              <a:graphicFrameLocks/>
            </wp:cNvGraphicFramePr>
            <a:graphic>
              <a:graphicData uri="http://schemas.openxmlformats.org/drawingml/2006/picture">
                <pic:pic>
                  <pic:nvPicPr>
                    <pic:cNvPr id="302" name="Image 30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571" w:id="1573"/>
      <w:bookmarkEnd w:id="1573"/>
      <w:r>
        <w:rPr/>
      </w:r>
      <w:hyperlink w:history="true" w:anchor="_bookmark1510">
        <w:r>
          <w:rPr>
            <w:color w:val="005DA1"/>
            <w:spacing w:val="-4"/>
            <w:sz w:val="14"/>
            <w:u w:val="single" w:color="005DA1"/>
          </w:rPr>
          <w:t>805</w:t>
        </w:r>
      </w:hyperlink>
      <w:r>
        <w:rPr>
          <w:spacing w:val="-4"/>
          <w:sz w:val="14"/>
        </w:rPr>
        <w:t>.</w:t>
      </w:r>
    </w:p>
    <w:p>
      <w:pPr>
        <w:pStyle w:val="BodyText"/>
        <w:spacing w:line="235" w:lineRule="auto" w:before="212"/>
        <w:ind w:left="165" w:right="167" w:firstLine="170"/>
        <w:jc w:val="both"/>
      </w:pPr>
      <w:r>
        <w:rPr/>
        <w:br w:type="column"/>
      </w:r>
      <w:r>
        <w:rPr/>
        <w:t>For similar reasoning, see </w:t>
      </w:r>
      <w:r>
        <w:rPr>
          <w:rFonts w:ascii="Arial" w:hAnsi="Arial"/>
          <w:i/>
        </w:rPr>
        <w:t>Dunbar Assets plc v Butler [2015] EWHC 2546 (Ch) </w:t>
      </w:r>
      <w:r>
        <w:rPr/>
        <w:t>where the issue was not one of part payment of a debt, but was one of the postponement of a liability. In that case A had lent money to two companies, in the management of which a “prominent </w:t>
      </w:r>
      <w:r>
        <w:rPr/>
        <w:t>part” (at [2]) was played by B for whom and whose family most of the shares in the companies were held in trust and who, without charging any fees, managed development properties owned by the companies (at [11]). B had guaranteed debts of the companies, and in an action to enforce these guarantees, B relied on the defence of promissory estoppel; such an estoppel was</w:t>
      </w:r>
      <w:r>
        <w:rPr>
          <w:spacing w:val="40"/>
        </w:rPr>
        <w:t> </w:t>
      </w:r>
      <w:r>
        <w:rPr/>
        <w:t>alleged to have arisen from a representation or promise by A that any such enforcement would be “postponed indefinitely” for so long as B continued with his (unpaid) work for the companies (at</w:t>
      </w:r>
      <w:r>
        <w:rPr>
          <w:spacing w:val="-1"/>
        </w:rPr>
        <w:t> </w:t>
      </w:r>
      <w:r>
        <w:rPr/>
        <w:t>[18]).</w:t>
      </w:r>
      <w:r>
        <w:rPr>
          <w:spacing w:val="-1"/>
        </w:rPr>
        <w:t> </w:t>
      </w:r>
      <w:r>
        <w:rPr/>
        <w:t>B’s</w:t>
      </w:r>
      <w:r>
        <w:rPr>
          <w:spacing w:val="-1"/>
        </w:rPr>
        <w:t> </w:t>
      </w:r>
      <w:r>
        <w:rPr/>
        <w:t>defence</w:t>
      </w:r>
      <w:r>
        <w:rPr>
          <w:spacing w:val="-1"/>
        </w:rPr>
        <w:t> </w:t>
      </w:r>
      <w:r>
        <w:rPr/>
        <w:t>of</w:t>
      </w:r>
      <w:r>
        <w:rPr>
          <w:spacing w:val="-1"/>
        </w:rPr>
        <w:t> </w:t>
      </w:r>
      <w:r>
        <w:rPr/>
        <w:t>promissory</w:t>
      </w:r>
      <w:r>
        <w:rPr>
          <w:spacing w:val="-1"/>
        </w:rPr>
        <w:t> </w:t>
      </w:r>
      <w:r>
        <w:rPr/>
        <w:t>estoppel</w:t>
      </w:r>
      <w:r>
        <w:rPr>
          <w:spacing w:val="-1"/>
        </w:rPr>
        <w:t> </w:t>
      </w:r>
      <w:r>
        <w:rPr/>
        <w:t>was</w:t>
      </w:r>
      <w:r>
        <w:rPr>
          <w:spacing w:val="-1"/>
        </w:rPr>
        <w:t> </w:t>
      </w:r>
      <w:r>
        <w:rPr/>
        <w:t>rejected</w:t>
      </w:r>
      <w:r>
        <w:rPr>
          <w:spacing w:val="-1"/>
        </w:rPr>
        <w:t> </w:t>
      </w:r>
      <w:r>
        <w:rPr/>
        <w:t>on</w:t>
      </w:r>
      <w:r>
        <w:rPr>
          <w:spacing w:val="-1"/>
        </w:rPr>
        <w:t> </w:t>
      </w:r>
      <w:r>
        <w:rPr/>
        <w:t>the</w:t>
      </w:r>
      <w:r>
        <w:rPr>
          <w:spacing w:val="-1"/>
        </w:rPr>
        <w:t> </w:t>
      </w:r>
      <w:r>
        <w:rPr/>
        <w:t>ground</w:t>
      </w:r>
      <w:r>
        <w:rPr>
          <w:spacing w:val="-1"/>
        </w:rPr>
        <w:t> </w:t>
      </w:r>
      <w:r>
        <w:rPr/>
        <w:t>that</w:t>
      </w:r>
      <w:r>
        <w:rPr>
          <w:spacing w:val="-1"/>
        </w:rPr>
        <w:t> </w:t>
      </w:r>
      <w:r>
        <w:rPr/>
        <w:t>A’s</w:t>
      </w:r>
      <w:r>
        <w:rPr>
          <w:spacing w:val="-1"/>
        </w:rPr>
        <w:t> </w:t>
      </w:r>
      <w:r>
        <w:rPr/>
        <w:t>statement</w:t>
      </w:r>
      <w:r>
        <w:rPr>
          <w:spacing w:val="-1"/>
        </w:rPr>
        <w:t> </w:t>
      </w:r>
      <w:r>
        <w:rPr/>
        <w:t>was intended</w:t>
      </w:r>
      <w:r>
        <w:rPr>
          <w:spacing w:val="-1"/>
        </w:rPr>
        <w:t> </w:t>
      </w:r>
      <w:r>
        <w:rPr/>
        <w:t>to</w:t>
      </w:r>
      <w:r>
        <w:rPr>
          <w:spacing w:val="-1"/>
        </w:rPr>
        <w:t> </w:t>
      </w:r>
      <w:r>
        <w:rPr/>
        <w:t>affect</w:t>
      </w:r>
      <w:r>
        <w:rPr>
          <w:spacing w:val="-1"/>
        </w:rPr>
        <w:t> </w:t>
      </w:r>
      <w:r>
        <w:rPr/>
        <w:t>the</w:t>
      </w:r>
      <w:r>
        <w:rPr>
          <w:spacing w:val="-1"/>
        </w:rPr>
        <w:t> </w:t>
      </w:r>
      <w:r>
        <w:rPr/>
        <w:t>rights</w:t>
      </w:r>
      <w:r>
        <w:rPr>
          <w:spacing w:val="-1"/>
        </w:rPr>
        <w:t> </w:t>
      </w:r>
      <w:r>
        <w:rPr/>
        <w:t>of</w:t>
      </w:r>
      <w:r>
        <w:rPr>
          <w:spacing w:val="-1"/>
        </w:rPr>
        <w:t> </w:t>
      </w:r>
      <w:r>
        <w:rPr/>
        <w:t>the</w:t>
      </w:r>
      <w:r>
        <w:rPr>
          <w:spacing w:val="-1"/>
        </w:rPr>
        <w:t> </w:t>
      </w:r>
      <w:r>
        <w:rPr/>
        <w:t>parties</w:t>
      </w:r>
      <w:r>
        <w:rPr>
          <w:spacing w:val="-1"/>
        </w:rPr>
        <w:t> </w:t>
      </w:r>
      <w:r>
        <w:rPr/>
        <w:t>“only</w:t>
      </w:r>
      <w:r>
        <w:rPr>
          <w:spacing w:val="-1"/>
        </w:rPr>
        <w:t> </w:t>
      </w:r>
      <w:r>
        <w:rPr/>
        <w:t>for</w:t>
      </w:r>
      <w:r>
        <w:rPr>
          <w:spacing w:val="-1"/>
        </w:rPr>
        <w:t> </w:t>
      </w:r>
      <w:r>
        <w:rPr/>
        <w:t>the</w:t>
      </w:r>
      <w:r>
        <w:rPr>
          <w:spacing w:val="-1"/>
        </w:rPr>
        <w:t> </w:t>
      </w:r>
      <w:r>
        <w:rPr/>
        <w:t>intended</w:t>
      </w:r>
      <w:r>
        <w:rPr>
          <w:spacing w:val="-1"/>
        </w:rPr>
        <w:t> </w:t>
      </w:r>
      <w:r>
        <w:rPr/>
        <w:t>duration</w:t>
      </w:r>
      <w:r>
        <w:rPr>
          <w:spacing w:val="-1"/>
        </w:rPr>
        <w:t> </w:t>
      </w:r>
      <w:r>
        <w:rPr/>
        <w:t>of</w:t>
      </w:r>
      <w:r>
        <w:rPr>
          <w:spacing w:val="-1"/>
        </w:rPr>
        <w:t> </w:t>
      </w:r>
      <w:r>
        <w:rPr/>
        <w:t>the</w:t>
      </w:r>
      <w:r>
        <w:rPr>
          <w:spacing w:val="-1"/>
        </w:rPr>
        <w:t> </w:t>
      </w:r>
      <w:r>
        <w:rPr/>
        <w:t>arrangement”</w:t>
      </w:r>
      <w:r>
        <w:rPr>
          <w:spacing w:val="-1"/>
        </w:rPr>
        <w:t> </w:t>
      </w:r>
      <w:r>
        <w:rPr/>
        <w:t>(at [49]), i.e. for so long as B continued to provide the (unpaid) management work “with the concurrence of” A (ibid.). It no longer applied after A had made it clear that B’s work was no longer</w:t>
      </w:r>
      <w:r>
        <w:rPr>
          <w:spacing w:val="-1"/>
        </w:rPr>
        <w:t> </w:t>
      </w:r>
      <w:r>
        <w:rPr/>
        <w:t>required;</w:t>
      </w:r>
      <w:r>
        <w:rPr>
          <w:spacing w:val="-1"/>
        </w:rPr>
        <w:t> </w:t>
      </w:r>
      <w:r>
        <w:rPr/>
        <w:t>and,</w:t>
      </w:r>
      <w:r>
        <w:rPr>
          <w:spacing w:val="-1"/>
        </w:rPr>
        <w:t> </w:t>
      </w:r>
      <w:r>
        <w:rPr/>
        <w:t>once</w:t>
      </w:r>
      <w:r>
        <w:rPr>
          <w:spacing w:val="-1"/>
        </w:rPr>
        <w:t> </w:t>
      </w:r>
      <w:r>
        <w:rPr/>
        <w:t>B</w:t>
      </w:r>
      <w:r>
        <w:rPr>
          <w:spacing w:val="-1"/>
        </w:rPr>
        <w:t> </w:t>
      </w:r>
      <w:r>
        <w:rPr/>
        <w:t>had</w:t>
      </w:r>
      <w:r>
        <w:rPr>
          <w:spacing w:val="-1"/>
        </w:rPr>
        <w:t> </w:t>
      </w:r>
      <w:r>
        <w:rPr/>
        <w:t>ceased</w:t>
      </w:r>
      <w:r>
        <w:rPr>
          <w:spacing w:val="-1"/>
        </w:rPr>
        <w:t> </w:t>
      </w:r>
      <w:r>
        <w:rPr/>
        <w:t>to</w:t>
      </w:r>
      <w:r>
        <w:rPr>
          <w:spacing w:val="-1"/>
        </w:rPr>
        <w:t> </w:t>
      </w:r>
      <w:r>
        <w:rPr/>
        <w:t>do</w:t>
      </w:r>
      <w:r>
        <w:rPr>
          <w:spacing w:val="-1"/>
        </w:rPr>
        <w:t> </w:t>
      </w:r>
      <w:r>
        <w:rPr/>
        <w:t>the</w:t>
      </w:r>
      <w:r>
        <w:rPr>
          <w:spacing w:val="-1"/>
        </w:rPr>
        <w:t> </w:t>
      </w:r>
      <w:r>
        <w:rPr/>
        <w:t>work,</w:t>
      </w:r>
      <w:r>
        <w:rPr>
          <w:spacing w:val="-1"/>
        </w:rPr>
        <w:t> </w:t>
      </w:r>
      <w:r>
        <w:rPr/>
        <w:t>his</w:t>
      </w:r>
      <w:r>
        <w:rPr>
          <w:spacing w:val="-1"/>
        </w:rPr>
        <w:t> </w:t>
      </w:r>
      <w:r>
        <w:rPr/>
        <w:t>reliance</w:t>
      </w:r>
      <w:r>
        <w:rPr>
          <w:spacing w:val="-1"/>
        </w:rPr>
        <w:t> </w:t>
      </w:r>
      <w:r>
        <w:rPr/>
        <w:t>on</w:t>
      </w:r>
      <w:r>
        <w:rPr>
          <w:spacing w:val="-1"/>
        </w:rPr>
        <w:t> </w:t>
      </w:r>
      <w:r>
        <w:rPr/>
        <w:t>A’s</w:t>
      </w:r>
      <w:r>
        <w:rPr>
          <w:spacing w:val="-1"/>
        </w:rPr>
        <w:t> </w:t>
      </w:r>
      <w:r>
        <w:rPr/>
        <w:t>representation,</w:t>
      </w:r>
      <w:r>
        <w:rPr>
          <w:spacing w:val="-1"/>
        </w:rPr>
        <w:t> </w:t>
      </w:r>
      <w:r>
        <w:rPr/>
        <w:t>and hence the suspension of B’s liability, had come to an end (at [50]).</w:t>
      </w:r>
    </w:p>
    <w:p>
      <w:pPr>
        <w:pStyle w:val="BodyText"/>
        <w:spacing w:after="0" w:line="235" w:lineRule="auto"/>
        <w:jc w:val="both"/>
        <w:sectPr>
          <w:type w:val="continuous"/>
          <w:pgSz w:w="11900" w:h="16840"/>
          <w:pgMar w:header="971" w:footer="0" w:top="3760" w:bottom="280" w:left="1275" w:right="1275"/>
          <w:cols w:num="2" w:equalWidth="0">
            <w:col w:w="478" w:space="63"/>
            <w:col w:w="8809"/>
          </w:cols>
        </w:sectPr>
      </w:pPr>
    </w:p>
    <w:p>
      <w:pPr>
        <w:pStyle w:val="BodyText"/>
        <w:spacing w:before="1"/>
      </w:pPr>
    </w:p>
    <w:p>
      <w:pPr>
        <w:tabs>
          <w:tab w:pos="705" w:val="left" w:leader="none"/>
        </w:tabs>
        <w:spacing w:before="0"/>
        <w:ind w:left="165" w:right="0" w:firstLine="0"/>
        <w:jc w:val="left"/>
        <w:rPr>
          <w:sz w:val="20"/>
        </w:rPr>
      </w:pPr>
      <w:bookmarkStart w:name="_bookmark1572" w:id="1574"/>
      <w:bookmarkEnd w:id="1574"/>
      <w:r>
        <w:rPr/>
      </w:r>
      <w:hyperlink w:history="true" w:anchor="_bookmark1511">
        <w:r>
          <w:rPr>
            <w:color w:val="005DA1"/>
            <w:spacing w:val="-4"/>
            <w:position w:val="5"/>
            <w:sz w:val="14"/>
            <w:u w:val="single" w:color="005DA1"/>
          </w:rPr>
          <w:t>806</w:t>
        </w:r>
      </w:hyperlink>
      <w:r>
        <w:rPr>
          <w:spacing w:val="-4"/>
          <w:position w:val="5"/>
          <w:sz w:val="14"/>
        </w:rPr>
        <w:t>.</w:t>
      </w:r>
      <w:r>
        <w:rPr>
          <w:position w:val="5"/>
          <w:sz w:val="14"/>
        </w:rPr>
        <w:tab/>
      </w:r>
      <w:r>
        <w:rPr>
          <w:rFonts w:ascii="Arial"/>
          <w:i/>
          <w:sz w:val="20"/>
        </w:rPr>
        <w:t>(1877)</w:t>
      </w:r>
      <w:r>
        <w:rPr>
          <w:rFonts w:ascii="Arial"/>
          <w:i/>
          <w:spacing w:val="-1"/>
          <w:sz w:val="20"/>
        </w:rPr>
        <w:t> </w:t>
      </w:r>
      <w:r>
        <w:rPr>
          <w:rFonts w:ascii="Arial"/>
          <w:i/>
          <w:sz w:val="20"/>
        </w:rPr>
        <w:t>2 App. Cas. 439</w:t>
      </w:r>
      <w:r>
        <w:rPr>
          <w:sz w:val="20"/>
        </w:rPr>
        <w:t>; above, para.4-</w:t>
      </w:r>
      <w:r>
        <w:rPr>
          <w:spacing w:val="-4"/>
          <w:sz w:val="20"/>
        </w:rPr>
        <w:t>086.</w:t>
      </w:r>
    </w:p>
    <w:p>
      <w:pPr>
        <w:pStyle w:val="BodyText"/>
        <w:spacing w:before="5"/>
      </w:pPr>
    </w:p>
    <w:p>
      <w:pPr>
        <w:tabs>
          <w:tab w:pos="705" w:val="left" w:leader="none"/>
        </w:tabs>
        <w:spacing w:before="0"/>
        <w:ind w:left="165" w:right="0" w:firstLine="0"/>
        <w:jc w:val="left"/>
        <w:rPr>
          <w:sz w:val="20"/>
        </w:rPr>
      </w:pPr>
      <w:bookmarkStart w:name="_bookmark1573" w:id="1575"/>
      <w:bookmarkEnd w:id="1575"/>
      <w:r>
        <w:rPr/>
      </w:r>
      <w:hyperlink w:history="true" w:anchor="_bookmark1512">
        <w:r>
          <w:rPr>
            <w:color w:val="005DA1"/>
            <w:spacing w:val="-4"/>
            <w:position w:val="5"/>
            <w:sz w:val="14"/>
            <w:u w:val="single" w:color="005DA1"/>
          </w:rPr>
          <w:t>807</w:t>
        </w:r>
      </w:hyperlink>
      <w:r>
        <w:rPr>
          <w:spacing w:val="-4"/>
          <w:position w:val="5"/>
          <w:sz w:val="14"/>
        </w:rPr>
        <w:t>.</w:t>
      </w:r>
      <w:r>
        <w:rPr>
          <w:position w:val="5"/>
          <w:sz w:val="14"/>
        </w:rPr>
        <w:tab/>
      </w:r>
      <w:r>
        <w:rPr>
          <w:rFonts w:ascii="Arial"/>
          <w:i/>
          <w:sz w:val="20"/>
        </w:rPr>
        <w:t>[1947]</w:t>
      </w:r>
      <w:r>
        <w:rPr>
          <w:rFonts w:ascii="Arial"/>
          <w:i/>
          <w:spacing w:val="-1"/>
          <w:sz w:val="20"/>
        </w:rPr>
        <w:t> </w:t>
      </w:r>
      <w:r>
        <w:rPr>
          <w:rFonts w:ascii="Arial"/>
          <w:i/>
          <w:sz w:val="20"/>
        </w:rPr>
        <w:t>K.B. 130, 134</w:t>
      </w:r>
      <w:r>
        <w:rPr>
          <w:sz w:val="20"/>
        </w:rPr>
        <w:t>; cf. </w:t>
      </w:r>
      <w:r>
        <w:rPr>
          <w:rFonts w:ascii="Arial"/>
          <w:i/>
          <w:sz w:val="20"/>
        </w:rPr>
        <w:t>Combe v Combe [1951] 2 K.B. 215, </w:t>
      </w:r>
      <w:r>
        <w:rPr>
          <w:rFonts w:ascii="Arial"/>
          <w:i/>
          <w:spacing w:val="-4"/>
          <w:sz w:val="20"/>
        </w:rPr>
        <w:t>220</w:t>
      </w:r>
      <w:r>
        <w:rPr>
          <w:spacing w:val="-4"/>
          <w:sz w:val="20"/>
        </w:rPr>
        <w:t>.</w:t>
      </w:r>
    </w:p>
    <w:p>
      <w:pPr>
        <w:pStyle w:val="BodyText"/>
        <w:spacing w:before="5"/>
      </w:pPr>
    </w:p>
    <w:p>
      <w:pPr>
        <w:pStyle w:val="BodyText"/>
        <w:tabs>
          <w:tab w:pos="705" w:val="left" w:leader="none"/>
        </w:tabs>
        <w:ind w:left="165"/>
      </w:pPr>
      <w:bookmarkStart w:name="_bookmark1574" w:id="1576"/>
      <w:bookmarkEnd w:id="1576"/>
      <w:r>
        <w:rPr/>
      </w:r>
      <w:hyperlink w:history="true" w:anchor="_bookmark1513">
        <w:r>
          <w:rPr>
            <w:color w:val="005DA1"/>
            <w:spacing w:val="-4"/>
            <w:position w:val="5"/>
            <w:sz w:val="14"/>
            <w:u w:val="single" w:color="005DA1"/>
          </w:rPr>
          <w:t>808</w:t>
        </w:r>
      </w:hyperlink>
      <w:r>
        <w:rPr>
          <w:spacing w:val="-4"/>
          <w:position w:val="5"/>
          <w:sz w:val="14"/>
        </w:rPr>
        <w:t>.</w:t>
      </w:r>
      <w:r>
        <w:rPr>
          <w:position w:val="5"/>
          <w:sz w:val="14"/>
        </w:rPr>
        <w:tab/>
      </w:r>
      <w:r>
        <w:rPr/>
        <w:t>Above,</w:t>
      </w:r>
      <w:r>
        <w:rPr>
          <w:spacing w:val="-2"/>
        </w:rPr>
        <w:t> </w:t>
      </w:r>
      <w:r>
        <w:rPr/>
        <w:t>paras 4-086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1575" w:id="1577"/>
      <w:bookmarkEnd w:id="1577"/>
      <w:r>
        <w:rPr/>
      </w:r>
      <w:hyperlink w:history="true" w:anchor="_bookmark1514">
        <w:r>
          <w:rPr>
            <w:color w:val="005DA1"/>
            <w:spacing w:val="-4"/>
            <w:position w:val="5"/>
            <w:sz w:val="14"/>
            <w:u w:val="single" w:color="005DA1"/>
          </w:rPr>
          <w:t>809</w:t>
        </w:r>
      </w:hyperlink>
      <w:r>
        <w:rPr>
          <w:spacing w:val="-4"/>
          <w:position w:val="5"/>
          <w:sz w:val="14"/>
        </w:rPr>
        <w:t>.</w:t>
      </w:r>
      <w:r>
        <w:rPr>
          <w:position w:val="5"/>
          <w:sz w:val="14"/>
        </w:rPr>
        <w:tab/>
      </w:r>
      <w:r>
        <w:rPr>
          <w:sz w:val="20"/>
        </w:rPr>
        <w:t>At </w:t>
      </w:r>
      <w:r>
        <w:rPr>
          <w:spacing w:val="-2"/>
          <w:sz w:val="20"/>
        </w:rPr>
        <w:t>n.761.</w:t>
      </w:r>
    </w:p>
    <w:p>
      <w:pPr>
        <w:pStyle w:val="BodyText"/>
        <w:spacing w:before="5"/>
      </w:pPr>
    </w:p>
    <w:p>
      <w:pPr>
        <w:tabs>
          <w:tab w:pos="705" w:val="left" w:leader="none"/>
        </w:tabs>
        <w:spacing w:before="0"/>
        <w:ind w:left="165" w:right="0" w:firstLine="0"/>
        <w:jc w:val="left"/>
        <w:rPr>
          <w:sz w:val="20"/>
        </w:rPr>
      </w:pPr>
      <w:bookmarkStart w:name="_bookmark1576" w:id="1578"/>
      <w:bookmarkEnd w:id="1578"/>
      <w:r>
        <w:rPr/>
      </w:r>
      <w:hyperlink w:history="true" w:anchor="_bookmark1514">
        <w:r>
          <w:rPr>
            <w:color w:val="005DA1"/>
            <w:spacing w:val="-4"/>
            <w:position w:val="5"/>
            <w:sz w:val="14"/>
            <w:u w:val="single" w:color="005DA1"/>
          </w:rPr>
          <w:t>810</w:t>
        </w:r>
      </w:hyperlink>
      <w:r>
        <w:rPr>
          <w:spacing w:val="-4"/>
          <w:position w:val="5"/>
          <w:sz w:val="14"/>
        </w:rPr>
        <w:t>.</w:t>
      </w:r>
      <w:r>
        <w:rPr>
          <w:position w:val="5"/>
          <w:sz w:val="14"/>
        </w:rPr>
        <w:tab/>
      </w:r>
      <w:r>
        <w:rPr>
          <w:rFonts w:ascii="Arial"/>
          <w:i/>
          <w:sz w:val="20"/>
        </w:rPr>
        <w:t>(1884)</w:t>
      </w:r>
      <w:r>
        <w:rPr>
          <w:rFonts w:ascii="Arial"/>
          <w:i/>
          <w:spacing w:val="-1"/>
          <w:sz w:val="20"/>
        </w:rPr>
        <w:t> </w:t>
      </w:r>
      <w:r>
        <w:rPr>
          <w:rFonts w:ascii="Arial"/>
          <w:i/>
          <w:sz w:val="20"/>
        </w:rPr>
        <w:t>9 App. Cas. 605</w:t>
      </w:r>
      <w:r>
        <w:rPr>
          <w:sz w:val="20"/>
        </w:rPr>
        <w:t>; above para.4-</w:t>
      </w:r>
      <w:r>
        <w:rPr>
          <w:spacing w:val="-4"/>
          <w:sz w:val="20"/>
        </w:rPr>
        <w:t>117.</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1577" w:id="1579"/>
      <w:bookmarkEnd w:id="1579"/>
      <w:r>
        <w:rPr/>
      </w:r>
      <w:hyperlink w:history="true" w:anchor="_bookmark1515">
        <w:r>
          <w:rPr>
            <w:color w:val="005DA1"/>
            <w:spacing w:val="-4"/>
            <w:position w:val="5"/>
            <w:sz w:val="14"/>
            <w:u w:val="single" w:color="005DA1"/>
          </w:rPr>
          <w:t>811</w:t>
        </w:r>
      </w:hyperlink>
      <w:r>
        <w:rPr>
          <w:spacing w:val="-4"/>
          <w:position w:val="5"/>
          <w:sz w:val="14"/>
        </w:rPr>
        <w:t>.</w:t>
      </w:r>
      <w:r>
        <w:rPr>
          <w:position w:val="5"/>
          <w:sz w:val="14"/>
        </w:rPr>
        <w:tab/>
      </w:r>
      <w:r>
        <w:rPr>
          <w:rFonts w:ascii="Arial"/>
          <w:i/>
          <w:sz w:val="20"/>
        </w:rPr>
        <w:t>High</w:t>
      </w:r>
      <w:r>
        <w:rPr>
          <w:rFonts w:ascii="Arial"/>
          <w:i/>
          <w:spacing w:val="26"/>
          <w:sz w:val="20"/>
        </w:rPr>
        <w:t> </w:t>
      </w:r>
      <w:r>
        <w:rPr>
          <w:rFonts w:ascii="Arial"/>
          <w:i/>
          <w:sz w:val="20"/>
        </w:rPr>
        <w:t>Trees</w:t>
      </w:r>
      <w:r>
        <w:rPr>
          <w:rFonts w:ascii="Arial"/>
          <w:i/>
          <w:spacing w:val="26"/>
          <w:sz w:val="20"/>
        </w:rPr>
        <w:t> </w:t>
      </w:r>
      <w:r>
        <w:rPr>
          <w:rFonts w:ascii="Arial"/>
          <w:i/>
          <w:sz w:val="20"/>
        </w:rPr>
        <w:t>case</w:t>
      </w:r>
      <w:r>
        <w:rPr>
          <w:rFonts w:ascii="Arial"/>
          <w:i/>
          <w:spacing w:val="26"/>
          <w:sz w:val="20"/>
        </w:rPr>
        <w:t> </w:t>
      </w:r>
      <w:r>
        <w:rPr>
          <w:rFonts w:ascii="Arial"/>
          <w:i/>
          <w:sz w:val="20"/>
        </w:rPr>
        <w:t>[1947]</w:t>
      </w:r>
      <w:r>
        <w:rPr>
          <w:rFonts w:ascii="Arial"/>
          <w:i/>
          <w:spacing w:val="26"/>
          <w:sz w:val="20"/>
        </w:rPr>
        <w:t> </w:t>
      </w:r>
      <w:r>
        <w:rPr>
          <w:rFonts w:ascii="Arial"/>
          <w:i/>
          <w:sz w:val="20"/>
        </w:rPr>
        <w:t>K.B.</w:t>
      </w:r>
      <w:r>
        <w:rPr>
          <w:rFonts w:ascii="Arial"/>
          <w:i/>
          <w:spacing w:val="26"/>
          <w:sz w:val="20"/>
        </w:rPr>
        <w:t> </w:t>
      </w:r>
      <w:r>
        <w:rPr>
          <w:rFonts w:ascii="Arial"/>
          <w:i/>
          <w:sz w:val="20"/>
        </w:rPr>
        <w:t>130</w:t>
      </w:r>
      <w:r>
        <w:rPr>
          <w:rFonts w:ascii="Arial"/>
          <w:i/>
          <w:spacing w:val="26"/>
          <w:sz w:val="20"/>
        </w:rPr>
        <w:t> </w:t>
      </w:r>
      <w:r>
        <w:rPr>
          <w:sz w:val="20"/>
        </w:rPr>
        <w:t>at</w:t>
      </w:r>
      <w:r>
        <w:rPr>
          <w:spacing w:val="26"/>
          <w:sz w:val="20"/>
        </w:rPr>
        <w:t> </w:t>
      </w:r>
      <w:r>
        <w:rPr>
          <w:sz w:val="20"/>
        </w:rPr>
        <w:t>p.135;</w:t>
      </w:r>
      <w:r>
        <w:rPr>
          <w:spacing w:val="26"/>
          <w:sz w:val="20"/>
        </w:rPr>
        <w:t> </w:t>
      </w:r>
      <w:r>
        <w:rPr>
          <w:sz w:val="20"/>
        </w:rPr>
        <w:t>this</w:t>
      </w:r>
      <w:r>
        <w:rPr>
          <w:spacing w:val="26"/>
          <w:sz w:val="20"/>
        </w:rPr>
        <w:t> </w:t>
      </w:r>
      <w:r>
        <w:rPr>
          <w:sz w:val="20"/>
        </w:rPr>
        <w:t>sentence</w:t>
      </w:r>
      <w:r>
        <w:rPr>
          <w:spacing w:val="26"/>
          <w:sz w:val="20"/>
        </w:rPr>
        <w:t> </w:t>
      </w:r>
      <w:r>
        <w:rPr>
          <w:sz w:val="20"/>
        </w:rPr>
        <w:t>does</w:t>
      </w:r>
      <w:r>
        <w:rPr>
          <w:spacing w:val="26"/>
          <w:sz w:val="20"/>
        </w:rPr>
        <w:t> </w:t>
      </w:r>
      <w:r>
        <w:rPr>
          <w:sz w:val="20"/>
        </w:rPr>
        <w:t>not</w:t>
      </w:r>
      <w:r>
        <w:rPr>
          <w:spacing w:val="26"/>
          <w:sz w:val="20"/>
        </w:rPr>
        <w:t> </w:t>
      </w:r>
      <w:r>
        <w:rPr>
          <w:sz w:val="20"/>
        </w:rPr>
        <w:t>occur</w:t>
      </w:r>
      <w:r>
        <w:rPr>
          <w:spacing w:val="26"/>
          <w:sz w:val="20"/>
        </w:rPr>
        <w:t> </w:t>
      </w:r>
      <w:r>
        <w:rPr>
          <w:sz w:val="20"/>
        </w:rPr>
        <w:t>in</w:t>
      </w:r>
      <w:r>
        <w:rPr>
          <w:spacing w:val="26"/>
          <w:sz w:val="20"/>
        </w:rPr>
        <w:t> </w:t>
      </w:r>
      <w:r>
        <w:rPr>
          <w:sz w:val="20"/>
        </w:rPr>
        <w:t>any</w:t>
      </w:r>
      <w:r>
        <w:rPr>
          <w:spacing w:val="26"/>
          <w:sz w:val="20"/>
        </w:rPr>
        <w:t> </w:t>
      </w:r>
      <w:r>
        <w:rPr>
          <w:sz w:val="20"/>
        </w:rPr>
        <w:t>of</w:t>
      </w:r>
      <w:r>
        <w:rPr>
          <w:spacing w:val="26"/>
          <w:sz w:val="20"/>
        </w:rPr>
        <w:t> </w:t>
      </w:r>
      <w:r>
        <w:rPr>
          <w:sz w:val="20"/>
        </w:rPr>
        <w:t>the</w:t>
      </w:r>
      <w:r>
        <w:rPr>
          <w:spacing w:val="26"/>
          <w:sz w:val="20"/>
        </w:rPr>
        <w:t> </w:t>
      </w:r>
      <w:r>
        <w:rPr>
          <w:sz w:val="20"/>
        </w:rPr>
        <w:t>other reports</w:t>
      </w:r>
      <w:r>
        <w:rPr>
          <w:spacing w:val="19"/>
          <w:sz w:val="20"/>
        </w:rPr>
        <w:t> </w:t>
      </w:r>
      <w:r>
        <w:rPr>
          <w:sz w:val="20"/>
        </w:rPr>
        <w:t>of</w:t>
      </w:r>
      <w:r>
        <w:rPr>
          <w:spacing w:val="20"/>
          <w:sz w:val="20"/>
        </w:rPr>
        <w:t> </w:t>
      </w:r>
      <w:r>
        <w:rPr>
          <w:sz w:val="20"/>
        </w:rPr>
        <w:t>the</w:t>
      </w:r>
      <w:r>
        <w:rPr>
          <w:spacing w:val="20"/>
          <w:sz w:val="20"/>
        </w:rPr>
        <w:t> </w:t>
      </w:r>
      <w:r>
        <w:rPr>
          <w:sz w:val="20"/>
        </w:rPr>
        <w:t>case</w:t>
      </w:r>
      <w:r>
        <w:rPr>
          <w:spacing w:val="20"/>
          <w:sz w:val="20"/>
        </w:rPr>
        <w:t> </w:t>
      </w:r>
      <w:r>
        <w:rPr>
          <w:sz w:val="20"/>
        </w:rPr>
        <w:t>(</w:t>
      </w:r>
      <w:r>
        <w:rPr>
          <w:rFonts w:ascii="Arial"/>
          <w:i/>
          <w:sz w:val="20"/>
        </w:rPr>
        <w:t>[1947]</w:t>
      </w:r>
      <w:r>
        <w:rPr>
          <w:rFonts w:ascii="Arial"/>
          <w:i/>
          <w:spacing w:val="20"/>
          <w:sz w:val="20"/>
        </w:rPr>
        <w:t> </w:t>
      </w:r>
      <w:r>
        <w:rPr>
          <w:rFonts w:ascii="Arial"/>
          <w:i/>
          <w:sz w:val="20"/>
        </w:rPr>
        <w:t>L.J.R.</w:t>
      </w:r>
      <w:r>
        <w:rPr>
          <w:rFonts w:ascii="Arial"/>
          <w:i/>
          <w:spacing w:val="20"/>
          <w:sz w:val="20"/>
        </w:rPr>
        <w:t> </w:t>
      </w:r>
      <w:r>
        <w:rPr>
          <w:rFonts w:ascii="Arial"/>
          <w:i/>
          <w:sz w:val="20"/>
        </w:rPr>
        <w:t>77,</w:t>
      </w:r>
      <w:r>
        <w:rPr>
          <w:rFonts w:ascii="Arial"/>
          <w:i/>
          <w:spacing w:val="20"/>
          <w:sz w:val="20"/>
        </w:rPr>
        <w:t> </w:t>
      </w:r>
      <w:r>
        <w:rPr>
          <w:rFonts w:ascii="Arial"/>
          <w:i/>
          <w:sz w:val="20"/>
        </w:rPr>
        <w:t>(1946)</w:t>
      </w:r>
      <w:r>
        <w:rPr>
          <w:rFonts w:ascii="Arial"/>
          <w:i/>
          <w:spacing w:val="20"/>
          <w:sz w:val="20"/>
        </w:rPr>
        <w:t> </w:t>
      </w:r>
      <w:r>
        <w:rPr>
          <w:rFonts w:ascii="Arial"/>
          <w:i/>
          <w:sz w:val="20"/>
        </w:rPr>
        <w:t>175</w:t>
      </w:r>
      <w:r>
        <w:rPr>
          <w:rFonts w:ascii="Arial"/>
          <w:i/>
          <w:spacing w:val="20"/>
          <w:sz w:val="20"/>
        </w:rPr>
        <w:t> </w:t>
      </w:r>
      <w:r>
        <w:rPr>
          <w:rFonts w:ascii="Arial"/>
          <w:i/>
          <w:sz w:val="20"/>
        </w:rPr>
        <w:t>L.T.</w:t>
      </w:r>
      <w:r>
        <w:rPr>
          <w:rFonts w:ascii="Arial"/>
          <w:i/>
          <w:spacing w:val="20"/>
          <w:sz w:val="20"/>
        </w:rPr>
        <w:t> </w:t>
      </w:r>
      <w:r>
        <w:rPr>
          <w:rFonts w:ascii="Arial"/>
          <w:i/>
          <w:sz w:val="20"/>
        </w:rPr>
        <w:t>333,</w:t>
      </w:r>
      <w:r>
        <w:rPr>
          <w:rFonts w:ascii="Arial"/>
          <w:i/>
          <w:spacing w:val="20"/>
          <w:sz w:val="20"/>
        </w:rPr>
        <w:t> </w:t>
      </w:r>
      <w:r>
        <w:rPr>
          <w:rFonts w:ascii="Arial"/>
          <w:i/>
          <w:sz w:val="20"/>
        </w:rPr>
        <w:t>(1946)</w:t>
      </w:r>
      <w:r>
        <w:rPr>
          <w:rFonts w:ascii="Arial"/>
          <w:i/>
          <w:spacing w:val="20"/>
          <w:sz w:val="20"/>
        </w:rPr>
        <w:t> </w:t>
      </w:r>
      <w:r>
        <w:rPr>
          <w:rFonts w:ascii="Arial"/>
          <w:i/>
          <w:sz w:val="20"/>
        </w:rPr>
        <w:t>62</w:t>
      </w:r>
      <w:r>
        <w:rPr>
          <w:rFonts w:ascii="Arial"/>
          <w:i/>
          <w:spacing w:val="20"/>
          <w:sz w:val="20"/>
        </w:rPr>
        <w:t> </w:t>
      </w:r>
      <w:r>
        <w:rPr>
          <w:rFonts w:ascii="Arial"/>
          <w:i/>
          <w:sz w:val="20"/>
        </w:rPr>
        <w:t>T.L.R.</w:t>
      </w:r>
      <w:r>
        <w:rPr>
          <w:rFonts w:ascii="Arial"/>
          <w:i/>
          <w:spacing w:val="20"/>
          <w:sz w:val="20"/>
        </w:rPr>
        <w:t> </w:t>
      </w:r>
      <w:r>
        <w:rPr>
          <w:rFonts w:ascii="Arial"/>
          <w:i/>
          <w:sz w:val="20"/>
        </w:rPr>
        <w:t>557,</w:t>
      </w:r>
      <w:r>
        <w:rPr>
          <w:rFonts w:ascii="Arial"/>
          <w:i/>
          <w:spacing w:val="20"/>
          <w:sz w:val="20"/>
        </w:rPr>
        <w:t> </w:t>
      </w:r>
      <w:r>
        <w:rPr>
          <w:rFonts w:ascii="Arial"/>
          <w:i/>
          <w:sz w:val="20"/>
        </w:rPr>
        <w:t>[1956]</w:t>
      </w:r>
      <w:r>
        <w:rPr>
          <w:rFonts w:ascii="Arial"/>
          <w:i/>
          <w:spacing w:val="20"/>
          <w:sz w:val="20"/>
        </w:rPr>
        <w:t> </w:t>
      </w:r>
      <w:r>
        <w:rPr>
          <w:rFonts w:ascii="Arial"/>
          <w:i/>
          <w:sz w:val="20"/>
        </w:rPr>
        <w:t>1</w:t>
      </w:r>
      <w:r>
        <w:rPr>
          <w:rFonts w:ascii="Arial"/>
          <w:i/>
          <w:spacing w:val="20"/>
          <w:sz w:val="20"/>
        </w:rPr>
        <w:t> </w:t>
      </w:r>
      <w:r>
        <w:rPr>
          <w:rFonts w:ascii="Arial"/>
          <w:i/>
          <w:spacing w:val="-5"/>
          <w:sz w:val="20"/>
        </w:rPr>
        <w:t>All</w:t>
      </w:r>
    </w:p>
    <w:p>
      <w:pPr>
        <w:spacing w:line="235" w:lineRule="auto" w:before="0"/>
        <w:ind w:left="705" w:right="168" w:firstLine="0"/>
        <w:jc w:val="both"/>
        <w:rPr>
          <w:sz w:val="20"/>
        </w:rPr>
      </w:pPr>
      <w:r>
        <w:rPr>
          <w:rFonts w:ascii="Arial" w:hAnsi="Arial"/>
          <w:i/>
          <w:sz w:val="20"/>
        </w:rPr>
        <w:t>E.R. 256n.</w:t>
      </w:r>
      <w:r>
        <w:rPr>
          <w:sz w:val="20"/>
        </w:rPr>
        <w:t>); see also </w:t>
      </w:r>
      <w:r>
        <w:rPr>
          <w:rFonts w:ascii="Arial" w:hAnsi="Arial"/>
          <w:i/>
          <w:sz w:val="20"/>
        </w:rPr>
        <w:t>Arrale v Costain Civil Engineering Ltd [1976] 1 Lloyd’s Rep. 98, 102</w:t>
      </w:r>
      <w:r>
        <w:rPr>
          <w:sz w:val="20"/>
        </w:rPr>
        <w:t>. The argument, with respect, lacks plausibility since </w:t>
      </w:r>
      <w:r>
        <w:rPr>
          <w:rFonts w:ascii="Arial" w:hAnsi="Arial"/>
          <w:i/>
          <w:sz w:val="20"/>
        </w:rPr>
        <w:t>Hughes v Metropolitan Ry</w:t>
      </w:r>
      <w:r>
        <w:rPr>
          <w:sz w:val="20"/>
        </w:rPr>
        <w:t>, above, n.760 </w:t>
      </w:r>
      <w:r>
        <w:rPr>
          <w:sz w:val="20"/>
        </w:rPr>
        <w:t>had been decided only seven years before</w:t>
      </w:r>
      <w:r>
        <w:rPr>
          <w:spacing w:val="-1"/>
          <w:sz w:val="20"/>
        </w:rPr>
        <w:t> </w:t>
      </w:r>
      <w:r>
        <w:rPr>
          <w:rFonts w:ascii="Arial" w:hAnsi="Arial"/>
          <w:i/>
          <w:sz w:val="20"/>
        </w:rPr>
        <w:t>Foakes v Beer </w:t>
      </w:r>
      <w:r>
        <w:rPr>
          <w:sz w:val="20"/>
        </w:rPr>
        <w:t>and Lords Selborne and Blackburn </w:t>
      </w:r>
      <w:r>
        <w:rPr>
          <w:sz w:val="20"/>
        </w:rPr>
        <w:t>heard the appeals in both cases.</w:t>
      </w:r>
    </w:p>
    <w:p>
      <w:pPr>
        <w:pStyle w:val="BodyText"/>
        <w:spacing w:before="4"/>
      </w:pPr>
    </w:p>
    <w:p>
      <w:pPr>
        <w:tabs>
          <w:tab w:pos="705" w:val="left" w:leader="none"/>
        </w:tabs>
        <w:spacing w:before="0"/>
        <w:ind w:left="165" w:right="0" w:firstLine="0"/>
        <w:jc w:val="left"/>
        <w:rPr>
          <w:sz w:val="20"/>
        </w:rPr>
      </w:pPr>
      <w:bookmarkStart w:name="_bookmark1578" w:id="1580"/>
      <w:bookmarkEnd w:id="1580"/>
      <w:r>
        <w:rPr/>
      </w:r>
      <w:hyperlink w:history="true" w:anchor="_bookmark1516">
        <w:r>
          <w:rPr>
            <w:color w:val="005DA1"/>
            <w:spacing w:val="-4"/>
            <w:position w:val="5"/>
            <w:sz w:val="14"/>
            <w:u w:val="single" w:color="005DA1"/>
          </w:rPr>
          <w:t>812</w:t>
        </w:r>
      </w:hyperlink>
      <w:r>
        <w:rPr>
          <w:spacing w:val="-4"/>
          <w:position w:val="5"/>
          <w:sz w:val="14"/>
        </w:rPr>
        <w:t>.</w:t>
      </w:r>
      <w:r>
        <w:rPr>
          <w:position w:val="5"/>
          <w:sz w:val="14"/>
        </w:rPr>
        <w:tab/>
      </w:r>
      <w:r>
        <w:rPr>
          <w:rFonts w:ascii="Arial"/>
          <w:i/>
          <w:sz w:val="20"/>
        </w:rPr>
        <w:t>High Trees</w:t>
      </w:r>
      <w:r>
        <w:rPr>
          <w:rFonts w:ascii="Arial"/>
          <w:i/>
          <w:spacing w:val="-1"/>
          <w:sz w:val="20"/>
        </w:rPr>
        <w:t> </w:t>
      </w:r>
      <w:r>
        <w:rPr>
          <w:sz w:val="20"/>
        </w:rPr>
        <w:t>case, above n.765, at </w:t>
      </w:r>
      <w:r>
        <w:rPr>
          <w:spacing w:val="-2"/>
          <w:sz w:val="20"/>
        </w:rPr>
        <w:t>p.133.</w:t>
      </w:r>
    </w:p>
    <w:p>
      <w:pPr>
        <w:pStyle w:val="BodyText"/>
        <w:spacing w:before="5"/>
      </w:pPr>
    </w:p>
    <w:p>
      <w:pPr>
        <w:tabs>
          <w:tab w:pos="705" w:val="left" w:leader="none"/>
        </w:tabs>
        <w:spacing w:before="0"/>
        <w:ind w:left="165" w:right="0" w:firstLine="0"/>
        <w:jc w:val="left"/>
        <w:rPr>
          <w:sz w:val="20"/>
        </w:rPr>
      </w:pPr>
      <w:bookmarkStart w:name="_bookmark1579" w:id="1581"/>
      <w:bookmarkEnd w:id="1581"/>
      <w:r>
        <w:rPr/>
      </w:r>
      <w:hyperlink w:history="true" w:anchor="_bookmark1517">
        <w:r>
          <w:rPr>
            <w:color w:val="005DA1"/>
            <w:spacing w:val="-4"/>
            <w:position w:val="5"/>
            <w:sz w:val="14"/>
            <w:u w:val="single" w:color="005DA1"/>
          </w:rPr>
          <w:t>813</w:t>
        </w:r>
      </w:hyperlink>
      <w:r>
        <w:rPr>
          <w:spacing w:val="-4"/>
          <w:position w:val="5"/>
          <w:sz w:val="14"/>
        </w:rPr>
        <w:t>.</w:t>
      </w:r>
      <w:r>
        <w:rPr>
          <w:position w:val="5"/>
          <w:sz w:val="14"/>
        </w:rPr>
        <w:tab/>
      </w:r>
      <w:r>
        <w:rPr>
          <w:rFonts w:ascii="Arial" w:hAnsi="Arial"/>
          <w:i/>
          <w:sz w:val="20"/>
        </w:rPr>
        <w:t>Arrale v Costain Civil Engineering Ltd [1976] 1 Lloyd’s Rep. 98</w:t>
      </w:r>
      <w:r>
        <w:rPr>
          <w:rFonts w:ascii="Arial" w:hAnsi="Arial"/>
          <w:i/>
          <w:spacing w:val="-1"/>
          <w:sz w:val="20"/>
        </w:rPr>
        <w:t> </w:t>
      </w:r>
      <w:r>
        <w:rPr>
          <w:sz w:val="20"/>
        </w:rPr>
        <w:t>at </w:t>
      </w:r>
      <w:r>
        <w:rPr>
          <w:spacing w:val="-4"/>
          <w:sz w:val="20"/>
        </w:rPr>
        <w:t>102.</w:t>
      </w:r>
    </w:p>
    <w:p>
      <w:pPr>
        <w:pStyle w:val="BodyText"/>
        <w:spacing w:before="5"/>
      </w:pPr>
    </w:p>
    <w:p>
      <w:pPr>
        <w:tabs>
          <w:tab w:pos="705" w:val="left" w:leader="none"/>
        </w:tabs>
        <w:spacing w:before="0"/>
        <w:ind w:left="165" w:right="0" w:firstLine="0"/>
        <w:jc w:val="left"/>
        <w:rPr>
          <w:sz w:val="20"/>
        </w:rPr>
      </w:pPr>
      <w:bookmarkStart w:name="_bookmark1580" w:id="1582"/>
      <w:bookmarkEnd w:id="1582"/>
      <w:r>
        <w:rPr/>
      </w:r>
      <w:hyperlink w:history="true" w:anchor="_bookmark1517">
        <w:r>
          <w:rPr>
            <w:color w:val="005DA1"/>
            <w:spacing w:val="-4"/>
            <w:position w:val="5"/>
            <w:sz w:val="14"/>
            <w:u w:val="single" w:color="005DA1"/>
          </w:rPr>
          <w:t>814</w:t>
        </w:r>
      </w:hyperlink>
      <w:r>
        <w:rPr>
          <w:spacing w:val="-4"/>
          <w:position w:val="5"/>
          <w:sz w:val="14"/>
        </w:rPr>
        <w:t>.</w:t>
      </w:r>
      <w:r>
        <w:rPr>
          <w:position w:val="5"/>
          <w:sz w:val="14"/>
        </w:rPr>
        <w:tab/>
      </w:r>
      <w:r>
        <w:rPr>
          <w:rFonts w:ascii="Arial"/>
          <w:i/>
          <w:sz w:val="20"/>
        </w:rPr>
        <w:t>(1602)</w:t>
      </w:r>
      <w:r>
        <w:rPr>
          <w:rFonts w:ascii="Arial"/>
          <w:i/>
          <w:spacing w:val="-1"/>
          <w:sz w:val="20"/>
        </w:rPr>
        <w:t> </w:t>
      </w:r>
      <w:r>
        <w:rPr>
          <w:rFonts w:ascii="Arial"/>
          <w:i/>
          <w:sz w:val="20"/>
        </w:rPr>
        <w:t>Co.Rep. 117a</w:t>
      </w:r>
      <w:r>
        <w:rPr>
          <w:sz w:val="20"/>
        </w:rPr>
        <w:t>; above, para.4-</w:t>
      </w:r>
      <w:r>
        <w:rPr>
          <w:spacing w:val="-4"/>
          <w:sz w:val="20"/>
        </w:rPr>
        <w:t>117.</w:t>
      </w:r>
    </w:p>
    <w:p>
      <w:pPr>
        <w:pStyle w:val="BodyText"/>
        <w:spacing w:before="5"/>
      </w:pPr>
    </w:p>
    <w:p>
      <w:pPr>
        <w:tabs>
          <w:tab w:pos="705" w:val="left" w:leader="none"/>
        </w:tabs>
        <w:spacing w:before="0"/>
        <w:ind w:left="165" w:right="0" w:firstLine="0"/>
        <w:jc w:val="left"/>
        <w:rPr>
          <w:sz w:val="20"/>
        </w:rPr>
      </w:pPr>
      <w:bookmarkStart w:name="_bookmark1581" w:id="1583"/>
      <w:bookmarkEnd w:id="1583"/>
      <w:r>
        <w:rPr/>
      </w:r>
      <w:hyperlink w:history="true" w:anchor="_bookmark1518">
        <w:r>
          <w:rPr>
            <w:color w:val="005DA1"/>
            <w:spacing w:val="-4"/>
            <w:position w:val="5"/>
            <w:sz w:val="14"/>
            <w:u w:val="single" w:color="005DA1"/>
          </w:rPr>
          <w:t>815</w:t>
        </w:r>
      </w:hyperlink>
      <w:r>
        <w:rPr>
          <w:spacing w:val="-4"/>
          <w:position w:val="5"/>
          <w:sz w:val="14"/>
        </w:rPr>
        <w:t>.</w:t>
      </w:r>
      <w:r>
        <w:rPr>
          <w:position w:val="5"/>
          <w:sz w:val="14"/>
        </w:rPr>
        <w:tab/>
      </w:r>
      <w:r>
        <w:rPr>
          <w:rFonts w:ascii="Arial"/>
          <w:i/>
          <w:sz w:val="20"/>
        </w:rPr>
        <w:t>Re</w:t>
      </w:r>
      <w:r>
        <w:rPr>
          <w:rFonts w:ascii="Arial"/>
          <w:i/>
          <w:spacing w:val="-1"/>
          <w:sz w:val="20"/>
        </w:rPr>
        <w:t> </w:t>
      </w:r>
      <w:r>
        <w:rPr>
          <w:rFonts w:ascii="Arial"/>
          <w:i/>
          <w:sz w:val="20"/>
        </w:rPr>
        <w:t>Warren (1884) 53 L.J.Ch. 1016</w:t>
      </w:r>
      <w:r>
        <w:rPr>
          <w:sz w:val="20"/>
        </w:rPr>
        <w:t>; </w:t>
      </w:r>
      <w:r>
        <w:rPr>
          <w:rFonts w:ascii="Arial"/>
          <w:i/>
          <w:sz w:val="20"/>
        </w:rPr>
        <w:t>Bidder v Bridges (1887) 37 Ch.D. </w:t>
      </w:r>
      <w:r>
        <w:rPr>
          <w:rFonts w:ascii="Arial"/>
          <w:i/>
          <w:spacing w:val="-4"/>
          <w:sz w:val="20"/>
        </w:rPr>
        <w:t>406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82" w:id="1584"/>
      <w:bookmarkEnd w:id="1584"/>
      <w:r>
        <w:rPr/>
      </w:r>
      <w:hyperlink w:history="true" w:anchor="_bookmark1519">
        <w:r>
          <w:rPr>
            <w:color w:val="005DA1"/>
            <w:spacing w:val="-4"/>
            <w:position w:val="5"/>
            <w:sz w:val="14"/>
            <w:u w:val="single" w:color="005DA1"/>
          </w:rPr>
          <w:t>816</w:t>
        </w:r>
      </w:hyperlink>
      <w:r>
        <w:rPr>
          <w:spacing w:val="-4"/>
          <w:position w:val="5"/>
          <w:sz w:val="14"/>
        </w:rPr>
        <w:t>.</w:t>
      </w:r>
      <w:r>
        <w:rPr>
          <w:position w:val="5"/>
          <w:sz w:val="14"/>
        </w:rPr>
        <w:tab/>
      </w:r>
      <w:r>
        <w:rPr>
          <w:sz w:val="20"/>
        </w:rPr>
        <w:t>Below, para.4-</w:t>
      </w:r>
      <w:r>
        <w:rPr>
          <w:spacing w:val="-4"/>
          <w:sz w:val="20"/>
        </w:rPr>
        <w:t>134.</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583" w:id="1585"/>
      <w:bookmarkEnd w:id="1585"/>
      <w:r>
        <w:rPr/>
      </w:r>
      <w:hyperlink w:history="true" w:anchor="_bookmark1519">
        <w:r>
          <w:rPr>
            <w:color w:val="005DA1"/>
            <w:spacing w:val="-4"/>
            <w:position w:val="5"/>
            <w:sz w:val="14"/>
            <w:u w:val="single" w:color="005DA1"/>
          </w:rPr>
          <w:t>817</w:t>
        </w:r>
      </w:hyperlink>
      <w:r>
        <w:rPr>
          <w:spacing w:val="-4"/>
          <w:position w:val="5"/>
          <w:sz w:val="14"/>
        </w:rPr>
        <w:t>.</w:t>
      </w:r>
      <w:r>
        <w:rPr>
          <w:position w:val="5"/>
          <w:sz w:val="14"/>
        </w:rPr>
        <w:tab/>
      </w:r>
      <w:r>
        <w:rPr>
          <w:rFonts w:ascii="Arial"/>
          <w:i/>
          <w:sz w:val="20"/>
        </w:rPr>
        <w:t>Ajayi</w:t>
      </w:r>
      <w:r>
        <w:rPr>
          <w:rFonts w:ascii="Arial"/>
          <w:i/>
          <w:spacing w:val="5"/>
          <w:sz w:val="20"/>
        </w:rPr>
        <w:t> </w:t>
      </w:r>
      <w:r>
        <w:rPr>
          <w:rFonts w:ascii="Arial"/>
          <w:i/>
          <w:sz w:val="20"/>
        </w:rPr>
        <w:t>v</w:t>
      </w:r>
      <w:r>
        <w:rPr>
          <w:rFonts w:ascii="Arial"/>
          <w:i/>
          <w:spacing w:val="6"/>
          <w:sz w:val="20"/>
        </w:rPr>
        <w:t> </w:t>
      </w:r>
      <w:r>
        <w:rPr>
          <w:rFonts w:ascii="Arial"/>
          <w:i/>
          <w:sz w:val="20"/>
        </w:rPr>
        <w:t>R.T.</w:t>
      </w:r>
      <w:r>
        <w:rPr>
          <w:rFonts w:ascii="Arial"/>
          <w:i/>
          <w:spacing w:val="6"/>
          <w:sz w:val="20"/>
        </w:rPr>
        <w:t> </w:t>
      </w:r>
      <w:r>
        <w:rPr>
          <w:rFonts w:ascii="Arial"/>
          <w:i/>
          <w:sz w:val="20"/>
        </w:rPr>
        <w:t>Briscoe</w:t>
      </w:r>
      <w:r>
        <w:rPr>
          <w:rFonts w:ascii="Arial"/>
          <w:i/>
          <w:spacing w:val="6"/>
          <w:sz w:val="20"/>
        </w:rPr>
        <w:t> </w:t>
      </w:r>
      <w:r>
        <w:rPr>
          <w:rFonts w:ascii="Arial"/>
          <w:i/>
          <w:sz w:val="20"/>
        </w:rPr>
        <w:t>(Nig.)</w:t>
      </w:r>
      <w:r>
        <w:rPr>
          <w:rFonts w:ascii="Arial"/>
          <w:i/>
          <w:spacing w:val="6"/>
          <w:sz w:val="20"/>
        </w:rPr>
        <w:t> </w:t>
      </w:r>
      <w:r>
        <w:rPr>
          <w:rFonts w:ascii="Arial"/>
          <w:i/>
          <w:sz w:val="20"/>
        </w:rPr>
        <w:t>Ltd</w:t>
      </w:r>
      <w:r>
        <w:rPr>
          <w:rFonts w:ascii="Arial"/>
          <w:i/>
          <w:spacing w:val="6"/>
          <w:sz w:val="20"/>
        </w:rPr>
        <w:t> </w:t>
      </w:r>
      <w:r>
        <w:rPr>
          <w:rFonts w:ascii="Arial"/>
          <w:i/>
          <w:sz w:val="20"/>
        </w:rPr>
        <w:t>[1964]</w:t>
      </w:r>
      <w:r>
        <w:rPr>
          <w:rFonts w:ascii="Arial"/>
          <w:i/>
          <w:spacing w:val="6"/>
          <w:sz w:val="20"/>
        </w:rPr>
        <w:t> </w:t>
      </w:r>
      <w:r>
        <w:rPr>
          <w:rFonts w:ascii="Arial"/>
          <w:i/>
          <w:sz w:val="20"/>
        </w:rPr>
        <w:t>1</w:t>
      </w:r>
      <w:r>
        <w:rPr>
          <w:rFonts w:ascii="Arial"/>
          <w:i/>
          <w:spacing w:val="6"/>
          <w:sz w:val="20"/>
        </w:rPr>
        <w:t> </w:t>
      </w:r>
      <w:r>
        <w:rPr>
          <w:rFonts w:ascii="Arial"/>
          <w:i/>
          <w:sz w:val="20"/>
        </w:rPr>
        <w:t>W.L.R.</w:t>
      </w:r>
      <w:r>
        <w:rPr>
          <w:rFonts w:ascii="Arial"/>
          <w:i/>
          <w:spacing w:val="6"/>
          <w:sz w:val="20"/>
        </w:rPr>
        <w:t> </w:t>
      </w:r>
      <w:r>
        <w:rPr>
          <w:rFonts w:ascii="Arial"/>
          <w:i/>
          <w:sz w:val="20"/>
        </w:rPr>
        <w:t>1326,</w:t>
      </w:r>
      <w:r>
        <w:rPr>
          <w:rFonts w:ascii="Arial"/>
          <w:i/>
          <w:spacing w:val="6"/>
          <w:sz w:val="20"/>
        </w:rPr>
        <w:t> </w:t>
      </w:r>
      <w:r>
        <w:rPr>
          <w:rFonts w:ascii="Arial"/>
          <w:i/>
          <w:sz w:val="20"/>
        </w:rPr>
        <w:t>1330</w:t>
      </w:r>
      <w:r>
        <w:rPr>
          <w:sz w:val="20"/>
        </w:rPr>
        <w:t>;</w:t>
      </w:r>
      <w:r>
        <w:rPr>
          <w:spacing w:val="6"/>
          <w:sz w:val="20"/>
        </w:rPr>
        <w:t> </w:t>
      </w:r>
      <w:r>
        <w:rPr>
          <w:sz w:val="20"/>
        </w:rPr>
        <w:t>Unger</w:t>
      </w:r>
      <w:r>
        <w:rPr>
          <w:spacing w:val="6"/>
          <w:sz w:val="20"/>
        </w:rPr>
        <w:t> </w:t>
      </w:r>
      <w:r>
        <w:rPr>
          <w:sz w:val="20"/>
        </w:rPr>
        <w:t>(1965)</w:t>
      </w:r>
      <w:r>
        <w:rPr>
          <w:spacing w:val="6"/>
          <w:sz w:val="20"/>
        </w:rPr>
        <w:t> </w:t>
      </w:r>
      <w:r>
        <w:rPr>
          <w:sz w:val="20"/>
        </w:rPr>
        <w:t>28</w:t>
      </w:r>
      <w:r>
        <w:rPr>
          <w:spacing w:val="6"/>
          <w:sz w:val="20"/>
        </w:rPr>
        <w:t> </w:t>
      </w:r>
      <w:r>
        <w:rPr>
          <w:sz w:val="20"/>
        </w:rPr>
        <w:t>M.L.R.</w:t>
      </w:r>
      <w:r>
        <w:rPr>
          <w:spacing w:val="6"/>
          <w:sz w:val="20"/>
        </w:rPr>
        <w:t> </w:t>
      </w:r>
      <w:r>
        <w:rPr>
          <w:sz w:val="20"/>
        </w:rPr>
        <w:t>231;</w:t>
      </w:r>
      <w:r>
        <w:rPr>
          <w:spacing w:val="6"/>
          <w:sz w:val="20"/>
        </w:rPr>
        <w:t> </w:t>
      </w:r>
      <w:r>
        <w:rPr>
          <w:sz w:val="20"/>
        </w:rPr>
        <w:t>cf.</w:t>
      </w:r>
      <w:r>
        <w:rPr>
          <w:spacing w:val="6"/>
          <w:sz w:val="20"/>
        </w:rPr>
        <w:t> </w:t>
      </w:r>
      <w:r>
        <w:rPr>
          <w:rFonts w:ascii="Arial"/>
          <w:i/>
          <w:spacing w:val="-5"/>
          <w:sz w:val="20"/>
        </w:rPr>
        <w:t>Re</w:t>
      </w:r>
    </w:p>
    <w:p>
      <w:pPr>
        <w:spacing w:line="227" w:lineRule="exact" w:before="0"/>
        <w:ind w:left="705" w:right="0" w:firstLine="0"/>
        <w:jc w:val="left"/>
        <w:rPr>
          <w:sz w:val="20"/>
        </w:rPr>
      </w:pPr>
      <w:r>
        <w:rPr>
          <w:rFonts w:ascii="Arial" w:hAnsi="Arial"/>
          <w:i/>
          <w:sz w:val="20"/>
        </w:rPr>
        <w:t>Venning</w:t>
      </w:r>
      <w:r>
        <w:rPr>
          <w:rFonts w:ascii="Arial" w:hAnsi="Arial"/>
          <w:i/>
          <w:spacing w:val="31"/>
          <w:sz w:val="20"/>
        </w:rPr>
        <w:t> </w:t>
      </w:r>
      <w:r>
        <w:rPr>
          <w:rFonts w:ascii="Arial" w:hAnsi="Arial"/>
          <w:i/>
          <w:sz w:val="20"/>
        </w:rPr>
        <w:t>[1947]</w:t>
      </w:r>
      <w:r>
        <w:rPr>
          <w:rFonts w:ascii="Arial" w:hAnsi="Arial"/>
          <w:i/>
          <w:spacing w:val="32"/>
          <w:sz w:val="20"/>
        </w:rPr>
        <w:t> </w:t>
      </w:r>
      <w:r>
        <w:rPr>
          <w:rFonts w:ascii="Arial" w:hAnsi="Arial"/>
          <w:i/>
          <w:sz w:val="20"/>
        </w:rPr>
        <w:t>W.N.</w:t>
      </w:r>
      <w:r>
        <w:rPr>
          <w:rFonts w:ascii="Arial" w:hAnsi="Arial"/>
          <w:i/>
          <w:spacing w:val="32"/>
          <w:sz w:val="20"/>
        </w:rPr>
        <w:t> </w:t>
      </w:r>
      <w:r>
        <w:rPr>
          <w:rFonts w:ascii="Arial" w:hAnsi="Arial"/>
          <w:i/>
          <w:sz w:val="20"/>
        </w:rPr>
        <w:t>196</w:t>
      </w:r>
      <w:r>
        <w:rPr>
          <w:sz w:val="20"/>
        </w:rPr>
        <w:t>.</w:t>
      </w:r>
      <w:r>
        <w:rPr>
          <w:spacing w:val="32"/>
          <w:sz w:val="20"/>
        </w:rPr>
        <w:t> </w:t>
      </w:r>
      <w:r>
        <w:rPr>
          <w:sz w:val="20"/>
        </w:rPr>
        <w:t>Gordon</w:t>
      </w:r>
      <w:r>
        <w:rPr>
          <w:spacing w:val="32"/>
          <w:sz w:val="20"/>
        </w:rPr>
        <w:t> </w:t>
      </w:r>
      <w:r>
        <w:rPr>
          <w:sz w:val="20"/>
        </w:rPr>
        <w:t>[1963]</w:t>
      </w:r>
      <w:r>
        <w:rPr>
          <w:spacing w:val="32"/>
          <w:sz w:val="20"/>
        </w:rPr>
        <w:t> </w:t>
      </w:r>
      <w:r>
        <w:rPr>
          <w:sz w:val="20"/>
        </w:rPr>
        <w:t>C.L.J.</w:t>
      </w:r>
      <w:r>
        <w:rPr>
          <w:spacing w:val="32"/>
          <w:sz w:val="20"/>
        </w:rPr>
        <w:t> </w:t>
      </w:r>
      <w:r>
        <w:rPr>
          <w:sz w:val="20"/>
        </w:rPr>
        <w:t>222</w:t>
      </w:r>
      <w:r>
        <w:rPr>
          <w:spacing w:val="32"/>
          <w:sz w:val="20"/>
        </w:rPr>
        <w:t> </w:t>
      </w:r>
      <w:r>
        <w:rPr>
          <w:sz w:val="20"/>
        </w:rPr>
        <w:t>objects</w:t>
      </w:r>
      <w:r>
        <w:rPr>
          <w:spacing w:val="32"/>
          <w:sz w:val="20"/>
        </w:rPr>
        <w:t> </w:t>
      </w:r>
      <w:r>
        <w:rPr>
          <w:sz w:val="20"/>
        </w:rPr>
        <w:t>to</w:t>
      </w:r>
      <w:r>
        <w:rPr>
          <w:spacing w:val="32"/>
          <w:sz w:val="20"/>
        </w:rPr>
        <w:t> </w:t>
      </w:r>
      <w:r>
        <w:rPr>
          <w:sz w:val="20"/>
        </w:rPr>
        <w:t>giving</w:t>
      </w:r>
      <w:r>
        <w:rPr>
          <w:spacing w:val="32"/>
          <w:sz w:val="20"/>
        </w:rPr>
        <w:t> </w:t>
      </w:r>
      <w:r>
        <w:rPr>
          <w:sz w:val="20"/>
        </w:rPr>
        <w:t>the</w:t>
      </w:r>
      <w:r>
        <w:rPr>
          <w:spacing w:val="32"/>
          <w:sz w:val="20"/>
        </w:rPr>
        <w:t> </w:t>
      </w:r>
      <w:r>
        <w:rPr>
          <w:sz w:val="20"/>
        </w:rPr>
        <w:t>creditors’</w:t>
      </w:r>
      <w:r>
        <w:rPr>
          <w:spacing w:val="32"/>
          <w:sz w:val="20"/>
        </w:rPr>
        <w:t> </w:t>
      </w:r>
      <w:r>
        <w:rPr>
          <w:spacing w:val="-2"/>
          <w:sz w:val="20"/>
        </w:rPr>
        <w:t>promise</w:t>
      </w:r>
    </w:p>
    <w:p>
      <w:pPr>
        <w:spacing w:after="0" w:line="227" w:lineRule="exact"/>
        <w:jc w:val="left"/>
        <w:rPr>
          <w:sz w:val="20"/>
        </w:rPr>
        <w:sectPr>
          <w:type w:val="continuous"/>
          <w:pgSz w:w="11900" w:h="16840"/>
          <w:pgMar w:header="971" w:footer="0" w:top="3760" w:bottom="280" w:left="1275" w:right="1275"/>
        </w:sectPr>
      </w:pPr>
    </w:p>
    <w:p>
      <w:pPr>
        <w:pStyle w:val="BodyText"/>
        <w:spacing w:before="24"/>
      </w:pPr>
    </w:p>
    <w:p>
      <w:pPr>
        <w:pStyle w:val="BodyText"/>
        <w:spacing w:line="235" w:lineRule="auto" w:before="1"/>
        <w:ind w:left="705" w:right="167"/>
        <w:jc w:val="both"/>
      </w:pPr>
      <w:r>
        <w:rPr/>
        <w:t>even this limited effect, arguing that the equitable principle is limited to relief against forfeiture. But though </w:t>
      </w:r>
      <w:r>
        <w:rPr>
          <w:rFonts w:ascii="Arial"/>
          <w:i/>
        </w:rPr>
        <w:t>Hughes v Metropolitan Ry </w:t>
      </w:r>
      <w:r>
        <w:rPr/>
        <w:t>was a case of this kind, the equitable principle had developed since 1877 and is no longer restricted to such cases: see Wilson [1965] C.L.J. 93.</w:t>
      </w:r>
    </w:p>
    <w:p>
      <w:pPr>
        <w:pStyle w:val="BodyText"/>
        <w:spacing w:before="5"/>
      </w:pPr>
    </w:p>
    <w:p>
      <w:pPr>
        <w:tabs>
          <w:tab w:pos="705" w:val="left" w:leader="none"/>
        </w:tabs>
        <w:spacing w:before="0"/>
        <w:ind w:left="165" w:right="0" w:firstLine="0"/>
        <w:jc w:val="left"/>
        <w:rPr>
          <w:sz w:val="20"/>
        </w:rPr>
      </w:pPr>
      <w:bookmarkStart w:name="_bookmark1584" w:id="1586"/>
      <w:bookmarkEnd w:id="1586"/>
      <w:r>
        <w:rPr/>
      </w:r>
      <w:hyperlink w:history="true" w:anchor="_bookmark1520">
        <w:r>
          <w:rPr>
            <w:color w:val="005DA1"/>
            <w:spacing w:val="-4"/>
            <w:position w:val="5"/>
            <w:sz w:val="14"/>
            <w:u w:val="single" w:color="005DA1"/>
          </w:rPr>
          <w:t>818</w:t>
        </w:r>
      </w:hyperlink>
      <w:r>
        <w:rPr>
          <w:spacing w:val="-4"/>
          <w:position w:val="5"/>
          <w:sz w:val="14"/>
        </w:rPr>
        <w:t>.</w:t>
      </w:r>
      <w:r>
        <w:rPr>
          <w:position w:val="5"/>
          <w:sz w:val="14"/>
        </w:rPr>
        <w:tab/>
      </w:r>
      <w:r>
        <w:rPr>
          <w:sz w:val="20"/>
        </w:rPr>
        <w:t>Above, para.4-</w:t>
      </w:r>
      <w:r>
        <w:rPr>
          <w:spacing w:val="-4"/>
          <w:sz w:val="20"/>
        </w:rPr>
        <w:t>097.</w:t>
      </w:r>
    </w:p>
    <w:p>
      <w:pPr>
        <w:pStyle w:val="BodyText"/>
        <w:spacing w:before="8"/>
      </w:pPr>
    </w:p>
    <w:p>
      <w:pPr>
        <w:tabs>
          <w:tab w:pos="705" w:val="left" w:leader="none"/>
        </w:tabs>
        <w:spacing w:line="235" w:lineRule="auto" w:before="1"/>
        <w:ind w:left="705" w:right="168" w:hanging="541"/>
        <w:jc w:val="left"/>
        <w:rPr>
          <w:sz w:val="20"/>
        </w:rPr>
      </w:pPr>
      <w:bookmarkStart w:name="_bookmark1585" w:id="1587"/>
      <w:bookmarkEnd w:id="1587"/>
      <w:r>
        <w:rPr/>
      </w:r>
      <w:hyperlink w:history="true" w:anchor="_bookmark1521">
        <w:r>
          <w:rPr>
            <w:color w:val="005DA1"/>
            <w:spacing w:val="-4"/>
            <w:position w:val="5"/>
            <w:sz w:val="14"/>
            <w:u w:val="single" w:color="005DA1"/>
          </w:rPr>
          <w:t>819</w:t>
        </w:r>
      </w:hyperlink>
      <w:r>
        <w:rPr>
          <w:spacing w:val="-4"/>
          <w:position w:val="5"/>
          <w:sz w:val="14"/>
        </w:rPr>
        <w:t>.</w:t>
      </w:r>
      <w:r>
        <w:rPr>
          <w:position w:val="5"/>
          <w:sz w:val="14"/>
        </w:rPr>
        <w:tab/>
      </w:r>
      <w:r>
        <w:rPr>
          <w:sz w:val="20"/>
        </w:rPr>
        <w:t>e.g. in </w:t>
      </w:r>
      <w:r>
        <w:rPr>
          <w:rFonts w:ascii="Arial"/>
          <w:i/>
          <w:sz w:val="20"/>
        </w:rPr>
        <w:t>Ajayi v R.T. Briscoe (Nig.) Ltd [1964] 1 W.L.R. 1326</w:t>
      </w:r>
      <w:r>
        <w:rPr>
          <w:sz w:val="20"/>
        </w:rPr>
        <w:t>: see below, para.4-132, n.781. </w:t>
      </w:r>
      <w:r>
        <w:rPr>
          <w:sz w:val="20"/>
        </w:rPr>
        <w:t>This seems also to have been the position in </w:t>
      </w:r>
      <w:r>
        <w:rPr>
          <w:rFonts w:ascii="Arial"/>
          <w:i/>
          <w:sz w:val="20"/>
        </w:rPr>
        <w:t>Foakes v Beer</w:t>
      </w:r>
      <w:r>
        <w:rPr>
          <w:sz w:val="20"/>
        </w:rPr>
        <w:t>: see above, para.4-117, esp. at n.704.</w:t>
      </w:r>
    </w:p>
    <w:p>
      <w:pPr>
        <w:pStyle w:val="BodyText"/>
        <w:spacing w:before="9"/>
      </w:pPr>
    </w:p>
    <w:p>
      <w:pPr>
        <w:spacing w:line="235" w:lineRule="auto" w:before="0"/>
        <w:ind w:left="705" w:right="168" w:hanging="541"/>
        <w:jc w:val="both"/>
        <w:rPr>
          <w:sz w:val="20"/>
        </w:rPr>
      </w:pPr>
      <w:bookmarkStart w:name="_bookmark1586" w:id="1588"/>
      <w:bookmarkEnd w:id="1588"/>
      <w:r>
        <w:rPr/>
      </w:r>
      <w:hyperlink w:history="true" w:anchor="_bookmark1522">
        <w:r>
          <w:rPr>
            <w:color w:val="005DA1"/>
            <w:position w:val="5"/>
            <w:sz w:val="14"/>
            <w:u w:val="single" w:color="005DA1"/>
          </w:rPr>
          <w:t>820</w:t>
        </w:r>
      </w:hyperlink>
      <w:r>
        <w:rPr>
          <w:position w:val="5"/>
          <w:sz w:val="14"/>
        </w:rPr>
        <w:t>.</w:t>
      </w:r>
      <w:r>
        <w:rPr>
          <w:spacing w:val="40"/>
          <w:position w:val="5"/>
          <w:sz w:val="14"/>
        </w:rPr>
        <w:t>  </w:t>
      </w:r>
      <w:r>
        <w:rPr>
          <w:sz w:val="20"/>
        </w:rPr>
        <w:t>Originally made by Lord Denning in the </w:t>
      </w:r>
      <w:r>
        <w:rPr>
          <w:rFonts w:ascii="Arial"/>
          <w:i/>
          <w:sz w:val="20"/>
        </w:rPr>
        <w:t>High Trees </w:t>
      </w:r>
      <w:r>
        <w:rPr>
          <w:sz w:val="20"/>
        </w:rPr>
        <w:t>case at 134 and repeated by him in </w:t>
      </w:r>
      <w:r>
        <w:rPr>
          <w:rFonts w:ascii="Arial"/>
          <w:i/>
          <w:sz w:val="20"/>
        </w:rPr>
        <w:t>D. &amp; C. Builders Ltd v Rees [1966] 2 Q.B. 617, 624</w:t>
      </w:r>
      <w:r>
        <w:rPr>
          <w:sz w:val="20"/>
        </w:rPr>
        <w:t>; cf. </w:t>
      </w:r>
      <w:r>
        <w:rPr>
          <w:rFonts w:ascii="Arial"/>
          <w:i/>
          <w:sz w:val="20"/>
        </w:rPr>
        <w:t>W.J. Alan &amp; Co Ltd v El Nasr Export &amp; Import</w:t>
      </w:r>
      <w:r>
        <w:rPr>
          <w:rFonts w:ascii="Arial"/>
          <w:i/>
          <w:spacing w:val="40"/>
          <w:sz w:val="20"/>
        </w:rPr>
        <w:t> </w:t>
      </w:r>
      <w:r>
        <w:rPr>
          <w:rFonts w:ascii="Arial"/>
          <w:i/>
          <w:sz w:val="20"/>
        </w:rPr>
        <w:t>Co [1972] 2 Q.B. 189, 213</w:t>
      </w:r>
      <w:r>
        <w:rPr>
          <w:sz w:val="20"/>
        </w:rPr>
        <w:t>; and ibid., at 218, 220; but in that case there was consideration: above, para.4-080.</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bookmarkStart w:name="_bookmark1587" w:id="1589"/>
      <w:bookmarkEnd w:id="1589"/>
      <w:r>
        <w:rPr/>
      </w:r>
      <w:hyperlink w:history="true" w:anchor="_bookmark1523">
        <w:r>
          <w:rPr>
            <w:color w:val="005DA1"/>
            <w:spacing w:val="-4"/>
            <w:sz w:val="14"/>
            <w:u w:val="single" w:color="005DA1"/>
          </w:rPr>
          <w:t>821</w:t>
        </w:r>
      </w:hyperlink>
      <w:r>
        <w:rPr>
          <w:spacing w:val="-4"/>
          <w:sz w:val="14"/>
        </w:rPr>
        <w:t>.</w:t>
      </w:r>
    </w:p>
    <w:p>
      <w:pPr>
        <w:pStyle w:val="BodyText"/>
        <w:spacing w:line="235" w:lineRule="auto" w:before="212"/>
        <w:ind w:left="165" w:right="167" w:firstLine="170"/>
        <w:jc w:val="both"/>
        <w:rPr>
          <w:rFonts w:ascii="Arial" w:hAnsi="Arial"/>
          <w:i/>
        </w:rPr>
      </w:pPr>
      <w:r>
        <w:rPr/>
        <w:br w:type="column"/>
      </w:r>
      <w:r>
        <w:rPr/>
        <w:t>Provided, at any rate, that there was no duress: cf. above, para.4-118. In </w:t>
      </w:r>
      <w:r>
        <w:rPr>
          <w:rFonts w:ascii="Arial" w:hAnsi="Arial"/>
          <w:i/>
        </w:rPr>
        <w:t>Stevensdrake Ltd </w:t>
      </w:r>
      <w:r>
        <w:rPr>
          <w:rFonts w:ascii="Arial" w:hAnsi="Arial"/>
          <w:i/>
        </w:rPr>
        <w:t>v Hunt [2016] EWHC 1111 (Ch)</w:t>
      </w:r>
      <w:r>
        <w:rPr/>
        <w:t>, at [65], it was held that, where the creditor’s “agreement permanently to forego rights” was “clear and unequivocal”, and the other requirements of promissory estoppel were satisfied it would be wrong to treat the agreement as “merely suspensory”, with the result that “the doctrine of promissory estoppel [was] engaged” and made it “inequitable” for the creditor to pursue its claim against the debtor. In treating the issue of the extinctive (as opposed to the “suspensory”) effect of the doctrine as a matter of construction, this conclusion, though it may in the circumstance have been desirable as a matter of policy, is not easy to reconcile with earlier authorities (for example</w:t>
      </w:r>
      <w:r>
        <w:rPr>
          <w:spacing w:val="-1"/>
        </w:rPr>
        <w:t> </w:t>
      </w:r>
      <w:r>
        <w:rPr>
          <w:rFonts w:ascii="Arial" w:hAnsi="Arial"/>
          <w:i/>
        </w:rPr>
        <w:t>Foakes v Beer (1884) 9 App. Cas. </w:t>
      </w:r>
      <w:r>
        <w:rPr>
          <w:rFonts w:ascii="Arial" w:hAnsi="Arial"/>
          <w:i/>
          <w:spacing w:val="-5"/>
        </w:rPr>
        <w:t>605</w:t>
      </w:r>
    </w:p>
    <w:p>
      <w:pPr>
        <w:pStyle w:val="BodyText"/>
        <w:spacing w:line="223" w:lineRule="exact"/>
        <w:ind w:left="165"/>
        <w:jc w:val="both"/>
      </w:pPr>
      <w:r>
        <w:rPr/>
        <w:drawing>
          <wp:anchor distT="0" distB="0" distL="0" distR="0" allowOverlap="1" layoutInCell="1" locked="0" behindDoc="0" simplePos="0" relativeHeight="15805440">
            <wp:simplePos x="0" y="0"/>
            <wp:positionH relativeFrom="page">
              <wp:posOffset>1257846</wp:posOffset>
            </wp:positionH>
            <wp:positionV relativeFrom="paragraph">
              <wp:posOffset>-1262083</wp:posOffset>
            </wp:positionV>
            <wp:extent cx="107988" cy="107988"/>
            <wp:effectExtent l="0" t="0" r="0" b="0"/>
            <wp:wrapNone/>
            <wp:docPr id="303" name="Image 303"/>
            <wp:cNvGraphicFramePr>
              <a:graphicFrameLocks/>
            </wp:cNvGraphicFramePr>
            <a:graphic>
              <a:graphicData uri="http://schemas.openxmlformats.org/drawingml/2006/picture">
                <pic:pic>
                  <pic:nvPicPr>
                    <pic:cNvPr id="303" name="Image 303"/>
                    <pic:cNvPicPr/>
                  </pic:nvPicPr>
                  <pic:blipFill>
                    <a:blip r:embed="rId7" cstate="print"/>
                    <a:stretch>
                      <a:fillRect/>
                    </a:stretch>
                  </pic:blipFill>
                  <pic:spPr>
                    <a:xfrm>
                      <a:off x="0" y="0"/>
                      <a:ext cx="107988" cy="107988"/>
                    </a:xfrm>
                    <a:prstGeom prst="rect">
                      <a:avLst/>
                    </a:prstGeom>
                  </pic:spPr>
                </pic:pic>
              </a:graphicData>
            </a:graphic>
          </wp:anchor>
        </w:drawing>
      </w:r>
      <w:r>
        <w:rPr/>
        <w:t>, Vol.I, para.4-117) cited in the</w:t>
      </w:r>
      <w:r>
        <w:rPr>
          <w:spacing w:val="-1"/>
        </w:rPr>
        <w:t> </w:t>
      </w:r>
      <w:r>
        <w:rPr>
          <w:rFonts w:ascii="Arial"/>
          <w:i/>
        </w:rPr>
        <w:t>Stevensdrake</w:t>
      </w:r>
      <w:r>
        <w:rPr>
          <w:rFonts w:ascii="Arial"/>
          <w:i/>
          <w:spacing w:val="-1"/>
        </w:rPr>
        <w:t> </w:t>
      </w:r>
      <w:r>
        <w:rPr/>
        <w:t>case (above) at </w:t>
      </w:r>
      <w:r>
        <w:rPr>
          <w:spacing w:val="-2"/>
        </w:rPr>
        <w:t>[42].</w:t>
      </w:r>
    </w:p>
    <w:p>
      <w:pPr>
        <w:pStyle w:val="BodyText"/>
        <w:spacing w:after="0" w:line="223" w:lineRule="exact"/>
        <w:jc w:val="both"/>
        <w:sectPr>
          <w:type w:val="continuous"/>
          <w:pgSz w:w="11900" w:h="16840"/>
          <w:pgMar w:header="971" w:footer="0" w:top="3760" w:bottom="280" w:left="1275" w:right="1275"/>
          <w:cols w:num="2" w:equalWidth="0">
            <w:col w:w="478" w:space="63"/>
            <w:col w:w="8809"/>
          </w:cols>
        </w:sectPr>
      </w:pPr>
    </w:p>
    <w:p>
      <w:pPr>
        <w:pStyle w:val="BodyText"/>
        <w:spacing w:before="9"/>
      </w:pPr>
    </w:p>
    <w:p>
      <w:pPr>
        <w:spacing w:line="235" w:lineRule="auto" w:before="0"/>
        <w:ind w:left="705" w:right="167" w:hanging="541"/>
        <w:jc w:val="both"/>
        <w:rPr>
          <w:sz w:val="20"/>
        </w:rPr>
      </w:pPr>
      <w:bookmarkStart w:name="_bookmark1588" w:id="1590"/>
      <w:bookmarkEnd w:id="1590"/>
      <w:r>
        <w:rPr/>
      </w:r>
      <w:hyperlink w:history="true" w:anchor="_bookmark1524">
        <w:r>
          <w:rPr>
            <w:color w:val="005DA1"/>
            <w:position w:val="5"/>
            <w:sz w:val="14"/>
            <w:u w:val="single" w:color="005DA1"/>
          </w:rPr>
          <w:t>822</w:t>
        </w:r>
      </w:hyperlink>
      <w:r>
        <w:rPr>
          <w:position w:val="5"/>
          <w:sz w:val="14"/>
        </w:rPr>
        <w:t>.</w:t>
      </w:r>
      <w:r>
        <w:rPr>
          <w:spacing w:val="40"/>
          <w:position w:val="5"/>
          <w:sz w:val="14"/>
        </w:rPr>
        <w:t>  </w:t>
      </w:r>
      <w:r>
        <w:rPr>
          <w:rFonts w:ascii="Arial" w:hAnsi="Arial"/>
          <w:i/>
          <w:sz w:val="20"/>
        </w:rPr>
        <w:t>Woodhouse A.C. Israel Cocoa Ltd v Nigerian Produce Marketing Co [1972] A.C. 741, 758</w:t>
      </w:r>
      <w:r>
        <w:rPr>
          <w:sz w:val="20"/>
        </w:rPr>
        <w:t>; cf. </w:t>
      </w:r>
      <w:r>
        <w:rPr>
          <w:rFonts w:ascii="Arial" w:hAnsi="Arial"/>
          <w:i/>
          <w:sz w:val="20"/>
        </w:rPr>
        <w:t>Baird Textile Holdings Ltd v Marks &amp; Spencer plc [2001] EWCA Civ 274; [2002] 1 All E.R. (Comm) 737 </w:t>
      </w:r>
      <w:r>
        <w:rPr>
          <w:sz w:val="20"/>
        </w:rPr>
        <w:t>at [49] (“not yet … fully developed”).</w:t>
      </w:r>
    </w:p>
    <w:p>
      <w:pPr>
        <w:pStyle w:val="BodyText"/>
        <w:spacing w:before="5"/>
      </w:pPr>
    </w:p>
    <w:p>
      <w:pPr>
        <w:tabs>
          <w:tab w:pos="705" w:val="left" w:leader="none"/>
        </w:tabs>
        <w:spacing w:before="0"/>
        <w:ind w:left="165" w:right="0" w:firstLine="0"/>
        <w:jc w:val="left"/>
        <w:rPr>
          <w:sz w:val="20"/>
        </w:rPr>
      </w:pPr>
      <w:bookmarkStart w:name="_bookmark1589" w:id="1591"/>
      <w:bookmarkEnd w:id="1591"/>
      <w:r>
        <w:rPr/>
      </w:r>
      <w:hyperlink w:history="true" w:anchor="_bookmark1525">
        <w:r>
          <w:rPr>
            <w:color w:val="005DA1"/>
            <w:spacing w:val="-4"/>
            <w:position w:val="5"/>
            <w:sz w:val="14"/>
            <w:u w:val="single" w:color="005DA1"/>
          </w:rPr>
          <w:t>823</w:t>
        </w:r>
      </w:hyperlink>
      <w:r>
        <w:rPr>
          <w:spacing w:val="-4"/>
          <w:position w:val="5"/>
          <w:sz w:val="14"/>
        </w:rPr>
        <w:t>.</w:t>
      </w:r>
      <w:r>
        <w:rPr>
          <w:position w:val="5"/>
          <w:sz w:val="14"/>
        </w:rPr>
        <w:tab/>
      </w:r>
      <w:r>
        <w:rPr>
          <w:sz w:val="20"/>
        </w:rPr>
        <w:t>As in the</w:t>
      </w:r>
      <w:r>
        <w:rPr>
          <w:spacing w:val="-1"/>
          <w:sz w:val="20"/>
        </w:rPr>
        <w:t> </w:t>
      </w:r>
      <w:r>
        <w:rPr>
          <w:rFonts w:ascii="Arial"/>
          <w:i/>
          <w:sz w:val="20"/>
        </w:rPr>
        <w:t>High Trees</w:t>
      </w:r>
      <w:r>
        <w:rPr>
          <w:rFonts w:ascii="Arial"/>
          <w:i/>
          <w:spacing w:val="-1"/>
          <w:sz w:val="20"/>
        </w:rPr>
        <w:t> </w:t>
      </w:r>
      <w:r>
        <w:rPr>
          <w:sz w:val="20"/>
        </w:rPr>
        <w:t>case, above, para.4-</w:t>
      </w:r>
      <w:r>
        <w:rPr>
          <w:spacing w:val="-4"/>
          <w:sz w:val="20"/>
        </w:rPr>
        <w:t>130.</w:t>
      </w:r>
    </w:p>
    <w:p>
      <w:pPr>
        <w:pStyle w:val="BodyText"/>
        <w:spacing w:before="5"/>
      </w:pPr>
    </w:p>
    <w:p>
      <w:pPr>
        <w:tabs>
          <w:tab w:pos="705" w:val="left" w:leader="none"/>
        </w:tabs>
        <w:spacing w:before="0"/>
        <w:ind w:left="165" w:right="0" w:firstLine="0"/>
        <w:jc w:val="left"/>
        <w:rPr>
          <w:sz w:val="20"/>
        </w:rPr>
      </w:pPr>
      <w:bookmarkStart w:name="_bookmark1590" w:id="1592"/>
      <w:bookmarkEnd w:id="1592"/>
      <w:r>
        <w:rPr/>
      </w:r>
      <w:hyperlink w:history="true" w:anchor="_bookmark1525">
        <w:r>
          <w:rPr>
            <w:color w:val="005DA1"/>
            <w:spacing w:val="-4"/>
            <w:position w:val="5"/>
            <w:sz w:val="14"/>
            <w:u w:val="single" w:color="005DA1"/>
          </w:rPr>
          <w:t>824</w:t>
        </w:r>
      </w:hyperlink>
      <w:r>
        <w:rPr>
          <w:spacing w:val="-4"/>
          <w:position w:val="5"/>
          <w:sz w:val="14"/>
        </w:rPr>
        <w:t>.</w:t>
      </w:r>
      <w:r>
        <w:rPr>
          <w:position w:val="5"/>
          <w:sz w:val="14"/>
        </w:rPr>
        <w:tab/>
      </w:r>
      <w:r>
        <w:rPr>
          <w:sz w:val="20"/>
        </w:rPr>
        <w:t>As</w:t>
      </w:r>
      <w:r>
        <w:rPr>
          <w:spacing w:val="-1"/>
          <w:sz w:val="20"/>
        </w:rPr>
        <w:t> </w:t>
      </w:r>
      <w:r>
        <w:rPr>
          <w:sz w:val="20"/>
        </w:rPr>
        <w:t>in the</w:t>
      </w:r>
      <w:r>
        <w:rPr>
          <w:spacing w:val="-1"/>
          <w:sz w:val="20"/>
        </w:rPr>
        <w:t> </w:t>
      </w:r>
      <w:r>
        <w:rPr>
          <w:rFonts w:ascii="Arial"/>
          <w:i/>
          <w:sz w:val="20"/>
        </w:rPr>
        <w:t>Tool Metal case [1955] 1 W.L.R. 761</w:t>
      </w:r>
      <w:r>
        <w:rPr>
          <w:sz w:val="20"/>
        </w:rPr>
        <w:t>, discussed in para.4-133, </w:t>
      </w:r>
      <w:r>
        <w:rPr>
          <w:spacing w:val="-2"/>
          <w:sz w:val="20"/>
        </w:rPr>
        <w:t>below.</w:t>
      </w:r>
    </w:p>
    <w:p>
      <w:pPr>
        <w:pStyle w:val="BodyText"/>
        <w:spacing w:before="5"/>
      </w:pPr>
    </w:p>
    <w:p>
      <w:pPr>
        <w:tabs>
          <w:tab w:pos="705" w:val="left" w:leader="none"/>
        </w:tabs>
        <w:spacing w:before="0"/>
        <w:ind w:left="165" w:right="0" w:firstLine="0"/>
        <w:jc w:val="left"/>
        <w:rPr>
          <w:sz w:val="20"/>
        </w:rPr>
      </w:pPr>
      <w:bookmarkStart w:name="_bookmark1591" w:id="1593"/>
      <w:bookmarkEnd w:id="1593"/>
      <w:r>
        <w:rPr/>
      </w:r>
      <w:hyperlink w:history="true" w:anchor="_bookmark1526">
        <w:r>
          <w:rPr>
            <w:color w:val="005DA1"/>
            <w:spacing w:val="-4"/>
            <w:position w:val="5"/>
            <w:sz w:val="14"/>
            <w:u w:val="single" w:color="005DA1"/>
          </w:rPr>
          <w:t>825</w:t>
        </w:r>
      </w:hyperlink>
      <w:r>
        <w:rPr>
          <w:spacing w:val="-4"/>
          <w:position w:val="5"/>
          <w:sz w:val="14"/>
        </w:rPr>
        <w:t>.</w:t>
      </w:r>
      <w:r>
        <w:rPr>
          <w:position w:val="5"/>
          <w:sz w:val="14"/>
        </w:rPr>
        <w:tab/>
      </w:r>
      <w:r>
        <w:rPr>
          <w:sz w:val="20"/>
        </w:rPr>
        <w:t>As</w:t>
      </w:r>
      <w:r>
        <w:rPr>
          <w:spacing w:val="-2"/>
          <w:sz w:val="20"/>
        </w:rPr>
        <w:t> </w:t>
      </w:r>
      <w:r>
        <w:rPr>
          <w:sz w:val="20"/>
        </w:rPr>
        <w:t>in</w:t>
      </w:r>
      <w:r>
        <w:rPr>
          <w:spacing w:val="-1"/>
          <w:sz w:val="20"/>
        </w:rPr>
        <w:t> </w:t>
      </w:r>
      <w:r>
        <w:rPr>
          <w:rFonts w:ascii="Arial"/>
          <w:i/>
          <w:sz w:val="20"/>
        </w:rPr>
        <w:t>Ajayi v R.T. Briscoe (Nig.) Ltd [1964] 1 W.L.R. </w:t>
      </w:r>
      <w:r>
        <w:rPr>
          <w:rFonts w:ascii="Arial"/>
          <w:i/>
          <w:spacing w:val="-2"/>
          <w:sz w:val="20"/>
        </w:rPr>
        <w:t>1326</w:t>
      </w:r>
      <w:r>
        <w:rPr>
          <w:spacing w:val="-2"/>
          <w:sz w:val="20"/>
        </w:rPr>
        <w:t>.</w:t>
      </w:r>
    </w:p>
    <w:p>
      <w:pPr>
        <w:pStyle w:val="BodyText"/>
        <w:spacing w:before="9"/>
      </w:pPr>
    </w:p>
    <w:p>
      <w:pPr>
        <w:spacing w:line="235" w:lineRule="auto" w:before="0"/>
        <w:ind w:left="705" w:right="167" w:hanging="541"/>
        <w:jc w:val="both"/>
        <w:rPr>
          <w:sz w:val="20"/>
        </w:rPr>
      </w:pPr>
      <w:bookmarkStart w:name="_bookmark1592" w:id="1594"/>
      <w:bookmarkEnd w:id="1594"/>
      <w:r>
        <w:rPr/>
      </w:r>
      <w:hyperlink w:history="true" w:anchor="_bookmark1527">
        <w:r>
          <w:rPr>
            <w:color w:val="005DA1"/>
            <w:position w:val="5"/>
            <w:sz w:val="14"/>
            <w:u w:val="single" w:color="005DA1"/>
          </w:rPr>
          <w:t>826</w:t>
        </w:r>
      </w:hyperlink>
      <w:r>
        <w:rPr>
          <w:position w:val="5"/>
          <w:sz w:val="14"/>
        </w:rPr>
        <w:t>.</w:t>
      </w:r>
      <w:r>
        <w:rPr>
          <w:spacing w:val="80"/>
          <w:position w:val="5"/>
          <w:sz w:val="14"/>
        </w:rPr>
        <w:t>  </w:t>
      </w:r>
      <w:r>
        <w:rPr>
          <w:rFonts w:ascii="Arial" w:hAnsi="Arial"/>
          <w:i/>
          <w:sz w:val="20"/>
        </w:rPr>
        <w:t>Banning v Wright [1972] 1 W.L.R. 972, 981</w:t>
      </w:r>
      <w:r>
        <w:rPr>
          <w:sz w:val="20"/>
        </w:rPr>
        <w:t>; cf. </w:t>
      </w:r>
      <w:r>
        <w:rPr>
          <w:rFonts w:ascii="Arial" w:hAnsi="Arial"/>
          <w:i/>
          <w:sz w:val="20"/>
        </w:rPr>
        <w:t>W.J. Alan &amp; Co Ltd v El Nasr Export &amp; Import</w:t>
      </w:r>
      <w:r>
        <w:rPr>
          <w:rFonts w:ascii="Arial" w:hAnsi="Arial"/>
          <w:i/>
          <w:spacing w:val="80"/>
          <w:sz w:val="20"/>
        </w:rPr>
        <w:t> </w:t>
      </w:r>
      <w:r>
        <w:rPr>
          <w:rFonts w:ascii="Arial" w:hAnsi="Arial"/>
          <w:i/>
          <w:sz w:val="20"/>
        </w:rPr>
        <w:t>Co [1972] 2 Q.B. 189, 213</w:t>
      </w:r>
      <w:r>
        <w:rPr>
          <w:sz w:val="20"/>
        </w:rPr>
        <w:t>; in </w:t>
      </w:r>
      <w:r>
        <w:rPr>
          <w:rFonts w:ascii="Arial" w:hAnsi="Arial"/>
          <w:i/>
          <w:sz w:val="20"/>
        </w:rPr>
        <w:t>Bottiglieri di Navigazione v Cosco Quindao Ocean Shipping </w:t>
      </w:r>
      <w:r>
        <w:rPr>
          <w:rFonts w:ascii="Arial" w:hAnsi="Arial"/>
          <w:i/>
          <w:sz w:val="20"/>
        </w:rPr>
        <w:t>Co (The Bunge Saga Lima) [2005] EWHC 244 (Comm), [2005] 1 Lloyd’s Rep. 1 </w:t>
      </w:r>
      <w:r>
        <w:rPr>
          <w:sz w:val="20"/>
        </w:rPr>
        <w:t>it was said at [31] that “no revocation can be retrospective”; but this statement is, with respect, open to question for the reason given in para.4-098 n.533.</w:t>
      </w:r>
    </w:p>
    <w:p>
      <w:pPr>
        <w:pStyle w:val="BodyText"/>
        <w:spacing w:before="8"/>
      </w:pPr>
    </w:p>
    <w:p>
      <w:pPr>
        <w:spacing w:line="235" w:lineRule="auto" w:before="0"/>
        <w:ind w:left="705" w:right="167" w:hanging="541"/>
        <w:jc w:val="both"/>
        <w:rPr>
          <w:sz w:val="20"/>
        </w:rPr>
      </w:pPr>
      <w:bookmarkStart w:name="_bookmark1593" w:id="1595"/>
      <w:bookmarkEnd w:id="1595"/>
      <w:r>
        <w:rPr/>
      </w:r>
      <w:hyperlink w:history="true" w:anchor="_bookmark1528">
        <w:r>
          <w:rPr>
            <w:color w:val="005DA1"/>
            <w:position w:val="5"/>
            <w:sz w:val="14"/>
            <w:u w:val="single" w:color="005DA1"/>
          </w:rPr>
          <w:t>827</w:t>
        </w:r>
      </w:hyperlink>
      <w:r>
        <w:rPr>
          <w:position w:val="5"/>
          <w:sz w:val="14"/>
        </w:rPr>
        <w:t>.</w:t>
      </w:r>
      <w:r>
        <w:rPr>
          <w:spacing w:val="80"/>
          <w:position w:val="5"/>
          <w:sz w:val="14"/>
        </w:rPr>
        <w:t>  </w:t>
      </w:r>
      <w:r>
        <w:rPr>
          <w:sz w:val="20"/>
        </w:rPr>
        <w:t>This</w:t>
      </w:r>
      <w:r>
        <w:rPr>
          <w:spacing w:val="-2"/>
          <w:sz w:val="20"/>
        </w:rPr>
        <w:t> </w:t>
      </w:r>
      <w:r>
        <w:rPr>
          <w:sz w:val="20"/>
        </w:rPr>
        <w:t>would</w:t>
      </w:r>
      <w:r>
        <w:rPr>
          <w:spacing w:val="-2"/>
          <w:sz w:val="20"/>
        </w:rPr>
        <w:t> </w:t>
      </w:r>
      <w:r>
        <w:rPr>
          <w:sz w:val="20"/>
        </w:rPr>
        <w:t>be</w:t>
      </w:r>
      <w:r>
        <w:rPr>
          <w:spacing w:val="-2"/>
          <w:sz w:val="20"/>
        </w:rPr>
        <w:t> </w:t>
      </w:r>
      <w:r>
        <w:rPr>
          <w:sz w:val="20"/>
        </w:rPr>
        <w:t>so</w:t>
      </w:r>
      <w:r>
        <w:rPr>
          <w:spacing w:val="-2"/>
          <w:sz w:val="20"/>
        </w:rPr>
        <w:t> </w:t>
      </w:r>
      <w:r>
        <w:rPr>
          <w:sz w:val="20"/>
        </w:rPr>
        <w:t>in</w:t>
      </w:r>
      <w:r>
        <w:rPr>
          <w:spacing w:val="-2"/>
          <w:sz w:val="20"/>
        </w:rPr>
        <w:t> </w:t>
      </w:r>
      <w:r>
        <w:rPr>
          <w:sz w:val="20"/>
        </w:rPr>
        <w:t>cases</w:t>
      </w:r>
      <w:r>
        <w:rPr>
          <w:spacing w:val="-2"/>
          <w:sz w:val="20"/>
        </w:rPr>
        <w:t> </w:t>
      </w:r>
      <w:r>
        <w:rPr>
          <w:sz w:val="20"/>
        </w:rPr>
        <w:t>like</w:t>
      </w:r>
      <w:r>
        <w:rPr>
          <w:spacing w:val="-2"/>
          <w:sz w:val="20"/>
        </w:rPr>
        <w:t> </w:t>
      </w:r>
      <w:r>
        <w:rPr>
          <w:sz w:val="20"/>
        </w:rPr>
        <w:t>the</w:t>
      </w:r>
      <w:r>
        <w:rPr>
          <w:spacing w:val="-3"/>
          <w:sz w:val="20"/>
        </w:rPr>
        <w:t> </w:t>
      </w:r>
      <w:r>
        <w:rPr>
          <w:rFonts w:ascii="Arial" w:hAnsi="Arial"/>
          <w:i/>
          <w:sz w:val="20"/>
        </w:rPr>
        <w:t>High</w:t>
      </w:r>
      <w:r>
        <w:rPr>
          <w:rFonts w:ascii="Arial" w:hAnsi="Arial"/>
          <w:i/>
          <w:spacing w:val="-2"/>
          <w:sz w:val="20"/>
        </w:rPr>
        <w:t> </w:t>
      </w:r>
      <w:r>
        <w:rPr>
          <w:rFonts w:ascii="Arial" w:hAnsi="Arial"/>
          <w:i/>
          <w:sz w:val="20"/>
        </w:rPr>
        <w:t>Trees</w:t>
      </w:r>
      <w:r>
        <w:rPr>
          <w:rFonts w:ascii="Arial" w:hAnsi="Arial"/>
          <w:i/>
          <w:spacing w:val="-2"/>
          <w:sz w:val="20"/>
        </w:rPr>
        <w:t> </w:t>
      </w:r>
      <w:r>
        <w:rPr>
          <w:sz w:val="20"/>
        </w:rPr>
        <w:t>case</w:t>
      </w:r>
      <w:r>
        <w:rPr>
          <w:spacing w:val="-2"/>
          <w:sz w:val="20"/>
        </w:rPr>
        <w:t> </w:t>
      </w:r>
      <w:r>
        <w:rPr>
          <w:sz w:val="20"/>
        </w:rPr>
        <w:t>and</w:t>
      </w:r>
      <w:r>
        <w:rPr>
          <w:spacing w:val="-2"/>
          <w:sz w:val="20"/>
        </w:rPr>
        <w:t> </w:t>
      </w:r>
      <w:r>
        <w:rPr>
          <w:sz w:val="20"/>
        </w:rPr>
        <w:t>the</w:t>
      </w:r>
      <w:r>
        <w:rPr>
          <w:spacing w:val="-2"/>
          <w:sz w:val="20"/>
        </w:rPr>
        <w:t> </w:t>
      </w:r>
      <w:r>
        <w:rPr>
          <w:rFonts w:ascii="Arial" w:hAnsi="Arial"/>
          <w:i/>
          <w:sz w:val="20"/>
        </w:rPr>
        <w:t>Tool</w:t>
      </w:r>
      <w:r>
        <w:rPr>
          <w:rFonts w:ascii="Arial" w:hAnsi="Arial"/>
          <w:i/>
          <w:spacing w:val="-2"/>
          <w:sz w:val="20"/>
        </w:rPr>
        <w:t> </w:t>
      </w:r>
      <w:r>
        <w:rPr>
          <w:rFonts w:ascii="Arial" w:hAnsi="Arial"/>
          <w:i/>
          <w:sz w:val="20"/>
        </w:rPr>
        <w:t>Metal</w:t>
      </w:r>
      <w:r>
        <w:rPr>
          <w:rFonts w:ascii="Arial" w:hAnsi="Arial"/>
          <w:i/>
          <w:spacing w:val="-2"/>
          <w:sz w:val="20"/>
        </w:rPr>
        <w:t> </w:t>
      </w:r>
      <w:r>
        <w:rPr>
          <w:sz w:val="20"/>
        </w:rPr>
        <w:t>case</w:t>
      </w:r>
      <w:r>
        <w:rPr>
          <w:spacing w:val="-2"/>
          <w:sz w:val="20"/>
        </w:rPr>
        <w:t> </w:t>
      </w:r>
      <w:r>
        <w:rPr>
          <w:sz w:val="20"/>
        </w:rPr>
        <w:t>(below,</w:t>
      </w:r>
      <w:r>
        <w:rPr>
          <w:spacing w:val="-2"/>
          <w:sz w:val="20"/>
        </w:rPr>
        <w:t> </w:t>
      </w:r>
      <w:r>
        <w:rPr>
          <w:sz w:val="20"/>
        </w:rPr>
        <w:t>para.4-</w:t>
      </w:r>
      <w:r>
        <w:rPr>
          <w:sz w:val="20"/>
        </w:rPr>
        <w:t>133) but probably not in a case like </w:t>
      </w:r>
      <w:r>
        <w:rPr>
          <w:rFonts w:ascii="Arial" w:hAnsi="Arial"/>
          <w:i/>
          <w:sz w:val="20"/>
        </w:rPr>
        <w:t>Ajayi v R.T. Briscoe (Nig.) Ltd [1964] 1 W.L.R. 1326</w:t>
      </w:r>
      <w:r>
        <w:rPr>
          <w:sz w:val="20"/>
        </w:rPr>
        <w:t>, as the promise there “was not intended to be irrevocable:” </w:t>
      </w:r>
      <w:r>
        <w:rPr>
          <w:rFonts w:ascii="Arial" w:hAnsi="Arial"/>
          <w:i/>
          <w:sz w:val="20"/>
        </w:rPr>
        <w:t>Meng Long Development Pte Ltd v Jip</w:t>
      </w:r>
      <w:r>
        <w:rPr>
          <w:rFonts w:ascii="Arial" w:hAnsi="Arial"/>
          <w:i/>
          <w:spacing w:val="40"/>
          <w:sz w:val="20"/>
        </w:rPr>
        <w:t> </w:t>
      </w:r>
      <w:r>
        <w:rPr>
          <w:rFonts w:ascii="Arial" w:hAnsi="Arial"/>
          <w:i/>
          <w:sz w:val="20"/>
        </w:rPr>
        <w:t>Hong Trading Pte Ltd [1985] A.C. 511, 524</w:t>
      </w:r>
      <w:r>
        <w:rPr>
          <w:sz w:val="20"/>
        </w:rPr>
        <w:t>. </w:t>
      </w:r>
      <w:r>
        <w:rPr>
          <w:rFonts w:ascii="Arial" w:hAnsi="Arial"/>
          <w:i/>
          <w:sz w:val="20"/>
        </w:rPr>
        <w:t>J.T. Sydenham &amp; Co Ltd v Enichem Elastometers Ltd [1989] E.G.L.R. 257, 260 </w:t>
      </w:r>
      <w:r>
        <w:rPr>
          <w:sz w:val="20"/>
        </w:rPr>
        <w:t>(discussed by Cartwright [1990] C.L.J. 13) purports to give the “estoppel” an extinctive effect; but the amount of rent due in that case was in dispute, so that</w:t>
      </w:r>
      <w:r>
        <w:rPr>
          <w:spacing w:val="40"/>
          <w:sz w:val="20"/>
        </w:rPr>
        <w:t> </w:t>
      </w:r>
      <w:r>
        <w:rPr>
          <w:sz w:val="20"/>
        </w:rPr>
        <w:t>the actual decision is explicable on the ground stated in para.4-120, above.</w:t>
      </w:r>
    </w:p>
    <w:p>
      <w:pPr>
        <w:pStyle w:val="BodyText"/>
        <w:spacing w:before="7"/>
      </w:pPr>
    </w:p>
    <w:p>
      <w:pPr>
        <w:tabs>
          <w:tab w:pos="705" w:val="left" w:leader="none"/>
        </w:tabs>
        <w:spacing w:line="235" w:lineRule="auto" w:before="1"/>
        <w:ind w:left="705" w:right="168" w:hanging="541"/>
        <w:jc w:val="left"/>
        <w:rPr>
          <w:sz w:val="20"/>
        </w:rPr>
      </w:pPr>
      <w:bookmarkStart w:name="_bookmark1594" w:id="1596"/>
      <w:bookmarkEnd w:id="1596"/>
      <w:r>
        <w:rPr/>
      </w:r>
      <w:hyperlink w:history="true" w:anchor="_bookmark1529">
        <w:r>
          <w:rPr>
            <w:color w:val="005DA1"/>
            <w:spacing w:val="-4"/>
            <w:position w:val="5"/>
            <w:sz w:val="14"/>
            <w:u w:val="single" w:color="005DA1"/>
          </w:rPr>
          <w:t>828</w:t>
        </w:r>
      </w:hyperlink>
      <w:r>
        <w:rPr>
          <w:spacing w:val="-4"/>
          <w:position w:val="5"/>
          <w:sz w:val="14"/>
        </w:rPr>
        <w:t>.</w:t>
      </w:r>
      <w:r>
        <w:rPr>
          <w:position w:val="5"/>
          <w:sz w:val="14"/>
        </w:rPr>
        <w:tab/>
      </w:r>
      <w:r>
        <w:rPr>
          <w:rFonts w:ascii="Arial" w:hAnsi="Arial"/>
          <w:i/>
          <w:sz w:val="20"/>
        </w:rPr>
        <w:t>Hardwick v Johnson [1978] 1 W.L.R. 683 </w:t>
      </w:r>
      <w:r>
        <w:rPr>
          <w:sz w:val="20"/>
        </w:rPr>
        <w:t>(where the creditor was said at 691 to have agreed </w:t>
      </w:r>
      <w:r>
        <w:rPr>
          <w:sz w:val="20"/>
        </w:rPr>
        <w:t>to “postpone” the debtor’s obligation to pay instalments).</w:t>
      </w:r>
    </w:p>
    <w:p>
      <w:pPr>
        <w:pStyle w:val="BodyText"/>
        <w:spacing w:before="5"/>
      </w:pPr>
    </w:p>
    <w:p>
      <w:pPr>
        <w:tabs>
          <w:tab w:pos="705" w:val="left" w:leader="none"/>
        </w:tabs>
        <w:spacing w:before="0"/>
        <w:ind w:left="165" w:right="0" w:firstLine="0"/>
        <w:jc w:val="left"/>
        <w:rPr>
          <w:sz w:val="20"/>
        </w:rPr>
      </w:pPr>
      <w:bookmarkStart w:name="_bookmark1595" w:id="1597"/>
      <w:bookmarkEnd w:id="1597"/>
      <w:r>
        <w:rPr/>
      </w:r>
      <w:hyperlink w:history="true" w:anchor="_bookmark1530">
        <w:r>
          <w:rPr>
            <w:color w:val="005DA1"/>
            <w:spacing w:val="-4"/>
            <w:position w:val="5"/>
            <w:sz w:val="14"/>
            <w:u w:val="single" w:color="005DA1"/>
          </w:rPr>
          <w:t>829</w:t>
        </w:r>
      </w:hyperlink>
      <w:r>
        <w:rPr>
          <w:spacing w:val="-4"/>
          <w:position w:val="5"/>
          <w:sz w:val="14"/>
        </w:rPr>
        <w:t>.</w:t>
      </w:r>
      <w:r>
        <w:rPr>
          <w:position w:val="5"/>
          <w:sz w:val="14"/>
        </w:rPr>
        <w:tab/>
      </w:r>
      <w:r>
        <w:rPr>
          <w:rFonts w:ascii="Arial"/>
          <w:i/>
          <w:sz w:val="20"/>
        </w:rPr>
        <w:t>[1955]</w:t>
      </w:r>
      <w:r>
        <w:rPr>
          <w:rFonts w:ascii="Arial"/>
          <w:i/>
          <w:spacing w:val="-1"/>
          <w:sz w:val="20"/>
        </w:rPr>
        <w:t> </w:t>
      </w:r>
      <w:r>
        <w:rPr>
          <w:rFonts w:ascii="Arial"/>
          <w:i/>
          <w:sz w:val="20"/>
        </w:rPr>
        <w:t>1 W.L.R. 761</w:t>
      </w:r>
      <w:r>
        <w:rPr>
          <w:sz w:val="20"/>
        </w:rPr>
        <w:t>; Smith (1955) 18 M.L.R. </w:t>
      </w:r>
      <w:r>
        <w:rPr>
          <w:spacing w:val="-4"/>
          <w:sz w:val="20"/>
        </w:rPr>
        <w:t>609.</w:t>
      </w:r>
    </w:p>
    <w:p>
      <w:pPr>
        <w:pStyle w:val="BodyText"/>
        <w:spacing w:before="5"/>
      </w:pPr>
    </w:p>
    <w:p>
      <w:pPr>
        <w:tabs>
          <w:tab w:pos="705" w:val="left" w:leader="none"/>
        </w:tabs>
        <w:spacing w:before="0"/>
        <w:ind w:left="165" w:right="0" w:firstLine="0"/>
        <w:jc w:val="left"/>
        <w:rPr>
          <w:sz w:val="20"/>
        </w:rPr>
      </w:pPr>
      <w:bookmarkStart w:name="_bookmark1596" w:id="1598"/>
      <w:bookmarkEnd w:id="1598"/>
      <w:r>
        <w:rPr/>
      </w:r>
      <w:hyperlink w:history="true" w:anchor="_bookmark1531">
        <w:r>
          <w:rPr>
            <w:color w:val="005DA1"/>
            <w:spacing w:val="-4"/>
            <w:position w:val="5"/>
            <w:sz w:val="14"/>
            <w:u w:val="single" w:color="005DA1"/>
          </w:rPr>
          <w:t>830</w:t>
        </w:r>
      </w:hyperlink>
      <w:r>
        <w:rPr>
          <w:spacing w:val="-4"/>
          <w:position w:val="5"/>
          <w:sz w:val="14"/>
        </w:rPr>
        <w:t>.</w:t>
      </w:r>
      <w:r>
        <w:rPr>
          <w:position w:val="5"/>
          <w:sz w:val="14"/>
        </w:rPr>
        <w:tab/>
      </w:r>
      <w:r>
        <w:rPr>
          <w:rFonts w:ascii="Arial"/>
          <w:i/>
          <w:sz w:val="20"/>
        </w:rPr>
        <w:t>(1877)</w:t>
      </w:r>
      <w:r>
        <w:rPr>
          <w:rFonts w:ascii="Arial"/>
          <w:i/>
          <w:spacing w:val="-1"/>
          <w:sz w:val="20"/>
        </w:rPr>
        <w:t> </w:t>
      </w:r>
      <w:r>
        <w:rPr>
          <w:rFonts w:ascii="Arial"/>
          <w:i/>
          <w:sz w:val="20"/>
        </w:rPr>
        <w:t>2 App. Cas. 439</w:t>
      </w:r>
      <w:r>
        <w:rPr>
          <w:sz w:val="20"/>
        </w:rPr>
        <w:t>; above para.4-</w:t>
      </w:r>
      <w:r>
        <w:rPr>
          <w:spacing w:val="-4"/>
          <w:sz w:val="20"/>
        </w:rPr>
        <w:t>098.</w:t>
      </w:r>
    </w:p>
    <w:p>
      <w:pPr>
        <w:pStyle w:val="BodyText"/>
        <w:spacing w:before="5"/>
      </w:pPr>
    </w:p>
    <w:p>
      <w:pPr>
        <w:tabs>
          <w:tab w:pos="705" w:val="left" w:leader="none"/>
        </w:tabs>
        <w:spacing w:before="0"/>
        <w:ind w:left="165" w:right="0" w:firstLine="0"/>
        <w:jc w:val="left"/>
        <w:rPr>
          <w:sz w:val="20"/>
        </w:rPr>
      </w:pPr>
      <w:bookmarkStart w:name="_bookmark1597" w:id="1599"/>
      <w:bookmarkEnd w:id="1599"/>
      <w:r>
        <w:rPr/>
      </w:r>
      <w:hyperlink w:history="true" w:anchor="_bookmark1532">
        <w:r>
          <w:rPr>
            <w:color w:val="005DA1"/>
            <w:spacing w:val="-4"/>
            <w:position w:val="5"/>
            <w:sz w:val="14"/>
            <w:u w:val="single" w:color="005DA1"/>
          </w:rPr>
          <w:t>831</w:t>
        </w:r>
      </w:hyperlink>
      <w:r>
        <w:rPr>
          <w:spacing w:val="-4"/>
          <w:position w:val="5"/>
          <w:sz w:val="14"/>
        </w:rPr>
        <w:t>.</w:t>
      </w:r>
      <w:r>
        <w:rPr>
          <w:position w:val="5"/>
          <w:sz w:val="14"/>
        </w:rPr>
        <w:tab/>
      </w:r>
      <w:r>
        <w:rPr>
          <w:sz w:val="20"/>
        </w:rPr>
        <w:t>Above para.4-</w:t>
      </w:r>
      <w:r>
        <w:rPr>
          <w:spacing w:val="-4"/>
          <w:sz w:val="20"/>
        </w:rPr>
        <w:t>098.</w:t>
      </w:r>
    </w:p>
    <w:p>
      <w:pPr>
        <w:pStyle w:val="BodyText"/>
        <w:spacing w:before="5"/>
      </w:pPr>
    </w:p>
    <w:p>
      <w:pPr>
        <w:tabs>
          <w:tab w:pos="705" w:val="left" w:leader="none"/>
        </w:tabs>
        <w:spacing w:before="0"/>
        <w:ind w:left="165" w:right="0" w:firstLine="0"/>
        <w:jc w:val="left"/>
        <w:rPr>
          <w:sz w:val="20"/>
        </w:rPr>
      </w:pPr>
      <w:bookmarkStart w:name="_bookmark1598" w:id="1600"/>
      <w:bookmarkEnd w:id="1600"/>
      <w:r>
        <w:rPr/>
      </w:r>
      <w:hyperlink w:history="true" w:anchor="_bookmark1533">
        <w:r>
          <w:rPr>
            <w:color w:val="005DA1"/>
            <w:spacing w:val="-4"/>
            <w:position w:val="5"/>
            <w:sz w:val="14"/>
            <w:u w:val="single" w:color="005DA1"/>
          </w:rPr>
          <w:t>832</w:t>
        </w:r>
      </w:hyperlink>
      <w:r>
        <w:rPr>
          <w:spacing w:val="-4"/>
          <w:position w:val="5"/>
          <w:sz w:val="14"/>
        </w:rPr>
        <w:t>.</w:t>
      </w:r>
      <w:r>
        <w:rPr>
          <w:position w:val="5"/>
          <w:sz w:val="14"/>
        </w:rPr>
        <w:tab/>
      </w:r>
      <w:r>
        <w:rPr>
          <w:spacing w:val="-2"/>
          <w:sz w:val="20"/>
        </w:rPr>
        <w:t>ibid.</w:t>
      </w:r>
    </w:p>
    <w:p>
      <w:pPr>
        <w:spacing w:after="0"/>
        <w:jc w:val="left"/>
        <w:rPr>
          <w:sz w:val="20"/>
        </w:rPr>
        <w:sectPr>
          <w:type w:val="continuous"/>
          <w:pgSz w:w="11900" w:h="16840"/>
          <w:pgMar w:header="971" w:footer="0" w:top="3760" w:bottom="280" w:left="1275" w:right="1275"/>
        </w:sectPr>
      </w:pPr>
    </w:p>
    <w:p>
      <w:pPr>
        <w:pStyle w:val="BodyText"/>
        <w:spacing w:before="84"/>
      </w:pPr>
    </w:p>
    <w:p>
      <w:pPr>
        <w:spacing w:line="235" w:lineRule="auto" w:before="1"/>
        <w:ind w:left="705" w:right="167" w:hanging="541"/>
        <w:jc w:val="both"/>
        <w:rPr>
          <w:sz w:val="20"/>
        </w:rPr>
      </w:pPr>
      <w:hyperlink w:history="true" w:anchor="_bookmark1534">
        <w:r>
          <w:rPr>
            <w:color w:val="005DA1"/>
            <w:position w:val="5"/>
            <w:sz w:val="14"/>
            <w:u w:val="single" w:color="005DA1"/>
          </w:rPr>
          <w:t>833</w:t>
        </w:r>
      </w:hyperlink>
      <w:r>
        <w:rPr>
          <w:position w:val="5"/>
          <w:sz w:val="14"/>
        </w:rPr>
        <w:t>.</w:t>
      </w:r>
      <w:r>
        <w:rPr>
          <w:spacing w:val="40"/>
          <w:position w:val="5"/>
          <w:sz w:val="14"/>
        </w:rPr>
        <w:t>  </w:t>
      </w:r>
      <w:r>
        <w:rPr>
          <w:rFonts w:ascii="Arial" w:hAnsi="Arial"/>
          <w:i/>
          <w:sz w:val="20"/>
        </w:rPr>
        <w:t>Ajayi v R.T. Briscoe (Nig.) Ltd [1964] 1 W.L.R. 1326, 1330</w:t>
      </w:r>
      <w:r>
        <w:rPr>
          <w:sz w:val="20"/>
        </w:rPr>
        <w:t>; in </w:t>
      </w:r>
      <w:r>
        <w:rPr>
          <w:rFonts w:ascii="Arial" w:hAnsi="Arial"/>
          <w:i/>
          <w:sz w:val="20"/>
        </w:rPr>
        <w:t>The Bunge Saga Lima</w:t>
      </w:r>
      <w:r>
        <w:rPr>
          <w:sz w:val="20"/>
        </w:rPr>
        <w:t>, above para.4-132 n.780: it was said at [31] that it would there have been “inequitable to </w:t>
      </w:r>
      <w:r>
        <w:rPr>
          <w:sz w:val="20"/>
        </w:rPr>
        <w:t>permit retraction.” The case was not concerned with “waiver” of an obligation to pay money.</w:t>
      </w:r>
    </w:p>
    <w:p>
      <w:pPr>
        <w:pStyle w:val="BodyText"/>
        <w:spacing w:before="8"/>
      </w:pPr>
    </w:p>
    <w:p>
      <w:pPr>
        <w:pStyle w:val="BodyText"/>
        <w:spacing w:line="235" w:lineRule="auto" w:before="1"/>
        <w:ind w:left="705" w:right="167" w:hanging="541"/>
        <w:jc w:val="both"/>
      </w:pPr>
      <w:bookmarkStart w:name="_bookmark1599" w:id="1601"/>
      <w:bookmarkEnd w:id="1601"/>
      <w:r>
        <w:rPr/>
      </w:r>
      <w:hyperlink w:history="true" w:anchor="_bookmark1535">
        <w:r>
          <w:rPr>
            <w:color w:val="005DA1"/>
            <w:position w:val="5"/>
            <w:sz w:val="14"/>
            <w:u w:val="single" w:color="005DA1"/>
          </w:rPr>
          <w:t>834</w:t>
        </w:r>
      </w:hyperlink>
      <w:r>
        <w:rPr>
          <w:position w:val="5"/>
          <w:sz w:val="14"/>
        </w:rPr>
        <w:t>.</w:t>
      </w:r>
      <w:r>
        <w:rPr>
          <w:spacing w:val="80"/>
          <w:position w:val="5"/>
          <w:sz w:val="14"/>
        </w:rPr>
        <w:t>  </w:t>
      </w:r>
      <w:r>
        <w:rPr/>
        <w:t>cf.</w:t>
      </w:r>
      <w:r>
        <w:rPr>
          <w:spacing w:val="-1"/>
        </w:rPr>
        <w:t> </w:t>
      </w:r>
      <w:r>
        <w:rPr/>
        <w:t>Mitchell</w:t>
      </w:r>
      <w:r>
        <w:rPr>
          <w:spacing w:val="-1"/>
        </w:rPr>
        <w:t> </w:t>
      </w:r>
      <w:r>
        <w:rPr/>
        <w:t>(1951)</w:t>
      </w:r>
      <w:r>
        <w:rPr>
          <w:spacing w:val="-1"/>
        </w:rPr>
        <w:t> </w:t>
      </w:r>
      <w:r>
        <w:rPr/>
        <w:t>Univ.</w:t>
      </w:r>
      <w:r>
        <w:rPr>
          <w:spacing w:val="-1"/>
        </w:rPr>
        <w:t> </w:t>
      </w:r>
      <w:r>
        <w:rPr/>
        <w:t>of</w:t>
      </w:r>
      <w:r>
        <w:rPr>
          <w:spacing w:val="-1"/>
        </w:rPr>
        <w:t> </w:t>
      </w:r>
      <w:r>
        <w:rPr/>
        <w:t>W.</w:t>
      </w:r>
      <w:r>
        <w:rPr>
          <w:spacing w:val="-1"/>
        </w:rPr>
        <w:t> </w:t>
      </w:r>
      <w:r>
        <w:rPr/>
        <w:t>Australia</w:t>
      </w:r>
      <w:r>
        <w:rPr>
          <w:spacing w:val="-1"/>
        </w:rPr>
        <w:t> </w:t>
      </w:r>
      <w:r>
        <w:rPr/>
        <w:t>Law</w:t>
      </w:r>
      <w:r>
        <w:rPr>
          <w:spacing w:val="-1"/>
        </w:rPr>
        <w:t> </w:t>
      </w:r>
      <w:r>
        <w:rPr/>
        <w:t>Rev.</w:t>
      </w:r>
      <w:r>
        <w:rPr>
          <w:spacing w:val="-1"/>
        </w:rPr>
        <w:t> </w:t>
      </w:r>
      <w:r>
        <w:rPr/>
        <w:t>245,</w:t>
      </w:r>
      <w:r>
        <w:rPr>
          <w:spacing w:val="-1"/>
        </w:rPr>
        <w:t> </w:t>
      </w:r>
      <w:r>
        <w:rPr/>
        <w:t>251.</w:t>
      </w:r>
      <w:r>
        <w:rPr>
          <w:spacing w:val="-1"/>
        </w:rPr>
        <w:t> </w:t>
      </w:r>
      <w:r>
        <w:rPr/>
        <w:t>The</w:t>
      </w:r>
      <w:r>
        <w:rPr>
          <w:spacing w:val="-1"/>
        </w:rPr>
        <w:t> </w:t>
      </w:r>
      <w:r>
        <w:rPr/>
        <w:t>principle</w:t>
      </w:r>
      <w:r>
        <w:rPr>
          <w:spacing w:val="-1"/>
        </w:rPr>
        <w:t> </w:t>
      </w:r>
      <w:r>
        <w:rPr/>
        <w:t>is</w:t>
      </w:r>
      <w:r>
        <w:rPr>
          <w:spacing w:val="-1"/>
        </w:rPr>
        <w:t> </w:t>
      </w:r>
      <w:r>
        <w:rPr/>
        <w:t>somewhat</w:t>
      </w:r>
      <w:r>
        <w:rPr>
          <w:spacing w:val="-1"/>
        </w:rPr>
        <w:t> </w:t>
      </w:r>
      <w:r>
        <w:rPr/>
        <w:t>similar</w:t>
      </w:r>
      <w:r>
        <w:rPr>
          <w:spacing w:val="-1"/>
        </w:rPr>
        <w:t> </w:t>
      </w:r>
      <w:r>
        <w:rPr/>
        <w:t>to that which underlies the defence of “change of position” in an action for the recovery of money paid; for recognition of this defence, see </w:t>
      </w:r>
      <w:r>
        <w:rPr>
          <w:rFonts w:ascii="Arial" w:hAnsi="Arial"/>
          <w:i/>
        </w:rPr>
        <w:t>Lipkin Gorman v Karpnale Ltd [1991] 2 A.C. 548</w:t>
      </w:r>
      <w:r>
        <w:rPr/>
        <w:t>;</w:t>
      </w:r>
      <w:r>
        <w:rPr>
          <w:spacing w:val="40"/>
        </w:rPr>
        <w:t> </w:t>
      </w:r>
      <w:r>
        <w:rPr/>
        <w:t>below paras 29-186, Vol.II, 41-047.</w:t>
      </w:r>
    </w:p>
    <w:p>
      <w:pPr>
        <w:pStyle w:val="BodyText"/>
        <w:spacing w:before="4"/>
      </w:pPr>
    </w:p>
    <w:p>
      <w:pPr>
        <w:tabs>
          <w:tab w:pos="705" w:val="left" w:leader="none"/>
        </w:tabs>
        <w:spacing w:before="0"/>
        <w:ind w:left="165" w:right="0" w:firstLine="0"/>
        <w:jc w:val="left"/>
        <w:rPr>
          <w:sz w:val="20"/>
        </w:rPr>
      </w:pPr>
      <w:bookmarkStart w:name="_bookmark1600" w:id="1602"/>
      <w:bookmarkEnd w:id="1602"/>
      <w:r>
        <w:rPr/>
      </w:r>
      <w:hyperlink w:history="true" w:anchor="_bookmark1536">
        <w:r>
          <w:rPr>
            <w:color w:val="005DA1"/>
            <w:spacing w:val="-4"/>
            <w:position w:val="5"/>
            <w:sz w:val="14"/>
            <w:u w:val="single" w:color="005DA1"/>
          </w:rPr>
          <w:t>835</w:t>
        </w:r>
      </w:hyperlink>
      <w:r>
        <w:rPr>
          <w:spacing w:val="-4"/>
          <w:position w:val="5"/>
          <w:sz w:val="14"/>
        </w:rPr>
        <w:t>.</w:t>
      </w:r>
      <w:r>
        <w:rPr>
          <w:position w:val="5"/>
          <w:sz w:val="14"/>
        </w:rPr>
        <w:tab/>
      </w:r>
      <w:r>
        <w:rPr>
          <w:rFonts w:ascii="Arial"/>
          <w:i/>
          <w:sz w:val="20"/>
        </w:rPr>
        <w:t>[1967]</w:t>
      </w:r>
      <w:r>
        <w:rPr>
          <w:rFonts w:ascii="Arial"/>
          <w:i/>
          <w:spacing w:val="-1"/>
          <w:sz w:val="20"/>
        </w:rPr>
        <w:t> </w:t>
      </w:r>
      <w:r>
        <w:rPr>
          <w:rFonts w:ascii="Arial"/>
          <w:i/>
          <w:sz w:val="20"/>
        </w:rPr>
        <w:t>2 Q.B. 617</w:t>
      </w:r>
      <w:r>
        <w:rPr>
          <w:sz w:val="20"/>
        </w:rPr>
        <w:t>; above, para.4-</w:t>
      </w:r>
      <w:r>
        <w:rPr>
          <w:spacing w:val="-4"/>
          <w:sz w:val="20"/>
        </w:rPr>
        <w:t>118.</w:t>
      </w:r>
    </w:p>
    <w:p>
      <w:pPr>
        <w:pStyle w:val="BodyText"/>
        <w:spacing w:before="5"/>
      </w:pPr>
    </w:p>
    <w:p>
      <w:pPr>
        <w:tabs>
          <w:tab w:pos="705" w:val="left" w:leader="none"/>
        </w:tabs>
        <w:spacing w:before="0"/>
        <w:ind w:left="165" w:right="0" w:firstLine="0"/>
        <w:jc w:val="left"/>
        <w:rPr>
          <w:sz w:val="20"/>
        </w:rPr>
      </w:pPr>
      <w:bookmarkStart w:name="_bookmark1601" w:id="1603"/>
      <w:bookmarkEnd w:id="1603"/>
      <w:r>
        <w:rPr/>
      </w:r>
      <w:hyperlink w:history="true" w:anchor="_bookmark1537">
        <w:r>
          <w:rPr>
            <w:color w:val="005DA1"/>
            <w:spacing w:val="-4"/>
            <w:position w:val="5"/>
            <w:sz w:val="14"/>
            <w:u w:val="single" w:color="005DA1"/>
          </w:rPr>
          <w:t>836</w:t>
        </w:r>
      </w:hyperlink>
      <w:r>
        <w:rPr>
          <w:spacing w:val="-4"/>
          <w:position w:val="5"/>
          <w:sz w:val="14"/>
        </w:rPr>
        <w:t>.</w:t>
      </w:r>
      <w:r>
        <w:rPr>
          <w:position w:val="5"/>
          <w:sz w:val="14"/>
        </w:rPr>
        <w:tab/>
      </w:r>
      <w:r>
        <w:rPr>
          <w:sz w:val="20"/>
        </w:rPr>
        <w:t>At </w:t>
      </w:r>
      <w:r>
        <w:rPr>
          <w:spacing w:val="-4"/>
          <w:sz w:val="20"/>
        </w:rPr>
        <w:t>625.</w:t>
      </w:r>
    </w:p>
    <w:p>
      <w:pPr>
        <w:pStyle w:val="BodyText"/>
        <w:spacing w:before="5"/>
      </w:pPr>
    </w:p>
    <w:p>
      <w:pPr>
        <w:pStyle w:val="BodyText"/>
        <w:tabs>
          <w:tab w:pos="705" w:val="left" w:leader="none"/>
        </w:tabs>
        <w:ind w:left="165"/>
      </w:pPr>
      <w:bookmarkStart w:name="_bookmark1602" w:id="1604"/>
      <w:bookmarkEnd w:id="1604"/>
      <w:r>
        <w:rPr/>
      </w:r>
      <w:hyperlink w:history="true" w:anchor="_bookmark1538">
        <w:r>
          <w:rPr>
            <w:color w:val="005DA1"/>
            <w:spacing w:val="-4"/>
            <w:position w:val="5"/>
            <w:sz w:val="14"/>
            <w:u w:val="single" w:color="005DA1"/>
          </w:rPr>
          <w:t>837</w:t>
        </w:r>
      </w:hyperlink>
      <w:r>
        <w:rPr>
          <w:spacing w:val="-4"/>
          <w:position w:val="5"/>
          <w:sz w:val="14"/>
        </w:rPr>
        <w:t>.</w:t>
      </w:r>
      <w:r>
        <w:rPr>
          <w:position w:val="5"/>
          <w:sz w:val="14"/>
        </w:rPr>
        <w:tab/>
      </w:r>
      <w:r>
        <w:rPr/>
        <w:t>At 625; and see below, para.4-</w:t>
      </w:r>
      <w:r>
        <w:rPr>
          <w:spacing w:val="-4"/>
        </w:rPr>
        <w:t>138.</w:t>
      </w:r>
    </w:p>
    <w:p>
      <w:pPr>
        <w:pStyle w:val="BodyText"/>
        <w:spacing w:before="5"/>
      </w:pPr>
    </w:p>
    <w:p>
      <w:pPr>
        <w:tabs>
          <w:tab w:pos="705" w:val="left" w:leader="none"/>
        </w:tabs>
        <w:spacing w:before="0"/>
        <w:ind w:left="165" w:right="0" w:firstLine="0"/>
        <w:jc w:val="left"/>
        <w:rPr>
          <w:sz w:val="20"/>
        </w:rPr>
      </w:pPr>
      <w:bookmarkStart w:name="_bookmark1603" w:id="1605"/>
      <w:bookmarkEnd w:id="1605"/>
      <w:r>
        <w:rPr/>
      </w:r>
      <w:hyperlink w:history="true" w:anchor="_bookmark1538">
        <w:r>
          <w:rPr>
            <w:color w:val="005DA1"/>
            <w:spacing w:val="-4"/>
            <w:position w:val="5"/>
            <w:sz w:val="14"/>
            <w:u w:val="single" w:color="005DA1"/>
          </w:rPr>
          <w:t>838</w:t>
        </w:r>
      </w:hyperlink>
      <w:r>
        <w:rPr>
          <w:spacing w:val="-4"/>
          <w:position w:val="5"/>
          <w:sz w:val="14"/>
        </w:rPr>
        <w:t>.</w:t>
      </w:r>
      <w:r>
        <w:rPr>
          <w:position w:val="5"/>
          <w:sz w:val="14"/>
        </w:rPr>
        <w:tab/>
      </w:r>
      <w:r>
        <w:rPr>
          <w:rFonts w:ascii="Arial"/>
          <w:i/>
          <w:sz w:val="20"/>
        </w:rPr>
        <w:t>[2007]</w:t>
      </w:r>
      <w:r>
        <w:rPr>
          <w:rFonts w:ascii="Arial"/>
          <w:i/>
          <w:spacing w:val="-1"/>
          <w:sz w:val="20"/>
        </w:rPr>
        <w:t> </w:t>
      </w:r>
      <w:r>
        <w:rPr>
          <w:rFonts w:ascii="Arial"/>
          <w:i/>
          <w:sz w:val="20"/>
        </w:rPr>
        <w:t>EWCA Civ 1329, [2008] 1 W.L.R. 643</w:t>
      </w:r>
      <w:r>
        <w:rPr>
          <w:sz w:val="20"/>
        </w:rPr>
        <w:t>; Trukhtanov, (2008) 124 L.Q.R. </w:t>
      </w:r>
      <w:r>
        <w:rPr>
          <w:spacing w:val="-4"/>
          <w:sz w:val="20"/>
        </w:rPr>
        <w:t>364.</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604" w:id="1606"/>
      <w:bookmarkEnd w:id="1606"/>
      <w:r>
        <w:rPr/>
      </w:r>
      <w:hyperlink w:history="true" w:anchor="_bookmark1539">
        <w:r>
          <w:rPr>
            <w:color w:val="005DA1"/>
            <w:spacing w:val="-4"/>
            <w:position w:val="5"/>
            <w:sz w:val="14"/>
            <w:u w:val="single" w:color="005DA1"/>
          </w:rPr>
          <w:t>839</w:t>
        </w:r>
      </w:hyperlink>
      <w:r>
        <w:rPr>
          <w:spacing w:val="-4"/>
          <w:position w:val="5"/>
          <w:sz w:val="14"/>
        </w:rPr>
        <w:t>.</w:t>
      </w:r>
      <w:r>
        <w:rPr>
          <w:position w:val="5"/>
          <w:sz w:val="14"/>
        </w:rPr>
        <w:tab/>
      </w:r>
      <w:r>
        <w:rPr>
          <w:rFonts w:ascii="Arial" w:hAnsi="Arial"/>
          <w:i/>
          <w:sz w:val="20"/>
        </w:rPr>
        <w:t>[2007]</w:t>
      </w:r>
      <w:r>
        <w:rPr>
          <w:rFonts w:ascii="Arial" w:hAnsi="Arial"/>
          <w:i/>
          <w:spacing w:val="20"/>
          <w:sz w:val="20"/>
        </w:rPr>
        <w:t> </w:t>
      </w:r>
      <w:r>
        <w:rPr>
          <w:rFonts w:ascii="Arial" w:hAnsi="Arial"/>
          <w:i/>
          <w:sz w:val="20"/>
        </w:rPr>
        <w:t>EWCA</w:t>
      </w:r>
      <w:r>
        <w:rPr>
          <w:rFonts w:ascii="Arial" w:hAnsi="Arial"/>
          <w:i/>
          <w:spacing w:val="20"/>
          <w:sz w:val="20"/>
        </w:rPr>
        <w:t> </w:t>
      </w:r>
      <w:r>
        <w:rPr>
          <w:rFonts w:ascii="Arial" w:hAnsi="Arial"/>
          <w:i/>
          <w:sz w:val="20"/>
        </w:rPr>
        <w:t>Civ</w:t>
      </w:r>
      <w:r>
        <w:rPr>
          <w:rFonts w:ascii="Arial" w:hAnsi="Arial"/>
          <w:i/>
          <w:spacing w:val="20"/>
          <w:sz w:val="20"/>
        </w:rPr>
        <w:t> </w:t>
      </w:r>
      <w:r>
        <w:rPr>
          <w:rFonts w:ascii="Arial" w:hAnsi="Arial"/>
          <w:i/>
          <w:sz w:val="20"/>
        </w:rPr>
        <w:t>1329</w:t>
      </w:r>
      <w:r>
        <w:rPr>
          <w:rFonts w:ascii="Arial" w:hAnsi="Arial"/>
          <w:i/>
          <w:spacing w:val="19"/>
          <w:sz w:val="20"/>
        </w:rPr>
        <w:t> </w:t>
      </w:r>
      <w:r>
        <w:rPr>
          <w:sz w:val="20"/>
        </w:rPr>
        <w:t>at</w:t>
      </w:r>
      <w:r>
        <w:rPr>
          <w:spacing w:val="20"/>
          <w:sz w:val="20"/>
        </w:rPr>
        <w:t> </w:t>
      </w:r>
      <w:r>
        <w:rPr>
          <w:sz w:val="20"/>
        </w:rPr>
        <w:t>[21],</w:t>
      </w:r>
      <w:r>
        <w:rPr>
          <w:spacing w:val="20"/>
          <w:sz w:val="20"/>
        </w:rPr>
        <w:t> </w:t>
      </w:r>
      <w:r>
        <w:rPr>
          <w:sz w:val="20"/>
        </w:rPr>
        <w:t>[37]–[40],</w:t>
      </w:r>
      <w:r>
        <w:rPr>
          <w:spacing w:val="20"/>
          <w:sz w:val="20"/>
        </w:rPr>
        <w:t> </w:t>
      </w:r>
      <w:r>
        <w:rPr>
          <w:sz w:val="20"/>
        </w:rPr>
        <w:t>[50];</w:t>
      </w:r>
      <w:r>
        <w:rPr>
          <w:spacing w:val="20"/>
          <w:sz w:val="20"/>
        </w:rPr>
        <w:t> </w:t>
      </w:r>
      <w:r>
        <w:rPr>
          <w:sz w:val="20"/>
        </w:rPr>
        <w:t>Longmore</w:t>
      </w:r>
      <w:r>
        <w:rPr>
          <w:spacing w:val="20"/>
          <w:sz w:val="20"/>
        </w:rPr>
        <w:t> </w:t>
      </w:r>
      <w:r>
        <w:rPr>
          <w:sz w:val="20"/>
        </w:rPr>
        <w:t>L.J.</w:t>
      </w:r>
      <w:r>
        <w:rPr>
          <w:spacing w:val="20"/>
          <w:sz w:val="20"/>
        </w:rPr>
        <w:t> </w:t>
      </w:r>
      <w:r>
        <w:rPr>
          <w:sz w:val="20"/>
        </w:rPr>
        <w:t>was</w:t>
      </w:r>
      <w:r>
        <w:rPr>
          <w:spacing w:val="20"/>
          <w:sz w:val="20"/>
        </w:rPr>
        <w:t> </w:t>
      </w:r>
      <w:r>
        <w:rPr>
          <w:sz w:val="20"/>
        </w:rPr>
        <w:t>more</w:t>
      </w:r>
      <w:r>
        <w:rPr>
          <w:spacing w:val="20"/>
          <w:sz w:val="20"/>
        </w:rPr>
        <w:t> </w:t>
      </w:r>
      <w:r>
        <w:rPr>
          <w:sz w:val="20"/>
        </w:rPr>
        <w:t>sceptical:</w:t>
      </w:r>
      <w:r>
        <w:rPr>
          <w:spacing w:val="20"/>
          <w:sz w:val="20"/>
        </w:rPr>
        <w:t> </w:t>
      </w:r>
      <w:r>
        <w:rPr>
          <w:sz w:val="20"/>
        </w:rPr>
        <w:t>see</w:t>
      </w:r>
      <w:r>
        <w:rPr>
          <w:spacing w:val="19"/>
          <w:sz w:val="20"/>
        </w:rPr>
        <w:t> </w:t>
      </w:r>
      <w:r>
        <w:rPr>
          <w:rFonts w:ascii="Arial" w:hAnsi="Arial"/>
          <w:i/>
          <w:spacing w:val="-2"/>
          <w:sz w:val="20"/>
        </w:rPr>
        <w:t>[2007]</w:t>
      </w:r>
    </w:p>
    <w:p>
      <w:pPr>
        <w:spacing w:line="227" w:lineRule="exact" w:before="0"/>
        <w:ind w:left="705" w:right="0" w:firstLine="0"/>
        <w:jc w:val="left"/>
        <w:rPr>
          <w:sz w:val="20"/>
        </w:rPr>
      </w:pPr>
      <w:r>
        <w:rPr>
          <w:rFonts w:ascii="Arial" w:hAnsi="Arial"/>
          <w:i/>
          <w:sz w:val="20"/>
        </w:rPr>
        <w:t>EWCA Civ 1329</w:t>
      </w:r>
      <w:r>
        <w:rPr>
          <w:rFonts w:ascii="Arial" w:hAnsi="Arial"/>
          <w:i/>
          <w:spacing w:val="-1"/>
          <w:sz w:val="20"/>
        </w:rPr>
        <w:t> </w:t>
      </w:r>
      <w:r>
        <w:rPr>
          <w:sz w:val="20"/>
        </w:rPr>
        <w:t>at </w:t>
      </w:r>
      <w:r>
        <w:rPr>
          <w:spacing w:val="-2"/>
          <w:sz w:val="20"/>
        </w:rPr>
        <w:t>[45]–[49].</w:t>
      </w:r>
    </w:p>
    <w:p>
      <w:pPr>
        <w:pStyle w:val="BodyText"/>
        <w:spacing w:before="5"/>
      </w:pPr>
    </w:p>
    <w:p>
      <w:pPr>
        <w:tabs>
          <w:tab w:pos="705" w:val="left" w:leader="none"/>
        </w:tabs>
        <w:spacing w:before="1"/>
        <w:ind w:left="165" w:right="0" w:firstLine="0"/>
        <w:jc w:val="left"/>
        <w:rPr>
          <w:sz w:val="20"/>
        </w:rPr>
      </w:pPr>
      <w:bookmarkStart w:name="_bookmark1605" w:id="1607"/>
      <w:bookmarkEnd w:id="1607"/>
      <w:r>
        <w:rPr/>
      </w:r>
      <w:hyperlink w:history="true" w:anchor="_bookmark1540">
        <w:r>
          <w:rPr>
            <w:color w:val="005DA1"/>
            <w:spacing w:val="-4"/>
            <w:position w:val="5"/>
            <w:sz w:val="14"/>
            <w:u w:val="single" w:color="005DA1"/>
          </w:rPr>
          <w:t>840</w:t>
        </w:r>
      </w:hyperlink>
      <w:r>
        <w:rPr>
          <w:spacing w:val="-4"/>
          <w:position w:val="5"/>
          <w:sz w:val="14"/>
        </w:rPr>
        <w:t>.</w:t>
      </w:r>
      <w:r>
        <w:rPr>
          <w:position w:val="5"/>
          <w:sz w:val="14"/>
        </w:rPr>
        <w:tab/>
      </w:r>
      <w:r>
        <w:rPr>
          <w:rFonts w:ascii="Arial"/>
          <w:i/>
          <w:sz w:val="20"/>
        </w:rPr>
        <w:t>[2007] EWCA Civ 1329</w:t>
      </w:r>
      <w:r>
        <w:rPr>
          <w:rFonts w:ascii="Arial"/>
          <w:i/>
          <w:spacing w:val="-1"/>
          <w:sz w:val="20"/>
        </w:rPr>
        <w:t> </w:t>
      </w:r>
      <w:r>
        <w:rPr>
          <w:sz w:val="20"/>
        </w:rPr>
        <w:t>at </w:t>
      </w:r>
      <w:r>
        <w:rPr>
          <w:spacing w:val="-2"/>
          <w:sz w:val="20"/>
        </w:rPr>
        <w:t>[37].</w:t>
      </w:r>
    </w:p>
    <w:p>
      <w:pPr>
        <w:pStyle w:val="BodyText"/>
        <w:spacing w:before="4"/>
      </w:pPr>
    </w:p>
    <w:p>
      <w:pPr>
        <w:tabs>
          <w:tab w:pos="705" w:val="left" w:leader="none"/>
        </w:tabs>
        <w:spacing w:before="1"/>
        <w:ind w:left="165" w:right="0" w:firstLine="0"/>
        <w:jc w:val="left"/>
        <w:rPr>
          <w:sz w:val="20"/>
        </w:rPr>
      </w:pPr>
      <w:bookmarkStart w:name="_bookmark1606" w:id="1608"/>
      <w:bookmarkEnd w:id="1608"/>
      <w:r>
        <w:rPr/>
      </w:r>
      <w:hyperlink w:history="true" w:anchor="_bookmark1541">
        <w:r>
          <w:rPr>
            <w:color w:val="005DA1"/>
            <w:spacing w:val="-4"/>
            <w:position w:val="5"/>
            <w:sz w:val="14"/>
            <w:u w:val="single" w:color="005DA1"/>
          </w:rPr>
          <w:t>841</w:t>
        </w:r>
      </w:hyperlink>
      <w:r>
        <w:rPr>
          <w:spacing w:val="-4"/>
          <w:position w:val="5"/>
          <w:sz w:val="14"/>
        </w:rPr>
        <w:t>.</w:t>
      </w:r>
      <w:r>
        <w:rPr>
          <w:position w:val="5"/>
          <w:sz w:val="14"/>
        </w:rPr>
        <w:tab/>
      </w:r>
      <w:r>
        <w:rPr>
          <w:rFonts w:ascii="Arial"/>
          <w:i/>
          <w:sz w:val="20"/>
        </w:rPr>
        <w:t>[1947]</w:t>
      </w:r>
      <w:r>
        <w:rPr>
          <w:rFonts w:ascii="Arial"/>
          <w:i/>
          <w:spacing w:val="-1"/>
          <w:sz w:val="20"/>
        </w:rPr>
        <w:t> </w:t>
      </w:r>
      <w:r>
        <w:rPr>
          <w:rFonts w:ascii="Arial"/>
          <w:i/>
          <w:sz w:val="20"/>
        </w:rPr>
        <w:t>K.B. 130</w:t>
      </w:r>
      <w:r>
        <w:rPr>
          <w:sz w:val="20"/>
        </w:rPr>
        <w:t>, stated above in para.4-</w:t>
      </w:r>
      <w:r>
        <w:rPr>
          <w:spacing w:val="-4"/>
          <w:sz w:val="20"/>
        </w:rPr>
        <w:t>130.</w:t>
      </w:r>
    </w:p>
    <w:p>
      <w:pPr>
        <w:pStyle w:val="BodyText"/>
        <w:spacing w:before="8"/>
      </w:pPr>
    </w:p>
    <w:p>
      <w:pPr>
        <w:pStyle w:val="BodyText"/>
        <w:spacing w:line="235" w:lineRule="auto"/>
        <w:ind w:left="705" w:right="167" w:hanging="541"/>
        <w:jc w:val="both"/>
      </w:pPr>
      <w:bookmarkStart w:name="_bookmark1607" w:id="1609"/>
      <w:bookmarkEnd w:id="1609"/>
      <w:r>
        <w:rPr/>
      </w:r>
      <w:hyperlink w:history="true" w:anchor="_bookmark1542">
        <w:r>
          <w:rPr>
            <w:color w:val="005DA1"/>
            <w:position w:val="5"/>
            <w:sz w:val="14"/>
            <w:u w:val="single" w:color="005DA1"/>
          </w:rPr>
          <w:t>842</w:t>
        </w:r>
      </w:hyperlink>
      <w:r>
        <w:rPr>
          <w:position w:val="5"/>
          <w:sz w:val="14"/>
        </w:rPr>
        <w:t>.</w:t>
      </w:r>
      <w:r>
        <w:rPr>
          <w:spacing w:val="80"/>
          <w:position w:val="5"/>
          <w:sz w:val="14"/>
        </w:rPr>
        <w:t>  </w:t>
      </w:r>
      <w:r>
        <w:rPr/>
        <w:t>The citation of the </w:t>
      </w:r>
      <w:r>
        <w:rPr>
          <w:rFonts w:ascii="Arial" w:hAnsi="Arial"/>
          <w:i/>
        </w:rPr>
        <w:t>High Trees </w:t>
      </w:r>
      <w:r>
        <w:rPr/>
        <w:t>case in the </w:t>
      </w:r>
      <w:r>
        <w:rPr>
          <w:rFonts w:ascii="Arial" w:hAnsi="Arial"/>
          <w:i/>
        </w:rPr>
        <w:t>Collier case [2007] EWCA 1329 </w:t>
      </w:r>
      <w:r>
        <w:rPr/>
        <w:t>at [37] does not help to resolve the difficulty discussed in the text below, i.e. that of reconciling what is described in the latter case (at [42]) as “the brilliant obiter dictum of Denning J, as he then was, in the </w:t>
      </w:r>
      <w:r>
        <w:rPr>
          <w:rFonts w:ascii="Arial" w:hAnsi="Arial"/>
          <w:i/>
        </w:rPr>
        <w:t>High Trees </w:t>
      </w:r>
      <w:r>
        <w:rPr/>
        <w:t>case” with the outcome in </w:t>
      </w:r>
      <w:r>
        <w:rPr>
          <w:rFonts w:ascii="Arial" w:hAnsi="Arial"/>
          <w:i/>
        </w:rPr>
        <w:t>Foakes v Beer </w:t>
      </w:r>
      <w:r>
        <w:rPr/>
        <w:t>(above, para.4-117): see above, para.4-</w:t>
      </w:r>
      <w:r>
        <w:rPr/>
        <w:t>131. Nor does the citation in the </w:t>
      </w:r>
      <w:r>
        <w:rPr>
          <w:rFonts w:ascii="Arial" w:hAnsi="Arial"/>
          <w:i/>
        </w:rPr>
        <w:t>Collier </w:t>
      </w:r>
      <w:r>
        <w:rPr/>
        <w:t>case at [37] of “the </w:t>
      </w:r>
      <w:r>
        <w:rPr>
          <w:rFonts w:ascii="Arial" w:hAnsi="Arial"/>
          <w:i/>
        </w:rPr>
        <w:t>Tool Metal </w:t>
      </w:r>
      <w:r>
        <w:rPr/>
        <w:t>case” </w:t>
      </w:r>
      <w:r>
        <w:rPr>
          <w:rFonts w:ascii="Arial" w:hAnsi="Arial"/>
          <w:i/>
        </w:rPr>
        <w:t>[1955] 1 W.L.R. 761</w:t>
      </w:r>
      <w:r>
        <w:rPr>
          <w:rFonts w:ascii="Arial" w:hAnsi="Arial"/>
          <w:i/>
          <w:spacing w:val="40"/>
        </w:rPr>
        <w:t> </w:t>
      </w:r>
      <w:r>
        <w:rPr/>
        <w:t>help to resolve this difficulty: see the discussion of that case in para.4-133 above.</w:t>
      </w:r>
    </w:p>
    <w:p>
      <w:pPr>
        <w:pStyle w:val="BodyText"/>
        <w:spacing w:before="4"/>
      </w:pPr>
    </w:p>
    <w:p>
      <w:pPr>
        <w:pStyle w:val="BodyText"/>
        <w:tabs>
          <w:tab w:pos="705" w:val="left" w:leader="none"/>
        </w:tabs>
        <w:ind w:left="165"/>
      </w:pPr>
      <w:bookmarkStart w:name="_bookmark1608" w:id="1610"/>
      <w:bookmarkEnd w:id="1610"/>
      <w:r>
        <w:rPr/>
      </w:r>
      <w:hyperlink w:history="true" w:anchor="_bookmark1543">
        <w:r>
          <w:rPr>
            <w:color w:val="005DA1"/>
            <w:spacing w:val="-4"/>
            <w:position w:val="5"/>
            <w:sz w:val="14"/>
            <w:u w:val="single" w:color="005DA1"/>
          </w:rPr>
          <w:t>843</w:t>
        </w:r>
      </w:hyperlink>
      <w:r>
        <w:rPr>
          <w:spacing w:val="-4"/>
          <w:position w:val="5"/>
          <w:sz w:val="14"/>
        </w:rPr>
        <w:t>.</w:t>
      </w:r>
      <w:r>
        <w:rPr>
          <w:position w:val="5"/>
          <w:sz w:val="14"/>
        </w:rPr>
        <w:tab/>
      </w:r>
      <w:r>
        <w:rPr/>
        <w:t>See para.4-138 </w:t>
      </w:r>
      <w:r>
        <w:rPr>
          <w:spacing w:val="-2"/>
        </w:rPr>
        <w:t>below.</w:t>
      </w:r>
    </w:p>
    <w:p>
      <w:pPr>
        <w:pStyle w:val="BodyText"/>
        <w:spacing w:before="9"/>
      </w:pPr>
    </w:p>
    <w:p>
      <w:pPr>
        <w:pStyle w:val="BodyText"/>
        <w:spacing w:line="235" w:lineRule="auto"/>
        <w:ind w:left="705" w:right="167" w:hanging="541"/>
        <w:jc w:val="both"/>
      </w:pPr>
      <w:bookmarkStart w:name="_bookmark1609" w:id="1611"/>
      <w:bookmarkEnd w:id="1611"/>
      <w:r>
        <w:rPr/>
      </w:r>
      <w:hyperlink w:history="true" w:anchor="_bookmark1544">
        <w:r>
          <w:rPr>
            <w:color w:val="005DA1"/>
            <w:position w:val="5"/>
            <w:sz w:val="14"/>
            <w:u w:val="single" w:color="005DA1"/>
          </w:rPr>
          <w:t>844</w:t>
        </w:r>
      </w:hyperlink>
      <w:r>
        <w:rPr>
          <w:position w:val="5"/>
          <w:sz w:val="14"/>
        </w:rPr>
        <w:t>.</w:t>
      </w:r>
      <w:r>
        <w:rPr>
          <w:spacing w:val="80"/>
          <w:position w:val="5"/>
          <w:sz w:val="14"/>
        </w:rPr>
        <w:t>  </w:t>
      </w:r>
      <w:r>
        <w:rPr/>
        <w:t>See para.4-118 above. Danckwerts L.J. did indeed begin his judgment by saying ([1962] 2 </w:t>
      </w:r>
      <w:r>
        <w:rPr/>
        <w:t>Q.B. 617 at 625–626): “I agree with the judgment of the Master of the Rolls.” But his own reasoning</w:t>
      </w:r>
      <w:r>
        <w:rPr>
          <w:spacing w:val="40"/>
        </w:rPr>
        <w:t> </w:t>
      </w:r>
      <w:r>
        <w:rPr/>
        <w:t>is entirely concerned with the rule in </w:t>
      </w:r>
      <w:r>
        <w:rPr>
          <w:rFonts w:ascii="Arial" w:hAnsi="Arial"/>
          <w:i/>
        </w:rPr>
        <w:t>Foakes v Beer </w:t>
      </w:r>
      <w:r>
        <w:rPr/>
        <w:t>and his conclusion (at 627) is that “the county court judge was right in applying the rule in </w:t>
      </w:r>
      <w:r>
        <w:rPr>
          <w:rFonts w:ascii="Arial" w:hAnsi="Arial"/>
          <w:i/>
        </w:rPr>
        <w:t>Foakes v Beer</w:t>
      </w:r>
      <w:r>
        <w:rPr/>
        <w:t>.”</w:t>
      </w:r>
    </w:p>
    <w:p>
      <w:pPr>
        <w:pStyle w:val="BodyText"/>
        <w:spacing w:before="5"/>
      </w:pPr>
    </w:p>
    <w:p>
      <w:pPr>
        <w:pStyle w:val="BodyText"/>
        <w:tabs>
          <w:tab w:pos="705" w:val="left" w:leader="none"/>
        </w:tabs>
        <w:ind w:left="165"/>
      </w:pPr>
      <w:bookmarkStart w:name="_bookmark1610" w:id="1612"/>
      <w:bookmarkEnd w:id="1612"/>
      <w:r>
        <w:rPr/>
      </w:r>
      <w:hyperlink w:history="true" w:anchor="_bookmark1545">
        <w:r>
          <w:rPr>
            <w:color w:val="005DA1"/>
            <w:spacing w:val="-4"/>
            <w:position w:val="5"/>
            <w:sz w:val="14"/>
            <w:u w:val="single" w:color="005DA1"/>
          </w:rPr>
          <w:t>845</w:t>
        </w:r>
      </w:hyperlink>
      <w:r>
        <w:rPr>
          <w:spacing w:val="-4"/>
          <w:position w:val="5"/>
          <w:sz w:val="14"/>
        </w:rPr>
        <w:t>.</w:t>
      </w:r>
      <w:r>
        <w:rPr>
          <w:position w:val="5"/>
          <w:sz w:val="14"/>
        </w:rPr>
        <w:tab/>
      </w:r>
      <w:r>
        <w:rPr/>
        <w:t>Above at n.790; below, para.4-</w:t>
      </w:r>
      <w:r>
        <w:rPr>
          <w:spacing w:val="-4"/>
        </w:rPr>
        <w:t>138.</w:t>
      </w:r>
    </w:p>
    <w:p>
      <w:pPr>
        <w:pStyle w:val="BodyText"/>
        <w:spacing w:before="5"/>
      </w:pPr>
    </w:p>
    <w:p>
      <w:pPr>
        <w:tabs>
          <w:tab w:pos="705" w:val="left" w:leader="none"/>
        </w:tabs>
        <w:spacing w:before="0"/>
        <w:ind w:left="165" w:right="0" w:firstLine="0"/>
        <w:jc w:val="left"/>
        <w:rPr>
          <w:sz w:val="20"/>
        </w:rPr>
      </w:pPr>
      <w:bookmarkStart w:name="_bookmark1611" w:id="1613"/>
      <w:bookmarkEnd w:id="1613"/>
      <w:r>
        <w:rPr/>
      </w:r>
      <w:hyperlink w:history="true" w:anchor="_bookmark1546">
        <w:r>
          <w:rPr>
            <w:color w:val="005DA1"/>
            <w:spacing w:val="-4"/>
            <w:position w:val="5"/>
            <w:sz w:val="14"/>
            <w:u w:val="single" w:color="005DA1"/>
          </w:rPr>
          <w:t>846</w:t>
        </w:r>
      </w:hyperlink>
      <w:r>
        <w:rPr>
          <w:spacing w:val="-4"/>
          <w:position w:val="5"/>
          <w:sz w:val="14"/>
        </w:rPr>
        <w:t>.</w:t>
      </w:r>
      <w:r>
        <w:rPr>
          <w:position w:val="5"/>
          <w:sz w:val="14"/>
        </w:rPr>
        <w:tab/>
      </w:r>
      <w:r>
        <w:rPr>
          <w:rFonts w:ascii="Arial"/>
          <w:i/>
          <w:sz w:val="20"/>
        </w:rPr>
        <w:t>[1979]</w:t>
      </w:r>
      <w:r>
        <w:rPr>
          <w:rFonts w:ascii="Arial"/>
          <w:i/>
          <w:spacing w:val="-2"/>
          <w:sz w:val="20"/>
        </w:rPr>
        <w:t> </w:t>
      </w:r>
      <w:r>
        <w:rPr>
          <w:rFonts w:ascii="Arial"/>
          <w:i/>
          <w:sz w:val="20"/>
        </w:rPr>
        <w:t>Q.B. </w:t>
      </w:r>
      <w:r>
        <w:rPr>
          <w:rFonts w:ascii="Arial"/>
          <w:i/>
          <w:spacing w:val="-4"/>
          <w:sz w:val="20"/>
        </w:rPr>
        <w:t>467</w:t>
      </w:r>
      <w:r>
        <w:rPr>
          <w:spacing w:val="-4"/>
          <w:sz w:val="20"/>
        </w:rPr>
        <w:t>.</w:t>
      </w:r>
    </w:p>
    <w:p>
      <w:pPr>
        <w:pStyle w:val="BodyText"/>
        <w:spacing w:before="5"/>
      </w:pPr>
    </w:p>
    <w:p>
      <w:pPr>
        <w:pStyle w:val="BodyText"/>
        <w:tabs>
          <w:tab w:pos="705" w:val="left" w:leader="none"/>
        </w:tabs>
        <w:ind w:left="165"/>
      </w:pPr>
      <w:bookmarkStart w:name="_bookmark1612" w:id="1614"/>
      <w:bookmarkEnd w:id="1614"/>
      <w:r>
        <w:rPr/>
      </w:r>
      <w:hyperlink w:history="true" w:anchor="_bookmark1547">
        <w:r>
          <w:rPr>
            <w:color w:val="005DA1"/>
            <w:spacing w:val="-4"/>
            <w:position w:val="5"/>
            <w:sz w:val="14"/>
            <w:u w:val="single" w:color="005DA1"/>
          </w:rPr>
          <w:t>847</w:t>
        </w:r>
      </w:hyperlink>
      <w:r>
        <w:rPr>
          <w:spacing w:val="-4"/>
          <w:position w:val="5"/>
          <w:sz w:val="14"/>
        </w:rPr>
        <w:t>.</w:t>
      </w:r>
      <w:r>
        <w:rPr>
          <w:position w:val="5"/>
          <w:sz w:val="14"/>
        </w:rPr>
        <w:tab/>
      </w:r>
      <w:r>
        <w:rPr/>
        <w:t>Above, para.4-081; contrast ibid., </w:t>
      </w:r>
      <w:r>
        <w:rPr>
          <w:spacing w:val="-2"/>
        </w:rPr>
        <w:t>n.441.</w:t>
      </w:r>
    </w:p>
    <w:p>
      <w:pPr>
        <w:pStyle w:val="BodyText"/>
        <w:spacing w:before="5"/>
      </w:pPr>
    </w:p>
    <w:p>
      <w:pPr>
        <w:tabs>
          <w:tab w:pos="705" w:val="left" w:leader="none"/>
        </w:tabs>
        <w:spacing w:before="0"/>
        <w:ind w:left="165" w:right="0" w:firstLine="0"/>
        <w:jc w:val="left"/>
        <w:rPr>
          <w:sz w:val="20"/>
        </w:rPr>
      </w:pPr>
      <w:bookmarkStart w:name="_bookmark1613" w:id="1615"/>
      <w:bookmarkEnd w:id="1615"/>
      <w:r>
        <w:rPr/>
      </w:r>
      <w:hyperlink w:history="true" w:anchor="_bookmark1548">
        <w:r>
          <w:rPr>
            <w:color w:val="005DA1"/>
            <w:spacing w:val="-4"/>
            <w:position w:val="5"/>
            <w:sz w:val="14"/>
            <w:u w:val="single" w:color="005DA1"/>
          </w:rPr>
          <w:t>848</w:t>
        </w:r>
      </w:hyperlink>
      <w:r>
        <w:rPr>
          <w:spacing w:val="-4"/>
          <w:position w:val="5"/>
          <w:sz w:val="14"/>
        </w:rPr>
        <w:t>.</w:t>
      </w:r>
      <w:r>
        <w:rPr>
          <w:position w:val="5"/>
          <w:sz w:val="14"/>
        </w:rPr>
        <w:tab/>
      </w:r>
      <w:r>
        <w:rPr>
          <w:rFonts w:ascii="Arial" w:hAnsi="Arial"/>
          <w:i/>
          <w:sz w:val="20"/>
        </w:rPr>
        <w:t>[1979] Q.B. 467, </w:t>
      </w:r>
      <w:r>
        <w:rPr>
          <w:rFonts w:ascii="Arial" w:hAnsi="Arial"/>
          <w:i/>
          <w:spacing w:val="-2"/>
          <w:sz w:val="20"/>
        </w:rPr>
        <w:t>484–485</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614" w:id="1616"/>
      <w:bookmarkEnd w:id="1616"/>
      <w:r>
        <w:rPr/>
      </w:r>
      <w:hyperlink w:history="true" w:anchor="_bookmark1549">
        <w:r>
          <w:rPr>
            <w:color w:val="005DA1"/>
            <w:spacing w:val="-4"/>
            <w:position w:val="5"/>
            <w:sz w:val="14"/>
            <w:u w:val="single" w:color="005DA1"/>
          </w:rPr>
          <w:t>849</w:t>
        </w:r>
      </w:hyperlink>
      <w:r>
        <w:rPr>
          <w:spacing w:val="-4"/>
          <w:position w:val="5"/>
          <w:sz w:val="14"/>
        </w:rPr>
        <w:t>.</w:t>
      </w:r>
      <w:r>
        <w:rPr>
          <w:position w:val="5"/>
          <w:sz w:val="14"/>
        </w:rPr>
        <w:tab/>
      </w:r>
      <w:r>
        <w:rPr>
          <w:sz w:val="20"/>
        </w:rPr>
        <w:t>ibid., at 485, </w:t>
      </w:r>
      <w:r>
        <w:rPr>
          <w:spacing w:val="-4"/>
          <w:sz w:val="20"/>
        </w:rPr>
        <w:t>490.</w:t>
      </w:r>
    </w:p>
    <w:p>
      <w:pPr>
        <w:pStyle w:val="BodyText"/>
        <w:spacing w:before="5"/>
      </w:pPr>
    </w:p>
    <w:p>
      <w:pPr>
        <w:tabs>
          <w:tab w:pos="705" w:val="left" w:leader="none"/>
        </w:tabs>
        <w:spacing w:before="0"/>
        <w:ind w:left="165" w:right="0" w:firstLine="0"/>
        <w:jc w:val="left"/>
        <w:rPr>
          <w:sz w:val="20"/>
        </w:rPr>
      </w:pPr>
      <w:bookmarkStart w:name="_bookmark1615" w:id="1617"/>
      <w:bookmarkEnd w:id="1617"/>
      <w:r>
        <w:rPr/>
      </w:r>
      <w:hyperlink w:history="true" w:anchor="_bookmark1550">
        <w:r>
          <w:rPr>
            <w:color w:val="005DA1"/>
            <w:spacing w:val="-4"/>
            <w:position w:val="5"/>
            <w:sz w:val="14"/>
            <w:u w:val="single" w:color="005DA1"/>
          </w:rPr>
          <w:t>850</w:t>
        </w:r>
      </w:hyperlink>
      <w:r>
        <w:rPr>
          <w:spacing w:val="-4"/>
          <w:position w:val="5"/>
          <w:sz w:val="14"/>
        </w:rPr>
        <w:t>.</w:t>
      </w:r>
      <w:r>
        <w:rPr>
          <w:position w:val="5"/>
          <w:sz w:val="14"/>
        </w:rPr>
        <w:tab/>
      </w:r>
      <w:r>
        <w:rPr>
          <w:sz w:val="20"/>
        </w:rPr>
        <w:t>ibid., at 488, </w:t>
      </w:r>
      <w:r>
        <w:rPr>
          <w:spacing w:val="-4"/>
          <w:sz w:val="20"/>
        </w:rPr>
        <w:t>490.</w:t>
      </w:r>
    </w:p>
    <w:p>
      <w:pPr>
        <w:pStyle w:val="BodyText"/>
        <w:spacing w:before="5"/>
      </w:pPr>
    </w:p>
    <w:p>
      <w:pPr>
        <w:pStyle w:val="BodyText"/>
        <w:tabs>
          <w:tab w:pos="705" w:val="left" w:leader="none"/>
        </w:tabs>
        <w:ind w:left="165"/>
      </w:pPr>
      <w:bookmarkStart w:name="_bookmark1616" w:id="1618"/>
      <w:bookmarkEnd w:id="1618"/>
      <w:r>
        <w:rPr/>
      </w:r>
      <w:hyperlink w:history="true" w:anchor="_bookmark1551">
        <w:r>
          <w:rPr>
            <w:color w:val="005DA1"/>
            <w:spacing w:val="-4"/>
            <w:position w:val="5"/>
            <w:sz w:val="14"/>
            <w:u w:val="single" w:color="005DA1"/>
          </w:rPr>
          <w:t>851</w:t>
        </w:r>
      </w:hyperlink>
      <w:r>
        <w:rPr>
          <w:spacing w:val="-4"/>
          <w:position w:val="5"/>
          <w:sz w:val="14"/>
        </w:rPr>
        <w:t>.</w:t>
      </w:r>
      <w:r>
        <w:rPr>
          <w:position w:val="5"/>
          <w:sz w:val="14"/>
        </w:rPr>
        <w:tab/>
      </w:r>
      <w:r>
        <w:rPr/>
        <w:t>cf. above, para.4-</w:t>
      </w:r>
      <w:r>
        <w:rPr>
          <w:spacing w:val="-4"/>
        </w:rPr>
        <w:t>082.</w:t>
      </w:r>
    </w:p>
    <w:p>
      <w:pPr>
        <w:pStyle w:val="BodyText"/>
        <w:spacing w:before="5"/>
      </w:pPr>
    </w:p>
    <w:p>
      <w:pPr>
        <w:spacing w:line="227" w:lineRule="exact" w:before="0"/>
        <w:ind w:left="165" w:right="0" w:firstLine="0"/>
        <w:jc w:val="both"/>
        <w:rPr>
          <w:rFonts w:ascii="Arial"/>
          <w:i/>
          <w:sz w:val="20"/>
        </w:rPr>
      </w:pPr>
      <w:bookmarkStart w:name="_bookmark1617" w:id="1619"/>
      <w:bookmarkEnd w:id="1619"/>
      <w:r>
        <w:rPr/>
      </w:r>
      <w:hyperlink w:history="true" w:anchor="_bookmark1551">
        <w:r>
          <w:rPr>
            <w:color w:val="005DA1"/>
            <w:position w:val="5"/>
            <w:sz w:val="14"/>
            <w:u w:val="single" w:color="005DA1"/>
          </w:rPr>
          <w:t>852</w:t>
        </w:r>
      </w:hyperlink>
      <w:r>
        <w:rPr>
          <w:position w:val="5"/>
          <w:sz w:val="14"/>
        </w:rPr>
        <w:t>.</w:t>
      </w:r>
      <w:r>
        <w:rPr>
          <w:spacing w:val="75"/>
          <w:w w:val="150"/>
          <w:position w:val="5"/>
          <w:sz w:val="14"/>
        </w:rPr>
        <w:t>  </w:t>
      </w:r>
      <w:r>
        <w:rPr>
          <w:sz w:val="20"/>
        </w:rPr>
        <w:t>Above,</w:t>
      </w:r>
      <w:r>
        <w:rPr>
          <w:spacing w:val="17"/>
          <w:sz w:val="20"/>
        </w:rPr>
        <w:t> </w:t>
      </w:r>
      <w:r>
        <w:rPr>
          <w:sz w:val="20"/>
        </w:rPr>
        <w:t>para.4-081.</w:t>
      </w:r>
      <w:r>
        <w:rPr>
          <w:spacing w:val="17"/>
          <w:sz w:val="20"/>
        </w:rPr>
        <w:t> </w:t>
      </w:r>
      <w:r>
        <w:rPr>
          <w:sz w:val="20"/>
        </w:rPr>
        <w:t>Roskill</w:t>
      </w:r>
      <w:r>
        <w:rPr>
          <w:spacing w:val="17"/>
          <w:sz w:val="20"/>
        </w:rPr>
        <w:t> </w:t>
      </w:r>
      <w:r>
        <w:rPr>
          <w:sz w:val="20"/>
        </w:rPr>
        <w:t>L.J.</w:t>
      </w:r>
      <w:r>
        <w:rPr>
          <w:spacing w:val="17"/>
          <w:sz w:val="20"/>
        </w:rPr>
        <w:t> </w:t>
      </w:r>
      <w:r>
        <w:rPr>
          <w:sz w:val="20"/>
        </w:rPr>
        <w:t>at</w:t>
      </w:r>
      <w:r>
        <w:rPr>
          <w:spacing w:val="17"/>
          <w:sz w:val="20"/>
        </w:rPr>
        <w:t> </w:t>
      </w:r>
      <w:r>
        <w:rPr>
          <w:sz w:val="20"/>
        </w:rPr>
        <w:t>489</w:t>
      </w:r>
      <w:r>
        <w:rPr>
          <w:spacing w:val="17"/>
          <w:sz w:val="20"/>
        </w:rPr>
        <w:t> </w:t>
      </w:r>
      <w:r>
        <w:rPr>
          <w:sz w:val="20"/>
        </w:rPr>
        <w:t>refers</w:t>
      </w:r>
      <w:r>
        <w:rPr>
          <w:spacing w:val="17"/>
          <w:sz w:val="20"/>
        </w:rPr>
        <w:t> </w:t>
      </w:r>
      <w:r>
        <w:rPr>
          <w:sz w:val="20"/>
        </w:rPr>
        <w:t>to</w:t>
      </w:r>
      <w:r>
        <w:rPr>
          <w:spacing w:val="16"/>
          <w:sz w:val="20"/>
        </w:rPr>
        <w:t> </w:t>
      </w:r>
      <w:r>
        <w:rPr>
          <w:rFonts w:ascii="Arial"/>
          <w:i/>
          <w:sz w:val="20"/>
        </w:rPr>
        <w:t>Hughes</w:t>
      </w:r>
      <w:r>
        <w:rPr>
          <w:rFonts w:ascii="Arial"/>
          <w:i/>
          <w:spacing w:val="17"/>
          <w:sz w:val="20"/>
        </w:rPr>
        <w:t> </w:t>
      </w:r>
      <w:r>
        <w:rPr>
          <w:rFonts w:ascii="Arial"/>
          <w:i/>
          <w:sz w:val="20"/>
        </w:rPr>
        <w:t>v</w:t>
      </w:r>
      <w:r>
        <w:rPr>
          <w:rFonts w:ascii="Arial"/>
          <w:i/>
          <w:spacing w:val="17"/>
          <w:sz w:val="20"/>
        </w:rPr>
        <w:t> </w:t>
      </w:r>
      <w:r>
        <w:rPr>
          <w:rFonts w:ascii="Arial"/>
          <w:i/>
          <w:sz w:val="20"/>
        </w:rPr>
        <w:t>Metropolitan</w:t>
      </w:r>
      <w:r>
        <w:rPr>
          <w:rFonts w:ascii="Arial"/>
          <w:i/>
          <w:spacing w:val="17"/>
          <w:sz w:val="20"/>
        </w:rPr>
        <w:t> </w:t>
      </w:r>
      <w:r>
        <w:rPr>
          <w:rFonts w:ascii="Arial"/>
          <w:i/>
          <w:sz w:val="20"/>
        </w:rPr>
        <w:t>Ry</w:t>
      </w:r>
      <w:r>
        <w:rPr>
          <w:rFonts w:ascii="Arial"/>
          <w:i/>
          <w:spacing w:val="17"/>
          <w:sz w:val="20"/>
        </w:rPr>
        <w:t> </w:t>
      </w:r>
      <w:r>
        <w:rPr>
          <w:rFonts w:ascii="Arial"/>
          <w:i/>
          <w:sz w:val="20"/>
        </w:rPr>
        <w:t>(1877)</w:t>
      </w:r>
      <w:r>
        <w:rPr>
          <w:rFonts w:ascii="Arial"/>
          <w:i/>
          <w:spacing w:val="17"/>
          <w:sz w:val="20"/>
        </w:rPr>
        <w:t> </w:t>
      </w:r>
      <w:r>
        <w:rPr>
          <w:rFonts w:ascii="Arial"/>
          <w:i/>
          <w:sz w:val="20"/>
        </w:rPr>
        <w:t>2</w:t>
      </w:r>
      <w:r>
        <w:rPr>
          <w:rFonts w:ascii="Arial"/>
          <w:i/>
          <w:spacing w:val="17"/>
          <w:sz w:val="20"/>
        </w:rPr>
        <w:t> </w:t>
      </w:r>
      <w:r>
        <w:rPr>
          <w:rFonts w:ascii="Arial"/>
          <w:i/>
          <w:sz w:val="20"/>
        </w:rPr>
        <w:t>App.</w:t>
      </w:r>
      <w:r>
        <w:rPr>
          <w:rFonts w:ascii="Arial"/>
          <w:i/>
          <w:spacing w:val="17"/>
          <w:sz w:val="20"/>
        </w:rPr>
        <w:t> </w:t>
      </w:r>
      <w:r>
        <w:rPr>
          <w:rFonts w:ascii="Arial"/>
          <w:i/>
          <w:spacing w:val="-4"/>
          <w:sz w:val="20"/>
        </w:rPr>
        <w:t>Cas.</w:t>
      </w:r>
    </w:p>
    <w:p>
      <w:pPr>
        <w:pStyle w:val="BodyText"/>
        <w:spacing w:line="235" w:lineRule="auto" w:before="1"/>
        <w:ind w:left="705" w:right="167"/>
        <w:jc w:val="both"/>
      </w:pPr>
      <w:r>
        <w:rPr>
          <w:rFonts w:ascii="Arial" w:hAnsi="Arial"/>
          <w:i/>
        </w:rPr>
        <w:t>439 </w:t>
      </w:r>
      <w:r>
        <w:rPr/>
        <w:t>(above, para.4-086) as stating a principle of “contractual variation of strict contractual rights.” It is respectfully submitted that this phrase should be interpreted to refer simply </w:t>
      </w:r>
      <w:r>
        <w:rPr/>
        <w:t>to </w:t>
      </w:r>
      <w:r>
        <w:rPr>
          <w:rFonts w:ascii="Arial" w:hAnsi="Arial"/>
          <w:i/>
        </w:rPr>
        <w:t>variations of contracts</w:t>
      </w:r>
      <w:r>
        <w:rPr/>
        <w:t>, rather than to </w:t>
      </w:r>
      <w:r>
        <w:rPr>
          <w:rFonts w:ascii="Arial" w:hAnsi="Arial"/>
          <w:i/>
        </w:rPr>
        <w:t>contractually binding variations</w:t>
      </w:r>
      <w:r>
        <w:rPr/>
        <w:t>; for the principle </w:t>
      </w:r>
      <w:r>
        <w:rPr/>
        <w:t>clearly applies to variations which are not contractually binding (but revocable on reasonable </w:t>
      </w:r>
      <w:r>
        <w:rPr/>
        <w:t>notice) because they are not supported by consideration.</w:t>
      </w:r>
    </w:p>
    <w:p>
      <w:pPr>
        <w:pStyle w:val="BodyText"/>
        <w:spacing w:before="5"/>
      </w:pPr>
    </w:p>
    <w:p>
      <w:pPr>
        <w:pStyle w:val="BodyText"/>
        <w:tabs>
          <w:tab w:pos="705" w:val="left" w:leader="none"/>
        </w:tabs>
        <w:ind w:left="165"/>
      </w:pPr>
      <w:bookmarkStart w:name="_bookmark1618" w:id="1620"/>
      <w:bookmarkEnd w:id="1620"/>
      <w:r>
        <w:rPr/>
      </w:r>
      <w:hyperlink w:history="true" w:anchor="_bookmark1552">
        <w:r>
          <w:rPr>
            <w:color w:val="005DA1"/>
            <w:spacing w:val="-4"/>
            <w:position w:val="5"/>
            <w:sz w:val="14"/>
            <w:u w:val="single" w:color="005DA1"/>
          </w:rPr>
          <w:t>853</w:t>
        </w:r>
      </w:hyperlink>
      <w:r>
        <w:rPr>
          <w:spacing w:val="-4"/>
          <w:position w:val="5"/>
          <w:sz w:val="14"/>
        </w:rPr>
        <w:t>.</w:t>
      </w:r>
      <w:r>
        <w:rPr>
          <w:position w:val="5"/>
          <w:sz w:val="14"/>
        </w:rPr>
        <w:tab/>
      </w:r>
      <w:r>
        <w:rPr/>
        <w:t>Above,</w:t>
      </w:r>
      <w:r>
        <w:rPr>
          <w:spacing w:val="-2"/>
        </w:rPr>
        <w:t> </w:t>
      </w:r>
      <w:r>
        <w:rPr/>
        <w:t>paras 4-087 et </w:t>
      </w:r>
      <w:r>
        <w:rPr>
          <w:spacing w:val="-4"/>
        </w:rPr>
        <w:t>seq.</w:t>
      </w:r>
    </w:p>
    <w:p>
      <w:pPr>
        <w:pStyle w:val="BodyText"/>
        <w:spacing w:after="0"/>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1553">
        <w:r>
          <w:rPr>
            <w:color w:val="005DA1"/>
            <w:spacing w:val="-4"/>
            <w:position w:val="5"/>
            <w:sz w:val="14"/>
            <w:u w:val="single" w:color="005DA1"/>
          </w:rPr>
          <w:t>854</w:t>
        </w:r>
      </w:hyperlink>
      <w:r>
        <w:rPr>
          <w:spacing w:val="-4"/>
          <w:position w:val="5"/>
          <w:sz w:val="14"/>
        </w:rPr>
        <w:t>.</w:t>
      </w:r>
      <w:r>
        <w:rPr>
          <w:position w:val="5"/>
          <w:sz w:val="14"/>
        </w:rPr>
        <w:tab/>
      </w:r>
      <w:r>
        <w:rPr>
          <w:sz w:val="20"/>
        </w:rPr>
        <w:t>Above, para.4-</w:t>
      </w:r>
      <w:r>
        <w:rPr>
          <w:spacing w:val="-4"/>
          <w:sz w:val="20"/>
        </w:rPr>
        <w:t>104.</w:t>
      </w:r>
    </w:p>
    <w:p>
      <w:pPr>
        <w:pStyle w:val="BodyText"/>
        <w:spacing w:before="5"/>
      </w:pPr>
    </w:p>
    <w:p>
      <w:pPr>
        <w:pStyle w:val="BodyText"/>
        <w:tabs>
          <w:tab w:pos="705" w:val="left" w:leader="none"/>
        </w:tabs>
        <w:ind w:left="165"/>
      </w:pPr>
      <w:bookmarkStart w:name="_bookmark1619" w:id="1621"/>
      <w:bookmarkEnd w:id="1621"/>
      <w:r>
        <w:rPr/>
      </w:r>
      <w:hyperlink w:history="true" w:anchor="_bookmark1554">
        <w:r>
          <w:rPr>
            <w:color w:val="005DA1"/>
            <w:spacing w:val="-4"/>
            <w:position w:val="5"/>
            <w:sz w:val="14"/>
            <w:u w:val="single" w:color="005DA1"/>
          </w:rPr>
          <w:t>855</w:t>
        </w:r>
      </w:hyperlink>
      <w:r>
        <w:rPr>
          <w:spacing w:val="-4"/>
          <w:position w:val="5"/>
          <w:sz w:val="14"/>
        </w:rPr>
        <w:t>.</w:t>
      </w:r>
      <w:r>
        <w:rPr>
          <w:position w:val="5"/>
          <w:sz w:val="14"/>
        </w:rPr>
        <w:tab/>
      </w:r>
      <w:r>
        <w:rPr/>
        <w:t>cf. above, para.4-</w:t>
      </w:r>
      <w:r>
        <w:rPr>
          <w:spacing w:val="-4"/>
        </w:rPr>
        <w:t>095.</w:t>
      </w:r>
    </w:p>
    <w:p>
      <w:pPr>
        <w:pStyle w:val="BodyText"/>
        <w:spacing w:before="5"/>
      </w:pPr>
    </w:p>
    <w:p>
      <w:pPr>
        <w:pStyle w:val="BodyText"/>
        <w:tabs>
          <w:tab w:pos="705" w:val="left" w:leader="none"/>
        </w:tabs>
        <w:ind w:left="165"/>
      </w:pPr>
      <w:bookmarkStart w:name="_bookmark1620" w:id="1622"/>
      <w:bookmarkEnd w:id="1622"/>
      <w:r>
        <w:rPr/>
      </w:r>
      <w:hyperlink w:history="true" w:anchor="_bookmark1555">
        <w:r>
          <w:rPr>
            <w:color w:val="005DA1"/>
            <w:spacing w:val="-4"/>
            <w:position w:val="5"/>
            <w:sz w:val="14"/>
            <w:u w:val="single" w:color="005DA1"/>
          </w:rPr>
          <w:t>856</w:t>
        </w:r>
      </w:hyperlink>
      <w:r>
        <w:rPr>
          <w:spacing w:val="-4"/>
          <w:position w:val="5"/>
          <w:sz w:val="14"/>
        </w:rPr>
        <w:t>.</w:t>
      </w:r>
      <w:r>
        <w:rPr>
          <w:position w:val="5"/>
          <w:sz w:val="14"/>
        </w:rPr>
        <w:tab/>
      </w:r>
      <w:r>
        <w:rPr/>
        <w:t>Wilson (1951) 67 L.Q.R. 330, </w:t>
      </w:r>
      <w:r>
        <w:rPr>
          <w:spacing w:val="-4"/>
        </w:rPr>
        <w:t>344.</w:t>
      </w:r>
    </w:p>
    <w:p>
      <w:pPr>
        <w:pStyle w:val="BodyText"/>
        <w:spacing w:before="5"/>
      </w:pPr>
    </w:p>
    <w:p>
      <w:pPr>
        <w:pStyle w:val="BodyText"/>
        <w:tabs>
          <w:tab w:pos="705" w:val="left" w:leader="none"/>
        </w:tabs>
        <w:ind w:left="165"/>
      </w:pPr>
      <w:bookmarkStart w:name="_bookmark1621" w:id="1623"/>
      <w:bookmarkEnd w:id="1623"/>
      <w:r>
        <w:rPr/>
      </w:r>
      <w:hyperlink w:history="true" w:anchor="_bookmark1556">
        <w:r>
          <w:rPr>
            <w:color w:val="005DA1"/>
            <w:spacing w:val="-4"/>
            <w:position w:val="5"/>
            <w:sz w:val="14"/>
            <w:u w:val="single" w:color="005DA1"/>
          </w:rPr>
          <w:t>857</w:t>
        </w:r>
      </w:hyperlink>
      <w:r>
        <w:rPr>
          <w:spacing w:val="-4"/>
          <w:position w:val="5"/>
          <w:sz w:val="14"/>
        </w:rPr>
        <w:t>.</w:t>
      </w:r>
      <w:r>
        <w:rPr>
          <w:position w:val="5"/>
          <w:sz w:val="14"/>
        </w:rPr>
        <w:tab/>
      </w:r>
      <w:r>
        <w:rPr/>
        <w:t>cf. Denning (1952) 15 M.L.R. 1, </w:t>
      </w:r>
      <w:r>
        <w:rPr>
          <w:spacing w:val="-4"/>
        </w:rPr>
        <w:t>6–8.</w:t>
      </w:r>
    </w:p>
    <w:p>
      <w:pPr>
        <w:pStyle w:val="BodyText"/>
        <w:spacing w:before="5"/>
      </w:pPr>
    </w:p>
    <w:p>
      <w:pPr>
        <w:tabs>
          <w:tab w:pos="705" w:val="left" w:leader="none"/>
        </w:tabs>
        <w:spacing w:before="0"/>
        <w:ind w:left="165" w:right="0" w:firstLine="0"/>
        <w:jc w:val="left"/>
        <w:rPr>
          <w:sz w:val="20"/>
        </w:rPr>
      </w:pPr>
      <w:bookmarkStart w:name="_bookmark1622" w:id="1624"/>
      <w:bookmarkEnd w:id="1624"/>
      <w:r>
        <w:rPr/>
      </w:r>
      <w:hyperlink w:history="true" w:anchor="_bookmark1557">
        <w:r>
          <w:rPr>
            <w:color w:val="005DA1"/>
            <w:spacing w:val="-4"/>
            <w:position w:val="5"/>
            <w:sz w:val="14"/>
            <w:u w:val="single" w:color="005DA1"/>
          </w:rPr>
          <w:t>858</w:t>
        </w:r>
      </w:hyperlink>
      <w:r>
        <w:rPr>
          <w:spacing w:val="-4"/>
          <w:position w:val="5"/>
          <w:sz w:val="14"/>
        </w:rPr>
        <w:t>.</w:t>
      </w:r>
      <w:r>
        <w:rPr>
          <w:position w:val="5"/>
          <w:sz w:val="14"/>
        </w:rPr>
        <w:tab/>
      </w:r>
      <w:r>
        <w:rPr>
          <w:rFonts w:ascii="Arial"/>
          <w:i/>
          <w:sz w:val="20"/>
        </w:rPr>
        <w:t>(1877)</w:t>
      </w:r>
      <w:r>
        <w:rPr>
          <w:rFonts w:ascii="Arial"/>
          <w:i/>
          <w:spacing w:val="-2"/>
          <w:sz w:val="20"/>
        </w:rPr>
        <w:t> </w:t>
      </w:r>
      <w:r>
        <w:rPr>
          <w:rFonts w:ascii="Arial"/>
          <w:i/>
          <w:sz w:val="20"/>
        </w:rPr>
        <w:t>2 App. Cas. </w:t>
      </w:r>
      <w:r>
        <w:rPr>
          <w:rFonts w:ascii="Arial"/>
          <w:i/>
          <w:spacing w:val="-4"/>
          <w:sz w:val="20"/>
        </w:rPr>
        <w:t>439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23" w:id="1625"/>
      <w:bookmarkEnd w:id="1625"/>
      <w:r>
        <w:rPr/>
      </w:r>
      <w:hyperlink w:history="true" w:anchor="_bookmark1558">
        <w:r>
          <w:rPr>
            <w:color w:val="005DA1"/>
            <w:spacing w:val="-4"/>
            <w:position w:val="5"/>
            <w:sz w:val="14"/>
            <w:u w:val="single" w:color="005DA1"/>
          </w:rPr>
          <w:t>859</w:t>
        </w:r>
      </w:hyperlink>
      <w:r>
        <w:rPr>
          <w:spacing w:val="-4"/>
          <w:position w:val="5"/>
          <w:sz w:val="14"/>
        </w:rPr>
        <w:t>.</w:t>
      </w:r>
      <w:r>
        <w:rPr>
          <w:position w:val="5"/>
          <w:sz w:val="14"/>
        </w:rPr>
        <w:tab/>
      </w:r>
      <w:r>
        <w:rPr>
          <w:sz w:val="20"/>
        </w:rPr>
        <w:t>e.g. in</w:t>
      </w:r>
      <w:r>
        <w:rPr>
          <w:spacing w:val="-1"/>
          <w:sz w:val="20"/>
        </w:rPr>
        <w:t> </w:t>
      </w:r>
      <w:r>
        <w:rPr>
          <w:rFonts w:ascii="Arial"/>
          <w:i/>
          <w:sz w:val="20"/>
        </w:rPr>
        <w:t>Combe v Combe [1951] 2 K.B. 215</w:t>
      </w:r>
      <w:r>
        <w:rPr>
          <w:rFonts w:ascii="Arial"/>
          <w:i/>
          <w:spacing w:val="-1"/>
          <w:sz w:val="20"/>
        </w:rPr>
        <w:t> </w:t>
      </w:r>
      <w:r>
        <w:rPr>
          <w:sz w:val="20"/>
        </w:rPr>
        <w:t>at </w:t>
      </w:r>
      <w:r>
        <w:rPr>
          <w:spacing w:val="-4"/>
          <w:sz w:val="20"/>
        </w:rPr>
        <w:t>220.</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1624" w:id="1626"/>
      <w:bookmarkEnd w:id="1626"/>
      <w:r>
        <w:rPr/>
      </w:r>
      <w:hyperlink w:history="true" w:anchor="_bookmark1559">
        <w:r>
          <w:rPr>
            <w:color w:val="005DA1"/>
            <w:spacing w:val="-4"/>
            <w:position w:val="5"/>
            <w:sz w:val="14"/>
            <w:u w:val="single" w:color="005DA1"/>
          </w:rPr>
          <w:t>860</w:t>
        </w:r>
      </w:hyperlink>
      <w:r>
        <w:rPr>
          <w:spacing w:val="-4"/>
          <w:position w:val="5"/>
          <w:sz w:val="14"/>
        </w:rPr>
        <w:t>.</w:t>
      </w:r>
      <w:r>
        <w:rPr>
          <w:position w:val="5"/>
          <w:sz w:val="14"/>
        </w:rPr>
        <w:tab/>
      </w:r>
      <w:r>
        <w:rPr>
          <w:sz w:val="20"/>
        </w:rPr>
        <w:t>Above,</w:t>
      </w:r>
      <w:r>
        <w:rPr>
          <w:spacing w:val="15"/>
          <w:sz w:val="20"/>
        </w:rPr>
        <w:t> </w:t>
      </w:r>
      <w:r>
        <w:rPr>
          <w:sz w:val="20"/>
        </w:rPr>
        <w:t>para.4-096;</w:t>
      </w:r>
      <w:r>
        <w:rPr>
          <w:spacing w:val="15"/>
          <w:sz w:val="20"/>
        </w:rPr>
        <w:t> </w:t>
      </w:r>
      <w:r>
        <w:rPr>
          <w:rFonts w:ascii="Arial"/>
          <w:i/>
          <w:sz w:val="20"/>
        </w:rPr>
        <w:t>Tool</w:t>
      </w:r>
      <w:r>
        <w:rPr>
          <w:rFonts w:ascii="Arial"/>
          <w:i/>
          <w:spacing w:val="16"/>
          <w:sz w:val="20"/>
        </w:rPr>
        <w:t> </w:t>
      </w:r>
      <w:r>
        <w:rPr>
          <w:rFonts w:ascii="Arial"/>
          <w:i/>
          <w:sz w:val="20"/>
        </w:rPr>
        <w:t>Metal</w:t>
      </w:r>
      <w:r>
        <w:rPr>
          <w:rFonts w:ascii="Arial"/>
          <w:i/>
          <w:spacing w:val="16"/>
          <w:sz w:val="20"/>
        </w:rPr>
        <w:t> </w:t>
      </w:r>
      <w:r>
        <w:rPr>
          <w:rFonts w:ascii="Arial"/>
          <w:i/>
          <w:sz w:val="20"/>
        </w:rPr>
        <w:t>case</w:t>
      </w:r>
      <w:r>
        <w:rPr>
          <w:rFonts w:ascii="Arial"/>
          <w:i/>
          <w:spacing w:val="16"/>
          <w:sz w:val="20"/>
        </w:rPr>
        <w:t> </w:t>
      </w:r>
      <w:r>
        <w:rPr>
          <w:rFonts w:ascii="Arial"/>
          <w:i/>
          <w:sz w:val="20"/>
        </w:rPr>
        <w:t>[1955]</w:t>
      </w:r>
      <w:r>
        <w:rPr>
          <w:rFonts w:ascii="Arial"/>
          <w:i/>
          <w:spacing w:val="16"/>
          <w:sz w:val="20"/>
        </w:rPr>
        <w:t> </w:t>
      </w:r>
      <w:r>
        <w:rPr>
          <w:rFonts w:ascii="Arial"/>
          <w:i/>
          <w:sz w:val="20"/>
        </w:rPr>
        <w:t>1</w:t>
      </w:r>
      <w:r>
        <w:rPr>
          <w:rFonts w:ascii="Arial"/>
          <w:i/>
          <w:spacing w:val="16"/>
          <w:sz w:val="20"/>
        </w:rPr>
        <w:t> </w:t>
      </w:r>
      <w:r>
        <w:rPr>
          <w:rFonts w:ascii="Arial"/>
          <w:i/>
          <w:sz w:val="20"/>
        </w:rPr>
        <w:t>W.L.R.</w:t>
      </w:r>
      <w:r>
        <w:rPr>
          <w:rFonts w:ascii="Arial"/>
          <w:i/>
          <w:spacing w:val="16"/>
          <w:sz w:val="20"/>
        </w:rPr>
        <w:t> </w:t>
      </w:r>
      <w:r>
        <w:rPr>
          <w:rFonts w:ascii="Arial"/>
          <w:i/>
          <w:sz w:val="20"/>
        </w:rPr>
        <w:t>761,</w:t>
      </w:r>
      <w:r>
        <w:rPr>
          <w:rFonts w:ascii="Arial"/>
          <w:i/>
          <w:spacing w:val="16"/>
          <w:sz w:val="20"/>
        </w:rPr>
        <w:t> </w:t>
      </w:r>
      <w:r>
        <w:rPr>
          <w:rFonts w:ascii="Arial"/>
          <w:i/>
          <w:sz w:val="20"/>
        </w:rPr>
        <w:t>764</w:t>
      </w:r>
      <w:r>
        <w:rPr>
          <w:sz w:val="20"/>
        </w:rPr>
        <w:t>;</w:t>
      </w:r>
      <w:r>
        <w:rPr>
          <w:spacing w:val="16"/>
          <w:sz w:val="20"/>
        </w:rPr>
        <w:t> </w:t>
      </w:r>
      <w:r>
        <w:rPr>
          <w:rFonts w:ascii="Arial"/>
          <w:i/>
          <w:sz w:val="20"/>
        </w:rPr>
        <w:t>Beesly</w:t>
      </w:r>
      <w:r>
        <w:rPr>
          <w:rFonts w:ascii="Arial"/>
          <w:i/>
          <w:spacing w:val="16"/>
          <w:sz w:val="20"/>
        </w:rPr>
        <w:t> </w:t>
      </w:r>
      <w:r>
        <w:rPr>
          <w:rFonts w:ascii="Arial"/>
          <w:i/>
          <w:sz w:val="20"/>
        </w:rPr>
        <w:t>v</w:t>
      </w:r>
      <w:r>
        <w:rPr>
          <w:rFonts w:ascii="Arial"/>
          <w:i/>
          <w:spacing w:val="16"/>
          <w:sz w:val="20"/>
        </w:rPr>
        <w:t> </w:t>
      </w:r>
      <w:r>
        <w:rPr>
          <w:rFonts w:ascii="Arial"/>
          <w:i/>
          <w:sz w:val="20"/>
        </w:rPr>
        <w:t>Hallwood</w:t>
      </w:r>
      <w:r>
        <w:rPr>
          <w:rFonts w:ascii="Arial"/>
          <w:i/>
          <w:spacing w:val="16"/>
          <w:sz w:val="20"/>
        </w:rPr>
        <w:t> </w:t>
      </w:r>
      <w:r>
        <w:rPr>
          <w:rFonts w:ascii="Arial"/>
          <w:i/>
          <w:sz w:val="20"/>
        </w:rPr>
        <w:t>Estates</w:t>
      </w:r>
      <w:r>
        <w:rPr>
          <w:rFonts w:ascii="Arial"/>
          <w:i/>
          <w:spacing w:val="16"/>
          <w:sz w:val="20"/>
        </w:rPr>
        <w:t> </w:t>
      </w:r>
      <w:r>
        <w:rPr>
          <w:rFonts w:ascii="Arial"/>
          <w:i/>
          <w:spacing w:val="-5"/>
          <w:sz w:val="20"/>
        </w:rPr>
        <w:t>Ltd</w:t>
      </w:r>
    </w:p>
    <w:p>
      <w:pPr>
        <w:spacing w:line="225" w:lineRule="exact" w:before="0"/>
        <w:ind w:left="0" w:right="168" w:firstLine="0"/>
        <w:jc w:val="right"/>
        <w:rPr>
          <w:sz w:val="20"/>
        </w:rPr>
      </w:pPr>
      <w:r>
        <w:rPr>
          <w:rFonts w:ascii="Arial"/>
          <w:i/>
          <w:sz w:val="20"/>
        </w:rPr>
        <w:t>[1960]</w:t>
      </w:r>
      <w:r>
        <w:rPr>
          <w:rFonts w:ascii="Arial"/>
          <w:i/>
          <w:spacing w:val="11"/>
          <w:sz w:val="20"/>
        </w:rPr>
        <w:t> </w:t>
      </w:r>
      <w:r>
        <w:rPr>
          <w:rFonts w:ascii="Arial"/>
          <w:i/>
          <w:sz w:val="20"/>
        </w:rPr>
        <w:t>1</w:t>
      </w:r>
      <w:r>
        <w:rPr>
          <w:rFonts w:ascii="Arial"/>
          <w:i/>
          <w:spacing w:val="12"/>
          <w:sz w:val="20"/>
        </w:rPr>
        <w:t> </w:t>
      </w:r>
      <w:r>
        <w:rPr>
          <w:rFonts w:ascii="Arial"/>
          <w:i/>
          <w:sz w:val="20"/>
        </w:rPr>
        <w:t>W.L.R.</w:t>
      </w:r>
      <w:r>
        <w:rPr>
          <w:rFonts w:ascii="Arial"/>
          <w:i/>
          <w:spacing w:val="12"/>
          <w:sz w:val="20"/>
        </w:rPr>
        <w:t> </w:t>
      </w:r>
      <w:r>
        <w:rPr>
          <w:rFonts w:ascii="Arial"/>
          <w:i/>
          <w:sz w:val="20"/>
        </w:rPr>
        <w:t>548,</w:t>
      </w:r>
      <w:r>
        <w:rPr>
          <w:rFonts w:ascii="Arial"/>
          <w:i/>
          <w:spacing w:val="12"/>
          <w:sz w:val="20"/>
        </w:rPr>
        <w:t> </w:t>
      </w:r>
      <w:r>
        <w:rPr>
          <w:rFonts w:ascii="Arial"/>
          <w:i/>
          <w:sz w:val="20"/>
        </w:rPr>
        <w:t>560;</w:t>
      </w:r>
      <w:r>
        <w:rPr>
          <w:rFonts w:ascii="Arial"/>
          <w:i/>
          <w:spacing w:val="12"/>
          <w:sz w:val="20"/>
        </w:rPr>
        <w:t> </w:t>
      </w:r>
      <w:r>
        <w:rPr>
          <w:rFonts w:ascii="Arial"/>
          <w:i/>
          <w:sz w:val="20"/>
        </w:rPr>
        <w:t>affirmed</w:t>
      </w:r>
      <w:r>
        <w:rPr>
          <w:rFonts w:ascii="Arial"/>
          <w:i/>
          <w:spacing w:val="12"/>
          <w:sz w:val="20"/>
        </w:rPr>
        <w:t> </w:t>
      </w:r>
      <w:r>
        <w:rPr>
          <w:rFonts w:ascii="Arial"/>
          <w:i/>
          <w:sz w:val="20"/>
        </w:rPr>
        <w:t>[1961]</w:t>
      </w:r>
      <w:r>
        <w:rPr>
          <w:rFonts w:ascii="Arial"/>
          <w:i/>
          <w:spacing w:val="12"/>
          <w:sz w:val="20"/>
        </w:rPr>
        <w:t> </w:t>
      </w:r>
      <w:r>
        <w:rPr>
          <w:rFonts w:ascii="Arial"/>
          <w:i/>
          <w:sz w:val="20"/>
        </w:rPr>
        <w:t>Ch.</w:t>
      </w:r>
      <w:r>
        <w:rPr>
          <w:rFonts w:ascii="Arial"/>
          <w:i/>
          <w:spacing w:val="12"/>
          <w:sz w:val="20"/>
        </w:rPr>
        <w:t> </w:t>
      </w:r>
      <w:r>
        <w:rPr>
          <w:rFonts w:ascii="Arial"/>
          <w:i/>
          <w:sz w:val="20"/>
        </w:rPr>
        <w:t>105</w:t>
      </w:r>
      <w:r>
        <w:rPr>
          <w:sz w:val="20"/>
        </w:rPr>
        <w:t>,</w:t>
      </w:r>
      <w:r>
        <w:rPr>
          <w:spacing w:val="12"/>
          <w:sz w:val="20"/>
        </w:rPr>
        <w:t> </w:t>
      </w:r>
      <w:r>
        <w:rPr>
          <w:sz w:val="20"/>
        </w:rPr>
        <w:t>as</w:t>
      </w:r>
      <w:r>
        <w:rPr>
          <w:spacing w:val="12"/>
          <w:sz w:val="20"/>
        </w:rPr>
        <w:t> </w:t>
      </w:r>
      <w:r>
        <w:rPr>
          <w:sz w:val="20"/>
        </w:rPr>
        <w:t>to</w:t>
      </w:r>
      <w:r>
        <w:rPr>
          <w:spacing w:val="12"/>
          <w:sz w:val="20"/>
        </w:rPr>
        <w:t> </w:t>
      </w:r>
      <w:r>
        <w:rPr>
          <w:sz w:val="20"/>
        </w:rPr>
        <w:t>which</w:t>
      </w:r>
      <w:r>
        <w:rPr>
          <w:spacing w:val="12"/>
          <w:sz w:val="20"/>
        </w:rPr>
        <w:t> </w:t>
      </w:r>
      <w:r>
        <w:rPr>
          <w:sz w:val="20"/>
        </w:rPr>
        <w:t>see</w:t>
      </w:r>
      <w:r>
        <w:rPr>
          <w:spacing w:val="12"/>
          <w:sz w:val="20"/>
        </w:rPr>
        <w:t> </w:t>
      </w:r>
      <w:r>
        <w:rPr>
          <w:sz w:val="20"/>
        </w:rPr>
        <w:t>below,</w:t>
      </w:r>
      <w:r>
        <w:rPr>
          <w:spacing w:val="12"/>
          <w:sz w:val="20"/>
        </w:rPr>
        <w:t> </w:t>
      </w:r>
      <w:r>
        <w:rPr>
          <w:sz w:val="20"/>
        </w:rPr>
        <w:t>para.4-193</w:t>
      </w:r>
      <w:r>
        <w:rPr>
          <w:spacing w:val="12"/>
          <w:sz w:val="20"/>
        </w:rPr>
        <w:t> </w:t>
      </w:r>
      <w:r>
        <w:rPr>
          <w:spacing w:val="-2"/>
          <w:sz w:val="20"/>
        </w:rPr>
        <w:t>n.1234;</w:t>
      </w:r>
    </w:p>
    <w:p>
      <w:pPr>
        <w:spacing w:line="227" w:lineRule="exact" w:before="0"/>
        <w:ind w:left="705" w:right="0" w:firstLine="0"/>
        <w:jc w:val="left"/>
        <w:rPr>
          <w:sz w:val="20"/>
        </w:rPr>
      </w:pPr>
      <w:r>
        <w:rPr>
          <w:rFonts w:ascii="Arial"/>
          <w:i/>
          <w:sz w:val="20"/>
        </w:rPr>
        <w:t>Ajayi v R.T. Briscoe (Nig.) Ltd [1964] 1 W.L.R. 1326, </w:t>
      </w:r>
      <w:r>
        <w:rPr>
          <w:rFonts w:ascii="Arial"/>
          <w:i/>
          <w:spacing w:val="-2"/>
          <w:sz w:val="20"/>
        </w:rPr>
        <w:t>1330</w:t>
      </w:r>
      <w:r>
        <w:rPr>
          <w:spacing w:val="-2"/>
          <w:sz w:val="20"/>
        </w:rPr>
        <w:t>.</w:t>
      </w:r>
    </w:p>
    <w:p>
      <w:pPr>
        <w:pStyle w:val="BodyText"/>
        <w:spacing w:before="5"/>
      </w:pPr>
    </w:p>
    <w:p>
      <w:pPr>
        <w:pStyle w:val="BodyText"/>
        <w:tabs>
          <w:tab w:pos="705" w:val="left" w:leader="none"/>
        </w:tabs>
        <w:ind w:left="165"/>
      </w:pPr>
      <w:bookmarkStart w:name="_bookmark1625" w:id="1627"/>
      <w:bookmarkEnd w:id="1627"/>
      <w:r>
        <w:rPr/>
      </w:r>
      <w:hyperlink w:history="true" w:anchor="_bookmark1560">
        <w:r>
          <w:rPr>
            <w:color w:val="005DA1"/>
            <w:spacing w:val="-4"/>
            <w:position w:val="5"/>
            <w:sz w:val="14"/>
            <w:u w:val="single" w:color="005DA1"/>
          </w:rPr>
          <w:t>861</w:t>
        </w:r>
      </w:hyperlink>
      <w:r>
        <w:rPr>
          <w:spacing w:val="-4"/>
          <w:position w:val="5"/>
          <w:sz w:val="14"/>
        </w:rPr>
        <w:t>.</w:t>
      </w:r>
      <w:r>
        <w:rPr>
          <w:position w:val="5"/>
          <w:sz w:val="14"/>
        </w:rPr>
        <w:tab/>
      </w:r>
      <w:r>
        <w:rPr/>
        <w:t>cf. above, para.4-</w:t>
      </w:r>
      <w:r>
        <w:rPr>
          <w:spacing w:val="-4"/>
        </w:rPr>
        <w:t>098.</w:t>
      </w:r>
    </w:p>
    <w:p>
      <w:pPr>
        <w:pStyle w:val="BodyText"/>
        <w:spacing w:before="9"/>
      </w:pPr>
    </w:p>
    <w:p>
      <w:pPr>
        <w:spacing w:line="235" w:lineRule="auto" w:before="0"/>
        <w:ind w:left="705" w:right="168" w:hanging="541"/>
        <w:jc w:val="both"/>
        <w:rPr>
          <w:sz w:val="20"/>
        </w:rPr>
      </w:pPr>
      <w:bookmarkStart w:name="_bookmark1626" w:id="1628"/>
      <w:bookmarkEnd w:id="1628"/>
      <w:r>
        <w:rPr/>
      </w:r>
      <w:hyperlink w:history="true" w:anchor="_bookmark1561">
        <w:r>
          <w:rPr>
            <w:color w:val="005DA1"/>
            <w:position w:val="5"/>
            <w:sz w:val="14"/>
            <w:u w:val="single" w:color="005DA1"/>
          </w:rPr>
          <w:t>862</w:t>
        </w:r>
      </w:hyperlink>
      <w:r>
        <w:rPr>
          <w:position w:val="5"/>
          <w:sz w:val="14"/>
        </w:rPr>
        <w:t>.</w:t>
      </w:r>
      <w:r>
        <w:rPr>
          <w:spacing w:val="80"/>
          <w:position w:val="5"/>
          <w:sz w:val="14"/>
        </w:rPr>
        <w:t>  </w:t>
      </w:r>
      <w:r>
        <w:rPr>
          <w:rFonts w:ascii="Arial" w:hAnsi="Arial"/>
          <w:i/>
          <w:sz w:val="20"/>
        </w:rPr>
        <w:t>Re</w:t>
      </w:r>
      <w:r>
        <w:rPr>
          <w:rFonts w:ascii="Arial" w:hAnsi="Arial"/>
          <w:i/>
          <w:spacing w:val="-2"/>
          <w:sz w:val="20"/>
        </w:rPr>
        <w:t> </w:t>
      </w:r>
      <w:r>
        <w:rPr>
          <w:rFonts w:ascii="Arial" w:hAnsi="Arial"/>
          <w:i/>
          <w:sz w:val="20"/>
        </w:rPr>
        <w:t>Selectmove</w:t>
      </w:r>
      <w:r>
        <w:rPr>
          <w:rFonts w:ascii="Arial" w:hAnsi="Arial"/>
          <w:i/>
          <w:spacing w:val="-2"/>
          <w:sz w:val="20"/>
        </w:rPr>
        <w:t> </w:t>
      </w:r>
      <w:r>
        <w:rPr>
          <w:rFonts w:ascii="Arial" w:hAnsi="Arial"/>
          <w:i/>
          <w:sz w:val="20"/>
        </w:rPr>
        <w:t>[1995]</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474,</w:t>
      </w:r>
      <w:r>
        <w:rPr>
          <w:rFonts w:ascii="Arial" w:hAnsi="Arial"/>
          <w:i/>
          <w:spacing w:val="-2"/>
          <w:sz w:val="20"/>
        </w:rPr>
        <w:t> </w:t>
      </w:r>
      <w:r>
        <w:rPr>
          <w:rFonts w:ascii="Arial" w:hAnsi="Arial"/>
          <w:i/>
          <w:sz w:val="20"/>
        </w:rPr>
        <w:t>481</w:t>
      </w:r>
      <w:r>
        <w:rPr>
          <w:sz w:val="20"/>
        </w:rPr>
        <w:t>,</w:t>
      </w:r>
      <w:r>
        <w:rPr>
          <w:spacing w:val="-2"/>
          <w:sz w:val="20"/>
        </w:rPr>
        <w:t> </w:t>
      </w:r>
      <w:r>
        <w:rPr>
          <w:sz w:val="20"/>
        </w:rPr>
        <w:t>where</w:t>
      </w:r>
      <w:r>
        <w:rPr>
          <w:spacing w:val="-2"/>
          <w:sz w:val="20"/>
        </w:rPr>
        <w:t> </w:t>
      </w:r>
      <w:r>
        <w:rPr>
          <w:sz w:val="20"/>
        </w:rPr>
        <w:t>the</w:t>
      </w:r>
      <w:r>
        <w:rPr>
          <w:spacing w:val="-2"/>
          <w:sz w:val="20"/>
        </w:rPr>
        <w:t> </w:t>
      </w:r>
      <w:r>
        <w:rPr>
          <w:sz w:val="20"/>
        </w:rPr>
        <w:t>debtor’s</w:t>
      </w:r>
      <w:r>
        <w:rPr>
          <w:spacing w:val="-2"/>
          <w:sz w:val="20"/>
        </w:rPr>
        <w:t> </w:t>
      </w:r>
      <w:r>
        <w:rPr>
          <w:sz w:val="20"/>
        </w:rPr>
        <w:t>promise</w:t>
      </w:r>
      <w:r>
        <w:rPr>
          <w:spacing w:val="-2"/>
          <w:sz w:val="20"/>
        </w:rPr>
        <w:t> </w:t>
      </w:r>
      <w:r>
        <w:rPr>
          <w:sz w:val="20"/>
        </w:rPr>
        <w:t>was</w:t>
      </w:r>
      <w:r>
        <w:rPr>
          <w:spacing w:val="-2"/>
          <w:sz w:val="20"/>
        </w:rPr>
        <w:t> </w:t>
      </w:r>
      <w:r>
        <w:rPr>
          <w:sz w:val="20"/>
        </w:rPr>
        <w:t>not</w:t>
      </w:r>
      <w:r>
        <w:rPr>
          <w:spacing w:val="-2"/>
          <w:sz w:val="20"/>
        </w:rPr>
        <w:t> </w:t>
      </w:r>
      <w:r>
        <w:rPr>
          <w:sz w:val="20"/>
        </w:rPr>
        <w:t>to</w:t>
      </w:r>
      <w:r>
        <w:rPr>
          <w:spacing w:val="-2"/>
          <w:sz w:val="20"/>
        </w:rPr>
        <w:t> </w:t>
      </w:r>
      <w:r>
        <w:rPr>
          <w:sz w:val="20"/>
        </w:rPr>
        <w:t>pay</w:t>
      </w:r>
      <w:r>
        <w:rPr>
          <w:spacing w:val="-3"/>
          <w:sz w:val="20"/>
        </w:rPr>
        <w:t> </w:t>
      </w:r>
      <w:r>
        <w:rPr>
          <w:rFonts w:ascii="Arial" w:hAnsi="Arial"/>
          <w:i/>
          <w:sz w:val="20"/>
        </w:rPr>
        <w:t>less</w:t>
      </w:r>
      <w:r>
        <w:rPr>
          <w:rFonts w:ascii="Arial" w:hAnsi="Arial"/>
          <w:i/>
          <w:spacing w:val="-2"/>
          <w:sz w:val="20"/>
        </w:rPr>
        <w:t> </w:t>
      </w:r>
      <w:r>
        <w:rPr>
          <w:sz w:val="20"/>
        </w:rPr>
        <w:t>but</w:t>
      </w:r>
      <w:r>
        <w:rPr>
          <w:spacing w:val="-2"/>
          <w:sz w:val="20"/>
        </w:rPr>
        <w:t> </w:t>
      </w:r>
      <w:r>
        <w:rPr>
          <w:sz w:val="20"/>
        </w:rPr>
        <w:t>to pay </w:t>
      </w:r>
      <w:r>
        <w:rPr>
          <w:rFonts w:ascii="Arial" w:hAnsi="Arial"/>
          <w:i/>
          <w:sz w:val="20"/>
        </w:rPr>
        <w:t>late</w:t>
      </w:r>
      <w:r>
        <w:rPr>
          <w:sz w:val="20"/>
        </w:rPr>
        <w:t>. Cf. </w:t>
      </w:r>
      <w:r>
        <w:rPr>
          <w:rFonts w:ascii="Arial" w:hAnsi="Arial"/>
          <w:i/>
          <w:sz w:val="20"/>
        </w:rPr>
        <w:t>Burrows v Brent LBC [1996] 1 W.L.R. 1448</w:t>
      </w:r>
      <w:r>
        <w:rPr>
          <w:sz w:val="20"/>
        </w:rPr>
        <w:t>, where decision was based on lack of contractual intention and not on want of consideration. For this case, see also </w:t>
      </w:r>
      <w:r>
        <w:rPr>
          <w:rFonts w:ascii="Arial" w:hAnsi="Arial"/>
          <w:i/>
          <w:sz w:val="20"/>
        </w:rPr>
        <w:t>Knowsley Housing Trust v White [2006] UKHL 70, [2009] 1 A.C. 636 </w:t>
      </w:r>
      <w:r>
        <w:rPr>
          <w:sz w:val="20"/>
        </w:rPr>
        <w:t>(above, para.2-196); there was no reference to the equitable doctrine here under discussion in either the </w:t>
      </w:r>
      <w:r>
        <w:rPr>
          <w:rFonts w:ascii="Arial" w:hAnsi="Arial"/>
          <w:i/>
          <w:sz w:val="20"/>
        </w:rPr>
        <w:t>Burrows </w:t>
      </w:r>
      <w:r>
        <w:rPr>
          <w:sz w:val="20"/>
        </w:rPr>
        <w:t>or the </w:t>
      </w:r>
      <w:r>
        <w:rPr>
          <w:rFonts w:ascii="Arial" w:hAnsi="Arial"/>
          <w:i/>
          <w:sz w:val="20"/>
        </w:rPr>
        <w:t>Knowsley </w:t>
      </w:r>
      <w:r>
        <w:rPr>
          <w:spacing w:val="-2"/>
          <w:sz w:val="20"/>
        </w:rPr>
        <w:t>case.</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1627" w:id="1629"/>
      <w:bookmarkEnd w:id="1629"/>
      <w:r>
        <w:rPr/>
      </w:r>
      <w:hyperlink w:history="true" w:anchor="_bookmark1562">
        <w:r>
          <w:rPr>
            <w:color w:val="005DA1"/>
            <w:spacing w:val="-4"/>
            <w:position w:val="5"/>
            <w:sz w:val="14"/>
            <w:u w:val="single" w:color="005DA1"/>
          </w:rPr>
          <w:t>863</w:t>
        </w:r>
      </w:hyperlink>
      <w:r>
        <w:rPr>
          <w:spacing w:val="-4"/>
          <w:position w:val="5"/>
          <w:sz w:val="14"/>
        </w:rPr>
        <w:t>.</w:t>
      </w:r>
      <w:r>
        <w:rPr>
          <w:position w:val="5"/>
          <w:sz w:val="14"/>
        </w:rPr>
        <w:tab/>
      </w:r>
      <w:r>
        <w:rPr>
          <w:rFonts w:ascii="Arial"/>
          <w:i/>
          <w:sz w:val="20"/>
        </w:rPr>
        <w:t>[1966]</w:t>
      </w:r>
      <w:r>
        <w:rPr>
          <w:rFonts w:ascii="Arial"/>
          <w:i/>
          <w:spacing w:val="19"/>
          <w:sz w:val="20"/>
        </w:rPr>
        <w:t> </w:t>
      </w:r>
      <w:r>
        <w:rPr>
          <w:rFonts w:ascii="Arial"/>
          <w:i/>
          <w:sz w:val="20"/>
        </w:rPr>
        <w:t>2</w:t>
      </w:r>
      <w:r>
        <w:rPr>
          <w:rFonts w:ascii="Arial"/>
          <w:i/>
          <w:spacing w:val="20"/>
          <w:sz w:val="20"/>
        </w:rPr>
        <w:t> </w:t>
      </w:r>
      <w:r>
        <w:rPr>
          <w:rFonts w:ascii="Arial"/>
          <w:i/>
          <w:sz w:val="20"/>
        </w:rPr>
        <w:t>Q.B.</w:t>
      </w:r>
      <w:r>
        <w:rPr>
          <w:rFonts w:ascii="Arial"/>
          <w:i/>
          <w:spacing w:val="20"/>
          <w:sz w:val="20"/>
        </w:rPr>
        <w:t> </w:t>
      </w:r>
      <w:r>
        <w:rPr>
          <w:rFonts w:ascii="Arial"/>
          <w:i/>
          <w:sz w:val="20"/>
        </w:rPr>
        <w:t>617</w:t>
      </w:r>
      <w:r>
        <w:rPr>
          <w:sz w:val="20"/>
        </w:rPr>
        <w:t>;</w:t>
      </w:r>
      <w:r>
        <w:rPr>
          <w:spacing w:val="20"/>
          <w:sz w:val="20"/>
        </w:rPr>
        <w:t> </w:t>
      </w:r>
      <w:r>
        <w:rPr>
          <w:sz w:val="20"/>
        </w:rPr>
        <w:t>above</w:t>
      </w:r>
      <w:r>
        <w:rPr>
          <w:spacing w:val="20"/>
          <w:sz w:val="20"/>
        </w:rPr>
        <w:t> </w:t>
      </w:r>
      <w:r>
        <w:rPr>
          <w:sz w:val="20"/>
        </w:rPr>
        <w:t>para.4-118;</w:t>
      </w:r>
      <w:r>
        <w:rPr>
          <w:spacing w:val="20"/>
          <w:sz w:val="20"/>
        </w:rPr>
        <w:t> </w:t>
      </w:r>
      <w:r>
        <w:rPr>
          <w:sz w:val="20"/>
        </w:rPr>
        <w:t>Winder</w:t>
      </w:r>
      <w:r>
        <w:rPr>
          <w:spacing w:val="20"/>
          <w:sz w:val="20"/>
        </w:rPr>
        <w:t> </w:t>
      </w:r>
      <w:r>
        <w:rPr>
          <w:sz w:val="20"/>
        </w:rPr>
        <w:t>(1966)</w:t>
      </w:r>
      <w:r>
        <w:rPr>
          <w:spacing w:val="20"/>
          <w:sz w:val="20"/>
        </w:rPr>
        <w:t> </w:t>
      </w:r>
      <w:r>
        <w:rPr>
          <w:sz w:val="20"/>
        </w:rPr>
        <w:t>82</w:t>
      </w:r>
      <w:r>
        <w:rPr>
          <w:spacing w:val="20"/>
          <w:sz w:val="20"/>
        </w:rPr>
        <w:t> </w:t>
      </w:r>
      <w:r>
        <w:rPr>
          <w:sz w:val="20"/>
        </w:rPr>
        <w:t>L.Q.R.</w:t>
      </w:r>
      <w:r>
        <w:rPr>
          <w:spacing w:val="20"/>
          <w:sz w:val="20"/>
        </w:rPr>
        <w:t> </w:t>
      </w:r>
      <w:r>
        <w:rPr>
          <w:sz w:val="20"/>
        </w:rPr>
        <w:t>165;</w:t>
      </w:r>
      <w:r>
        <w:rPr>
          <w:spacing w:val="20"/>
          <w:sz w:val="20"/>
        </w:rPr>
        <w:t> </w:t>
      </w:r>
      <w:r>
        <w:rPr>
          <w:sz w:val="20"/>
        </w:rPr>
        <w:t>cf.</w:t>
      </w:r>
      <w:r>
        <w:rPr>
          <w:spacing w:val="20"/>
          <w:sz w:val="20"/>
        </w:rPr>
        <w:t> </w:t>
      </w:r>
      <w:r>
        <w:rPr>
          <w:rFonts w:ascii="Arial"/>
          <w:i/>
          <w:sz w:val="20"/>
        </w:rPr>
        <w:t>Arrale</w:t>
      </w:r>
      <w:r>
        <w:rPr>
          <w:rFonts w:ascii="Arial"/>
          <w:i/>
          <w:spacing w:val="20"/>
          <w:sz w:val="20"/>
        </w:rPr>
        <w:t> </w:t>
      </w:r>
      <w:r>
        <w:rPr>
          <w:rFonts w:ascii="Arial"/>
          <w:i/>
          <w:sz w:val="20"/>
        </w:rPr>
        <w:t>v</w:t>
      </w:r>
      <w:r>
        <w:rPr>
          <w:rFonts w:ascii="Arial"/>
          <w:i/>
          <w:spacing w:val="20"/>
          <w:sz w:val="20"/>
        </w:rPr>
        <w:t> </w:t>
      </w:r>
      <w:r>
        <w:rPr>
          <w:rFonts w:ascii="Arial"/>
          <w:i/>
          <w:sz w:val="20"/>
        </w:rPr>
        <w:t>Costain</w:t>
      </w:r>
      <w:r>
        <w:rPr>
          <w:rFonts w:ascii="Arial"/>
          <w:i/>
          <w:spacing w:val="20"/>
          <w:sz w:val="20"/>
        </w:rPr>
        <w:t> </w:t>
      </w:r>
      <w:r>
        <w:rPr>
          <w:rFonts w:ascii="Arial"/>
          <w:i/>
          <w:spacing w:val="-2"/>
          <w:sz w:val="20"/>
        </w:rPr>
        <w:t>Civil</w:t>
      </w:r>
    </w:p>
    <w:p>
      <w:pPr>
        <w:spacing w:line="227" w:lineRule="exact" w:before="0"/>
        <w:ind w:left="705" w:right="0" w:firstLine="0"/>
        <w:jc w:val="left"/>
        <w:rPr>
          <w:sz w:val="20"/>
        </w:rPr>
      </w:pPr>
      <w:r>
        <w:rPr>
          <w:rFonts w:ascii="Arial" w:hAnsi="Arial"/>
          <w:i/>
          <w:sz w:val="20"/>
        </w:rPr>
        <w:t>Engineering Ltd [1976] 1 Lloyd’s Rep. 98, </w:t>
      </w:r>
      <w:r>
        <w:rPr>
          <w:rFonts w:ascii="Arial" w:hAnsi="Arial"/>
          <w:i/>
          <w:spacing w:val="-4"/>
          <w:sz w:val="20"/>
        </w:rPr>
        <w:t>102</w:t>
      </w:r>
      <w:r>
        <w:rPr>
          <w:spacing w:val="-4"/>
          <w:sz w:val="20"/>
        </w:rPr>
        <w:t>.</w:t>
      </w:r>
    </w:p>
    <w:p>
      <w:pPr>
        <w:pStyle w:val="BodyText"/>
        <w:spacing w:before="5"/>
      </w:pPr>
    </w:p>
    <w:p>
      <w:pPr>
        <w:pStyle w:val="BodyText"/>
        <w:tabs>
          <w:tab w:pos="705" w:val="left" w:leader="none"/>
        </w:tabs>
        <w:ind w:left="165"/>
      </w:pPr>
      <w:bookmarkStart w:name="_bookmark1628" w:id="1630"/>
      <w:bookmarkEnd w:id="1630"/>
      <w:r>
        <w:rPr/>
      </w:r>
      <w:hyperlink w:history="true" w:anchor="_bookmark1563">
        <w:r>
          <w:rPr>
            <w:color w:val="005DA1"/>
            <w:spacing w:val="-4"/>
            <w:position w:val="5"/>
            <w:sz w:val="14"/>
            <w:u w:val="single" w:color="005DA1"/>
          </w:rPr>
          <w:t>864</w:t>
        </w:r>
      </w:hyperlink>
      <w:r>
        <w:rPr>
          <w:spacing w:val="-4"/>
          <w:position w:val="5"/>
          <w:sz w:val="14"/>
        </w:rPr>
        <w:t>.</w:t>
      </w:r>
      <w:r>
        <w:rPr>
          <w:position w:val="5"/>
          <w:sz w:val="14"/>
        </w:rPr>
        <w:tab/>
      </w:r>
      <w:r>
        <w:rPr/>
        <w:t>Below,</w:t>
      </w:r>
      <w:r>
        <w:rPr>
          <w:spacing w:val="-2"/>
        </w:rPr>
        <w:t> </w:t>
      </w:r>
      <w:r>
        <w:rPr/>
        <w:t>paras 8-015, 8-</w:t>
      </w:r>
      <w:r>
        <w:rPr>
          <w:spacing w:val="-4"/>
        </w:rPr>
        <w:t>020.</w:t>
      </w:r>
    </w:p>
    <w:p>
      <w:pPr>
        <w:pStyle w:val="BodyText"/>
        <w:spacing w:before="5"/>
      </w:pPr>
    </w:p>
    <w:p>
      <w:pPr>
        <w:pStyle w:val="BodyText"/>
        <w:spacing w:line="227" w:lineRule="exact"/>
        <w:ind w:left="165"/>
        <w:jc w:val="both"/>
      </w:pPr>
      <w:bookmarkStart w:name="_bookmark1629" w:id="1631"/>
      <w:bookmarkEnd w:id="1631"/>
      <w:r>
        <w:rPr/>
      </w:r>
      <w:hyperlink w:history="true" w:anchor="_bookmark1564">
        <w:r>
          <w:rPr>
            <w:color w:val="005DA1"/>
            <w:position w:val="5"/>
            <w:sz w:val="14"/>
            <w:u w:val="single" w:color="005DA1"/>
          </w:rPr>
          <w:t>865</w:t>
        </w:r>
      </w:hyperlink>
      <w:r>
        <w:rPr>
          <w:position w:val="5"/>
          <w:sz w:val="14"/>
        </w:rPr>
        <w:t>.</w:t>
      </w:r>
      <w:r>
        <w:rPr>
          <w:spacing w:val="75"/>
          <w:w w:val="150"/>
          <w:position w:val="5"/>
          <w:sz w:val="14"/>
        </w:rPr>
        <w:t>  </w:t>
      </w:r>
      <w:r>
        <w:rPr/>
        <w:t>The</w:t>
      </w:r>
      <w:r>
        <w:rPr>
          <w:spacing w:val="6"/>
        </w:rPr>
        <w:t> </w:t>
      </w:r>
      <w:r>
        <w:rPr/>
        <w:t>same</w:t>
      </w:r>
      <w:r>
        <w:rPr>
          <w:spacing w:val="6"/>
        </w:rPr>
        <w:t> </w:t>
      </w:r>
      <w:r>
        <w:rPr/>
        <w:t>would</w:t>
      </w:r>
      <w:r>
        <w:rPr>
          <w:spacing w:val="6"/>
        </w:rPr>
        <w:t> </w:t>
      </w:r>
      <w:r>
        <w:rPr/>
        <w:t>be</w:t>
      </w:r>
      <w:r>
        <w:rPr>
          <w:spacing w:val="6"/>
        </w:rPr>
        <w:t> </w:t>
      </w:r>
      <w:r>
        <w:rPr/>
        <w:t>true</w:t>
      </w:r>
      <w:r>
        <w:rPr>
          <w:spacing w:val="6"/>
        </w:rPr>
        <w:t> </w:t>
      </w:r>
      <w:r>
        <w:rPr/>
        <w:t>where</w:t>
      </w:r>
      <w:r>
        <w:rPr>
          <w:spacing w:val="6"/>
        </w:rPr>
        <w:t> </w:t>
      </w:r>
      <w:r>
        <w:rPr/>
        <w:t>the</w:t>
      </w:r>
      <w:r>
        <w:rPr>
          <w:spacing w:val="6"/>
        </w:rPr>
        <w:t> </w:t>
      </w:r>
      <w:r>
        <w:rPr/>
        <w:t>creditor’s</w:t>
      </w:r>
      <w:r>
        <w:rPr>
          <w:spacing w:val="6"/>
        </w:rPr>
        <w:t> </w:t>
      </w:r>
      <w:r>
        <w:rPr/>
        <w:t>promise</w:t>
      </w:r>
      <w:r>
        <w:rPr>
          <w:spacing w:val="6"/>
        </w:rPr>
        <w:t> </w:t>
      </w:r>
      <w:r>
        <w:rPr/>
        <w:t>had</w:t>
      </w:r>
      <w:r>
        <w:rPr>
          <w:spacing w:val="6"/>
        </w:rPr>
        <w:t> </w:t>
      </w:r>
      <w:r>
        <w:rPr/>
        <w:t>been</w:t>
      </w:r>
      <w:r>
        <w:rPr>
          <w:spacing w:val="6"/>
        </w:rPr>
        <w:t> </w:t>
      </w:r>
      <w:r>
        <w:rPr/>
        <w:t>obtained</w:t>
      </w:r>
      <w:r>
        <w:rPr>
          <w:spacing w:val="6"/>
        </w:rPr>
        <w:t> </w:t>
      </w:r>
      <w:r>
        <w:rPr/>
        <w:t>by</w:t>
      </w:r>
      <w:r>
        <w:rPr>
          <w:spacing w:val="6"/>
        </w:rPr>
        <w:t> </w:t>
      </w:r>
      <w:r>
        <w:rPr>
          <w:spacing w:val="-2"/>
        </w:rPr>
        <w:t>misrepresentation,</w:t>
      </w:r>
    </w:p>
    <w:p>
      <w:pPr>
        <w:pStyle w:val="BodyText"/>
        <w:spacing w:line="235" w:lineRule="auto" w:before="1"/>
        <w:ind w:left="705" w:right="167"/>
        <w:jc w:val="both"/>
      </w:pPr>
      <w:r>
        <w:rPr/>
        <w:t>e.g. as to the debtor’s ability to pay. In the </w:t>
      </w:r>
      <w:r>
        <w:rPr>
          <w:rFonts w:ascii="Arial" w:hAnsi="Arial"/>
          <w:i/>
        </w:rPr>
        <w:t>D &amp; C Builders </w:t>
      </w:r>
      <w:r>
        <w:rPr/>
        <w:t>case, above n.817, Danckwerts </w:t>
      </w:r>
      <w:r>
        <w:rPr/>
        <w:t>L.J.</w:t>
      </w:r>
      <w:r>
        <w:rPr>
          <w:spacing w:val="40"/>
        </w:rPr>
        <w:t> </w:t>
      </w:r>
      <w:r>
        <w:rPr/>
        <w:t>at 626 suggested that there had been such a misrepresentation by the defendant’s wife on </w:t>
      </w:r>
      <w:r>
        <w:rPr/>
        <w:t>his behalf,</w:t>
      </w:r>
      <w:r>
        <w:rPr>
          <w:spacing w:val="-2"/>
        </w:rPr>
        <w:t> </w:t>
      </w:r>
      <w:r>
        <w:rPr/>
        <w:t>while</w:t>
      </w:r>
      <w:r>
        <w:rPr>
          <w:spacing w:val="-2"/>
        </w:rPr>
        <w:t> </w:t>
      </w:r>
      <w:r>
        <w:rPr/>
        <w:t>Winn</w:t>
      </w:r>
      <w:r>
        <w:rPr>
          <w:spacing w:val="-2"/>
        </w:rPr>
        <w:t> </w:t>
      </w:r>
      <w:r>
        <w:rPr/>
        <w:t>L.J.</w:t>
      </w:r>
      <w:r>
        <w:rPr>
          <w:spacing w:val="-2"/>
        </w:rPr>
        <w:t> </w:t>
      </w:r>
      <w:r>
        <w:rPr/>
        <w:t>said</w:t>
      </w:r>
      <w:r>
        <w:rPr>
          <w:spacing w:val="-2"/>
        </w:rPr>
        <w:t> </w:t>
      </w:r>
      <w:r>
        <w:rPr/>
        <w:t>that</w:t>
      </w:r>
      <w:r>
        <w:rPr>
          <w:spacing w:val="-2"/>
        </w:rPr>
        <w:t> </w:t>
      </w:r>
      <w:r>
        <w:rPr/>
        <w:t>there</w:t>
      </w:r>
      <w:r>
        <w:rPr>
          <w:spacing w:val="-2"/>
        </w:rPr>
        <w:t> </w:t>
      </w:r>
      <w:r>
        <w:rPr/>
        <w:t>was</w:t>
      </w:r>
      <w:r>
        <w:rPr>
          <w:spacing w:val="-2"/>
        </w:rPr>
        <w:t> </w:t>
      </w:r>
      <w:r>
        <w:rPr/>
        <w:t>no</w:t>
      </w:r>
      <w:r>
        <w:rPr>
          <w:spacing w:val="-2"/>
        </w:rPr>
        <w:t> </w:t>
      </w:r>
      <w:r>
        <w:rPr/>
        <w:t>finding</w:t>
      </w:r>
      <w:r>
        <w:rPr>
          <w:spacing w:val="-2"/>
        </w:rPr>
        <w:t> </w:t>
      </w:r>
      <w:r>
        <w:rPr/>
        <w:t>to</w:t>
      </w:r>
      <w:r>
        <w:rPr>
          <w:spacing w:val="-2"/>
        </w:rPr>
        <w:t> </w:t>
      </w:r>
      <w:r>
        <w:rPr/>
        <w:t>this</w:t>
      </w:r>
      <w:r>
        <w:rPr>
          <w:spacing w:val="-2"/>
        </w:rPr>
        <w:t> </w:t>
      </w:r>
      <w:r>
        <w:rPr/>
        <w:t>effect.</w:t>
      </w:r>
      <w:r>
        <w:rPr>
          <w:spacing w:val="-2"/>
        </w:rPr>
        <w:t> </w:t>
      </w:r>
      <w:r>
        <w:rPr/>
        <w:t>If</w:t>
      </w:r>
      <w:r>
        <w:rPr>
          <w:spacing w:val="-2"/>
        </w:rPr>
        <w:t> </w:t>
      </w:r>
      <w:r>
        <w:rPr/>
        <w:t>such</w:t>
      </w:r>
      <w:r>
        <w:rPr>
          <w:spacing w:val="-2"/>
        </w:rPr>
        <w:t> </w:t>
      </w:r>
      <w:r>
        <w:rPr/>
        <w:t>a</w:t>
      </w:r>
      <w:r>
        <w:rPr>
          <w:spacing w:val="-2"/>
        </w:rPr>
        <w:t> </w:t>
      </w:r>
      <w:r>
        <w:rPr/>
        <w:t>false</w:t>
      </w:r>
      <w:r>
        <w:rPr>
          <w:spacing w:val="-2"/>
        </w:rPr>
        <w:t> </w:t>
      </w:r>
      <w:r>
        <w:rPr/>
        <w:t>representation were now made dishonestly and induced the creditor to accept part payment in full </w:t>
      </w:r>
      <w:r>
        <w:rPr/>
        <w:t>settlement, the representor could be criminally liable under s.2 of the Fraud Act, 2006.</w:t>
      </w:r>
    </w:p>
    <w:p>
      <w:pPr>
        <w:pStyle w:val="BodyText"/>
        <w:spacing w:before="4"/>
      </w:pPr>
    </w:p>
    <w:p>
      <w:pPr>
        <w:tabs>
          <w:tab w:pos="705" w:val="left" w:leader="none"/>
        </w:tabs>
        <w:spacing w:before="1"/>
        <w:ind w:left="165" w:right="0" w:firstLine="0"/>
        <w:jc w:val="left"/>
        <w:rPr>
          <w:sz w:val="20"/>
        </w:rPr>
      </w:pPr>
      <w:bookmarkStart w:name="_bookmark1630" w:id="1632"/>
      <w:bookmarkEnd w:id="1632"/>
      <w:r>
        <w:rPr/>
      </w:r>
      <w:hyperlink w:history="true" w:anchor="_bookmark1565">
        <w:r>
          <w:rPr>
            <w:color w:val="005DA1"/>
            <w:spacing w:val="-4"/>
            <w:position w:val="5"/>
            <w:sz w:val="14"/>
            <w:u w:val="single" w:color="005DA1"/>
          </w:rPr>
          <w:t>866</w:t>
        </w:r>
      </w:hyperlink>
      <w:r>
        <w:rPr>
          <w:spacing w:val="-4"/>
          <w:position w:val="5"/>
          <w:sz w:val="14"/>
        </w:rPr>
        <w:t>.</w:t>
      </w:r>
      <w:r>
        <w:rPr>
          <w:position w:val="5"/>
          <w:sz w:val="14"/>
        </w:rPr>
        <w:tab/>
      </w:r>
      <w:r>
        <w:rPr>
          <w:sz w:val="20"/>
        </w:rPr>
        <w:t>Above, para.4-</w:t>
      </w:r>
      <w:r>
        <w:rPr>
          <w:spacing w:val="-4"/>
          <w:sz w:val="20"/>
        </w:rPr>
        <w:t>068.</w:t>
      </w:r>
    </w:p>
    <w:p>
      <w:pPr>
        <w:pStyle w:val="BodyText"/>
        <w:spacing w:before="8"/>
      </w:pPr>
    </w:p>
    <w:p>
      <w:pPr>
        <w:spacing w:line="235" w:lineRule="auto" w:before="0"/>
        <w:ind w:left="705" w:right="167" w:hanging="541"/>
        <w:jc w:val="both"/>
        <w:rPr>
          <w:sz w:val="20"/>
        </w:rPr>
      </w:pPr>
      <w:bookmarkStart w:name="_bookmark1631" w:id="1633"/>
      <w:bookmarkEnd w:id="1633"/>
      <w:r>
        <w:rPr/>
      </w:r>
      <w:hyperlink w:history="true" w:anchor="_bookmark1566">
        <w:r>
          <w:rPr>
            <w:color w:val="005DA1"/>
            <w:position w:val="5"/>
            <w:sz w:val="14"/>
            <w:u w:val="single" w:color="005DA1"/>
          </w:rPr>
          <w:t>867</w:t>
        </w:r>
      </w:hyperlink>
      <w:r>
        <w:rPr>
          <w:position w:val="5"/>
          <w:sz w:val="14"/>
        </w:rPr>
        <w:t>.</w:t>
      </w:r>
      <w:r>
        <w:rPr>
          <w:spacing w:val="40"/>
          <w:position w:val="5"/>
          <w:sz w:val="14"/>
        </w:rPr>
        <w:t>  </w:t>
      </w:r>
      <w:r>
        <w:rPr>
          <w:rFonts w:ascii="Arial" w:hAnsi="Arial"/>
          <w:i/>
          <w:sz w:val="20"/>
        </w:rPr>
        <w:t>Pao On v Lau Yiu Long [1980] A.C. 614, 634</w:t>
      </w:r>
      <w:r>
        <w:rPr>
          <w:sz w:val="20"/>
        </w:rPr>
        <w:t>. cf. </w:t>
      </w:r>
      <w:r>
        <w:rPr>
          <w:rFonts w:ascii="Arial" w:hAnsi="Arial"/>
          <w:i/>
          <w:sz w:val="20"/>
        </w:rPr>
        <w:t>Huyton SA v Peter Cremer GmbH [1999] 1 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620</w:t>
      </w:r>
      <w:r>
        <w:rPr>
          <w:sz w:val="20"/>
        </w:rPr>
        <w:t>,</w:t>
      </w:r>
      <w:r>
        <w:rPr>
          <w:spacing w:val="-3"/>
          <w:sz w:val="20"/>
        </w:rPr>
        <w:t> </w:t>
      </w:r>
      <w:r>
        <w:rPr>
          <w:sz w:val="20"/>
        </w:rPr>
        <w:t>where</w:t>
      </w:r>
      <w:r>
        <w:rPr>
          <w:spacing w:val="-3"/>
          <w:sz w:val="20"/>
        </w:rPr>
        <w:t> </w:t>
      </w:r>
      <w:r>
        <w:rPr>
          <w:sz w:val="20"/>
        </w:rPr>
        <w:t>the</w:t>
      </w:r>
      <w:r>
        <w:rPr>
          <w:spacing w:val="-3"/>
          <w:sz w:val="20"/>
        </w:rPr>
        <w:t> </w:t>
      </w:r>
      <w:r>
        <w:rPr>
          <w:sz w:val="20"/>
        </w:rPr>
        <w:t>requirement</w:t>
      </w:r>
      <w:r>
        <w:rPr>
          <w:spacing w:val="-3"/>
          <w:sz w:val="20"/>
        </w:rPr>
        <w:t> </w:t>
      </w:r>
      <w:r>
        <w:rPr>
          <w:sz w:val="20"/>
        </w:rPr>
        <w:t>of</w:t>
      </w:r>
      <w:r>
        <w:rPr>
          <w:spacing w:val="-3"/>
          <w:sz w:val="20"/>
        </w:rPr>
        <w:t> </w:t>
      </w:r>
      <w:r>
        <w:rPr>
          <w:sz w:val="20"/>
        </w:rPr>
        <w:t>consideration</w:t>
      </w:r>
      <w:r>
        <w:rPr>
          <w:spacing w:val="-3"/>
          <w:sz w:val="20"/>
        </w:rPr>
        <w:t> </w:t>
      </w:r>
      <w:r>
        <w:rPr>
          <w:sz w:val="20"/>
        </w:rPr>
        <w:t>was</w:t>
      </w:r>
      <w:r>
        <w:rPr>
          <w:spacing w:val="-3"/>
          <w:sz w:val="20"/>
        </w:rPr>
        <w:t> </w:t>
      </w:r>
      <w:r>
        <w:rPr>
          <w:sz w:val="20"/>
        </w:rPr>
        <w:t>satisfied</w:t>
      </w:r>
      <w:r>
        <w:rPr>
          <w:spacing w:val="-3"/>
          <w:sz w:val="20"/>
        </w:rPr>
        <w:t> </w:t>
      </w:r>
      <w:r>
        <w:rPr>
          <w:sz w:val="20"/>
        </w:rPr>
        <w:t>(above</w:t>
      </w:r>
      <w:r>
        <w:rPr>
          <w:spacing w:val="-3"/>
          <w:sz w:val="20"/>
        </w:rPr>
        <w:t> </w:t>
      </w:r>
      <w:r>
        <w:rPr>
          <w:sz w:val="20"/>
        </w:rPr>
        <w:t>para.4-120);</w:t>
      </w:r>
      <w:r>
        <w:rPr>
          <w:spacing w:val="-3"/>
          <w:sz w:val="20"/>
        </w:rPr>
        <w:t> </w:t>
      </w:r>
      <w:r>
        <w:rPr>
          <w:sz w:val="20"/>
        </w:rPr>
        <w:t>and there was no duress (below para.8-023). It was said at 629 that “the submissions relating to consideration and duress inter-relate”. No separate argument seems to have been advanced that, in the absence of duress, the agreement might be open to attack on the ground that it had been “improperly obtained”.</w:t>
      </w:r>
    </w:p>
    <w:p>
      <w:pPr>
        <w:pStyle w:val="BodyText"/>
        <w:spacing w:before="191"/>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726" w:right="2730"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2232320">
                <wp:simplePos x="0" y="0"/>
                <wp:positionH relativeFrom="page">
                  <wp:posOffset>4707940</wp:posOffset>
                </wp:positionH>
                <wp:positionV relativeFrom="paragraph">
                  <wp:posOffset>377436</wp:posOffset>
                </wp:positionV>
                <wp:extent cx="42545" cy="127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84160" from="370.70401pt,29.719406pt" to="374.04001pt,29.719406pt" stroked="true" strokeweight=".428pt" strokecolor="#005da1">
                <v:stroke dashstyle="solid"/>
                <w10:wrap type="none"/>
              </v:line>
            </w:pict>
          </mc:Fallback>
        </mc:AlternateContent>
      </w:r>
      <w:r>
        <w:rPr>
          <w:rFonts w:ascii="Arial"/>
          <w:b/>
          <w:sz w:val="24"/>
        </w:rPr>
        <w:t>Part 2 - Formation of Contract Chapter 4 - Consideration </w:t>
      </w:r>
      <w:r>
        <w:rPr>
          <w:rFonts w:ascii="Arial"/>
          <w:b/>
          <w:color w:val="005DA1"/>
          <w:position w:val="11"/>
          <w:sz w:val="12"/>
        </w:rPr>
        <w:t>1</w:t>
      </w:r>
      <w:r>
        <w:rPr>
          <w:rFonts w:ascii="Arial"/>
          <w:b/>
          <w:color w:val="005DA1"/>
          <w:spacing w:val="40"/>
          <w:position w:val="11"/>
          <w:sz w:val="12"/>
        </w:rPr>
        <w:t> </w:t>
      </w:r>
      <w:r>
        <w:rPr>
          <w:rFonts w:ascii="Arial"/>
          <w:b/>
          <w:sz w:val="24"/>
        </w:rPr>
        <w:t>Section</w:t>
      </w:r>
      <w:r>
        <w:rPr>
          <w:rFonts w:ascii="Arial"/>
          <w:b/>
          <w:spacing w:val="-10"/>
          <w:sz w:val="24"/>
        </w:rPr>
        <w:t> </w:t>
      </w:r>
      <w:r>
        <w:rPr>
          <w:rFonts w:ascii="Arial"/>
          <w:b/>
          <w:sz w:val="24"/>
        </w:rPr>
        <w:t>11.</w:t>
      </w:r>
      <w:r>
        <w:rPr>
          <w:rFonts w:ascii="Arial"/>
          <w:b/>
          <w:spacing w:val="-10"/>
          <w:sz w:val="24"/>
        </w:rPr>
        <w:t> </w:t>
      </w:r>
      <w:r>
        <w:rPr>
          <w:rFonts w:ascii="Arial"/>
          <w:b/>
          <w:sz w:val="24"/>
        </w:rPr>
        <w:t>-</w:t>
      </w:r>
      <w:r>
        <w:rPr>
          <w:rFonts w:ascii="Arial"/>
          <w:b/>
          <w:spacing w:val="-10"/>
          <w:sz w:val="24"/>
        </w:rPr>
        <w:t> </w:t>
      </w:r>
      <w:r>
        <w:rPr>
          <w:rFonts w:ascii="Arial"/>
          <w:b/>
          <w:sz w:val="24"/>
        </w:rPr>
        <w:t>Proprietary</w:t>
      </w:r>
      <w:r>
        <w:rPr>
          <w:rFonts w:ascii="Arial"/>
          <w:b/>
          <w:spacing w:val="-10"/>
          <w:sz w:val="24"/>
        </w:rPr>
        <w:t> </w:t>
      </w:r>
      <w:r>
        <w:rPr>
          <w:rFonts w:ascii="Arial"/>
          <w:b/>
          <w:sz w:val="24"/>
        </w:rPr>
        <w:t>Estoppel</w:t>
      </w:r>
    </w:p>
    <w:p>
      <w:pPr>
        <w:pStyle w:val="ListParagraph"/>
        <w:numPr>
          <w:ilvl w:val="0"/>
          <w:numId w:val="7"/>
        </w:numPr>
        <w:tabs>
          <w:tab w:pos="3518" w:val="left" w:leader="none"/>
        </w:tabs>
        <w:spacing w:line="240" w:lineRule="auto" w:before="2" w:after="0"/>
        <w:ind w:left="3518" w:right="0" w:hanging="360"/>
        <w:jc w:val="left"/>
        <w:rPr>
          <w:rFonts w:ascii="Arial"/>
          <w:b/>
          <w:sz w:val="24"/>
        </w:rPr>
      </w:pPr>
      <w:r>
        <w:rPr>
          <w:rFonts w:ascii="Arial"/>
          <w:b/>
          <w:sz w:val="24"/>
        </w:rPr>
        <w:t>- Nature of the </w:t>
      </w:r>
      <w:r>
        <w:rPr>
          <w:rFonts w:ascii="Arial"/>
          <w:b/>
          <w:spacing w:val="-2"/>
          <w:sz w:val="24"/>
        </w:rPr>
        <w:t>Doctrine</w:t>
      </w:r>
    </w:p>
    <w:p>
      <w:pPr>
        <w:pStyle w:val="BodyText"/>
        <w:rPr>
          <w:rFonts w:ascii="Arial"/>
          <w:b/>
          <w:sz w:val="24"/>
        </w:rPr>
      </w:pPr>
    </w:p>
    <w:p>
      <w:pPr>
        <w:pStyle w:val="BodyText"/>
        <w:spacing w:before="89"/>
        <w:rPr>
          <w:rFonts w:ascii="Arial"/>
          <w:b/>
          <w:sz w:val="24"/>
        </w:rPr>
      </w:pPr>
    </w:p>
    <w:p>
      <w:pPr>
        <w:spacing w:before="1"/>
        <w:ind w:left="165" w:right="0" w:firstLine="0"/>
        <w:jc w:val="left"/>
        <w:rPr>
          <w:rFonts w:ascii="Arial"/>
          <w:b/>
          <w:sz w:val="18"/>
        </w:rPr>
      </w:pPr>
      <w:r>
        <w:rPr>
          <w:rFonts w:ascii="Arial"/>
          <w:b/>
          <w:spacing w:val="-2"/>
          <w:sz w:val="18"/>
        </w:rPr>
        <w:t>Introductory</w:t>
      </w:r>
    </w:p>
    <w:p>
      <w:pPr>
        <w:pStyle w:val="BodyText"/>
        <w:spacing w:before="41"/>
        <w:rPr>
          <w:rFonts w:ascii="Arial"/>
          <w:b/>
          <w:sz w:val="18"/>
        </w:rPr>
      </w:pPr>
    </w:p>
    <w:p>
      <w:pPr>
        <w:pStyle w:val="Heading2"/>
      </w:pPr>
      <w:r>
        <w:rPr/>
        <w:t>4-</w:t>
      </w:r>
      <w:r>
        <w:rPr>
          <w:spacing w:val="-5"/>
        </w:rPr>
        <w:t>139</w:t>
      </w:r>
    </w:p>
    <w:p>
      <w:pPr>
        <w:pStyle w:val="BodyText"/>
        <w:spacing w:line="235" w:lineRule="auto" w:before="203"/>
        <w:ind w:left="165" w:right="167"/>
        <w:jc w:val="both"/>
      </w:pPr>
      <w:r>
        <w:rPr/>
        <w:t>Proprietary estoppel is said to arise in certain situations in which a person has done acts in </w:t>
      </w:r>
      <w:r>
        <w:rPr/>
        <w:t>reliance</w:t>
      </w:r>
      <w:r>
        <w:rPr>
          <w:spacing w:val="40"/>
        </w:rPr>
        <w:t> </w:t>
      </w:r>
      <w:bookmarkStart w:name="_bookmark1632" w:id="1634"/>
      <w:bookmarkEnd w:id="1634"/>
      <w:r>
        <w:rPr/>
        <w:t>on</w:t>
      </w:r>
      <w:r>
        <w:rPr/>
        <w:t> the belief that he has, or that he will acquire, rights in or over another’s property. Usually, but not invariably, that property will be land</w:t>
      </w:r>
      <w:r>
        <w:rPr>
          <w:spacing w:val="-1"/>
        </w:rPr>
        <w:t> </w:t>
      </w:r>
      <w:r>
        <w:rPr>
          <w:color w:val="005DA1"/>
          <w:u w:val="single" w:color="005DA1"/>
          <w:vertAlign w:val="superscript"/>
        </w:rPr>
        <w:t>868</w:t>
      </w:r>
      <w:r>
        <w:rPr>
          <w:color w:val="005DA1"/>
          <w:vertAlign w:val="baseline"/>
        </w:rPr>
        <w:t> </w:t>
      </w:r>
      <w:r>
        <w:rPr>
          <w:vertAlign w:val="baseline"/>
        </w:rPr>
        <w:t>and the acts in question will consist of erecting buildings on, or making other improvements to, that land. Where the requirements of proprietary estoppel are satisfied, the landowner is precluded from denying the existence of the rights in question, and may </w:t>
      </w:r>
      <w:bookmarkStart w:name="_bookmark1633" w:id="1635"/>
      <w:bookmarkEnd w:id="1635"/>
      <w:r>
        <w:rPr>
          <w:vertAlign w:val="baseline"/>
        </w:rPr>
        <w:t>indeed</w:t>
      </w:r>
      <w:r>
        <w:rPr>
          <w:vertAlign w:val="baseline"/>
        </w:rPr>
        <w:t> be compelled to grant them. Because the estoppel precludes him from denying the existence of rights in property, it has come to be known as “proprietary estoppel.” </w:t>
      </w:r>
      <w:r>
        <w:rPr>
          <w:color w:val="005DA1"/>
          <w:u w:val="single" w:color="005DA1"/>
          <w:vertAlign w:val="superscript"/>
        </w:rPr>
        <w:t>869</w:t>
      </w:r>
      <w:r>
        <w:rPr>
          <w:color w:val="005DA1"/>
          <w:vertAlign w:val="baseline"/>
        </w:rPr>
        <w:t> </w:t>
      </w:r>
      <w:r>
        <w:rPr>
          <w:vertAlign w:val="baseline"/>
        </w:rPr>
        <w:t>It is distinct </w:t>
      </w:r>
      <w:r>
        <w:rPr>
          <w:color w:val="005DA1"/>
          <w:u w:val="single" w:color="005DA1"/>
          <w:vertAlign w:val="superscript"/>
        </w:rPr>
        <w:t>870</w:t>
      </w:r>
      <w:r>
        <w:rPr>
          <w:color w:val="005DA1"/>
          <w:vertAlign w:val="baseline"/>
        </w:rPr>
        <w:t> </w:t>
      </w:r>
      <w:r>
        <w:rPr>
          <w:vertAlign w:val="baseline"/>
        </w:rPr>
        <w:t>from promissory</w:t>
      </w:r>
      <w:r>
        <w:rPr>
          <w:spacing w:val="-1"/>
          <w:vertAlign w:val="baseline"/>
        </w:rPr>
        <w:t> </w:t>
      </w:r>
      <w:r>
        <w:rPr>
          <w:vertAlign w:val="baseline"/>
        </w:rPr>
        <w:t>estoppel,</w:t>
      </w:r>
      <w:r>
        <w:rPr>
          <w:spacing w:val="-1"/>
          <w:vertAlign w:val="baseline"/>
        </w:rPr>
        <w:t> </w:t>
      </w:r>
      <w:r>
        <w:rPr>
          <w:vertAlign w:val="baseline"/>
        </w:rPr>
        <w:t>both</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conditions</w:t>
      </w:r>
      <w:r>
        <w:rPr>
          <w:spacing w:val="-1"/>
          <w:vertAlign w:val="baseline"/>
        </w:rPr>
        <w:t> </w:t>
      </w:r>
      <w:r>
        <w:rPr>
          <w:vertAlign w:val="baseline"/>
        </w:rPr>
        <w:t>which</w:t>
      </w:r>
      <w:r>
        <w:rPr>
          <w:spacing w:val="-1"/>
          <w:vertAlign w:val="baseline"/>
        </w:rPr>
        <w:t> </w:t>
      </w:r>
      <w:r>
        <w:rPr>
          <w:vertAlign w:val="baseline"/>
        </w:rPr>
        <w:t>must</w:t>
      </w:r>
      <w:r>
        <w:rPr>
          <w:spacing w:val="-1"/>
          <w:vertAlign w:val="baseline"/>
        </w:rPr>
        <w:t> </w:t>
      </w:r>
      <w:r>
        <w:rPr>
          <w:vertAlign w:val="baseline"/>
        </w:rPr>
        <w:t>be</w:t>
      </w:r>
      <w:r>
        <w:rPr>
          <w:spacing w:val="-1"/>
          <w:vertAlign w:val="baseline"/>
        </w:rPr>
        <w:t> </w:t>
      </w:r>
      <w:r>
        <w:rPr>
          <w:vertAlign w:val="baseline"/>
        </w:rPr>
        <w:t>satisfied</w:t>
      </w:r>
      <w:r>
        <w:rPr>
          <w:spacing w:val="-1"/>
          <w:vertAlign w:val="baseline"/>
        </w:rPr>
        <w:t> </w:t>
      </w:r>
      <w:r>
        <w:rPr>
          <w:vertAlign w:val="baseline"/>
        </w:rPr>
        <w:t>for</w:t>
      </w:r>
      <w:r>
        <w:rPr>
          <w:spacing w:val="-1"/>
          <w:vertAlign w:val="baseline"/>
        </w:rPr>
        <w:t> </w:t>
      </w:r>
      <w:r>
        <w:rPr>
          <w:vertAlign w:val="baseline"/>
        </w:rPr>
        <w:t>it</w:t>
      </w:r>
      <w:r>
        <w:rPr>
          <w:spacing w:val="-1"/>
          <w:vertAlign w:val="baseline"/>
        </w:rPr>
        <w:t> </w:t>
      </w:r>
      <w:r>
        <w:rPr>
          <w:vertAlign w:val="baseline"/>
        </w:rPr>
        <w:t>to</w:t>
      </w:r>
      <w:r>
        <w:rPr>
          <w:spacing w:val="-1"/>
          <w:vertAlign w:val="baseline"/>
        </w:rPr>
        <w:t> </w:t>
      </w:r>
      <w:r>
        <w:rPr>
          <w:vertAlign w:val="baseline"/>
        </w:rPr>
        <w:t>come</w:t>
      </w:r>
      <w:r>
        <w:rPr>
          <w:spacing w:val="-1"/>
          <w:vertAlign w:val="baseline"/>
        </w:rPr>
        <w:t> </w:t>
      </w:r>
      <w:r>
        <w:rPr>
          <w:vertAlign w:val="baseline"/>
        </w:rPr>
        <w:t>into</w:t>
      </w:r>
      <w:r>
        <w:rPr>
          <w:spacing w:val="-1"/>
          <w:vertAlign w:val="baseline"/>
        </w:rPr>
        <w:t> </w:t>
      </w:r>
      <w:r>
        <w:rPr>
          <w:vertAlign w:val="baseline"/>
        </w:rPr>
        <w:t>operation</w:t>
      </w:r>
      <w:r>
        <w:rPr>
          <w:spacing w:val="-1"/>
          <w:vertAlign w:val="baseline"/>
        </w:rPr>
        <w:t> </w:t>
      </w:r>
      <w:r>
        <w:rPr>
          <w:vertAlign w:val="baseline"/>
        </w:rPr>
        <w:t>and</w:t>
      </w:r>
      <w:r>
        <w:rPr>
          <w:spacing w:val="-1"/>
          <w:vertAlign w:val="baseline"/>
        </w:rPr>
        <w:t> </w:t>
      </w:r>
      <w:r>
        <w:rPr>
          <w:vertAlign w:val="baseline"/>
        </w:rPr>
        <w:t>in </w:t>
      </w:r>
      <w:bookmarkStart w:name="_bookmark1634" w:id="1636"/>
      <w:bookmarkEnd w:id="1636"/>
      <w:r>
        <w:rPr>
          <w:vertAlign w:val="baseline"/>
        </w:rPr>
        <w:t>its</w:t>
      </w:r>
      <w:r>
        <w:rPr>
          <w:vertAlign w:val="baseline"/>
        </w:rPr>
        <w:t> effects. But under both doctrines some legal effects can be given to promises which are not contractually binding for want of consideration; and it is this aspect </w:t>
      </w:r>
      <w:r>
        <w:rPr>
          <w:color w:val="005DA1"/>
          <w:u w:val="single" w:color="005DA1"/>
          <w:vertAlign w:val="superscript"/>
        </w:rPr>
        <w:t>871</w:t>
      </w:r>
      <w:r>
        <w:rPr>
          <w:color w:val="005DA1"/>
          <w:vertAlign w:val="baseline"/>
        </w:rPr>
        <w:t> </w:t>
      </w:r>
      <w:r>
        <w:rPr>
          <w:vertAlign w:val="baseline"/>
        </w:rPr>
        <w:t>of proprietary estoppel which calls for discussion in the present chapter.</w:t>
      </w:r>
    </w:p>
    <w:p>
      <w:pPr>
        <w:pStyle w:val="BodyText"/>
      </w:pPr>
    </w:p>
    <w:p>
      <w:pPr>
        <w:pStyle w:val="BodyText"/>
        <w:spacing w:before="34"/>
      </w:pPr>
    </w:p>
    <w:p>
      <w:pPr>
        <w:spacing w:before="0"/>
        <w:ind w:left="165" w:right="0" w:firstLine="0"/>
        <w:jc w:val="left"/>
        <w:rPr>
          <w:rFonts w:ascii="Arial"/>
          <w:b/>
          <w:sz w:val="18"/>
        </w:rPr>
      </w:pPr>
      <w:r>
        <w:rPr>
          <w:rFonts w:ascii="Arial"/>
          <w:b/>
          <w:sz w:val="18"/>
        </w:rPr>
        <w:t>Scope of proprietary </w:t>
      </w:r>
      <w:r>
        <w:rPr>
          <w:rFonts w:ascii="Arial"/>
          <w:b/>
          <w:spacing w:val="-2"/>
          <w:sz w:val="18"/>
        </w:rPr>
        <w:t>estoppel</w:t>
      </w:r>
    </w:p>
    <w:p>
      <w:pPr>
        <w:pStyle w:val="BodyText"/>
        <w:spacing w:before="41"/>
        <w:rPr>
          <w:rFonts w:ascii="Arial"/>
          <w:b/>
          <w:sz w:val="18"/>
        </w:rPr>
      </w:pPr>
    </w:p>
    <w:p>
      <w:pPr>
        <w:pStyle w:val="Heading2"/>
      </w:pPr>
      <w:r>
        <w:rPr/>
        <w:t>4-</w:t>
      </w:r>
      <w:r>
        <w:rPr>
          <w:spacing w:val="-5"/>
        </w:rPr>
        <w:t>140</w:t>
      </w:r>
    </w:p>
    <w:p>
      <w:pPr>
        <w:pStyle w:val="BodyText"/>
        <w:spacing w:before="89"/>
        <w:rPr>
          <w:rFonts w:ascii="Arial"/>
          <w:b/>
        </w:rPr>
      </w:pPr>
    </w:p>
    <w:p>
      <w:pPr>
        <w:pStyle w:val="BodyText"/>
        <w:ind w:left="165"/>
        <w:jc w:val="both"/>
      </w:pPr>
      <w:r>
        <w:rPr>
          <w:position w:val="-2"/>
        </w:rPr>
        <w:drawing>
          <wp:inline distT="0" distB="0" distL="0" distR="0">
            <wp:extent cx="107988" cy="107988"/>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0"/>
        </w:rPr>
        <w:t> </w:t>
      </w:r>
      <w:bookmarkStart w:name="_bookmark1635" w:id="1637"/>
      <w:bookmarkEnd w:id="1637"/>
      <w:r>
        <w:rPr>
          <w:rFonts w:ascii="Times New Roman"/>
          <w:spacing w:val="20"/>
        </w:rPr>
      </w:r>
      <w:r>
        <w:rPr/>
        <w:t>Proprietary</w:t>
      </w:r>
      <w:r>
        <w:rPr>
          <w:spacing w:val="16"/>
        </w:rPr>
        <w:t> </w:t>
      </w:r>
      <w:r>
        <w:rPr/>
        <w:t>estoppel</w:t>
      </w:r>
      <w:r>
        <w:rPr>
          <w:spacing w:val="16"/>
        </w:rPr>
        <w:t> </w:t>
      </w:r>
      <w:r>
        <w:rPr/>
        <w:t>operates</w:t>
      </w:r>
      <w:r>
        <w:rPr>
          <w:spacing w:val="16"/>
        </w:rPr>
        <w:t> </w:t>
      </w:r>
      <w:r>
        <w:rPr/>
        <w:t>in</w:t>
      </w:r>
      <w:r>
        <w:rPr>
          <w:spacing w:val="16"/>
        </w:rPr>
        <w:t> </w:t>
      </w:r>
      <w:r>
        <w:rPr/>
        <w:t>a</w:t>
      </w:r>
      <w:r>
        <w:rPr>
          <w:spacing w:val="16"/>
        </w:rPr>
        <w:t> </w:t>
      </w:r>
      <w:r>
        <w:rPr/>
        <w:t>variety</w:t>
      </w:r>
      <w:r>
        <w:rPr>
          <w:spacing w:val="16"/>
        </w:rPr>
        <w:t> </w:t>
      </w:r>
      <w:r>
        <w:rPr/>
        <w:t>of</w:t>
      </w:r>
      <w:r>
        <w:rPr>
          <w:spacing w:val="16"/>
        </w:rPr>
        <w:t> </w:t>
      </w:r>
      <w:r>
        <w:rPr/>
        <w:t>situations</w:t>
      </w:r>
      <w:r>
        <w:rPr>
          <w:spacing w:val="16"/>
        </w:rPr>
        <w:t> </w:t>
      </w:r>
      <w:r>
        <w:rPr/>
        <w:t>so</w:t>
      </w:r>
      <w:r>
        <w:rPr>
          <w:spacing w:val="16"/>
        </w:rPr>
        <w:t> </w:t>
      </w:r>
      <w:r>
        <w:rPr/>
        <w:t>disparate</w:t>
      </w:r>
      <w:r>
        <w:rPr>
          <w:spacing w:val="16"/>
        </w:rPr>
        <w:t> </w:t>
      </w:r>
      <w:r>
        <w:rPr/>
        <w:t>that</w:t>
      </w:r>
      <w:r>
        <w:rPr>
          <w:spacing w:val="16"/>
        </w:rPr>
        <w:t> </w:t>
      </w:r>
      <w:r>
        <w:rPr/>
        <w:t>it</w:t>
      </w:r>
      <w:r>
        <w:rPr>
          <w:spacing w:val="16"/>
        </w:rPr>
        <w:t> </w:t>
      </w:r>
      <w:r>
        <w:rPr/>
        <w:t>was</w:t>
      </w:r>
      <w:r>
        <w:rPr>
          <w:spacing w:val="16"/>
        </w:rPr>
        <w:t> </w:t>
      </w:r>
      <w:r>
        <w:rPr/>
        <w:t>once</w:t>
      </w:r>
      <w:r>
        <w:rPr>
          <w:spacing w:val="16"/>
        </w:rPr>
        <w:t> </w:t>
      </w:r>
      <w:r>
        <w:rPr/>
        <w:t>described</w:t>
      </w:r>
      <w:r>
        <w:rPr>
          <w:spacing w:val="16"/>
        </w:rPr>
        <w:t> </w:t>
      </w:r>
      <w:r>
        <w:rPr/>
        <w:t>by</w:t>
      </w:r>
    </w:p>
    <w:p>
      <w:pPr>
        <w:pStyle w:val="BodyText"/>
        <w:spacing w:line="235" w:lineRule="auto" w:before="119"/>
        <w:ind w:left="165" w:right="167"/>
        <w:jc w:val="both"/>
      </w:pPr>
      <w:r>
        <w:rPr/>
        <w:t>Robert</w:t>
      </w:r>
      <w:r>
        <w:rPr>
          <w:spacing w:val="-2"/>
        </w:rPr>
        <w:t> </w:t>
      </w:r>
      <w:r>
        <w:rPr/>
        <w:t>Goff</w:t>
      </w:r>
      <w:r>
        <w:rPr>
          <w:spacing w:val="-2"/>
        </w:rPr>
        <w:t> </w:t>
      </w:r>
      <w:r>
        <w:rPr/>
        <w:t>J.</w:t>
      </w:r>
      <w:r>
        <w:rPr>
          <w:spacing w:val="-2"/>
        </w:rPr>
        <w:t> </w:t>
      </w:r>
      <w:r>
        <w:rPr/>
        <w:t>as</w:t>
      </w:r>
      <w:r>
        <w:rPr>
          <w:spacing w:val="-2"/>
        </w:rPr>
        <w:t> </w:t>
      </w:r>
      <w:r>
        <w:rPr/>
        <w:t>“an</w:t>
      </w:r>
      <w:r>
        <w:rPr>
          <w:spacing w:val="-2"/>
        </w:rPr>
        <w:t> </w:t>
      </w:r>
      <w:r>
        <w:rPr/>
        <w:t>amalgam</w:t>
      </w:r>
      <w:r>
        <w:rPr>
          <w:spacing w:val="-2"/>
        </w:rPr>
        <w:t> </w:t>
      </w:r>
      <w:r>
        <w:rPr/>
        <w:t>of</w:t>
      </w:r>
      <w:r>
        <w:rPr>
          <w:spacing w:val="-2"/>
        </w:rPr>
        <w:t> </w:t>
      </w:r>
      <w:r>
        <w:rPr/>
        <w:t>doubtful</w:t>
      </w:r>
      <w:r>
        <w:rPr>
          <w:spacing w:val="-2"/>
        </w:rPr>
        <w:t> </w:t>
      </w:r>
      <w:r>
        <w:rPr/>
        <w:t>utility.”</w:t>
      </w:r>
      <w:r>
        <w:rPr>
          <w:spacing w:val="-2"/>
        </w:rPr>
        <w:t> </w:t>
      </w:r>
      <w:r>
        <w:rPr>
          <w:color w:val="005DA1"/>
          <w:u w:val="single" w:color="005DA1"/>
          <w:vertAlign w:val="superscript"/>
        </w:rPr>
        <w:t>872</w:t>
      </w:r>
      <w:r>
        <w:rPr>
          <w:color w:val="005DA1"/>
          <w:spacing w:val="-2"/>
          <w:vertAlign w:val="baseline"/>
        </w:rPr>
        <w:t> </w:t>
      </w:r>
      <w:r>
        <w:rPr>
          <w:vertAlign w:val="baseline"/>
        </w:rPr>
        <w:t>The</w:t>
      </w:r>
      <w:r>
        <w:rPr>
          <w:spacing w:val="-2"/>
          <w:vertAlign w:val="baseline"/>
        </w:rPr>
        <w:t> </w:t>
      </w:r>
      <w:r>
        <w:rPr>
          <w:vertAlign w:val="baseline"/>
        </w:rPr>
        <w:t>cases</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divided</w:t>
      </w:r>
      <w:r>
        <w:rPr>
          <w:spacing w:val="-2"/>
          <w:vertAlign w:val="baseline"/>
        </w:rPr>
        <w:t> </w:t>
      </w:r>
      <w:r>
        <w:rPr>
          <w:vertAlign w:val="baseline"/>
        </w:rPr>
        <w:t>broadly</w:t>
      </w:r>
      <w:r>
        <w:rPr>
          <w:spacing w:val="-3"/>
          <w:vertAlign w:val="baseline"/>
        </w:rPr>
        <w:t> </w:t>
      </w:r>
      <w:r>
        <w:rPr>
          <w:color w:val="005DA1"/>
          <w:u w:val="single" w:color="005DA1"/>
          <w:vertAlign w:val="superscript"/>
        </w:rPr>
        <w:t>873</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1"/>
          <w:vertAlign w:val="baseline"/>
        </w:rPr>
        <w:t> </w:t>
      </w:r>
      <w:r>
        <w:rPr>
          <w:vertAlign w:val="baseline"/>
        </w:rPr>
        <w:t>into</w:t>
      </w:r>
      <w:r>
        <w:rPr>
          <w:spacing w:val="-2"/>
          <w:vertAlign w:val="baseline"/>
        </w:rPr>
        <w:t> </w:t>
      </w:r>
      <w:r>
        <w:rPr>
          <w:vertAlign w:val="baseline"/>
        </w:rPr>
        <w:t>two categories. In the first, one person acts under a mistake as to the existence or as to the extent of his rights in or over another’s land. The landowner might then, even though the mistake was in no way </w:t>
      </w:r>
      <w:bookmarkStart w:name="_bookmark1636" w:id="1638"/>
      <w:bookmarkEnd w:id="1638"/>
      <w:r>
        <w:rPr>
          <w:vertAlign w:val="baseline"/>
        </w:rPr>
        <w:t>induced</w:t>
      </w:r>
      <w:r>
        <w:rPr>
          <w:vertAlign w:val="baseline"/>
        </w:rPr>
        <w:t> by him, be prevented from taking advantage of it, particularly if he “stood by” knowing of </w:t>
      </w:r>
      <w:r>
        <w:rPr>
          <w:vertAlign w:val="baseline"/>
        </w:rPr>
        <w:t>the </w:t>
      </w:r>
      <w:bookmarkStart w:name="_bookmark1637" w:id="1639"/>
      <w:bookmarkEnd w:id="1639"/>
      <w:r>
        <w:rPr>
          <w:vertAlign w:val="baseline"/>
        </w:rPr>
        <w:t>mistake,</w:t>
      </w:r>
      <w:r>
        <w:rPr>
          <w:vertAlign w:val="baseline"/>
        </w:rPr>
        <w:t> or actively encouraged the mistaken party to act in reliance on his mistaken belief. </w:t>
      </w:r>
      <w:r>
        <w:rPr>
          <w:color w:val="005DA1"/>
          <w:u w:val="single" w:color="005DA1"/>
          <w:vertAlign w:val="superscript"/>
        </w:rPr>
        <w:t>874</w:t>
      </w:r>
      <w:r>
        <w:rPr>
          <w:color w:val="005DA1"/>
          <w:vertAlign w:val="baseline"/>
        </w:rPr>
        <w:t> </w:t>
      </w:r>
      <w:r>
        <w:rPr>
          <w:vertAlign w:val="baseline"/>
        </w:rPr>
        <w:t>These </w:t>
      </w:r>
      <w:bookmarkStart w:name="_bookmark1638" w:id="1640"/>
      <w:bookmarkEnd w:id="1640"/>
      <w:r>
        <w:rPr>
          <w:vertAlign w:val="baseline"/>
        </w:rPr>
        <w:t>cases</w:t>
      </w:r>
      <w:r>
        <w:rPr>
          <w:vertAlign w:val="baseline"/>
        </w:rPr>
        <w:t> of so-called “acquiescence” </w:t>
      </w:r>
      <w:r>
        <w:rPr>
          <w:color w:val="005DA1"/>
          <w:u w:val="single" w:color="005DA1"/>
          <w:vertAlign w:val="superscript"/>
        </w:rPr>
        <w:t>875</w:t>
      </w:r>
      <w:r>
        <w:rPr>
          <w:color w:val="005DA1"/>
          <w:vertAlign w:val="baseline"/>
        </w:rPr>
        <w:t> </w:t>
      </w:r>
      <w:r>
        <w:rPr>
          <w:vertAlign w:val="baseline"/>
        </w:rPr>
        <w:t>do not raise any questions as to the enforceability of promises </w:t>
      </w:r>
      <w:bookmarkStart w:name="_bookmark1639" w:id="1641"/>
      <w:bookmarkEnd w:id="1641"/>
      <w:r>
        <w:rPr>
          <w:vertAlign w:val="baseline"/>
        </w:rPr>
        <w:t>and</w:t>
      </w:r>
      <w:r>
        <w:rPr>
          <w:vertAlign w:val="baseline"/>
        </w:rPr>
        <w:t> therefore do not call for further discussion in this chapter. </w:t>
      </w:r>
      <w:r>
        <w:rPr>
          <w:color w:val="005DA1"/>
          <w:u w:val="single" w:color="005DA1"/>
          <w:vertAlign w:val="superscript"/>
        </w:rPr>
        <w:t>876</w:t>
      </w:r>
      <w:r>
        <w:rPr>
          <w:color w:val="005DA1"/>
          <w:vertAlign w:val="baseline"/>
        </w:rPr>
        <w:t> </w:t>
      </w:r>
      <w:r>
        <w:rPr>
          <w:vertAlign w:val="baseline"/>
        </w:rPr>
        <w:t>In the second situation, there is not merely “acquiescence” by the landowner, but “encouragement” </w:t>
      </w:r>
      <w:r>
        <w:rPr>
          <w:color w:val="005DA1"/>
          <w:u w:val="single" w:color="005DA1"/>
          <w:vertAlign w:val="superscript"/>
        </w:rPr>
        <w:t>877</w:t>
      </w:r>
      <w:r>
        <w:rPr>
          <w:color w:val="005DA1"/>
          <w:vertAlign w:val="baseline"/>
        </w:rPr>
        <w:t> </w:t>
      </w:r>
      <w:r>
        <w:rPr>
          <w:vertAlign w:val="baseline"/>
        </w:rPr>
        <w:t>in the sense of conduct by the </w:t>
      </w:r>
      <w:bookmarkStart w:name="_bookmark1640" w:id="1642"/>
      <w:bookmarkEnd w:id="1642"/>
      <w:r>
        <w:rPr>
          <w:vertAlign w:val="baseline"/>
        </w:rPr>
        <w:t>landowner,</w:t>
      </w:r>
      <w:r>
        <w:rPr>
          <w:vertAlign w:val="baseline"/>
        </w:rPr>
        <w:t> or a representation by him, from which a promise to the other party (the promisee) can be inferred </w:t>
      </w:r>
      <w:r>
        <w:rPr>
          <w:color w:val="005DA1"/>
          <w:u w:val="single" w:color="005DA1"/>
          <w:vertAlign w:val="superscript"/>
        </w:rPr>
        <w:t>878</w:t>
      </w:r>
      <w:r>
        <w:rPr>
          <w:color w:val="005DA1"/>
          <w:vertAlign w:val="baseline"/>
        </w:rPr>
        <w:t> </w:t>
      </w:r>
      <w:r>
        <w:rPr>
          <w:vertAlign w:val="baseline"/>
        </w:rPr>
        <w:t>to the effect that the promisee has a legally enforceable </w:t>
      </w:r>
      <w:r>
        <w:rPr>
          <w:color w:val="005DA1"/>
          <w:u w:val="single" w:color="005DA1"/>
          <w:vertAlign w:val="superscript"/>
        </w:rPr>
        <w:t>879</w:t>
      </w:r>
      <w:r>
        <w:rPr>
          <w:color w:val="005DA1"/>
          <w:vertAlign w:val="baseline"/>
        </w:rPr>
        <w:t> </w:t>
      </w:r>
      <w:r>
        <w:rPr>
          <w:vertAlign w:val="baseline"/>
        </w:rPr>
        <w:t>interest in the land or that one will be created in his favour. If the promisee acts in reliance on such a promise, the question will arise </w:t>
      </w:r>
      <w:bookmarkStart w:name="_bookmark1641" w:id="1643"/>
      <w:bookmarkEnd w:id="1643"/>
      <w:r>
        <w:rPr>
          <w:vertAlign w:val="baseline"/>
        </w:rPr>
        <w:t>to</w:t>
      </w:r>
      <w:r>
        <w:rPr>
          <w:spacing w:val="-1"/>
          <w:vertAlign w:val="baseline"/>
        </w:rPr>
        <w:t> </w:t>
      </w:r>
      <w:r>
        <w:rPr>
          <w:vertAlign w:val="baseline"/>
        </w:rPr>
        <w:t>what</w:t>
      </w:r>
      <w:r>
        <w:rPr>
          <w:spacing w:val="-1"/>
          <w:vertAlign w:val="baseline"/>
        </w:rPr>
        <w:t> </w:t>
      </w:r>
      <w:r>
        <w:rPr>
          <w:vertAlign w:val="baseline"/>
        </w:rPr>
        <w:t>extent</w:t>
      </w:r>
      <w:r>
        <w:rPr>
          <w:spacing w:val="-1"/>
          <w:vertAlign w:val="baseline"/>
        </w:rPr>
        <w:t> </w:t>
      </w:r>
      <w:r>
        <w:rPr>
          <w:vertAlign w:val="baseline"/>
        </w:rPr>
        <w:t>the</w:t>
      </w:r>
      <w:r>
        <w:rPr>
          <w:spacing w:val="-1"/>
          <w:vertAlign w:val="baseline"/>
        </w:rPr>
        <w:t> </w:t>
      </w:r>
      <w:r>
        <w:rPr>
          <w:vertAlign w:val="baseline"/>
        </w:rPr>
        <w:t>promise</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enforced,</w:t>
      </w:r>
      <w:r>
        <w:rPr>
          <w:spacing w:val="-1"/>
          <w:vertAlign w:val="baseline"/>
        </w:rPr>
        <w:t> </w:t>
      </w:r>
      <w:r>
        <w:rPr>
          <w:vertAlign w:val="baseline"/>
        </w:rPr>
        <w:t>even</w:t>
      </w:r>
      <w:r>
        <w:rPr>
          <w:spacing w:val="-1"/>
          <w:vertAlign w:val="baseline"/>
        </w:rPr>
        <w:t> </w:t>
      </w:r>
      <w:r>
        <w:rPr>
          <w:vertAlign w:val="baseline"/>
        </w:rPr>
        <w:t>though</w:t>
      </w:r>
      <w:r>
        <w:rPr>
          <w:spacing w:val="-1"/>
          <w:vertAlign w:val="baseline"/>
        </w:rPr>
        <w:t> </w:t>
      </w:r>
      <w:r>
        <w:rPr>
          <w:vertAlign w:val="baseline"/>
        </w:rPr>
        <w:t>it</w:t>
      </w:r>
      <w:r>
        <w:rPr>
          <w:spacing w:val="-1"/>
          <w:vertAlign w:val="baseline"/>
        </w:rPr>
        <w:t> </w:t>
      </w:r>
      <w:r>
        <w:rPr>
          <w:vertAlign w:val="baseline"/>
        </w:rPr>
        <w:t>may</w:t>
      </w:r>
      <w:r>
        <w:rPr>
          <w:spacing w:val="-1"/>
          <w:vertAlign w:val="baseline"/>
        </w:rPr>
        <w:t> </w:t>
      </w:r>
      <w:r>
        <w:rPr>
          <w:vertAlign w:val="baseline"/>
        </w:rPr>
        <w:t>not</w:t>
      </w:r>
      <w:r>
        <w:rPr>
          <w:spacing w:val="-1"/>
          <w:vertAlign w:val="baseline"/>
        </w:rPr>
        <w:t> </w:t>
      </w:r>
      <w:r>
        <w:rPr>
          <w:vertAlign w:val="baseline"/>
        </w:rPr>
        <w:t>be</w:t>
      </w:r>
      <w:r>
        <w:rPr>
          <w:spacing w:val="-1"/>
          <w:vertAlign w:val="baseline"/>
        </w:rPr>
        <w:t> </w:t>
      </w:r>
      <w:r>
        <w:rPr>
          <w:vertAlign w:val="baseline"/>
        </w:rPr>
        <w:t>supported</w:t>
      </w:r>
      <w:r>
        <w:rPr>
          <w:spacing w:val="-1"/>
          <w:vertAlign w:val="baseline"/>
        </w:rPr>
        <w:t> </w:t>
      </w:r>
      <w:r>
        <w:rPr>
          <w:vertAlign w:val="baseline"/>
        </w:rPr>
        <w:t>by</w:t>
      </w:r>
      <w:r>
        <w:rPr>
          <w:spacing w:val="-1"/>
          <w:vertAlign w:val="baseline"/>
        </w:rPr>
        <w:t> </w:t>
      </w:r>
      <w:r>
        <w:rPr>
          <w:vertAlign w:val="baseline"/>
        </w:rPr>
        <w:t>consideration,</w:t>
      </w:r>
      <w:r>
        <w:rPr>
          <w:spacing w:val="-1"/>
          <w:vertAlign w:val="baseline"/>
        </w:rPr>
        <w:t> </w:t>
      </w:r>
      <w:r>
        <w:rPr>
          <w:vertAlign w:val="baseline"/>
        </w:rPr>
        <w:t>or fail to satisfy the other requirements (such as those of certainty or form </w:t>
      </w:r>
      <w:r>
        <w:rPr>
          <w:color w:val="005DA1"/>
          <w:u w:val="single" w:color="005DA1"/>
          <w:vertAlign w:val="superscript"/>
        </w:rPr>
        <w:t>880</w:t>
      </w:r>
      <w:r>
        <w:rPr>
          <w:vertAlign w:val="baseline"/>
        </w:rPr>
        <w:t>) of a binding contract.</w:t>
      </w:r>
    </w:p>
    <w:p>
      <w:pPr>
        <w:pStyle w:val="BodyText"/>
      </w:pPr>
    </w:p>
    <w:p>
      <w:pPr>
        <w:pStyle w:val="BodyText"/>
        <w:spacing w:before="35"/>
      </w:pPr>
      <w:r>
        <w:rPr/>
        <mc:AlternateContent>
          <mc:Choice Requires="wps">
            <w:drawing>
              <wp:anchor distT="0" distB="0" distL="0" distR="0" allowOverlap="1" layoutInCell="1" locked="0" behindDoc="1" simplePos="0" relativeHeight="487665152">
                <wp:simplePos x="0" y="0"/>
                <wp:positionH relativeFrom="page">
                  <wp:posOffset>914400</wp:posOffset>
                </wp:positionH>
                <wp:positionV relativeFrom="paragraph">
                  <wp:posOffset>183649</wp:posOffset>
                </wp:positionV>
                <wp:extent cx="5724525" cy="1270"/>
                <wp:effectExtent l="0" t="0" r="0" b="0"/>
                <wp:wrapTopAndBottom/>
                <wp:docPr id="309" name="Graphic 309"/>
                <wp:cNvGraphicFramePr>
                  <a:graphicFrameLocks/>
                </wp:cNvGraphicFramePr>
                <a:graphic>
                  <a:graphicData uri="http://schemas.microsoft.com/office/word/2010/wordprocessingShape">
                    <wps:wsp>
                      <wps:cNvPr id="309" name="Graphic 30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60609pt;width:450.75pt;height:.1pt;mso-position-horizontal-relative:page;mso-position-vertical-relative:paragraph;z-index:-15651328;mso-wrap-distance-left:0;mso-wrap-distance-right:0" id="docshape73" coordorigin="1440,289" coordsize="9015,0" path="m1440,289l10454,289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232832">
                <wp:simplePos x="0" y="0"/>
                <wp:positionH relativeFrom="page">
                  <wp:posOffset>914400</wp:posOffset>
                </wp:positionH>
                <wp:positionV relativeFrom="paragraph">
                  <wp:posOffset>97116</wp:posOffset>
                </wp:positionV>
                <wp:extent cx="49530" cy="127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83648"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after="0" w:line="227" w:lineRule="exact"/>
        <w:sectPr>
          <w:headerReference w:type="default" r:id="rId50"/>
          <w:headerReference w:type="even" r:id="rId51"/>
          <w:pgSz w:w="11900" w:h="16840"/>
          <w:pgMar w:header="971" w:footer="0" w:top="1160" w:bottom="280" w:left="1275" w:right="1275"/>
          <w:pgNumType w:start="1"/>
        </w:sectPr>
      </w:pPr>
    </w:p>
    <w:p>
      <w:pPr>
        <w:pStyle w:val="BodyText"/>
        <w:spacing w:before="81"/>
      </w:pPr>
    </w:p>
    <w:p>
      <w:pPr>
        <w:pStyle w:val="BodyText"/>
        <w:tabs>
          <w:tab w:pos="705" w:val="left" w:leader="none"/>
        </w:tabs>
        <w:ind w:left="165"/>
      </w:pPr>
      <w:bookmarkStart w:name="_bookmark1642" w:id="1644"/>
      <w:bookmarkEnd w:id="1644"/>
      <w:r>
        <w:rPr/>
      </w:r>
      <w:hyperlink w:history="true" w:anchor="_bookmark1632">
        <w:r>
          <w:rPr>
            <w:color w:val="005DA1"/>
            <w:spacing w:val="-4"/>
            <w:position w:val="5"/>
            <w:sz w:val="14"/>
            <w:u w:val="single" w:color="005DA1"/>
          </w:rPr>
          <w:t>868</w:t>
        </w:r>
      </w:hyperlink>
      <w:r>
        <w:rPr>
          <w:spacing w:val="-4"/>
          <w:position w:val="5"/>
          <w:sz w:val="14"/>
        </w:rPr>
        <w:t>.</w:t>
      </w:r>
      <w:r>
        <w:rPr>
          <w:position w:val="5"/>
          <w:sz w:val="14"/>
        </w:rPr>
        <w:tab/>
      </w:r>
      <w:r>
        <w:rPr/>
        <w:t>See para.4-157 </w:t>
      </w:r>
      <w:r>
        <w:rPr>
          <w:spacing w:val="-2"/>
        </w:rPr>
        <w:t>below.</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643" w:id="1645"/>
      <w:bookmarkEnd w:id="1645"/>
      <w:r>
        <w:rPr/>
      </w:r>
      <w:hyperlink w:history="true" w:anchor="_bookmark1633">
        <w:r>
          <w:rPr>
            <w:color w:val="005DA1"/>
            <w:spacing w:val="-4"/>
            <w:position w:val="5"/>
            <w:sz w:val="14"/>
            <w:u w:val="single" w:color="005DA1"/>
          </w:rPr>
          <w:t>869</w:t>
        </w:r>
      </w:hyperlink>
      <w:r>
        <w:rPr>
          <w:spacing w:val="-4"/>
          <w:position w:val="5"/>
          <w:sz w:val="14"/>
        </w:rPr>
        <w:t>.</w:t>
      </w:r>
      <w:r>
        <w:rPr>
          <w:position w:val="5"/>
          <w:sz w:val="14"/>
        </w:rPr>
        <w:tab/>
      </w:r>
      <w:r>
        <w:rPr>
          <w:rFonts w:ascii="Arial"/>
          <w:i/>
          <w:sz w:val="20"/>
        </w:rPr>
        <w:t>Jones</w:t>
      </w:r>
      <w:r>
        <w:rPr>
          <w:rFonts w:ascii="Arial"/>
          <w:i/>
          <w:spacing w:val="41"/>
          <w:sz w:val="20"/>
        </w:rPr>
        <w:t> </w:t>
      </w:r>
      <w:r>
        <w:rPr>
          <w:rFonts w:ascii="Arial"/>
          <w:i/>
          <w:sz w:val="20"/>
        </w:rPr>
        <w:t>v</w:t>
      </w:r>
      <w:r>
        <w:rPr>
          <w:rFonts w:ascii="Arial"/>
          <w:i/>
          <w:spacing w:val="42"/>
          <w:sz w:val="20"/>
        </w:rPr>
        <w:t> </w:t>
      </w:r>
      <w:r>
        <w:rPr>
          <w:rFonts w:ascii="Arial"/>
          <w:i/>
          <w:sz w:val="20"/>
        </w:rPr>
        <w:t>Jones</w:t>
      </w:r>
      <w:r>
        <w:rPr>
          <w:rFonts w:ascii="Arial"/>
          <w:i/>
          <w:spacing w:val="42"/>
          <w:sz w:val="20"/>
        </w:rPr>
        <w:t> </w:t>
      </w:r>
      <w:r>
        <w:rPr>
          <w:rFonts w:ascii="Arial"/>
          <w:i/>
          <w:sz w:val="20"/>
        </w:rPr>
        <w:t>[1977]</w:t>
      </w:r>
      <w:r>
        <w:rPr>
          <w:rFonts w:ascii="Arial"/>
          <w:i/>
          <w:spacing w:val="42"/>
          <w:sz w:val="20"/>
        </w:rPr>
        <w:t> </w:t>
      </w:r>
      <w:r>
        <w:rPr>
          <w:rFonts w:ascii="Arial"/>
          <w:i/>
          <w:sz w:val="20"/>
        </w:rPr>
        <w:t>1</w:t>
      </w:r>
      <w:r>
        <w:rPr>
          <w:rFonts w:ascii="Arial"/>
          <w:i/>
          <w:spacing w:val="42"/>
          <w:sz w:val="20"/>
        </w:rPr>
        <w:t> </w:t>
      </w:r>
      <w:r>
        <w:rPr>
          <w:rFonts w:ascii="Arial"/>
          <w:i/>
          <w:sz w:val="20"/>
        </w:rPr>
        <w:t>W.L.R.</w:t>
      </w:r>
      <w:r>
        <w:rPr>
          <w:rFonts w:ascii="Arial"/>
          <w:i/>
          <w:spacing w:val="42"/>
          <w:sz w:val="20"/>
        </w:rPr>
        <w:t> </w:t>
      </w:r>
      <w:r>
        <w:rPr>
          <w:rFonts w:ascii="Arial"/>
          <w:i/>
          <w:sz w:val="20"/>
        </w:rPr>
        <w:t>438,</w:t>
      </w:r>
      <w:r>
        <w:rPr>
          <w:rFonts w:ascii="Arial"/>
          <w:i/>
          <w:spacing w:val="42"/>
          <w:sz w:val="20"/>
        </w:rPr>
        <w:t> </w:t>
      </w:r>
      <w:r>
        <w:rPr>
          <w:rFonts w:ascii="Arial"/>
          <w:i/>
          <w:sz w:val="20"/>
        </w:rPr>
        <w:t>442</w:t>
      </w:r>
      <w:r>
        <w:rPr>
          <w:sz w:val="20"/>
        </w:rPr>
        <w:t>;</w:t>
      </w:r>
      <w:r>
        <w:rPr>
          <w:spacing w:val="42"/>
          <w:sz w:val="20"/>
        </w:rPr>
        <w:t> </w:t>
      </w:r>
      <w:r>
        <w:rPr>
          <w:rFonts w:ascii="Arial"/>
          <w:i/>
          <w:sz w:val="20"/>
        </w:rPr>
        <w:t>Pascoe</w:t>
      </w:r>
      <w:r>
        <w:rPr>
          <w:rFonts w:ascii="Arial"/>
          <w:i/>
          <w:spacing w:val="41"/>
          <w:sz w:val="20"/>
        </w:rPr>
        <w:t> </w:t>
      </w:r>
      <w:r>
        <w:rPr>
          <w:rFonts w:ascii="Arial"/>
          <w:i/>
          <w:sz w:val="20"/>
        </w:rPr>
        <w:t>v</w:t>
      </w:r>
      <w:r>
        <w:rPr>
          <w:rFonts w:ascii="Arial"/>
          <w:i/>
          <w:spacing w:val="42"/>
          <w:sz w:val="20"/>
        </w:rPr>
        <w:t> </w:t>
      </w:r>
      <w:r>
        <w:rPr>
          <w:rFonts w:ascii="Arial"/>
          <w:i/>
          <w:sz w:val="20"/>
        </w:rPr>
        <w:t>Turner</w:t>
      </w:r>
      <w:r>
        <w:rPr>
          <w:rFonts w:ascii="Arial"/>
          <w:i/>
          <w:spacing w:val="42"/>
          <w:sz w:val="20"/>
        </w:rPr>
        <w:t> </w:t>
      </w:r>
      <w:r>
        <w:rPr>
          <w:rFonts w:ascii="Arial"/>
          <w:i/>
          <w:sz w:val="20"/>
        </w:rPr>
        <w:t>[1979]</w:t>
      </w:r>
      <w:r>
        <w:rPr>
          <w:rFonts w:ascii="Arial"/>
          <w:i/>
          <w:spacing w:val="42"/>
          <w:sz w:val="20"/>
        </w:rPr>
        <w:t> </w:t>
      </w:r>
      <w:r>
        <w:rPr>
          <w:rFonts w:ascii="Arial"/>
          <w:i/>
          <w:sz w:val="20"/>
        </w:rPr>
        <w:t>1</w:t>
      </w:r>
      <w:r>
        <w:rPr>
          <w:rFonts w:ascii="Arial"/>
          <w:i/>
          <w:spacing w:val="42"/>
          <w:sz w:val="20"/>
        </w:rPr>
        <w:t> </w:t>
      </w:r>
      <w:r>
        <w:rPr>
          <w:rFonts w:ascii="Arial"/>
          <w:i/>
          <w:sz w:val="20"/>
        </w:rPr>
        <w:t>W.L.R.</w:t>
      </w:r>
      <w:r>
        <w:rPr>
          <w:rFonts w:ascii="Arial"/>
          <w:i/>
          <w:spacing w:val="42"/>
          <w:sz w:val="20"/>
        </w:rPr>
        <w:t> </w:t>
      </w:r>
      <w:r>
        <w:rPr>
          <w:rFonts w:ascii="Arial"/>
          <w:i/>
          <w:sz w:val="20"/>
        </w:rPr>
        <w:t>431,</w:t>
      </w:r>
      <w:r>
        <w:rPr>
          <w:rFonts w:ascii="Arial"/>
          <w:i/>
          <w:spacing w:val="42"/>
          <w:sz w:val="20"/>
        </w:rPr>
        <w:t> </w:t>
      </w:r>
      <w:r>
        <w:rPr>
          <w:rFonts w:ascii="Arial"/>
          <w:i/>
          <w:sz w:val="20"/>
        </w:rPr>
        <w:t>436</w:t>
      </w:r>
      <w:r>
        <w:rPr>
          <w:sz w:val="20"/>
        </w:rPr>
        <w:t>;</w:t>
      </w:r>
      <w:r>
        <w:rPr>
          <w:spacing w:val="42"/>
          <w:sz w:val="20"/>
        </w:rPr>
        <w:t> </w:t>
      </w:r>
      <w:r>
        <w:rPr>
          <w:rFonts w:ascii="Arial"/>
          <w:i/>
          <w:spacing w:val="-5"/>
          <w:sz w:val="20"/>
        </w:rPr>
        <w:t>Re</w:t>
      </w:r>
    </w:p>
    <w:p>
      <w:pPr>
        <w:spacing w:line="235" w:lineRule="auto" w:before="1"/>
        <w:ind w:left="705" w:right="167" w:firstLine="0"/>
        <w:jc w:val="both"/>
        <w:rPr>
          <w:sz w:val="20"/>
        </w:rPr>
      </w:pPr>
      <w:r>
        <w:rPr>
          <w:rFonts w:ascii="Arial" w:hAnsi="Arial"/>
          <w:i/>
          <w:sz w:val="20"/>
        </w:rPr>
        <w:t>Sharpe [1980] 1 W.L.R. 219, 233</w:t>
      </w:r>
      <w:r>
        <w:rPr>
          <w:sz w:val="20"/>
        </w:rPr>
        <w:t>; </w:t>
      </w:r>
      <w:r>
        <w:rPr>
          <w:rFonts w:ascii="Arial" w:hAnsi="Arial"/>
          <w:i/>
          <w:sz w:val="20"/>
        </w:rPr>
        <w:t>Greasley v Cooke [1980] 1 W.L.R. 1306, 1311</w:t>
      </w:r>
      <w:r>
        <w:rPr>
          <w:sz w:val="20"/>
        </w:rPr>
        <w:t>; cf. </w:t>
      </w:r>
      <w:r>
        <w:rPr>
          <w:rFonts w:ascii="Arial" w:hAnsi="Arial"/>
          <w:i/>
          <w:sz w:val="20"/>
        </w:rPr>
        <w:t>Midland Bank</w:t>
      </w:r>
      <w:r>
        <w:rPr>
          <w:rFonts w:ascii="Arial" w:hAnsi="Arial"/>
          <w:i/>
          <w:spacing w:val="-2"/>
          <w:sz w:val="20"/>
        </w:rPr>
        <w:t> </w:t>
      </w:r>
      <w:r>
        <w:rPr>
          <w:rFonts w:ascii="Arial" w:hAnsi="Arial"/>
          <w:i/>
          <w:sz w:val="20"/>
        </w:rPr>
        <w:t>plc</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Cooke</w:t>
      </w:r>
      <w:r>
        <w:rPr>
          <w:rFonts w:ascii="Arial" w:hAnsi="Arial"/>
          <w:i/>
          <w:spacing w:val="-2"/>
          <w:sz w:val="20"/>
        </w:rPr>
        <w:t> </w:t>
      </w:r>
      <w:r>
        <w:rPr>
          <w:rFonts w:ascii="Arial" w:hAnsi="Arial"/>
          <w:i/>
          <w:sz w:val="20"/>
        </w:rPr>
        <w:t>[1995]</w:t>
      </w:r>
      <w:r>
        <w:rPr>
          <w:rFonts w:ascii="Arial" w:hAnsi="Arial"/>
          <w:i/>
          <w:spacing w:val="-2"/>
          <w:sz w:val="20"/>
        </w:rPr>
        <w:t> </w:t>
      </w:r>
      <w:r>
        <w:rPr>
          <w:rFonts w:ascii="Arial" w:hAnsi="Arial"/>
          <w:i/>
          <w:sz w:val="20"/>
        </w:rPr>
        <w:t>4</w:t>
      </w:r>
      <w:r>
        <w:rPr>
          <w:rFonts w:ascii="Arial" w:hAnsi="Arial"/>
          <w:i/>
          <w:spacing w:val="-2"/>
          <w:sz w:val="20"/>
        </w:rPr>
        <w:t> </w:t>
      </w:r>
      <w:r>
        <w:rPr>
          <w:rFonts w:ascii="Arial" w:hAnsi="Arial"/>
          <w:i/>
          <w:sz w:val="20"/>
        </w:rPr>
        <w:t>All</w:t>
      </w:r>
      <w:r>
        <w:rPr>
          <w:rFonts w:ascii="Arial" w:hAnsi="Arial"/>
          <w:i/>
          <w:spacing w:val="-2"/>
          <w:sz w:val="20"/>
        </w:rPr>
        <w:t> </w:t>
      </w:r>
      <w:r>
        <w:rPr>
          <w:rFonts w:ascii="Arial" w:hAnsi="Arial"/>
          <w:i/>
          <w:sz w:val="20"/>
        </w:rPr>
        <w:t>E.R.</w:t>
      </w:r>
      <w:r>
        <w:rPr>
          <w:rFonts w:ascii="Arial" w:hAnsi="Arial"/>
          <w:i/>
          <w:spacing w:val="-2"/>
          <w:sz w:val="20"/>
        </w:rPr>
        <w:t> </w:t>
      </w:r>
      <w:r>
        <w:rPr>
          <w:rFonts w:ascii="Arial" w:hAnsi="Arial"/>
          <w:i/>
          <w:sz w:val="20"/>
        </w:rPr>
        <w:t>564,</w:t>
      </w:r>
      <w:r>
        <w:rPr>
          <w:rFonts w:ascii="Arial" w:hAnsi="Arial"/>
          <w:i/>
          <w:spacing w:val="-2"/>
          <w:sz w:val="20"/>
        </w:rPr>
        <w:t> </w:t>
      </w:r>
      <w:r>
        <w:rPr>
          <w:rFonts w:ascii="Arial" w:hAnsi="Arial"/>
          <w:i/>
          <w:sz w:val="20"/>
        </w:rPr>
        <w:t>573</w:t>
      </w:r>
      <w:r>
        <w:rPr>
          <w:rFonts w:ascii="Arial" w:hAnsi="Arial"/>
          <w:i/>
          <w:spacing w:val="-2"/>
          <w:sz w:val="20"/>
        </w:rPr>
        <w:t> </w:t>
      </w:r>
      <w:r>
        <w:rPr>
          <w:sz w:val="20"/>
        </w:rPr>
        <w:t>(“equities</w:t>
      </w:r>
      <w:r>
        <w:rPr>
          <w:spacing w:val="-2"/>
          <w:sz w:val="20"/>
        </w:rPr>
        <w:t> </w:t>
      </w:r>
      <w:r>
        <w:rPr>
          <w:sz w:val="20"/>
        </w:rPr>
        <w:t>in</w:t>
      </w:r>
      <w:r>
        <w:rPr>
          <w:spacing w:val="-2"/>
          <w:sz w:val="20"/>
        </w:rPr>
        <w:t> </w:t>
      </w:r>
      <w:r>
        <w:rPr>
          <w:sz w:val="20"/>
        </w:rPr>
        <w:t>the</w:t>
      </w:r>
      <w:r>
        <w:rPr>
          <w:spacing w:val="-2"/>
          <w:sz w:val="20"/>
        </w:rPr>
        <w:t> </w:t>
      </w:r>
      <w:r>
        <w:rPr>
          <w:sz w:val="20"/>
        </w:rPr>
        <w:t>nature</w:t>
      </w:r>
      <w:r>
        <w:rPr>
          <w:spacing w:val="-2"/>
          <w:sz w:val="20"/>
        </w:rPr>
        <w:t> </w:t>
      </w:r>
      <w:r>
        <w:rPr>
          <w:sz w:val="20"/>
        </w:rPr>
        <w:t>of</w:t>
      </w:r>
      <w:r>
        <w:rPr>
          <w:spacing w:val="-2"/>
          <w:sz w:val="20"/>
        </w:rPr>
        <w:t> </w:t>
      </w:r>
      <w:r>
        <w:rPr>
          <w:sz w:val="20"/>
        </w:rPr>
        <w:t>an</w:t>
      </w:r>
      <w:r>
        <w:rPr>
          <w:spacing w:val="-2"/>
          <w:sz w:val="20"/>
        </w:rPr>
        <w:t> </w:t>
      </w:r>
      <w:r>
        <w:rPr>
          <w:sz w:val="20"/>
        </w:rPr>
        <w:t>estoppel”).</w:t>
      </w:r>
      <w:r>
        <w:rPr>
          <w:spacing w:val="-2"/>
          <w:sz w:val="20"/>
        </w:rPr>
        <w:t> </w:t>
      </w:r>
      <w:r>
        <w:rPr>
          <w:sz w:val="20"/>
        </w:rPr>
        <w:t>In</w:t>
      </w:r>
      <w:r>
        <w:rPr>
          <w:spacing w:val="-2"/>
          <w:sz w:val="20"/>
        </w:rPr>
        <w:t> </w:t>
      </w:r>
      <w:r>
        <w:rPr>
          <w:rFonts w:ascii="Arial" w:hAnsi="Arial"/>
          <w:i/>
          <w:sz w:val="20"/>
        </w:rPr>
        <w:t>Cobbe</w:t>
      </w:r>
      <w:r>
        <w:rPr>
          <w:rFonts w:ascii="Arial" w:hAnsi="Arial"/>
          <w:i/>
          <w:spacing w:val="-2"/>
          <w:sz w:val="20"/>
        </w:rPr>
        <w:t> </w:t>
      </w:r>
      <w:r>
        <w:rPr>
          <w:rFonts w:ascii="Arial" w:hAnsi="Arial"/>
          <w:i/>
          <w:sz w:val="20"/>
        </w:rPr>
        <w:t>v Yeoman’s Row Management Ltd [2008] UKHL 55, [2008] 1 W.L.R. 1752 </w:t>
      </w:r>
      <w:r>
        <w:rPr>
          <w:sz w:val="20"/>
        </w:rPr>
        <w:t>at [3] and [14]–[29] Lord Scott uses the expression “proprietary estoppel” to refer to the doctrine, while Lord </w:t>
      </w:r>
      <w:r>
        <w:rPr>
          <w:sz w:val="20"/>
        </w:rPr>
        <w:t>Walker generally refers to the doctrine simply as “equitable estoppel”. In that case he uses the expression “proprietary estoppel” only when quoting from or summarising other sources in</w:t>
      </w:r>
      <w:r>
        <w:rPr>
          <w:spacing w:val="40"/>
          <w:sz w:val="20"/>
        </w:rPr>
        <w:t> </w:t>
      </w:r>
      <w:r>
        <w:rPr>
          <w:sz w:val="20"/>
        </w:rPr>
        <w:t>which it occurs (e.g., at [48], [67], [73] and [78]); and where he so uses it he does without disapproval. In </w:t>
      </w:r>
      <w:r>
        <w:rPr>
          <w:rFonts w:ascii="Arial" w:hAnsi="Arial"/>
          <w:i/>
          <w:sz w:val="20"/>
        </w:rPr>
        <w:t>Thorner v Major [2009] UKHL 18, [2009] 1 W.L.R. 776 </w:t>
      </w:r>
      <w:r>
        <w:rPr>
          <w:sz w:val="20"/>
        </w:rPr>
        <w:t>at [29] and passim, Lord Walker uses the words “proprietary estoppel” to refer to the doctrine. For the use of “equitable estoppel” to mean “proprietary estoppel,” see also </w:t>
      </w:r>
      <w:r>
        <w:rPr>
          <w:rFonts w:ascii="Arial" w:hAnsi="Arial"/>
          <w:i/>
          <w:sz w:val="20"/>
        </w:rPr>
        <w:t>Secretary of State for Transport v Christos [2003] EWCA Civ 1073, (2004) 1 P. &amp; C.R. 17</w:t>
      </w:r>
      <w:r>
        <w:rPr>
          <w:sz w:val="20"/>
        </w:rPr>
        <w:t>, e.g. at [42].</w:t>
      </w:r>
    </w:p>
    <w:p>
      <w:pPr>
        <w:pStyle w:val="BodyText"/>
        <w:spacing w:before="2"/>
      </w:pPr>
    </w:p>
    <w:p>
      <w:pPr>
        <w:tabs>
          <w:tab w:pos="705" w:val="left" w:leader="none"/>
        </w:tabs>
        <w:spacing w:before="0"/>
        <w:ind w:left="165" w:right="0" w:firstLine="0"/>
        <w:jc w:val="left"/>
        <w:rPr>
          <w:sz w:val="20"/>
        </w:rPr>
      </w:pPr>
      <w:bookmarkStart w:name="_bookmark1644" w:id="1646"/>
      <w:bookmarkEnd w:id="1646"/>
      <w:r>
        <w:rPr/>
      </w:r>
      <w:hyperlink w:history="true" w:anchor="_bookmark1633">
        <w:r>
          <w:rPr>
            <w:color w:val="005DA1"/>
            <w:spacing w:val="-4"/>
            <w:position w:val="5"/>
            <w:sz w:val="14"/>
            <w:u w:val="single" w:color="005DA1"/>
          </w:rPr>
          <w:t>870</w:t>
        </w:r>
      </w:hyperlink>
      <w:r>
        <w:rPr>
          <w:spacing w:val="-4"/>
          <w:position w:val="5"/>
          <w:sz w:val="14"/>
        </w:rPr>
        <w:t>.</w:t>
      </w:r>
      <w:r>
        <w:rPr>
          <w:position w:val="5"/>
          <w:sz w:val="14"/>
        </w:rPr>
        <w:tab/>
      </w:r>
      <w:r>
        <w:rPr>
          <w:rFonts w:ascii="Arial" w:hAnsi="Arial"/>
          <w:i/>
          <w:sz w:val="20"/>
        </w:rPr>
        <w:t>Fontana</w:t>
      </w:r>
      <w:r>
        <w:rPr>
          <w:rFonts w:ascii="Arial" w:hAnsi="Arial"/>
          <w:i/>
          <w:spacing w:val="-1"/>
          <w:sz w:val="20"/>
        </w:rPr>
        <w:t> </w:t>
      </w:r>
      <w:r>
        <w:rPr>
          <w:rFonts w:ascii="Arial" w:hAnsi="Arial"/>
          <w:i/>
          <w:sz w:val="20"/>
        </w:rPr>
        <w:t>N.V. v Mautner (1980) 254 E.G. 199, 207</w:t>
      </w:r>
      <w:r>
        <w:rPr>
          <w:sz w:val="20"/>
        </w:rPr>
        <w:t>; and see below, paras 4-181—4-</w:t>
      </w:r>
      <w:r>
        <w:rPr>
          <w:spacing w:val="-4"/>
          <w:sz w:val="20"/>
        </w:rPr>
        <w:t>184.</w:t>
      </w:r>
    </w:p>
    <w:p>
      <w:pPr>
        <w:pStyle w:val="BodyText"/>
        <w:spacing w:before="9"/>
      </w:pPr>
    </w:p>
    <w:p>
      <w:pPr>
        <w:pStyle w:val="BodyText"/>
        <w:spacing w:line="235" w:lineRule="auto"/>
        <w:ind w:left="705" w:right="167" w:hanging="541"/>
        <w:jc w:val="both"/>
      </w:pPr>
      <w:bookmarkStart w:name="_bookmark1645" w:id="1647"/>
      <w:bookmarkEnd w:id="1647"/>
      <w:r>
        <w:rPr/>
      </w:r>
      <w:hyperlink w:history="true" w:anchor="_bookmark1634">
        <w:r>
          <w:rPr>
            <w:color w:val="005DA1"/>
            <w:position w:val="5"/>
            <w:sz w:val="14"/>
            <w:u w:val="single" w:color="005DA1"/>
          </w:rPr>
          <w:t>871</w:t>
        </w:r>
      </w:hyperlink>
      <w:r>
        <w:rPr>
          <w:position w:val="5"/>
          <w:sz w:val="14"/>
        </w:rPr>
        <w:t>.</w:t>
      </w:r>
      <w:r>
        <w:rPr>
          <w:spacing w:val="80"/>
          <w:position w:val="5"/>
          <w:sz w:val="14"/>
        </w:rPr>
        <w:t>  </w:t>
      </w:r>
      <w:r>
        <w:rPr/>
        <w:t>For wider discussions see Davies (1979) 8 Sydney L.Rev. 200 and (1980) 7 Adelaide L.Rev. 200; Moriarty (1984) 100 L.Q.R. 376; Smith in (ed. Rose) Consensus ad Idem: Essays in </w:t>
      </w:r>
      <w:r>
        <w:rPr/>
        <w:t>the Law of Contract in Honour of Guenter Treitel, p.235 (1996).</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646" w:id="1648"/>
      <w:bookmarkEnd w:id="1648"/>
      <w:r>
        <w:rPr/>
      </w:r>
      <w:hyperlink w:history="true" w:anchor="_bookmark1635">
        <w:r>
          <w:rPr>
            <w:color w:val="005DA1"/>
            <w:spacing w:val="-4"/>
            <w:position w:val="5"/>
            <w:sz w:val="14"/>
            <w:u w:val="single" w:color="005DA1"/>
          </w:rPr>
          <w:t>872</w:t>
        </w:r>
      </w:hyperlink>
      <w:r>
        <w:rPr>
          <w:spacing w:val="-4"/>
          <w:position w:val="5"/>
          <w:sz w:val="14"/>
        </w:rPr>
        <w:t>.</w:t>
      </w:r>
      <w:r>
        <w:rPr>
          <w:position w:val="5"/>
          <w:sz w:val="14"/>
        </w:rPr>
        <w:tab/>
      </w:r>
      <w:r>
        <w:rPr>
          <w:rFonts w:ascii="Arial"/>
          <w:i/>
          <w:sz w:val="20"/>
        </w:rPr>
        <w:t>Amalgamated</w:t>
      </w:r>
      <w:r>
        <w:rPr>
          <w:rFonts w:ascii="Arial"/>
          <w:i/>
          <w:spacing w:val="13"/>
          <w:sz w:val="20"/>
        </w:rPr>
        <w:t> </w:t>
      </w:r>
      <w:r>
        <w:rPr>
          <w:rFonts w:ascii="Arial"/>
          <w:i/>
          <w:sz w:val="20"/>
        </w:rPr>
        <w:t>Investment</w:t>
      </w:r>
      <w:r>
        <w:rPr>
          <w:rFonts w:ascii="Arial"/>
          <w:i/>
          <w:spacing w:val="13"/>
          <w:sz w:val="20"/>
        </w:rPr>
        <w:t> </w:t>
      </w:r>
      <w:r>
        <w:rPr>
          <w:rFonts w:ascii="Arial"/>
          <w:i/>
          <w:sz w:val="20"/>
        </w:rPr>
        <w:t>&amp;</w:t>
      </w:r>
      <w:r>
        <w:rPr>
          <w:rFonts w:ascii="Arial"/>
          <w:i/>
          <w:spacing w:val="13"/>
          <w:sz w:val="20"/>
        </w:rPr>
        <w:t> </w:t>
      </w:r>
      <w:r>
        <w:rPr>
          <w:rFonts w:ascii="Arial"/>
          <w:i/>
          <w:sz w:val="20"/>
        </w:rPr>
        <w:t>Property</w:t>
      </w:r>
      <w:r>
        <w:rPr>
          <w:rFonts w:ascii="Arial"/>
          <w:i/>
          <w:spacing w:val="13"/>
          <w:sz w:val="20"/>
        </w:rPr>
        <w:t> </w:t>
      </w:r>
      <w:r>
        <w:rPr>
          <w:rFonts w:ascii="Arial"/>
          <w:i/>
          <w:sz w:val="20"/>
        </w:rPr>
        <w:t>Co</w:t>
      </w:r>
      <w:r>
        <w:rPr>
          <w:rFonts w:ascii="Arial"/>
          <w:i/>
          <w:spacing w:val="13"/>
          <w:sz w:val="20"/>
        </w:rPr>
        <w:t> </w:t>
      </w:r>
      <w:r>
        <w:rPr>
          <w:rFonts w:ascii="Arial"/>
          <w:i/>
          <w:sz w:val="20"/>
        </w:rPr>
        <w:t>Ltd</w:t>
      </w:r>
      <w:r>
        <w:rPr>
          <w:rFonts w:ascii="Arial"/>
          <w:i/>
          <w:spacing w:val="13"/>
          <w:sz w:val="20"/>
        </w:rPr>
        <w:t> </w:t>
      </w:r>
      <w:r>
        <w:rPr>
          <w:rFonts w:ascii="Arial"/>
          <w:i/>
          <w:sz w:val="20"/>
        </w:rPr>
        <w:t>v</w:t>
      </w:r>
      <w:r>
        <w:rPr>
          <w:rFonts w:ascii="Arial"/>
          <w:i/>
          <w:spacing w:val="13"/>
          <w:sz w:val="20"/>
        </w:rPr>
        <w:t> </w:t>
      </w:r>
      <w:r>
        <w:rPr>
          <w:rFonts w:ascii="Arial"/>
          <w:i/>
          <w:sz w:val="20"/>
        </w:rPr>
        <w:t>Texas</w:t>
      </w:r>
      <w:r>
        <w:rPr>
          <w:rFonts w:ascii="Arial"/>
          <w:i/>
          <w:spacing w:val="13"/>
          <w:sz w:val="20"/>
        </w:rPr>
        <w:t> </w:t>
      </w:r>
      <w:r>
        <w:rPr>
          <w:rFonts w:ascii="Arial"/>
          <w:i/>
          <w:sz w:val="20"/>
        </w:rPr>
        <w:t>Commerce</w:t>
      </w:r>
      <w:r>
        <w:rPr>
          <w:rFonts w:ascii="Arial"/>
          <w:i/>
          <w:spacing w:val="13"/>
          <w:sz w:val="20"/>
        </w:rPr>
        <w:t> </w:t>
      </w:r>
      <w:r>
        <w:rPr>
          <w:rFonts w:ascii="Arial"/>
          <w:i/>
          <w:sz w:val="20"/>
        </w:rPr>
        <w:t>International</w:t>
      </w:r>
      <w:r>
        <w:rPr>
          <w:rFonts w:ascii="Arial"/>
          <w:i/>
          <w:spacing w:val="13"/>
          <w:sz w:val="20"/>
        </w:rPr>
        <w:t> </w:t>
      </w:r>
      <w:r>
        <w:rPr>
          <w:rFonts w:ascii="Arial"/>
          <w:i/>
          <w:sz w:val="20"/>
        </w:rPr>
        <w:t>Bank</w:t>
      </w:r>
      <w:r>
        <w:rPr>
          <w:rFonts w:ascii="Arial"/>
          <w:i/>
          <w:spacing w:val="13"/>
          <w:sz w:val="20"/>
        </w:rPr>
        <w:t> </w:t>
      </w:r>
      <w:r>
        <w:rPr>
          <w:rFonts w:ascii="Arial"/>
          <w:i/>
          <w:sz w:val="20"/>
        </w:rPr>
        <w:t>Ltd</w:t>
      </w:r>
      <w:r>
        <w:rPr>
          <w:rFonts w:ascii="Arial"/>
          <w:i/>
          <w:spacing w:val="13"/>
          <w:sz w:val="20"/>
        </w:rPr>
        <w:t> </w:t>
      </w:r>
      <w:r>
        <w:rPr>
          <w:rFonts w:ascii="Arial"/>
          <w:i/>
          <w:spacing w:val="-2"/>
          <w:sz w:val="20"/>
        </w:rPr>
        <w:t>[1982]</w:t>
      </w:r>
    </w:p>
    <w:p>
      <w:pPr>
        <w:spacing w:line="227" w:lineRule="exact" w:before="0"/>
        <w:ind w:left="705" w:right="0" w:firstLine="0"/>
        <w:jc w:val="left"/>
        <w:rPr>
          <w:sz w:val="20"/>
        </w:rPr>
      </w:pPr>
      <w:r>
        <w:rPr>
          <w:rFonts w:ascii="Arial"/>
          <w:i/>
          <w:sz w:val="20"/>
        </w:rPr>
        <w:t>Q.B.</w:t>
      </w:r>
      <w:r>
        <w:rPr>
          <w:rFonts w:ascii="Arial"/>
          <w:i/>
          <w:spacing w:val="-2"/>
          <w:sz w:val="20"/>
        </w:rPr>
        <w:t> </w:t>
      </w:r>
      <w:r>
        <w:rPr>
          <w:rFonts w:ascii="Arial"/>
          <w:i/>
          <w:sz w:val="20"/>
        </w:rPr>
        <w:t>84, </w:t>
      </w:r>
      <w:r>
        <w:rPr>
          <w:rFonts w:ascii="Arial"/>
          <w:i/>
          <w:spacing w:val="-4"/>
          <w:sz w:val="20"/>
        </w:rPr>
        <w:t>103</w:t>
      </w:r>
      <w:r>
        <w:rPr>
          <w:spacing w:val="-4"/>
          <w:sz w:val="20"/>
        </w:rPr>
        <w:t>.</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07488">
            <wp:simplePos x="0" y="0"/>
            <wp:positionH relativeFrom="page">
              <wp:posOffset>1257846</wp:posOffset>
            </wp:positionH>
            <wp:positionV relativeFrom="paragraph">
              <wp:posOffset>160375</wp:posOffset>
            </wp:positionV>
            <wp:extent cx="107988" cy="107988"/>
            <wp:effectExtent l="0" t="0" r="0" b="0"/>
            <wp:wrapNone/>
            <wp:docPr id="311" name="Image 311"/>
            <wp:cNvGraphicFramePr>
              <a:graphicFrameLocks/>
            </wp:cNvGraphicFramePr>
            <a:graphic>
              <a:graphicData uri="http://schemas.openxmlformats.org/drawingml/2006/picture">
                <pic:pic>
                  <pic:nvPicPr>
                    <pic:cNvPr id="311" name="Image 31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647" w:id="1649"/>
      <w:bookmarkEnd w:id="1649"/>
      <w:r>
        <w:rPr/>
      </w:r>
      <w:hyperlink w:history="true" w:anchor="_bookmark1635">
        <w:r>
          <w:rPr>
            <w:color w:val="005DA1"/>
            <w:spacing w:val="-4"/>
            <w:sz w:val="14"/>
            <w:u w:val="single" w:color="005DA1"/>
          </w:rPr>
          <w:t>873</w:t>
        </w:r>
      </w:hyperlink>
      <w:r>
        <w:rPr>
          <w:spacing w:val="-4"/>
          <w:sz w:val="14"/>
        </w:rPr>
        <w:t>.</w:t>
      </w:r>
    </w:p>
    <w:p>
      <w:pPr>
        <w:pStyle w:val="BodyText"/>
        <w:spacing w:line="235" w:lineRule="auto" w:before="212"/>
        <w:ind w:left="165" w:right="167" w:firstLine="170"/>
        <w:jc w:val="both"/>
      </w:pPr>
      <w:r>
        <w:rPr/>
        <w:br w:type="column"/>
      </w:r>
      <w:r>
        <w:rPr/>
        <w:t>A proprietary estoppel does not “have to fit neatly” into the “pigeon holes” of the “pure acquiescence”</w:t>
      </w:r>
      <w:r>
        <w:rPr>
          <w:spacing w:val="-4"/>
        </w:rPr>
        <w:t> </w:t>
      </w:r>
      <w:r>
        <w:rPr/>
        <w:t>or</w:t>
      </w:r>
      <w:r>
        <w:rPr>
          <w:spacing w:val="-4"/>
        </w:rPr>
        <w:t> </w:t>
      </w:r>
      <w:r>
        <w:rPr/>
        <w:t>“assurance”</w:t>
      </w:r>
      <w:r>
        <w:rPr>
          <w:spacing w:val="-4"/>
        </w:rPr>
        <w:t> </w:t>
      </w:r>
      <w:r>
        <w:rPr/>
        <w:t>(or</w:t>
      </w:r>
      <w:r>
        <w:rPr>
          <w:spacing w:val="-4"/>
        </w:rPr>
        <w:t> </w:t>
      </w:r>
      <w:r>
        <w:rPr/>
        <w:t>“encouragement”)</w:t>
      </w:r>
      <w:r>
        <w:rPr>
          <w:spacing w:val="-4"/>
        </w:rPr>
        <w:t> </w:t>
      </w:r>
      <w:r>
        <w:rPr/>
        <w:t>categories</w:t>
      </w:r>
      <w:r>
        <w:rPr>
          <w:spacing w:val="-4"/>
        </w:rPr>
        <w:t> </w:t>
      </w:r>
      <w:r>
        <w:rPr/>
        <w:t>discussed</w:t>
      </w:r>
      <w:r>
        <w:rPr>
          <w:spacing w:val="-4"/>
        </w:rPr>
        <w:t> </w:t>
      </w:r>
      <w:r>
        <w:rPr/>
        <w:t>in</w:t>
      </w:r>
      <w:r>
        <w:rPr>
          <w:spacing w:val="-4"/>
        </w:rPr>
        <w:t> </w:t>
      </w:r>
      <w:r>
        <w:rPr/>
        <w:t>para.4-140</w:t>
      </w:r>
      <w:r>
        <w:rPr>
          <w:spacing w:val="-4"/>
        </w:rPr>
        <w:t> </w:t>
      </w:r>
      <w:r>
        <w:rPr/>
        <w:t>of</w:t>
      </w:r>
      <w:r>
        <w:rPr>
          <w:spacing w:val="-4"/>
        </w:rPr>
        <w:t> </w:t>
      </w:r>
      <w:r>
        <w:rPr/>
        <w:t>Vol.I: </w:t>
      </w:r>
      <w:r>
        <w:rPr>
          <w:rFonts w:ascii="Arial" w:hAnsi="Arial"/>
          <w:i/>
        </w:rPr>
        <w:t>Hoyl Group Ltd v Cromer Town Council [2015] EWCA Civ 782, [2015] H.L.R. 43 </w:t>
      </w:r>
      <w:r>
        <w:rPr/>
        <w:t>at [72]. In this case a finding that the claimant company was entitled to a right of way on the basis of proprietary estoppel, partly by reason of the defendant’s encouragement and partly by its acquiescence in allowing use of the right of way for three years, was accordingly upheld by the Court of Appeal: see at [71]–[78]. It was further held that a party (A) could be found to have encouraged the other’s (B) belief in the existence of the right claimed even though A was not aware of that belief: it sufficed for A’s conduct to be consistent only with B’s having the right in question (at [73]). See also </w:t>
      </w:r>
      <w:r>
        <w:rPr>
          <w:rFonts w:ascii="Arial" w:hAnsi="Arial"/>
          <w:i/>
        </w:rPr>
        <w:t>Caldwell v Bryson [2017] NICh 9 </w:t>
      </w:r>
      <w:r>
        <w:rPr/>
        <w:t>where the proprietary estoppel</w:t>
      </w:r>
      <w:r>
        <w:rPr>
          <w:spacing w:val="40"/>
        </w:rPr>
        <w:t> </w:t>
      </w:r>
      <w:r>
        <w:rPr/>
        <w:t>was based on both “acquiescence” (at [10(ii)]) and “encouragement” (at [18(a)]).</w:t>
      </w:r>
    </w:p>
    <w:p>
      <w:pPr>
        <w:pStyle w:val="BodyText"/>
        <w:spacing w:after="0" w:line="235" w:lineRule="auto"/>
        <w:jc w:val="both"/>
        <w:sectPr>
          <w:type w:val="continuous"/>
          <w:pgSz w:w="11900" w:h="16840"/>
          <w:pgMar w:header="971" w:footer="0" w:top="3760" w:bottom="280" w:left="1275" w:right="1275"/>
          <w:cols w:num="2" w:equalWidth="0">
            <w:col w:w="478" w:space="63"/>
            <w:col w:w="8809"/>
          </w:cols>
        </w:sectPr>
      </w:pPr>
    </w:p>
    <w:p>
      <w:pPr>
        <w:pStyle w:val="BodyText"/>
        <w:spacing w:before="6"/>
      </w:pPr>
    </w:p>
    <w:p>
      <w:pPr>
        <w:tabs>
          <w:tab w:pos="705" w:val="left" w:leader="none"/>
        </w:tabs>
        <w:spacing w:line="235" w:lineRule="auto" w:before="0"/>
        <w:ind w:left="705" w:right="168" w:hanging="541"/>
        <w:jc w:val="left"/>
        <w:rPr>
          <w:rFonts w:ascii="Arial"/>
          <w:i/>
          <w:sz w:val="20"/>
        </w:rPr>
      </w:pPr>
      <w:bookmarkStart w:name="_bookmark1648" w:id="1650"/>
      <w:bookmarkEnd w:id="1650"/>
      <w:r>
        <w:rPr/>
      </w:r>
      <w:hyperlink w:history="true" w:anchor="_bookmark1636">
        <w:r>
          <w:rPr>
            <w:color w:val="005DA1"/>
            <w:spacing w:val="-4"/>
            <w:position w:val="5"/>
            <w:sz w:val="14"/>
            <w:u w:val="single" w:color="005DA1"/>
          </w:rPr>
          <w:t>874</w:t>
        </w:r>
      </w:hyperlink>
      <w:r>
        <w:rPr>
          <w:spacing w:val="-4"/>
          <w:position w:val="5"/>
          <w:sz w:val="14"/>
        </w:rPr>
        <w:t>.</w:t>
      </w:r>
      <w:r>
        <w:rPr>
          <w:position w:val="5"/>
          <w:sz w:val="14"/>
        </w:rPr>
        <w:tab/>
      </w:r>
      <w:r>
        <w:rPr>
          <w:rFonts w:ascii="Arial"/>
          <w:i/>
          <w:sz w:val="20"/>
        </w:rPr>
        <w:t>Wilmott v Barber (1880) 15 Ch.D. 96</w:t>
      </w:r>
      <w:r>
        <w:rPr>
          <w:sz w:val="20"/>
        </w:rPr>
        <w:t>; cf. </w:t>
      </w:r>
      <w:r>
        <w:rPr>
          <w:rFonts w:ascii="Arial"/>
          <w:i/>
          <w:sz w:val="20"/>
        </w:rPr>
        <w:t>Taylors Fashions Ltd v Liverpool Victoria Trustee </w:t>
      </w:r>
      <w:r>
        <w:rPr>
          <w:rFonts w:ascii="Arial"/>
          <w:i/>
          <w:sz w:val="20"/>
        </w:rPr>
        <w:t>Co Ltd</w:t>
      </w:r>
      <w:r>
        <w:rPr>
          <w:rFonts w:ascii="Arial"/>
          <w:i/>
          <w:spacing w:val="33"/>
          <w:sz w:val="20"/>
        </w:rPr>
        <w:t> </w:t>
      </w:r>
      <w:r>
        <w:rPr>
          <w:rFonts w:ascii="Arial"/>
          <w:i/>
          <w:sz w:val="20"/>
        </w:rPr>
        <w:t>[1982]</w:t>
      </w:r>
      <w:r>
        <w:rPr>
          <w:rFonts w:ascii="Arial"/>
          <w:i/>
          <w:spacing w:val="34"/>
          <w:sz w:val="20"/>
        </w:rPr>
        <w:t> </w:t>
      </w:r>
      <w:r>
        <w:rPr>
          <w:rFonts w:ascii="Arial"/>
          <w:i/>
          <w:sz w:val="20"/>
        </w:rPr>
        <w:t>Q.B.</w:t>
      </w:r>
      <w:r>
        <w:rPr>
          <w:rFonts w:ascii="Arial"/>
          <w:i/>
          <w:spacing w:val="34"/>
          <w:sz w:val="20"/>
        </w:rPr>
        <w:t> </w:t>
      </w:r>
      <w:r>
        <w:rPr>
          <w:rFonts w:ascii="Arial"/>
          <w:i/>
          <w:sz w:val="20"/>
        </w:rPr>
        <w:t>133</w:t>
      </w:r>
      <w:r>
        <w:rPr>
          <w:rFonts w:ascii="Arial"/>
          <w:i/>
          <w:spacing w:val="34"/>
          <w:sz w:val="20"/>
        </w:rPr>
        <w:t> </w:t>
      </w:r>
      <w:r>
        <w:rPr>
          <w:sz w:val="20"/>
        </w:rPr>
        <w:t>note;</w:t>
      </w:r>
      <w:r>
        <w:rPr>
          <w:spacing w:val="34"/>
          <w:sz w:val="20"/>
        </w:rPr>
        <w:t> </w:t>
      </w:r>
      <w:r>
        <w:rPr>
          <w:rFonts w:ascii="Arial"/>
          <w:i/>
          <w:sz w:val="20"/>
        </w:rPr>
        <w:t>Coombes</w:t>
      </w:r>
      <w:r>
        <w:rPr>
          <w:rFonts w:ascii="Arial"/>
          <w:i/>
          <w:spacing w:val="34"/>
          <w:sz w:val="20"/>
        </w:rPr>
        <w:t> </w:t>
      </w:r>
      <w:r>
        <w:rPr>
          <w:rFonts w:ascii="Arial"/>
          <w:i/>
          <w:sz w:val="20"/>
        </w:rPr>
        <w:t>v</w:t>
      </w:r>
      <w:r>
        <w:rPr>
          <w:rFonts w:ascii="Arial"/>
          <w:i/>
          <w:spacing w:val="34"/>
          <w:sz w:val="20"/>
        </w:rPr>
        <w:t> </w:t>
      </w:r>
      <w:r>
        <w:rPr>
          <w:rFonts w:ascii="Arial"/>
          <w:i/>
          <w:sz w:val="20"/>
        </w:rPr>
        <w:t>Smith</w:t>
      </w:r>
      <w:r>
        <w:rPr>
          <w:rFonts w:ascii="Arial"/>
          <w:i/>
          <w:spacing w:val="34"/>
          <w:sz w:val="20"/>
        </w:rPr>
        <w:t> </w:t>
      </w:r>
      <w:r>
        <w:rPr>
          <w:rFonts w:ascii="Arial"/>
          <w:i/>
          <w:sz w:val="20"/>
        </w:rPr>
        <w:t>[1986]</w:t>
      </w:r>
      <w:r>
        <w:rPr>
          <w:rFonts w:ascii="Arial"/>
          <w:i/>
          <w:spacing w:val="34"/>
          <w:sz w:val="20"/>
        </w:rPr>
        <w:t> </w:t>
      </w:r>
      <w:r>
        <w:rPr>
          <w:rFonts w:ascii="Arial"/>
          <w:i/>
          <w:sz w:val="20"/>
        </w:rPr>
        <w:t>1</w:t>
      </w:r>
      <w:r>
        <w:rPr>
          <w:rFonts w:ascii="Arial"/>
          <w:i/>
          <w:spacing w:val="34"/>
          <w:sz w:val="20"/>
        </w:rPr>
        <w:t> </w:t>
      </w:r>
      <w:r>
        <w:rPr>
          <w:rFonts w:ascii="Arial"/>
          <w:i/>
          <w:sz w:val="20"/>
        </w:rPr>
        <w:t>W.L.R.</w:t>
      </w:r>
      <w:r>
        <w:rPr>
          <w:rFonts w:ascii="Arial"/>
          <w:i/>
          <w:spacing w:val="34"/>
          <w:sz w:val="20"/>
        </w:rPr>
        <w:t> </w:t>
      </w:r>
      <w:r>
        <w:rPr>
          <w:rFonts w:ascii="Arial"/>
          <w:i/>
          <w:sz w:val="20"/>
        </w:rPr>
        <w:t>808</w:t>
      </w:r>
      <w:r>
        <w:rPr>
          <w:sz w:val="20"/>
        </w:rPr>
        <w:t>;</w:t>
      </w:r>
      <w:r>
        <w:rPr>
          <w:spacing w:val="34"/>
          <w:sz w:val="20"/>
        </w:rPr>
        <w:t> </w:t>
      </w:r>
      <w:r>
        <w:rPr>
          <w:rFonts w:ascii="Arial"/>
          <w:i/>
          <w:sz w:val="20"/>
        </w:rPr>
        <w:t>Matharu</w:t>
      </w:r>
      <w:r>
        <w:rPr>
          <w:rFonts w:ascii="Arial"/>
          <w:i/>
          <w:spacing w:val="34"/>
          <w:sz w:val="20"/>
        </w:rPr>
        <w:t> </w:t>
      </w:r>
      <w:r>
        <w:rPr>
          <w:rFonts w:ascii="Arial"/>
          <w:i/>
          <w:sz w:val="20"/>
        </w:rPr>
        <w:t>v</w:t>
      </w:r>
      <w:r>
        <w:rPr>
          <w:rFonts w:ascii="Arial"/>
          <w:i/>
          <w:spacing w:val="34"/>
          <w:sz w:val="20"/>
        </w:rPr>
        <w:t> </w:t>
      </w:r>
      <w:r>
        <w:rPr>
          <w:rFonts w:ascii="Arial"/>
          <w:i/>
          <w:sz w:val="20"/>
        </w:rPr>
        <w:t>Matharu,</w:t>
      </w:r>
      <w:r>
        <w:rPr>
          <w:rFonts w:ascii="Arial"/>
          <w:i/>
          <w:spacing w:val="34"/>
          <w:sz w:val="20"/>
        </w:rPr>
        <w:t> </w:t>
      </w:r>
      <w:r>
        <w:rPr>
          <w:rFonts w:ascii="Arial"/>
          <w:i/>
          <w:spacing w:val="-5"/>
          <w:sz w:val="20"/>
        </w:rPr>
        <w:t>The</w:t>
      </w:r>
    </w:p>
    <w:p>
      <w:pPr>
        <w:spacing w:line="235" w:lineRule="auto" w:before="0"/>
        <w:ind w:left="705" w:right="167" w:firstLine="0"/>
        <w:jc w:val="both"/>
        <w:rPr>
          <w:sz w:val="20"/>
        </w:rPr>
      </w:pPr>
      <w:r>
        <w:rPr>
          <w:rFonts w:ascii="Arial" w:hAnsi="Arial"/>
          <w:i/>
          <w:sz w:val="20"/>
        </w:rPr>
        <w:t>Times, May 13, 1994</w:t>
      </w:r>
      <w:r>
        <w:rPr>
          <w:sz w:val="20"/>
        </w:rPr>
        <w:t>. In </w:t>
      </w:r>
      <w:r>
        <w:rPr>
          <w:rFonts w:ascii="Arial" w:hAnsi="Arial"/>
          <w:i/>
          <w:sz w:val="20"/>
        </w:rPr>
        <w:t>Fisher v Brooker [2009] UKHL 41, [2009] 1 W.L.R. 1764</w:t>
      </w:r>
      <w:r>
        <w:rPr>
          <w:sz w:val="20"/>
        </w:rPr>
        <w:t>, Lord Neuberger at [62] said that these “standing by” cases provided the “classic example” </w:t>
      </w:r>
      <w:r>
        <w:rPr>
          <w:sz w:val="20"/>
        </w:rPr>
        <w:t>of proprietary estoppel.</w:t>
      </w:r>
    </w:p>
    <w:p>
      <w:pPr>
        <w:pStyle w:val="BodyText"/>
        <w:spacing w:before="8"/>
      </w:pPr>
    </w:p>
    <w:p>
      <w:pPr>
        <w:spacing w:line="235" w:lineRule="auto" w:before="0"/>
        <w:ind w:left="705" w:right="167" w:hanging="541"/>
        <w:jc w:val="both"/>
        <w:rPr>
          <w:sz w:val="20"/>
        </w:rPr>
      </w:pPr>
      <w:bookmarkStart w:name="_bookmark1649" w:id="1651"/>
      <w:bookmarkEnd w:id="1651"/>
      <w:r>
        <w:rPr/>
      </w:r>
      <w:hyperlink w:history="true" w:anchor="_bookmark1637">
        <w:r>
          <w:rPr>
            <w:color w:val="005DA1"/>
            <w:position w:val="5"/>
            <w:sz w:val="14"/>
            <w:u w:val="single" w:color="005DA1"/>
          </w:rPr>
          <w:t>875</w:t>
        </w:r>
      </w:hyperlink>
      <w:r>
        <w:rPr>
          <w:position w:val="5"/>
          <w:sz w:val="14"/>
        </w:rPr>
        <w:t>.</w:t>
      </w:r>
      <w:r>
        <w:rPr>
          <w:spacing w:val="80"/>
          <w:position w:val="5"/>
          <w:sz w:val="14"/>
        </w:rPr>
        <w:t>  </w:t>
      </w:r>
      <w:r>
        <w:rPr>
          <w:rFonts w:ascii="Arial" w:hAnsi="Arial"/>
          <w:i/>
          <w:sz w:val="20"/>
        </w:rPr>
        <w:t>Wilmott v Barber (1880) 15 Ch.D. 96, 105</w:t>
      </w:r>
      <w:r>
        <w:rPr>
          <w:sz w:val="20"/>
        </w:rPr>
        <w:t>; in </w:t>
      </w:r>
      <w:r>
        <w:rPr>
          <w:rFonts w:ascii="Arial" w:hAnsi="Arial"/>
          <w:i/>
          <w:sz w:val="20"/>
        </w:rPr>
        <w:t>Blue Haven Enterprises Ltd v Tully [2006] UKPC 17 </w:t>
      </w:r>
      <w:r>
        <w:rPr>
          <w:sz w:val="20"/>
        </w:rPr>
        <w:t>the alleged estoppel was likewise based on acquiescence, so that no question arose as to the enforceability of any promise. The claim failed as the defendant had drawn the </w:t>
      </w:r>
      <w:r>
        <w:rPr>
          <w:sz w:val="20"/>
        </w:rPr>
        <w:t>claimant’s attention to his (the defendant’s) interest in good time and so had not acted unconscionably in asserting that interest against the claimant.</w:t>
      </w:r>
    </w:p>
    <w:p>
      <w:pPr>
        <w:pStyle w:val="BodyText"/>
        <w:spacing w:before="4"/>
      </w:pPr>
    </w:p>
    <w:p>
      <w:pPr>
        <w:pStyle w:val="BodyText"/>
        <w:tabs>
          <w:tab w:pos="705" w:val="left" w:leader="none"/>
        </w:tabs>
        <w:ind w:left="165"/>
      </w:pPr>
      <w:bookmarkStart w:name="_bookmark1650" w:id="1652"/>
      <w:bookmarkEnd w:id="1652"/>
      <w:r>
        <w:rPr/>
      </w:r>
      <w:hyperlink w:history="true" w:anchor="_bookmark1638">
        <w:r>
          <w:rPr>
            <w:color w:val="005DA1"/>
            <w:spacing w:val="-4"/>
            <w:position w:val="5"/>
            <w:sz w:val="14"/>
            <w:u w:val="single" w:color="005DA1"/>
          </w:rPr>
          <w:t>876</w:t>
        </w:r>
      </w:hyperlink>
      <w:r>
        <w:rPr>
          <w:spacing w:val="-4"/>
          <w:position w:val="5"/>
          <w:sz w:val="14"/>
        </w:rPr>
        <w:t>.</w:t>
      </w:r>
      <w:r>
        <w:rPr>
          <w:position w:val="5"/>
          <w:sz w:val="14"/>
        </w:rPr>
        <w:tab/>
      </w:r>
      <w:r>
        <w:rPr/>
        <w:t>See</w:t>
      </w:r>
      <w:r>
        <w:rPr>
          <w:spacing w:val="-2"/>
        </w:rPr>
        <w:t> </w:t>
      </w:r>
      <w:r>
        <w:rPr/>
        <w:t>below, para.29-</w:t>
      </w:r>
      <w:r>
        <w:rPr>
          <w:spacing w:val="-4"/>
        </w:rPr>
        <w:t>169.</w:t>
      </w:r>
    </w:p>
    <w:p>
      <w:pPr>
        <w:pStyle w:val="BodyText"/>
        <w:spacing w:before="9"/>
      </w:pPr>
    </w:p>
    <w:p>
      <w:pPr>
        <w:spacing w:line="235" w:lineRule="auto" w:before="0"/>
        <w:ind w:left="705" w:right="168" w:hanging="541"/>
        <w:jc w:val="both"/>
        <w:rPr>
          <w:sz w:val="20"/>
        </w:rPr>
      </w:pPr>
      <w:bookmarkStart w:name="_bookmark1651" w:id="1653"/>
      <w:bookmarkEnd w:id="1653"/>
      <w:r>
        <w:rPr/>
      </w:r>
      <w:hyperlink w:history="true" w:anchor="_bookmark1639">
        <w:r>
          <w:rPr>
            <w:color w:val="005DA1"/>
            <w:position w:val="5"/>
            <w:sz w:val="14"/>
            <w:u w:val="single" w:color="005DA1"/>
          </w:rPr>
          <w:t>877</w:t>
        </w:r>
      </w:hyperlink>
      <w:r>
        <w:rPr>
          <w:position w:val="5"/>
          <w:sz w:val="14"/>
        </w:rPr>
        <w:t>.</w:t>
      </w:r>
      <w:r>
        <w:rPr>
          <w:spacing w:val="40"/>
          <w:position w:val="5"/>
          <w:sz w:val="14"/>
        </w:rPr>
        <w:t>  </w:t>
      </w:r>
      <w:r>
        <w:rPr>
          <w:rFonts w:ascii="Arial" w:hAnsi="Arial"/>
          <w:i/>
          <w:sz w:val="20"/>
        </w:rPr>
        <w:t>Ramsden</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Dyson</w:t>
      </w:r>
      <w:r>
        <w:rPr>
          <w:rFonts w:ascii="Arial" w:hAnsi="Arial"/>
          <w:i/>
          <w:spacing w:val="40"/>
          <w:sz w:val="20"/>
        </w:rPr>
        <w:t> </w:t>
      </w:r>
      <w:r>
        <w:rPr>
          <w:rFonts w:ascii="Arial" w:hAnsi="Arial"/>
          <w:i/>
          <w:sz w:val="20"/>
        </w:rPr>
        <w:t>(1866)</w:t>
      </w:r>
      <w:r>
        <w:rPr>
          <w:rFonts w:ascii="Arial" w:hAnsi="Arial"/>
          <w:i/>
          <w:spacing w:val="40"/>
          <w:sz w:val="20"/>
        </w:rPr>
        <w:t> </w:t>
      </w:r>
      <w:r>
        <w:rPr>
          <w:rFonts w:ascii="Arial" w:hAnsi="Arial"/>
          <w:i/>
          <w:sz w:val="20"/>
        </w:rPr>
        <w:t>L.R.</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H.L.</w:t>
      </w:r>
      <w:r>
        <w:rPr>
          <w:rFonts w:ascii="Arial" w:hAnsi="Arial"/>
          <w:i/>
          <w:spacing w:val="40"/>
          <w:sz w:val="20"/>
        </w:rPr>
        <w:t> </w:t>
      </w:r>
      <w:r>
        <w:rPr>
          <w:rFonts w:ascii="Arial" w:hAnsi="Arial"/>
          <w:i/>
          <w:sz w:val="20"/>
        </w:rPr>
        <w:t>129,</w:t>
      </w:r>
      <w:r>
        <w:rPr>
          <w:rFonts w:ascii="Arial" w:hAnsi="Arial"/>
          <w:i/>
          <w:spacing w:val="40"/>
          <w:sz w:val="20"/>
        </w:rPr>
        <w:t> </w:t>
      </w:r>
      <w:r>
        <w:rPr>
          <w:rFonts w:ascii="Arial" w:hAnsi="Arial"/>
          <w:i/>
          <w:sz w:val="20"/>
        </w:rPr>
        <w:t>170</w:t>
      </w:r>
      <w:r>
        <w:rPr>
          <w:sz w:val="20"/>
        </w:rPr>
        <w:t>;</w:t>
      </w:r>
      <w:r>
        <w:rPr>
          <w:spacing w:val="40"/>
          <w:sz w:val="20"/>
        </w:rPr>
        <w:t> </w:t>
      </w:r>
      <w:r>
        <w:rPr>
          <w:sz w:val="20"/>
        </w:rPr>
        <w:t>cf.</w:t>
      </w:r>
      <w:r>
        <w:rPr>
          <w:spacing w:val="40"/>
          <w:sz w:val="20"/>
        </w:rPr>
        <w:t> </w:t>
      </w:r>
      <w:r>
        <w:rPr>
          <w:rFonts w:ascii="Arial" w:hAnsi="Arial"/>
          <w:i/>
          <w:sz w:val="20"/>
        </w:rPr>
        <w:t>Att.-Gen.</w:t>
      </w:r>
      <w:r>
        <w:rPr>
          <w:rFonts w:ascii="Arial" w:hAnsi="Arial"/>
          <w:i/>
          <w:spacing w:val="40"/>
          <w:sz w:val="20"/>
        </w:rPr>
        <w:t> </w:t>
      </w:r>
      <w:r>
        <w:rPr>
          <w:rFonts w:ascii="Arial" w:hAnsi="Arial"/>
          <w:i/>
          <w:sz w:val="20"/>
        </w:rPr>
        <w:t>of</w:t>
      </w:r>
      <w:r>
        <w:rPr>
          <w:rFonts w:ascii="Arial" w:hAnsi="Arial"/>
          <w:i/>
          <w:spacing w:val="40"/>
          <w:sz w:val="20"/>
        </w:rPr>
        <w:t> </w:t>
      </w:r>
      <w:r>
        <w:rPr>
          <w:rFonts w:ascii="Arial" w:hAnsi="Arial"/>
          <w:i/>
          <w:sz w:val="20"/>
        </w:rPr>
        <w:t>Hong</w:t>
      </w:r>
      <w:r>
        <w:rPr>
          <w:rFonts w:ascii="Arial" w:hAnsi="Arial"/>
          <w:i/>
          <w:spacing w:val="40"/>
          <w:sz w:val="20"/>
        </w:rPr>
        <w:t> </w:t>
      </w:r>
      <w:r>
        <w:rPr>
          <w:rFonts w:ascii="Arial" w:hAnsi="Arial"/>
          <w:i/>
          <w:sz w:val="20"/>
        </w:rPr>
        <w:t>Kong</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Humphreys Estates (Queen’s Gardens) [1987] 1 A.C. 114 </w:t>
      </w:r>
      <w:r>
        <w:rPr>
          <w:sz w:val="20"/>
        </w:rPr>
        <w:t>(where this requirement was not satisfied: below, </w:t>
      </w:r>
      <w:r>
        <w:rPr>
          <w:spacing w:val="-2"/>
          <w:sz w:val="20"/>
        </w:rPr>
        <w:t>para.4-147).</w:t>
      </w:r>
    </w:p>
    <w:p>
      <w:pPr>
        <w:pStyle w:val="BodyText"/>
        <w:spacing w:before="9"/>
      </w:pPr>
    </w:p>
    <w:p>
      <w:pPr>
        <w:spacing w:line="235" w:lineRule="auto" w:before="0"/>
        <w:ind w:left="705" w:right="167" w:hanging="541"/>
        <w:jc w:val="both"/>
        <w:rPr>
          <w:rFonts w:ascii="Arial" w:hAnsi="Arial"/>
          <w:i/>
          <w:sz w:val="20"/>
        </w:rPr>
      </w:pPr>
      <w:bookmarkStart w:name="_bookmark1652" w:id="1654"/>
      <w:bookmarkEnd w:id="1654"/>
      <w:r>
        <w:rPr/>
      </w:r>
      <w:hyperlink w:history="true" w:anchor="_bookmark1640">
        <w:r>
          <w:rPr>
            <w:color w:val="005DA1"/>
            <w:position w:val="5"/>
            <w:sz w:val="14"/>
            <w:u w:val="single" w:color="005DA1"/>
          </w:rPr>
          <w:t>878</w:t>
        </w:r>
      </w:hyperlink>
      <w:r>
        <w:rPr>
          <w:position w:val="5"/>
          <w:sz w:val="14"/>
        </w:rPr>
        <w:t>.</w:t>
      </w:r>
      <w:r>
        <w:rPr>
          <w:spacing w:val="40"/>
          <w:position w:val="5"/>
          <w:sz w:val="14"/>
        </w:rPr>
        <w:t>  </w:t>
      </w:r>
      <w:r>
        <w:rPr>
          <w:sz w:val="20"/>
        </w:rPr>
        <w:t>See </w:t>
      </w:r>
      <w:r>
        <w:rPr>
          <w:rFonts w:ascii="Arial" w:hAnsi="Arial"/>
          <w:i/>
          <w:sz w:val="20"/>
        </w:rPr>
        <w:t>Lloyd’s Bank plc v Rosset [1991] 1 A.C. 107</w:t>
      </w:r>
      <w:r>
        <w:rPr>
          <w:sz w:val="20"/>
        </w:rPr>
        <w:t>; </w:t>
      </w:r>
      <w:r>
        <w:rPr>
          <w:rFonts w:ascii="Arial" w:hAnsi="Arial"/>
          <w:i/>
          <w:sz w:val="20"/>
        </w:rPr>
        <w:t>Keelwalk Properties Ltd v Walker [2002]</w:t>
      </w:r>
      <w:r>
        <w:rPr>
          <w:rFonts w:ascii="Arial" w:hAnsi="Arial"/>
          <w:i/>
          <w:spacing w:val="40"/>
          <w:sz w:val="20"/>
        </w:rPr>
        <w:t> </w:t>
      </w:r>
      <w:r>
        <w:rPr>
          <w:rFonts w:ascii="Arial" w:hAnsi="Arial"/>
          <w:i/>
          <w:sz w:val="20"/>
        </w:rPr>
        <w:t>EWCA Civ 1076 </w:t>
      </w:r>
      <w:r>
        <w:rPr>
          <w:sz w:val="20"/>
        </w:rPr>
        <w:t>at [63], where this requirement was not satisfied; </w:t>
      </w:r>
      <w:r>
        <w:rPr>
          <w:rFonts w:ascii="Arial" w:hAnsi="Arial"/>
          <w:i/>
          <w:sz w:val="20"/>
        </w:rPr>
        <w:t>Walsh v Singh [2009] EWHC 3219 (Ch), [2010] F.C.R. 117</w:t>
      </w:r>
      <w:r>
        <w:rPr>
          <w:sz w:val="20"/>
        </w:rPr>
        <w:t>, where a claim based on “constructive trust or estoppel” (before [14]) was rejected because the claimant had failed to establish that any relevant promise </w:t>
      </w:r>
      <w:r>
        <w:rPr>
          <w:sz w:val="20"/>
        </w:rPr>
        <w:t>had been made to her; </w:t>
      </w:r>
      <w:r>
        <w:rPr>
          <w:rFonts w:ascii="Arial" w:hAnsi="Arial"/>
          <w:i/>
          <w:sz w:val="20"/>
        </w:rPr>
        <w:t>MacDonald v Frost [2009] EWHC 2276 (Ch), [2009] W.T.L.R. 1815 </w:t>
      </w:r>
      <w:r>
        <w:rPr>
          <w:sz w:val="20"/>
        </w:rPr>
        <w:t>where again</w:t>
      </w:r>
      <w:r>
        <w:rPr>
          <w:spacing w:val="21"/>
          <w:sz w:val="20"/>
        </w:rPr>
        <w:t> </w:t>
      </w:r>
      <w:r>
        <w:rPr>
          <w:sz w:val="20"/>
        </w:rPr>
        <w:t>the</w:t>
      </w:r>
      <w:r>
        <w:rPr>
          <w:spacing w:val="21"/>
          <w:sz w:val="20"/>
        </w:rPr>
        <w:t> </w:t>
      </w:r>
      <w:r>
        <w:rPr>
          <w:sz w:val="20"/>
        </w:rPr>
        <w:t>requirement</w:t>
      </w:r>
      <w:r>
        <w:rPr>
          <w:spacing w:val="21"/>
          <w:sz w:val="20"/>
        </w:rPr>
        <w:t> </w:t>
      </w:r>
      <w:r>
        <w:rPr>
          <w:sz w:val="20"/>
        </w:rPr>
        <w:t>of</w:t>
      </w:r>
      <w:r>
        <w:rPr>
          <w:spacing w:val="21"/>
          <w:sz w:val="20"/>
        </w:rPr>
        <w:t> </w:t>
      </w:r>
      <w:r>
        <w:rPr>
          <w:sz w:val="20"/>
        </w:rPr>
        <w:t>a</w:t>
      </w:r>
      <w:r>
        <w:rPr>
          <w:spacing w:val="21"/>
          <w:sz w:val="20"/>
        </w:rPr>
        <w:t> </w:t>
      </w:r>
      <w:r>
        <w:rPr>
          <w:sz w:val="20"/>
        </w:rPr>
        <w:t>promise</w:t>
      </w:r>
      <w:r>
        <w:rPr>
          <w:spacing w:val="21"/>
          <w:sz w:val="20"/>
        </w:rPr>
        <w:t> </w:t>
      </w:r>
      <w:r>
        <w:rPr>
          <w:sz w:val="20"/>
        </w:rPr>
        <w:t>or</w:t>
      </w:r>
      <w:r>
        <w:rPr>
          <w:spacing w:val="21"/>
          <w:sz w:val="20"/>
        </w:rPr>
        <w:t> </w:t>
      </w:r>
      <w:r>
        <w:rPr>
          <w:sz w:val="20"/>
        </w:rPr>
        <w:t>assurance</w:t>
      </w:r>
      <w:r>
        <w:rPr>
          <w:spacing w:val="21"/>
          <w:sz w:val="20"/>
        </w:rPr>
        <w:t> </w:t>
      </w:r>
      <w:r>
        <w:rPr>
          <w:sz w:val="20"/>
        </w:rPr>
        <w:t>was</w:t>
      </w:r>
      <w:r>
        <w:rPr>
          <w:spacing w:val="21"/>
          <w:sz w:val="20"/>
        </w:rPr>
        <w:t> </w:t>
      </w:r>
      <w:r>
        <w:rPr>
          <w:sz w:val="20"/>
        </w:rPr>
        <w:t>not</w:t>
      </w:r>
      <w:r>
        <w:rPr>
          <w:spacing w:val="21"/>
          <w:sz w:val="20"/>
        </w:rPr>
        <w:t> </w:t>
      </w:r>
      <w:r>
        <w:rPr>
          <w:sz w:val="20"/>
        </w:rPr>
        <w:t>satisfied;</w:t>
      </w:r>
      <w:r>
        <w:rPr>
          <w:spacing w:val="21"/>
          <w:sz w:val="20"/>
        </w:rPr>
        <w:t> </w:t>
      </w:r>
      <w:r>
        <w:rPr>
          <w:sz w:val="20"/>
        </w:rPr>
        <w:t>and</w:t>
      </w:r>
      <w:r>
        <w:rPr>
          <w:spacing w:val="20"/>
          <w:sz w:val="20"/>
        </w:rPr>
        <w:t> </w:t>
      </w:r>
      <w:r>
        <w:rPr>
          <w:rFonts w:ascii="Arial" w:hAnsi="Arial"/>
          <w:i/>
          <w:sz w:val="20"/>
        </w:rPr>
        <w:t>Williams</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pacing w:val="-2"/>
          <w:sz w:val="20"/>
        </w:rPr>
        <w:t>Lawrence</w:t>
      </w:r>
    </w:p>
    <w:p>
      <w:pPr>
        <w:spacing w:after="0" w:line="235" w:lineRule="auto"/>
        <w:jc w:val="both"/>
        <w:rPr>
          <w:rFonts w:ascii="Arial" w:hAnsi="Arial"/>
          <w:i/>
          <w:sz w:val="20"/>
        </w:rPr>
        <w:sectPr>
          <w:type w:val="continuous"/>
          <w:pgSz w:w="11900" w:h="16840"/>
          <w:pgMar w:header="971" w:footer="0" w:top="3760" w:bottom="280" w:left="1275" w:right="1275"/>
        </w:sectPr>
      </w:pPr>
    </w:p>
    <w:p>
      <w:pPr>
        <w:pStyle w:val="BodyText"/>
        <w:spacing w:before="24"/>
        <w:rPr>
          <w:rFonts w:ascii="Arial"/>
          <w:i/>
        </w:rPr>
      </w:pPr>
    </w:p>
    <w:p>
      <w:pPr>
        <w:pStyle w:val="BodyText"/>
        <w:spacing w:line="235" w:lineRule="auto" w:before="1"/>
        <w:ind w:left="705" w:right="167"/>
        <w:jc w:val="both"/>
      </w:pPr>
      <w:r>
        <w:rPr>
          <w:rFonts w:ascii="Arial" w:hAnsi="Arial"/>
          <w:i/>
        </w:rPr>
        <w:t>[2011] EWHC 2001</w:t>
      </w:r>
      <w:r>
        <w:rPr/>
        <w:t>, where a house sharing agreement between parents and their son did not give</w:t>
      </w:r>
      <w:r>
        <w:rPr>
          <w:spacing w:val="-1"/>
        </w:rPr>
        <w:t> </w:t>
      </w:r>
      <w:r>
        <w:rPr/>
        <w:t>rise</w:t>
      </w:r>
      <w:r>
        <w:rPr>
          <w:spacing w:val="-1"/>
        </w:rPr>
        <w:t> </w:t>
      </w:r>
      <w:r>
        <w:rPr/>
        <w:t>to</w:t>
      </w:r>
      <w:r>
        <w:rPr>
          <w:spacing w:val="-1"/>
        </w:rPr>
        <w:t> </w:t>
      </w:r>
      <w:r>
        <w:rPr/>
        <w:t>a</w:t>
      </w:r>
      <w:r>
        <w:rPr>
          <w:spacing w:val="-1"/>
        </w:rPr>
        <w:t> </w:t>
      </w:r>
      <w:r>
        <w:rPr/>
        <w:t>proprietary</w:t>
      </w:r>
      <w:r>
        <w:rPr>
          <w:spacing w:val="-1"/>
        </w:rPr>
        <w:t> </w:t>
      </w:r>
      <w:r>
        <w:rPr/>
        <w:t>estoppel</w:t>
      </w:r>
      <w:r>
        <w:rPr>
          <w:spacing w:val="-1"/>
        </w:rPr>
        <w:t> </w:t>
      </w:r>
      <w:r>
        <w:rPr/>
        <w:t>in</w:t>
      </w:r>
      <w:r>
        <w:rPr>
          <w:spacing w:val="-1"/>
        </w:rPr>
        <w:t> </w:t>
      </w:r>
      <w:r>
        <w:rPr/>
        <w:t>favour</w:t>
      </w:r>
      <w:r>
        <w:rPr>
          <w:spacing w:val="-1"/>
        </w:rPr>
        <w:t> </w:t>
      </w:r>
      <w:r>
        <w:rPr/>
        <w:t>of</w:t>
      </w:r>
      <w:r>
        <w:rPr>
          <w:spacing w:val="-1"/>
        </w:rPr>
        <w:t> </w:t>
      </w:r>
      <w:r>
        <w:rPr/>
        <w:t>the</w:t>
      </w:r>
      <w:r>
        <w:rPr>
          <w:spacing w:val="-1"/>
        </w:rPr>
        <w:t> </w:t>
      </w:r>
      <w:r>
        <w:rPr/>
        <w:t>son</w:t>
      </w:r>
      <w:r>
        <w:rPr>
          <w:spacing w:val="-1"/>
        </w:rPr>
        <w:t> </w:t>
      </w:r>
      <w:r>
        <w:rPr/>
        <w:t>(who</w:t>
      </w:r>
      <w:r>
        <w:rPr>
          <w:spacing w:val="-1"/>
        </w:rPr>
        <w:t> </w:t>
      </w:r>
      <w:r>
        <w:rPr/>
        <w:t>had</w:t>
      </w:r>
      <w:r>
        <w:rPr>
          <w:spacing w:val="-1"/>
        </w:rPr>
        <w:t> </w:t>
      </w:r>
      <w:r>
        <w:rPr/>
        <w:t>spent</w:t>
      </w:r>
      <w:r>
        <w:rPr>
          <w:spacing w:val="-1"/>
        </w:rPr>
        <w:t> </w:t>
      </w:r>
      <w:r>
        <w:rPr/>
        <w:t>money</w:t>
      </w:r>
      <w:r>
        <w:rPr>
          <w:spacing w:val="-1"/>
        </w:rPr>
        <w:t> </w:t>
      </w:r>
      <w:r>
        <w:rPr/>
        <w:t>on</w:t>
      </w:r>
      <w:r>
        <w:rPr>
          <w:spacing w:val="-1"/>
        </w:rPr>
        <w:t> </w:t>
      </w:r>
      <w:r>
        <w:rPr/>
        <w:t>improvements) since</w:t>
      </w:r>
      <w:r>
        <w:rPr>
          <w:spacing w:val="-3"/>
        </w:rPr>
        <w:t> </w:t>
      </w:r>
      <w:r>
        <w:rPr/>
        <w:t>there</w:t>
      </w:r>
      <w:r>
        <w:rPr>
          <w:spacing w:val="-3"/>
        </w:rPr>
        <w:t> </w:t>
      </w:r>
      <w:r>
        <w:rPr/>
        <w:t>had</w:t>
      </w:r>
      <w:r>
        <w:rPr>
          <w:spacing w:val="-3"/>
        </w:rPr>
        <w:t> </w:t>
      </w:r>
      <w:r>
        <w:rPr/>
        <w:t>been</w:t>
      </w:r>
      <w:r>
        <w:rPr>
          <w:spacing w:val="-3"/>
        </w:rPr>
        <w:t> </w:t>
      </w:r>
      <w:r>
        <w:rPr/>
        <w:t>neither</w:t>
      </w:r>
      <w:r>
        <w:rPr>
          <w:spacing w:val="-3"/>
        </w:rPr>
        <w:t> </w:t>
      </w:r>
      <w:r>
        <w:rPr/>
        <w:t>any</w:t>
      </w:r>
      <w:r>
        <w:rPr>
          <w:spacing w:val="-3"/>
        </w:rPr>
        <w:t> </w:t>
      </w:r>
      <w:r>
        <w:rPr/>
        <w:t>express</w:t>
      </w:r>
      <w:r>
        <w:rPr>
          <w:spacing w:val="-3"/>
        </w:rPr>
        <w:t> </w:t>
      </w:r>
      <w:r>
        <w:rPr/>
        <w:t>promise</w:t>
      </w:r>
      <w:r>
        <w:rPr>
          <w:spacing w:val="-3"/>
        </w:rPr>
        <w:t> </w:t>
      </w:r>
      <w:r>
        <w:rPr/>
        <w:t>by</w:t>
      </w:r>
      <w:r>
        <w:rPr>
          <w:spacing w:val="-3"/>
        </w:rPr>
        <w:t> </w:t>
      </w:r>
      <w:r>
        <w:rPr/>
        <w:t>the</w:t>
      </w:r>
      <w:r>
        <w:rPr>
          <w:spacing w:val="-3"/>
        </w:rPr>
        <w:t> </w:t>
      </w:r>
      <w:r>
        <w:rPr/>
        <w:t>parents</w:t>
      </w:r>
      <w:r>
        <w:rPr>
          <w:spacing w:val="-3"/>
        </w:rPr>
        <w:t> </w:t>
      </w:r>
      <w:r>
        <w:rPr/>
        <w:t>to</w:t>
      </w:r>
      <w:r>
        <w:rPr>
          <w:spacing w:val="-3"/>
        </w:rPr>
        <w:t> </w:t>
      </w:r>
      <w:r>
        <w:rPr/>
        <w:t>create</w:t>
      </w:r>
      <w:r>
        <w:rPr>
          <w:spacing w:val="-3"/>
        </w:rPr>
        <w:t> </w:t>
      </w:r>
      <w:r>
        <w:rPr/>
        <w:t>any</w:t>
      </w:r>
      <w:r>
        <w:rPr>
          <w:spacing w:val="-3"/>
        </w:rPr>
        <w:t> </w:t>
      </w:r>
      <w:r>
        <w:rPr/>
        <w:t>property</w:t>
      </w:r>
      <w:r>
        <w:rPr>
          <w:spacing w:val="-3"/>
        </w:rPr>
        <w:t> </w:t>
      </w:r>
      <w:r>
        <w:rPr/>
        <w:t>interest in the son’s favour, nor any conduct on their part from which such a promise could be inferred.</w:t>
      </w:r>
    </w:p>
    <w:p>
      <w:pPr>
        <w:pStyle w:val="BodyText"/>
        <w:spacing w:before="8"/>
      </w:pPr>
    </w:p>
    <w:p>
      <w:pPr>
        <w:tabs>
          <w:tab w:pos="705" w:val="left" w:leader="none"/>
        </w:tabs>
        <w:spacing w:line="235" w:lineRule="auto" w:before="0"/>
        <w:ind w:left="705" w:right="168" w:hanging="541"/>
        <w:jc w:val="left"/>
        <w:rPr>
          <w:sz w:val="20"/>
        </w:rPr>
      </w:pPr>
      <w:bookmarkStart w:name="_bookmark1653" w:id="1655"/>
      <w:bookmarkEnd w:id="1655"/>
      <w:r>
        <w:rPr/>
      </w:r>
      <w:hyperlink w:history="true" w:anchor="_bookmark1640">
        <w:r>
          <w:rPr>
            <w:color w:val="005DA1"/>
            <w:spacing w:val="-4"/>
            <w:position w:val="5"/>
            <w:sz w:val="14"/>
            <w:u w:val="single" w:color="005DA1"/>
          </w:rPr>
          <w:t>879</w:t>
        </w:r>
      </w:hyperlink>
      <w:r>
        <w:rPr>
          <w:spacing w:val="-4"/>
          <w:position w:val="5"/>
          <w:sz w:val="14"/>
        </w:rPr>
        <w:t>.</w:t>
      </w:r>
      <w:r>
        <w:rPr>
          <w:position w:val="5"/>
          <w:sz w:val="14"/>
        </w:rPr>
        <w:tab/>
      </w:r>
      <w:r>
        <w:rPr>
          <w:rFonts w:ascii="Arial"/>
          <w:i/>
          <w:sz w:val="20"/>
        </w:rPr>
        <w:t>Coombes v Smith [1986] 1 W.L.R. 808 </w:t>
      </w:r>
      <w:r>
        <w:rPr>
          <w:sz w:val="20"/>
        </w:rPr>
        <w:t>(where there was no belief in the existence of a </w:t>
      </w:r>
      <w:r>
        <w:rPr>
          <w:rFonts w:ascii="Arial"/>
          <w:i/>
          <w:sz w:val="20"/>
        </w:rPr>
        <w:t>legally enforceable </w:t>
      </w:r>
      <w:r>
        <w:rPr>
          <w:sz w:val="20"/>
        </w:rPr>
        <w:t>right); and cf. </w:t>
      </w:r>
      <w:r>
        <w:rPr>
          <w:rFonts w:ascii="Arial"/>
          <w:i/>
          <w:sz w:val="20"/>
        </w:rPr>
        <w:t>Brinand v Ewens (1987) 19 H.L.R. 415</w:t>
      </w:r>
      <w:r>
        <w:rPr>
          <w:sz w:val="20"/>
        </w:rPr>
        <w:t>.</w:t>
      </w:r>
    </w:p>
    <w:p>
      <w:pPr>
        <w:pStyle w:val="BodyText"/>
        <w:spacing w:before="5"/>
      </w:pPr>
    </w:p>
    <w:p>
      <w:pPr>
        <w:pStyle w:val="BodyText"/>
        <w:tabs>
          <w:tab w:pos="705" w:val="left" w:leader="none"/>
        </w:tabs>
        <w:spacing w:before="1"/>
        <w:ind w:left="165"/>
      </w:pPr>
      <w:bookmarkStart w:name="_bookmark1654" w:id="1656"/>
      <w:bookmarkEnd w:id="1656"/>
      <w:r>
        <w:rPr/>
      </w:r>
      <w:hyperlink w:history="true" w:anchor="_bookmark1641">
        <w:r>
          <w:rPr>
            <w:color w:val="005DA1"/>
            <w:spacing w:val="-4"/>
            <w:position w:val="5"/>
            <w:sz w:val="14"/>
            <w:u w:val="single" w:color="005DA1"/>
          </w:rPr>
          <w:t>880</w:t>
        </w:r>
      </w:hyperlink>
      <w:r>
        <w:rPr>
          <w:spacing w:val="-4"/>
          <w:position w:val="5"/>
          <w:sz w:val="14"/>
        </w:rPr>
        <w:t>.</w:t>
      </w:r>
      <w:r>
        <w:rPr>
          <w:position w:val="5"/>
          <w:sz w:val="14"/>
        </w:rPr>
        <w:tab/>
      </w:r>
      <w:r>
        <w:rPr/>
        <w:t>See, e.g. below, para.4-142, </w:t>
      </w:r>
      <w:r>
        <w:rPr>
          <w:spacing w:val="-2"/>
        </w:rPr>
        <w:t>n.844.</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726" w:right="2730"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2233856">
                <wp:simplePos x="0" y="0"/>
                <wp:positionH relativeFrom="page">
                  <wp:posOffset>4707940</wp:posOffset>
                </wp:positionH>
                <wp:positionV relativeFrom="paragraph">
                  <wp:posOffset>377436</wp:posOffset>
                </wp:positionV>
                <wp:extent cx="42545" cy="127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82624" from="370.70401pt,29.719406pt" to="374.04001pt,29.719406pt" stroked="true" strokeweight=".428pt" strokecolor="#005da1">
                <v:stroke dashstyle="solid"/>
                <w10:wrap type="none"/>
              </v:line>
            </w:pict>
          </mc:Fallback>
        </mc:AlternateContent>
      </w:r>
      <w:r>
        <w:rPr>
          <w:rFonts w:ascii="Arial"/>
          <w:b/>
          <w:sz w:val="24"/>
        </w:rPr>
        <w:t>Part 2 - Formation of Contract Chapter 4 - Consideration </w:t>
      </w:r>
      <w:r>
        <w:rPr>
          <w:rFonts w:ascii="Arial"/>
          <w:b/>
          <w:color w:val="005DA1"/>
          <w:position w:val="11"/>
          <w:sz w:val="12"/>
        </w:rPr>
        <w:t>1</w:t>
      </w:r>
      <w:r>
        <w:rPr>
          <w:rFonts w:ascii="Arial"/>
          <w:b/>
          <w:color w:val="005DA1"/>
          <w:spacing w:val="40"/>
          <w:position w:val="11"/>
          <w:sz w:val="12"/>
        </w:rPr>
        <w:t> </w:t>
      </w:r>
      <w:r>
        <w:rPr>
          <w:rFonts w:ascii="Arial"/>
          <w:b/>
          <w:sz w:val="24"/>
        </w:rPr>
        <w:t>Section</w:t>
      </w:r>
      <w:r>
        <w:rPr>
          <w:rFonts w:ascii="Arial"/>
          <w:b/>
          <w:spacing w:val="-10"/>
          <w:sz w:val="24"/>
        </w:rPr>
        <w:t> </w:t>
      </w:r>
      <w:r>
        <w:rPr>
          <w:rFonts w:ascii="Arial"/>
          <w:b/>
          <w:sz w:val="24"/>
        </w:rPr>
        <w:t>11.</w:t>
      </w:r>
      <w:r>
        <w:rPr>
          <w:rFonts w:ascii="Arial"/>
          <w:b/>
          <w:spacing w:val="-10"/>
          <w:sz w:val="24"/>
        </w:rPr>
        <w:t> </w:t>
      </w:r>
      <w:r>
        <w:rPr>
          <w:rFonts w:ascii="Arial"/>
          <w:b/>
          <w:sz w:val="24"/>
        </w:rPr>
        <w:t>-</w:t>
      </w:r>
      <w:r>
        <w:rPr>
          <w:rFonts w:ascii="Arial"/>
          <w:b/>
          <w:spacing w:val="-10"/>
          <w:sz w:val="24"/>
        </w:rPr>
        <w:t> </w:t>
      </w:r>
      <w:r>
        <w:rPr>
          <w:rFonts w:ascii="Arial"/>
          <w:b/>
          <w:sz w:val="24"/>
        </w:rPr>
        <w:t>Proprietary</w:t>
      </w:r>
      <w:r>
        <w:rPr>
          <w:rFonts w:ascii="Arial"/>
          <w:b/>
          <w:spacing w:val="-10"/>
          <w:sz w:val="24"/>
        </w:rPr>
        <w:t> </w:t>
      </w:r>
      <w:r>
        <w:rPr>
          <w:rFonts w:ascii="Arial"/>
          <w:b/>
          <w:sz w:val="24"/>
        </w:rPr>
        <w:t>Estoppel</w:t>
      </w:r>
    </w:p>
    <w:p>
      <w:pPr>
        <w:pStyle w:val="ListParagraph"/>
        <w:numPr>
          <w:ilvl w:val="0"/>
          <w:numId w:val="7"/>
        </w:numPr>
        <w:tabs>
          <w:tab w:pos="3798" w:val="left" w:leader="none"/>
        </w:tabs>
        <w:spacing w:line="240" w:lineRule="auto" w:before="2" w:after="0"/>
        <w:ind w:left="3798" w:right="0" w:hanging="373"/>
        <w:jc w:val="left"/>
        <w:rPr>
          <w:rFonts w:ascii="Arial"/>
          <w:b/>
          <w:sz w:val="24"/>
        </w:rPr>
      </w:pPr>
      <w:r>
        <w:rPr>
          <w:rFonts w:ascii="Arial"/>
          <w:b/>
          <w:sz w:val="24"/>
        </w:rPr>
        <w:t>- Bases of </w:t>
      </w:r>
      <w:r>
        <w:rPr>
          <w:rFonts w:ascii="Arial"/>
          <w:b/>
          <w:spacing w:val="-2"/>
          <w:sz w:val="24"/>
        </w:rPr>
        <w:t>Liability</w:t>
      </w:r>
    </w:p>
    <w:p>
      <w:pPr>
        <w:pStyle w:val="BodyText"/>
        <w:rPr>
          <w:rFonts w:ascii="Arial"/>
          <w:b/>
          <w:sz w:val="24"/>
        </w:rPr>
      </w:pPr>
    </w:p>
    <w:p>
      <w:pPr>
        <w:pStyle w:val="BodyText"/>
        <w:spacing w:before="89"/>
        <w:rPr>
          <w:rFonts w:ascii="Arial"/>
          <w:b/>
          <w:sz w:val="24"/>
        </w:rPr>
      </w:pPr>
    </w:p>
    <w:p>
      <w:pPr>
        <w:spacing w:before="1"/>
        <w:ind w:left="165" w:right="0" w:firstLine="0"/>
        <w:jc w:val="left"/>
        <w:rPr>
          <w:rFonts w:ascii="Arial" w:hAnsi="Arial"/>
          <w:b/>
          <w:sz w:val="18"/>
        </w:rPr>
      </w:pPr>
      <w:r>
        <w:rPr>
          <w:rFonts w:ascii="Arial" w:hAnsi="Arial"/>
          <w:b/>
          <w:sz w:val="18"/>
        </w:rPr>
        <w:t>Expenditure on another’s land in reliance on a </w:t>
      </w:r>
      <w:r>
        <w:rPr>
          <w:rFonts w:ascii="Arial" w:hAnsi="Arial"/>
          <w:b/>
          <w:spacing w:val="-2"/>
          <w:sz w:val="18"/>
        </w:rPr>
        <w:t>promise</w:t>
      </w:r>
    </w:p>
    <w:p>
      <w:pPr>
        <w:pStyle w:val="BodyText"/>
        <w:spacing w:before="41"/>
        <w:rPr>
          <w:rFonts w:ascii="Arial"/>
          <w:b/>
          <w:sz w:val="18"/>
        </w:rPr>
      </w:pPr>
    </w:p>
    <w:p>
      <w:pPr>
        <w:pStyle w:val="Heading2"/>
      </w:pPr>
      <w:r>
        <w:rPr/>
        <w:t>4-</w:t>
      </w:r>
      <w:r>
        <w:rPr>
          <w:spacing w:val="-5"/>
        </w:rPr>
        <w:t>141</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655" w:id="1657"/>
      <w:bookmarkEnd w:id="1657"/>
      <w:r>
        <w:rPr>
          <w:rFonts w:ascii="Times New Roman" w:hAnsi="Times New Roman"/>
          <w:spacing w:val="15"/>
        </w:rPr>
      </w:r>
      <w:r>
        <w:rPr/>
        <w:t>In </w:t>
      </w:r>
      <w:r>
        <w:rPr>
          <w:rFonts w:ascii="Arial" w:hAnsi="Arial"/>
          <w:i/>
        </w:rPr>
        <w:t>Dillwyn v Llewelyn </w:t>
      </w:r>
      <w:r>
        <w:rPr>
          <w:color w:val="005DA1"/>
          <w:u w:val="single" w:color="005DA1"/>
          <w:vertAlign w:val="superscript"/>
        </w:rPr>
        <w:t>881</w:t>
      </w:r>
      <w:r>
        <w:rPr>
          <w:color w:val="005DA1"/>
          <w:vertAlign w:val="baseline"/>
        </w:rPr>
        <w:t> </w:t>
      </w:r>
      <w:r>
        <w:rPr>
          <w:vertAlign w:val="baseline"/>
        </w:rPr>
        <w:t>a father executed a memorandum “presenting” a named estate to his son “for the purpose of furnishing himself with a dwelling house.” The son spent £14,000 in building a house on the land; and it was held (after the father’s death) that he was entitled to have the fee</w:t>
      </w:r>
      <w:r>
        <w:rPr>
          <w:spacing w:val="80"/>
          <w:vertAlign w:val="baseline"/>
        </w:rPr>
        <w:t> </w:t>
      </w:r>
      <w:r>
        <w:rPr>
          <w:vertAlign w:val="baseline"/>
        </w:rPr>
        <w:t>simple of the estate conveyed to him. Many later cases similarly give some degree of legal enforceability to a promise by a landowner in reliance on which the promisee has spent money </w:t>
      </w:r>
      <w:r>
        <w:rPr>
          <w:vertAlign w:val="baseline"/>
        </w:rPr>
        <w:t>on </w:t>
      </w:r>
      <w:bookmarkStart w:name="_bookmark1656" w:id="1658"/>
      <w:bookmarkEnd w:id="1658"/>
      <w:r>
        <w:rPr>
          <w:vertAlign w:val="baseline"/>
        </w:rPr>
        <w:t>making</w:t>
      </w:r>
      <w:r>
        <w:rPr>
          <w:vertAlign w:val="baseline"/>
        </w:rPr>
        <w:t> improvements to the promisor’s land: for example, where A built a bungalow on B’s land in </w:t>
      </w:r>
      <w:bookmarkStart w:name="_bookmark1657" w:id="1659"/>
      <w:bookmarkEnd w:id="1659"/>
      <w:r>
        <w:rPr>
          <w:vertAlign w:val="baseline"/>
        </w:rPr>
        <w:t>reliance</w:t>
      </w:r>
      <w:r>
        <w:rPr>
          <w:vertAlign w:val="baseline"/>
        </w:rPr>
        <w:t> on B’s promise that A could stay there for the rest of his life </w:t>
      </w:r>
      <w:r>
        <w:rPr>
          <w:color w:val="005DA1"/>
          <w:u w:val="single" w:color="005DA1"/>
          <w:vertAlign w:val="superscript"/>
        </w:rPr>
        <w:t>882</w:t>
      </w:r>
      <w:r>
        <w:rPr>
          <w:vertAlign w:val="baseline"/>
        </w:rPr>
        <w:t>; where B purported to make a </w:t>
      </w:r>
      <w:bookmarkStart w:name="_bookmark1658" w:id="1660"/>
      <w:bookmarkEnd w:id="1660"/>
      <w:r>
        <w:rPr>
          <w:vertAlign w:val="baseline"/>
        </w:rPr>
        <w:t>gift</w:t>
      </w:r>
      <w:r>
        <w:rPr>
          <w:vertAlign w:val="baseline"/>
        </w:rPr>
        <w:t> of a cottage to her son A “provided he did it up” and A incurred considerable expense in doing so </w:t>
      </w:r>
      <w:r>
        <w:rPr>
          <w:color w:val="005DA1"/>
          <w:u w:val="single" w:color="005DA1"/>
          <w:vertAlign w:val="superscript"/>
        </w:rPr>
        <w:t>883</w:t>
      </w:r>
      <w:r>
        <w:rPr>
          <w:vertAlign w:val="baseline"/>
        </w:rPr>
        <w:t>;</w:t>
      </w:r>
      <w:r>
        <w:rPr>
          <w:spacing w:val="9"/>
          <w:vertAlign w:val="baseline"/>
        </w:rPr>
        <w:t> </w:t>
      </w:r>
      <w:r>
        <w:rPr>
          <w:vertAlign w:val="baseline"/>
        </w:rPr>
        <w:t>where</w:t>
      </w:r>
      <w:r>
        <w:rPr>
          <w:spacing w:val="10"/>
          <w:vertAlign w:val="baseline"/>
        </w:rPr>
        <w:t> </w:t>
      </w:r>
      <w:r>
        <w:rPr>
          <w:vertAlign w:val="baseline"/>
        </w:rPr>
        <w:t>A</w:t>
      </w:r>
      <w:r>
        <w:rPr>
          <w:spacing w:val="10"/>
          <w:vertAlign w:val="baseline"/>
        </w:rPr>
        <w:t> </w:t>
      </w:r>
      <w:r>
        <w:rPr>
          <w:vertAlign w:val="baseline"/>
        </w:rPr>
        <w:t>spent</w:t>
      </w:r>
      <w:r>
        <w:rPr>
          <w:spacing w:val="10"/>
          <w:vertAlign w:val="baseline"/>
        </w:rPr>
        <w:t> </w:t>
      </w:r>
      <w:r>
        <w:rPr>
          <w:vertAlign w:val="baseline"/>
        </w:rPr>
        <w:t>money</w:t>
      </w:r>
      <w:r>
        <w:rPr>
          <w:spacing w:val="10"/>
          <w:vertAlign w:val="baseline"/>
        </w:rPr>
        <w:t> </w:t>
      </w:r>
      <w:r>
        <w:rPr>
          <w:vertAlign w:val="baseline"/>
        </w:rPr>
        <w:t>on</w:t>
      </w:r>
      <w:r>
        <w:rPr>
          <w:spacing w:val="10"/>
          <w:vertAlign w:val="baseline"/>
        </w:rPr>
        <w:t> </w:t>
      </w:r>
      <w:r>
        <w:rPr>
          <w:vertAlign w:val="baseline"/>
        </w:rPr>
        <w:t>extending</w:t>
      </w:r>
      <w:r>
        <w:rPr>
          <w:spacing w:val="10"/>
          <w:vertAlign w:val="baseline"/>
        </w:rPr>
        <w:t> </w:t>
      </w:r>
      <w:r>
        <w:rPr>
          <w:vertAlign w:val="baseline"/>
        </w:rPr>
        <w:t>or</w:t>
      </w:r>
      <w:r>
        <w:rPr>
          <w:spacing w:val="10"/>
          <w:vertAlign w:val="baseline"/>
        </w:rPr>
        <w:t> </w:t>
      </w:r>
      <w:r>
        <w:rPr>
          <w:vertAlign w:val="baseline"/>
        </w:rPr>
        <w:t>improving</w:t>
      </w:r>
      <w:r>
        <w:rPr>
          <w:spacing w:val="10"/>
          <w:vertAlign w:val="baseline"/>
        </w:rPr>
        <w:t> </w:t>
      </w:r>
      <w:r>
        <w:rPr>
          <w:vertAlign w:val="baseline"/>
        </w:rPr>
        <w:t>B’s</w:t>
      </w:r>
      <w:r>
        <w:rPr>
          <w:spacing w:val="10"/>
          <w:vertAlign w:val="baseline"/>
        </w:rPr>
        <w:t> </w:t>
      </w:r>
      <w:r>
        <w:rPr>
          <w:vertAlign w:val="baseline"/>
        </w:rPr>
        <w:t>house</w:t>
      </w:r>
      <w:r>
        <w:rPr>
          <w:spacing w:val="10"/>
          <w:vertAlign w:val="baseline"/>
        </w:rPr>
        <w:t> </w:t>
      </w:r>
      <w:r>
        <w:rPr>
          <w:vertAlign w:val="baseline"/>
        </w:rPr>
        <w:t>in</w:t>
      </w:r>
      <w:r>
        <w:rPr>
          <w:spacing w:val="10"/>
          <w:vertAlign w:val="baseline"/>
        </w:rPr>
        <w:t> </w:t>
      </w:r>
      <w:r>
        <w:rPr>
          <w:vertAlign w:val="baseline"/>
        </w:rPr>
        <w:t>reliance</w:t>
      </w:r>
      <w:r>
        <w:rPr>
          <w:spacing w:val="10"/>
          <w:vertAlign w:val="baseline"/>
        </w:rPr>
        <w:t> </w:t>
      </w:r>
      <w:r>
        <w:rPr>
          <w:vertAlign w:val="baseline"/>
        </w:rPr>
        <w:t>on</w:t>
      </w:r>
      <w:r>
        <w:rPr>
          <w:spacing w:val="10"/>
          <w:vertAlign w:val="baseline"/>
        </w:rPr>
        <w:t> </w:t>
      </w:r>
      <w:r>
        <w:rPr>
          <w:vertAlign w:val="baseline"/>
        </w:rPr>
        <w:t>a</w:t>
      </w:r>
      <w:r>
        <w:rPr>
          <w:spacing w:val="10"/>
          <w:vertAlign w:val="baseline"/>
        </w:rPr>
        <w:t> </w:t>
      </w:r>
      <w:r>
        <w:rPr>
          <w:vertAlign w:val="baseline"/>
        </w:rPr>
        <w:t>similar</w:t>
      </w:r>
      <w:r>
        <w:rPr>
          <w:spacing w:val="10"/>
          <w:vertAlign w:val="baseline"/>
        </w:rPr>
        <w:t> </w:t>
      </w:r>
      <w:r>
        <w:rPr>
          <w:vertAlign w:val="baseline"/>
        </w:rPr>
        <w:t>promise</w:t>
      </w:r>
      <w:r>
        <w:rPr>
          <w:spacing w:val="10"/>
          <w:vertAlign w:val="baseline"/>
        </w:rPr>
        <w:t> </w:t>
      </w:r>
      <w:r>
        <w:rPr>
          <w:vertAlign w:val="baseline"/>
        </w:rPr>
        <w:t>by</w:t>
      </w:r>
      <w:r>
        <w:rPr>
          <w:spacing w:val="10"/>
          <w:vertAlign w:val="baseline"/>
        </w:rPr>
        <w:t> </w:t>
      </w:r>
      <w:r>
        <w:rPr>
          <w:spacing w:val="-10"/>
          <w:vertAlign w:val="baseline"/>
        </w:rPr>
        <w:t>B</w:t>
      </w:r>
    </w:p>
    <w:p>
      <w:pPr>
        <w:pStyle w:val="BodyText"/>
        <w:spacing w:line="235" w:lineRule="auto" w:before="116"/>
        <w:ind w:left="165" w:right="167"/>
        <w:jc w:val="both"/>
      </w:pPr>
      <w:bookmarkStart w:name="_bookmark1659" w:id="1661"/>
      <w:bookmarkEnd w:id="1661"/>
      <w:r>
        <w:rPr/>
      </w:r>
      <w:hyperlink w:history="true" w:anchor="_bookmark1706">
        <w:r>
          <w:rPr>
            <w:color w:val="005DA1"/>
            <w:u w:val="single" w:color="005DA1"/>
            <w:vertAlign w:val="superscript"/>
          </w:rPr>
          <w:t>884</w:t>
        </w:r>
        <w:r>
          <w:rPr>
            <w:color w:val="005DA1"/>
            <w:spacing w:val="80"/>
            <w:w w:val="150"/>
            <w:vertAlign w:val="baseline"/>
          </w:rPr>
          <w:t> </w:t>
        </w:r>
        <w:r>
          <w:rPr>
            <w:color w:val="005DA1"/>
            <w:spacing w:val="-22"/>
            <w:position w:val="-2"/>
            <w:vertAlign w:val="baseline"/>
          </w:rPr>
          <w:drawing>
            <wp:inline distT="0" distB="0" distL="0" distR="0">
              <wp:extent cx="107988" cy="107988"/>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vertAlign w:val="baseline"/>
          </w:rPr>
          <w:t>; where, in reliance on such a promise, A actually did the work of improvement him- or herself </w:t>
        </w:r>
        <w:r>
          <w:rPr>
            <w:color w:val="005DA1"/>
            <w:u w:val="single" w:color="005DA1"/>
            <w:vertAlign w:val="superscript"/>
          </w:rPr>
          <w:t>885</w:t>
        </w:r>
        <w:bookmarkStart w:name="_bookmark1660" w:id="1662"/>
        <w:bookmarkEnd w:id="1662"/>
        <w:r>
          <w:rPr>
            <w:color w:val="005DA1"/>
            <w:spacing w:val="-1"/>
            <w:vertAlign w:val="baseline"/>
          </w:rPr>
        </w:r>
        <w:r>
          <w:rPr>
            <w:vertAlign w:val="baseline"/>
          </w:rPr>
          <w:t>;</w:t>
        </w:r>
        <w:r>
          <w:rPr>
            <w:spacing w:val="-3"/>
            <w:vertAlign w:val="baseline"/>
          </w:rPr>
          <w:t> </w:t>
        </w:r>
        <w:r>
          <w:rPr>
            <w:vertAlign w:val="baseline"/>
          </w:rPr>
          <w:t>and</w:t>
        </w:r>
        <w:r>
          <w:rPr>
            <w:spacing w:val="-3"/>
            <w:vertAlign w:val="baseline"/>
          </w:rPr>
          <w:t> </w:t>
        </w:r>
        <w:r>
          <w:rPr>
            <w:vertAlign w:val="baseline"/>
          </w:rPr>
          <w:t>where</w:t>
        </w:r>
        <w:r>
          <w:rPr>
            <w:spacing w:val="-3"/>
            <w:vertAlign w:val="baseline"/>
          </w:rPr>
          <w:t> </w:t>
        </w:r>
        <w:r>
          <w:rPr>
            <w:vertAlign w:val="baseline"/>
          </w:rPr>
          <w:t>a</w:t>
        </w:r>
        <w:r>
          <w:rPr>
            <w:spacing w:val="-3"/>
            <w:vertAlign w:val="baseline"/>
          </w:rPr>
          <w:t> </w:t>
        </w:r>
        <w:r>
          <w:rPr>
            <w:vertAlign w:val="baseline"/>
          </w:rPr>
          <w:t>tenant,</w:t>
        </w:r>
        <w:r>
          <w:rPr>
            <w:spacing w:val="-3"/>
            <w:vertAlign w:val="baseline"/>
          </w:rPr>
          <w:t> </w:t>
        </w:r>
        <w:r>
          <w:rPr>
            <w:vertAlign w:val="baseline"/>
          </w:rPr>
          <w:t>whose</w:t>
        </w:r>
        <w:r>
          <w:rPr>
            <w:spacing w:val="-3"/>
            <w:vertAlign w:val="baseline"/>
          </w:rPr>
          <w:t> </w:t>
        </w:r>
        <w:r>
          <w:rPr>
            <w:vertAlign w:val="baseline"/>
          </w:rPr>
          <w:t>lease</w:t>
        </w:r>
        <w:r>
          <w:rPr>
            <w:spacing w:val="-3"/>
            <w:vertAlign w:val="baseline"/>
          </w:rPr>
          <w:t> </w:t>
        </w:r>
        <w:r>
          <w:rPr>
            <w:vertAlign w:val="baseline"/>
          </w:rPr>
          <w:t>had</w:t>
        </w:r>
        <w:r>
          <w:rPr>
            <w:spacing w:val="-3"/>
            <w:vertAlign w:val="baseline"/>
          </w:rPr>
          <w:t> </w:t>
        </w:r>
        <w:r>
          <w:rPr>
            <w:vertAlign w:val="baseline"/>
          </w:rPr>
          <w:t>been</w:t>
        </w:r>
        <w:r>
          <w:rPr>
            <w:spacing w:val="-3"/>
            <w:vertAlign w:val="baseline"/>
          </w:rPr>
          <w:t> </w:t>
        </w:r>
        <w:r>
          <w:rPr>
            <w:vertAlign w:val="baseline"/>
          </w:rPr>
          <w:t>terminated,</w:t>
        </w:r>
        <w:r>
          <w:rPr>
            <w:spacing w:val="-3"/>
            <w:vertAlign w:val="baseline"/>
          </w:rPr>
          <w:t> </w:t>
        </w:r>
        <w:r>
          <w:rPr>
            <w:vertAlign w:val="baseline"/>
          </w:rPr>
          <w:t>spent</w:t>
        </w:r>
        <w:r>
          <w:rPr>
            <w:spacing w:val="-3"/>
            <w:vertAlign w:val="baseline"/>
          </w:rPr>
          <w:t> </w:t>
        </w:r>
        <w:r>
          <w:rPr>
            <w:vertAlign w:val="baseline"/>
          </w:rPr>
          <w:t>money</w:t>
        </w:r>
        <w:r>
          <w:rPr>
            <w:spacing w:val="-3"/>
            <w:vertAlign w:val="baseline"/>
          </w:rPr>
          <w:t> </w:t>
        </w:r>
        <w:r>
          <w:rPr>
            <w:vertAlign w:val="baseline"/>
          </w:rPr>
          <w:t>on</w:t>
        </w:r>
        <w:r>
          <w:rPr>
            <w:spacing w:val="-3"/>
            <w:vertAlign w:val="baseline"/>
          </w:rPr>
          <w:t> </w:t>
        </w:r>
        <w:r>
          <w:rPr>
            <w:vertAlign w:val="baseline"/>
          </w:rPr>
          <w:t>improving</w:t>
        </w:r>
        <w:r>
          <w:rPr>
            <w:spacing w:val="-3"/>
            <w:vertAlign w:val="baseline"/>
          </w:rPr>
          <w:t> </w:t>
        </w:r>
        <w:r>
          <w:rPr>
            <w:vertAlign w:val="baseline"/>
          </w:rPr>
          <w:t>the</w:t>
        </w:r>
        <w:r>
          <w:rPr>
            <w:spacing w:val="-3"/>
            <w:vertAlign w:val="baseline"/>
          </w:rPr>
          <w:t> </w:t>
        </w:r>
        <w:r>
          <w:rPr>
            <w:vertAlign w:val="baseline"/>
          </w:rPr>
          <w:t>premises</w:t>
        </w:r>
        <w:r>
          <w:rPr>
            <w:spacing w:val="-3"/>
            <w:vertAlign w:val="baseline"/>
          </w:rPr>
          <w:t> </w:t>
        </w:r>
        <w:r>
          <w:rPr>
            <w:vertAlign w:val="baseline"/>
          </w:rPr>
          <w:t>in reliance on the landlord’s promise to grant him a new lease. </w:t>
        </w:r>
        <w:r>
          <w:rPr>
            <w:color w:val="005DA1"/>
            <w:u w:val="single" w:color="005DA1"/>
            <w:vertAlign w:val="superscript"/>
          </w:rPr>
          <w:t>886</w:t>
        </w:r>
        <w:r>
          <w:rPr>
            <w:color w:val="005DA1"/>
            <w:vertAlign w:val="baseline"/>
          </w:rPr>
          <w:t> </w:t>
        </w:r>
        <w:r>
          <w:rPr>
            <w:vertAlign w:val="baseline"/>
          </w:rPr>
          <w:t>Cases of this kind can be explained</w:t>
        </w:r>
        <w:r>
          <w:rPr>
            <w:spacing w:val="40"/>
            <w:vertAlign w:val="baseline"/>
          </w:rPr>
          <w:t> </w:t>
        </w:r>
        <w:r>
          <w:rPr>
            <w:vertAlign w:val="baseline"/>
          </w:rPr>
          <w:t>on the basis of unjust enrichment: in all of them, the landowner would benefit unjustly if he </w:t>
        </w:r>
        <w:r>
          <w:rPr>
            <w:vertAlign w:val="baseline"/>
          </w:rPr>
          <w:t>were allowed to disregard his promise and to take back the land after he had induced the promisee to</w:t>
        </w:r>
        <w:r>
          <w:rPr>
            <w:spacing w:val="80"/>
            <w:vertAlign w:val="baseline"/>
          </w:rPr>
          <w:t> </w:t>
        </w:r>
        <w:r>
          <w:rPr>
            <w:vertAlign w:val="baseline"/>
          </w:rPr>
          <w:t>make improvements to it. But the unjust enrichment explanation will not account for cases in which</w:t>
        </w:r>
        <w:r>
          <w:rPr>
            <w:spacing w:val="40"/>
            <w:vertAlign w:val="baseline"/>
          </w:rPr>
          <w:t> </w:t>
        </w:r>
        <w:bookmarkStart w:name="_bookmark1661" w:id="1663"/>
        <w:bookmarkEnd w:id="1663"/>
        <w:r>
          <w:rPr>
            <w:vertAlign w:val="baseline"/>
          </w:rPr>
          <w:t>the</w:t>
        </w:r>
        <w:r>
          <w:rPr>
            <w:vertAlign w:val="baseline"/>
          </w:rPr>
          <w:t> doctrine has been applied even though the promisee’s expenditure on another’s land did not</w:t>
        </w:r>
        <w:r>
          <w:rPr>
            <w:spacing w:val="40"/>
            <w:vertAlign w:val="baseline"/>
          </w:rPr>
          <w:t> </w:t>
        </w:r>
        <w:r>
          <w:rPr>
            <w:vertAlign w:val="baseline"/>
          </w:rPr>
          <w:t>result in any benefit to the owner of that land. </w:t>
        </w:r>
        <w:r>
          <w:rPr>
            <w:color w:val="005DA1"/>
            <w:u w:val="single" w:color="005DA1"/>
            <w:vertAlign w:val="superscript"/>
          </w:rPr>
          <w:t>887</w:t>
        </w:r>
        <w:r>
          <w:rPr>
            <w:color w:val="005DA1"/>
            <w:vertAlign w:val="baseline"/>
          </w:rPr>
          <w:t> </w:t>
        </w:r>
        <w:r>
          <w:rPr>
            <w:vertAlign w:val="baseline"/>
          </w:rPr>
          <w:t>It follows that, although unjust enrichment of the promisor may be the most obvious basis of proprietary estoppel, it cannot provide complete explanation of the doctrine.</w:t>
        </w:r>
      </w:hyperlink>
    </w:p>
    <w:p>
      <w:pPr>
        <w:pStyle w:val="BodyText"/>
      </w:pPr>
    </w:p>
    <w:p>
      <w:pPr>
        <w:pStyle w:val="BodyText"/>
        <w:spacing w:before="35"/>
      </w:pPr>
    </w:p>
    <w:p>
      <w:pPr>
        <w:spacing w:before="0"/>
        <w:ind w:left="165" w:right="0" w:firstLine="0"/>
        <w:jc w:val="both"/>
        <w:rPr>
          <w:rFonts w:ascii="Arial"/>
          <w:b/>
          <w:sz w:val="18"/>
        </w:rPr>
      </w:pPr>
      <w:r>
        <w:rPr>
          <w:rFonts w:ascii="Arial"/>
          <w:b/>
          <w:sz w:val="18"/>
        </w:rPr>
        <w:t>Proprietary estoppel and constructive </w:t>
      </w:r>
      <w:r>
        <w:rPr>
          <w:rFonts w:ascii="Arial"/>
          <w:b/>
          <w:spacing w:val="-2"/>
          <w:sz w:val="18"/>
        </w:rPr>
        <w:t>trust</w:t>
      </w:r>
    </w:p>
    <w:p>
      <w:pPr>
        <w:pStyle w:val="BodyText"/>
        <w:spacing w:before="41"/>
        <w:rPr>
          <w:rFonts w:ascii="Arial"/>
          <w:b/>
          <w:sz w:val="18"/>
        </w:rPr>
      </w:pPr>
    </w:p>
    <w:p>
      <w:pPr>
        <w:pStyle w:val="Heading2"/>
      </w:pPr>
      <w:r>
        <w:rPr/>
        <w:t>4-</w:t>
      </w:r>
      <w:r>
        <w:rPr>
          <w:spacing w:val="-5"/>
        </w:rPr>
        <w:t>142</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662" w:id="1664"/>
      <w:bookmarkEnd w:id="1664"/>
      <w:r>
        <w:rPr>
          <w:rFonts w:ascii="Times New Roman" w:hAnsi="Times New Roman"/>
          <w:spacing w:val="4"/>
        </w:rPr>
      </w:r>
      <w:r>
        <w:rPr/>
        <w:t>The explanation of proprietary estoppel as a mechanism for preventing unjust enrichment </w:t>
      </w:r>
      <w:r>
        <w:rPr>
          <w:color w:val="005DA1"/>
          <w:u w:val="single" w:color="005DA1"/>
          <w:vertAlign w:val="superscript"/>
        </w:rPr>
        <w:t>888</w:t>
      </w:r>
      <w:r>
        <w:rPr>
          <w:color w:val="005DA1"/>
          <w:vertAlign w:val="baseline"/>
        </w:rPr>
        <w:t> </w:t>
      </w:r>
      <w:bookmarkStart w:name="_bookmark1663" w:id="1665"/>
      <w:bookmarkEnd w:id="1665"/>
      <w:r>
        <w:rPr>
          <w:color w:val="005DA1"/>
          <w:w w:val="92"/>
          <w:vertAlign w:val="baseline"/>
        </w:rPr>
      </w:r>
      <w:r>
        <w:rPr>
          <w:vertAlign w:val="baseline"/>
        </w:rPr>
        <w:t>perhaps accounts for the view that liability, where such an estoppel operates, is based on “an implied </w:t>
      </w:r>
      <w:bookmarkStart w:name="_bookmark1664" w:id="1666"/>
      <w:bookmarkEnd w:id="1666"/>
      <w:r>
        <w:rPr>
          <w:vertAlign w:val="baseline"/>
        </w:rPr>
        <w:t>or</w:t>
      </w:r>
      <w:r>
        <w:rPr>
          <w:spacing w:val="29"/>
          <w:vertAlign w:val="baseline"/>
        </w:rPr>
        <w:t> </w:t>
      </w:r>
      <w:r>
        <w:rPr>
          <w:vertAlign w:val="baseline"/>
        </w:rPr>
        <w:t>constructive</w:t>
      </w:r>
      <w:r>
        <w:rPr>
          <w:spacing w:val="30"/>
          <w:vertAlign w:val="baseline"/>
        </w:rPr>
        <w:t> </w:t>
      </w:r>
      <w:r>
        <w:rPr>
          <w:vertAlign w:val="baseline"/>
        </w:rPr>
        <w:t>trust.”</w:t>
      </w:r>
      <w:r>
        <w:rPr>
          <w:spacing w:val="30"/>
          <w:vertAlign w:val="baseline"/>
        </w:rPr>
        <w:t> </w:t>
      </w:r>
      <w:r>
        <w:rPr>
          <w:color w:val="005DA1"/>
          <w:u w:val="single" w:color="005DA1"/>
          <w:vertAlign w:val="superscript"/>
        </w:rPr>
        <w:t>889</w:t>
      </w:r>
      <w:r>
        <w:rPr>
          <w:color w:val="005DA1"/>
          <w:spacing w:val="30"/>
          <w:vertAlign w:val="baseline"/>
        </w:rPr>
        <w:t> </w:t>
      </w:r>
      <w:r>
        <w:rPr>
          <w:vertAlign w:val="baseline"/>
        </w:rPr>
        <w:t>While</w:t>
      </w:r>
      <w:r>
        <w:rPr>
          <w:spacing w:val="30"/>
          <w:vertAlign w:val="baseline"/>
        </w:rPr>
        <w:t> </w:t>
      </w:r>
      <w:r>
        <w:rPr>
          <w:vertAlign w:val="baseline"/>
        </w:rPr>
        <w:t>this</w:t>
      </w:r>
      <w:r>
        <w:rPr>
          <w:spacing w:val="30"/>
          <w:vertAlign w:val="baseline"/>
        </w:rPr>
        <w:t> </w:t>
      </w:r>
      <w:r>
        <w:rPr>
          <w:vertAlign w:val="baseline"/>
        </w:rPr>
        <w:t>view</w:t>
      </w:r>
      <w:r>
        <w:rPr>
          <w:spacing w:val="30"/>
          <w:vertAlign w:val="baseline"/>
        </w:rPr>
        <w:t> </w:t>
      </w:r>
      <w:r>
        <w:rPr>
          <w:vertAlign w:val="baseline"/>
        </w:rPr>
        <w:t>does</w:t>
      </w:r>
      <w:r>
        <w:rPr>
          <w:spacing w:val="30"/>
          <w:vertAlign w:val="baseline"/>
        </w:rPr>
        <w:t> </w:t>
      </w:r>
      <w:r>
        <w:rPr>
          <w:vertAlign w:val="baseline"/>
        </w:rPr>
        <w:t>not</w:t>
      </w:r>
      <w:r>
        <w:rPr>
          <w:spacing w:val="30"/>
          <w:vertAlign w:val="baseline"/>
        </w:rPr>
        <w:t> </w:t>
      </w:r>
      <w:r>
        <w:rPr>
          <w:vertAlign w:val="baseline"/>
        </w:rPr>
        <w:t>assert</w:t>
      </w:r>
      <w:r>
        <w:rPr>
          <w:spacing w:val="30"/>
          <w:vertAlign w:val="baseline"/>
        </w:rPr>
        <w:t> </w:t>
      </w:r>
      <w:r>
        <w:rPr>
          <w:vertAlign w:val="baseline"/>
        </w:rPr>
        <w:t>that</w:t>
      </w:r>
      <w:r>
        <w:rPr>
          <w:spacing w:val="30"/>
          <w:vertAlign w:val="baseline"/>
        </w:rPr>
        <w:t> </w:t>
      </w:r>
      <w:r>
        <w:rPr>
          <w:vertAlign w:val="baseline"/>
        </w:rPr>
        <w:t>the</w:t>
      </w:r>
      <w:r>
        <w:rPr>
          <w:spacing w:val="30"/>
          <w:vertAlign w:val="baseline"/>
        </w:rPr>
        <w:t> </w:t>
      </w:r>
      <w:r>
        <w:rPr>
          <w:vertAlign w:val="baseline"/>
        </w:rPr>
        <w:t>two</w:t>
      </w:r>
      <w:r>
        <w:rPr>
          <w:spacing w:val="30"/>
          <w:vertAlign w:val="baseline"/>
        </w:rPr>
        <w:t> </w:t>
      </w:r>
      <w:r>
        <w:rPr>
          <w:vertAlign w:val="baseline"/>
        </w:rPr>
        <w:t>concepts</w:t>
      </w:r>
      <w:r>
        <w:rPr>
          <w:spacing w:val="30"/>
          <w:vertAlign w:val="baseline"/>
        </w:rPr>
        <w:t> </w:t>
      </w:r>
      <w:r>
        <w:rPr>
          <w:vertAlign w:val="baseline"/>
        </w:rPr>
        <w:t>“can</w:t>
      </w:r>
      <w:r>
        <w:rPr>
          <w:spacing w:val="30"/>
          <w:vertAlign w:val="baseline"/>
        </w:rPr>
        <w:t> </w:t>
      </w:r>
      <w:r>
        <w:rPr>
          <w:vertAlign w:val="baseline"/>
        </w:rPr>
        <w:t>or</w:t>
      </w:r>
      <w:r>
        <w:rPr>
          <w:spacing w:val="30"/>
          <w:vertAlign w:val="baseline"/>
        </w:rPr>
        <w:t> </w:t>
      </w:r>
      <w:r>
        <w:rPr>
          <w:vertAlign w:val="baseline"/>
        </w:rPr>
        <w:t>should</w:t>
      </w:r>
      <w:r>
        <w:rPr>
          <w:spacing w:val="30"/>
          <w:vertAlign w:val="baseline"/>
        </w:rPr>
        <w:t> </w:t>
      </w:r>
      <w:r>
        <w:rPr>
          <w:spacing w:val="-5"/>
          <w:vertAlign w:val="baseline"/>
        </w:rPr>
        <w:t>be</w:t>
      </w:r>
    </w:p>
    <w:p>
      <w:pPr>
        <w:pStyle w:val="BodyText"/>
        <w:spacing w:line="235" w:lineRule="auto" w:before="119"/>
        <w:ind w:left="165" w:right="167"/>
        <w:jc w:val="both"/>
      </w:pPr>
      <w:bookmarkStart w:name="_bookmark1665" w:id="1667"/>
      <w:bookmarkEnd w:id="1667"/>
      <w:r>
        <w:rPr/>
      </w:r>
      <w:r>
        <w:rPr/>
        <w:t>completely assimilated”, </w:t>
      </w:r>
      <w:r>
        <w:rPr>
          <w:color w:val="005DA1"/>
          <w:u w:val="single" w:color="005DA1"/>
          <w:vertAlign w:val="superscript"/>
        </w:rPr>
        <w:t>890</w:t>
      </w:r>
      <w:r>
        <w:rPr>
          <w:color w:val="005DA1"/>
          <w:spacing w:val="80"/>
          <w:w w:val="150"/>
          <w:vertAlign w:val="baseline"/>
        </w:rPr>
        <w:t> </w:t>
      </w:r>
      <w:r>
        <w:rPr>
          <w:color w:val="005DA1"/>
          <w:spacing w:val="24"/>
          <w:position w:val="-2"/>
          <w:vertAlign w:val="baseline"/>
        </w:rPr>
        <w:drawing>
          <wp:inline distT="0" distB="0" distL="0" distR="0">
            <wp:extent cx="107988" cy="107988"/>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hAnsi="Times New Roman"/>
          <w:color w:val="005DA1"/>
          <w:spacing w:val="-12"/>
          <w:vertAlign w:val="baseline"/>
        </w:rPr>
        <w:t> </w:t>
      </w:r>
      <w:r>
        <w:rPr>
          <w:vertAlign w:val="baseline"/>
        </w:rPr>
        <w:t>it recognises that there is a significant area of overlap between them. </w:t>
      </w:r>
      <w:r>
        <w:rPr>
          <w:color w:val="005DA1"/>
          <w:u w:val="single" w:color="005DA1"/>
          <w:vertAlign w:val="superscript"/>
        </w:rPr>
        <w:t>891</w:t>
      </w:r>
      <w:r>
        <w:rPr>
          <w:color w:val="005DA1"/>
          <w:vertAlign w:val="baseline"/>
        </w:rPr>
        <w:t> </w:t>
      </w:r>
      <w:r>
        <w:rPr>
          <w:vertAlign w:val="baseline"/>
        </w:rPr>
        <w:t>Many of the cases in which the relationship between the two concepts was considered </w:t>
      </w:r>
      <w:r>
        <w:rPr>
          <w:vertAlign w:val="baseline"/>
        </w:rPr>
        <w:t>were concerned, not with want of consideration, but with the question whether proprietary estoppel could</w:t>
      </w:r>
      <w:r>
        <w:rPr>
          <w:spacing w:val="40"/>
          <w:vertAlign w:val="baseline"/>
        </w:rPr>
        <w:t> </w:t>
      </w:r>
      <w:r>
        <w:rPr>
          <w:vertAlign w:val="baseline"/>
        </w:rPr>
        <w:t>be a ground on which a person could be held liable on a transaction which failed to comply with</w:t>
      </w:r>
      <w:r>
        <w:rPr>
          <w:spacing w:val="40"/>
          <w:vertAlign w:val="baseline"/>
        </w:rPr>
        <w:t> </w:t>
      </w:r>
      <w:bookmarkStart w:name="_bookmark1666" w:id="1668"/>
      <w:bookmarkEnd w:id="1668"/>
      <w:r>
        <w:rPr>
          <w:vertAlign w:val="baseline"/>
        </w:rPr>
        <w:t>formal</w:t>
      </w:r>
      <w:r>
        <w:rPr>
          <w:vertAlign w:val="baseline"/>
        </w:rPr>
        <w:t> requirements, such as those imposed by section 2 of the Law of Property (Miscellaneous Provisions) Act 1989. </w:t>
      </w:r>
      <w:r>
        <w:rPr>
          <w:color w:val="005DA1"/>
          <w:u w:val="single" w:color="005DA1"/>
          <w:vertAlign w:val="superscript"/>
        </w:rPr>
        <w:t>892</w:t>
      </w:r>
      <w:r>
        <w:rPr>
          <w:color w:val="005DA1"/>
          <w:vertAlign w:val="baseline"/>
        </w:rPr>
        <w:t> </w:t>
      </w:r>
      <w:r>
        <w:rPr>
          <w:vertAlign w:val="baseline"/>
        </w:rPr>
        <w:t>This question is discussed in Chapter 5 below </w:t>
      </w:r>
      <w:r>
        <w:rPr>
          <w:color w:val="005DA1"/>
          <w:u w:val="single" w:color="005DA1"/>
          <w:vertAlign w:val="superscript"/>
        </w:rPr>
        <w:t>893</w:t>
      </w:r>
      <w:r>
        <w:rPr>
          <w:vertAlign w:val="baseline"/>
        </w:rPr>
        <w:t>; here it suffices to say that </w:t>
      </w:r>
      <w:bookmarkStart w:name="_bookmark1667" w:id="1669"/>
      <w:bookmarkEnd w:id="1669"/>
      <w:r>
        <w:rPr>
          <w:vertAlign w:val="baseline"/>
        </w:rPr>
        <w:t>the</w:t>
      </w:r>
      <w:r>
        <w:rPr>
          <w:vertAlign w:val="baseline"/>
        </w:rPr>
        <w:t> relation between the two concepts depends on a distinction between two types of cases. The first is</w:t>
      </w:r>
      <w:r>
        <w:rPr>
          <w:spacing w:val="-1"/>
          <w:vertAlign w:val="baseline"/>
        </w:rPr>
        <w:t> </w:t>
      </w:r>
      <w:r>
        <w:rPr>
          <w:vertAlign w:val="baseline"/>
        </w:rPr>
        <w:t>that</w:t>
      </w:r>
      <w:r>
        <w:rPr>
          <w:spacing w:val="-1"/>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one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elements</w:t>
      </w:r>
      <w:r>
        <w:rPr>
          <w:spacing w:val="-1"/>
          <w:vertAlign w:val="baseline"/>
        </w:rPr>
        <w:t> </w:t>
      </w:r>
      <w:r>
        <w:rPr>
          <w:vertAlign w:val="baseline"/>
        </w:rPr>
        <w:t>capable</w:t>
      </w:r>
      <w:r>
        <w:rPr>
          <w:spacing w:val="-1"/>
          <w:vertAlign w:val="baseline"/>
        </w:rPr>
        <w:t> </w:t>
      </w:r>
      <w:r>
        <w:rPr>
          <w:vertAlign w:val="baseline"/>
        </w:rPr>
        <w:t>of</w:t>
      </w:r>
      <w:r>
        <w:rPr>
          <w:spacing w:val="-1"/>
          <w:vertAlign w:val="baseline"/>
        </w:rPr>
        <w:t> </w:t>
      </w:r>
      <w:r>
        <w:rPr>
          <w:vertAlign w:val="baseline"/>
        </w:rPr>
        <w:t>giving</w:t>
      </w:r>
      <w:r>
        <w:rPr>
          <w:spacing w:val="-1"/>
          <w:vertAlign w:val="baseline"/>
        </w:rPr>
        <w:t> </w:t>
      </w:r>
      <w:r>
        <w:rPr>
          <w:vertAlign w:val="baseline"/>
        </w:rPr>
        <w:t>rise</w:t>
      </w:r>
      <w:r>
        <w:rPr>
          <w:spacing w:val="-2"/>
          <w:vertAlign w:val="baseline"/>
        </w:rPr>
        <w:t> </w:t>
      </w:r>
      <w:r>
        <w:rPr>
          <w:color w:val="005DA1"/>
          <w:u w:val="single" w:color="005DA1"/>
          <w:vertAlign w:val="superscript"/>
        </w:rPr>
        <w:t>894</w:t>
      </w:r>
      <w:r>
        <w:rPr>
          <w:color w:val="005DA1"/>
          <w:spacing w:val="-1"/>
          <w:vertAlign w:val="baseline"/>
        </w:rPr>
        <w:t> </w:t>
      </w:r>
      <w:r>
        <w:rPr>
          <w:vertAlign w:val="baseline"/>
        </w:rPr>
        <w:t>to</w:t>
      </w:r>
      <w:r>
        <w:rPr>
          <w:spacing w:val="-1"/>
          <w:vertAlign w:val="baseline"/>
        </w:rPr>
        <w:t> </w:t>
      </w:r>
      <w:r>
        <w:rPr>
          <w:vertAlign w:val="baseline"/>
        </w:rPr>
        <w:t>proprietary</w:t>
      </w:r>
      <w:r>
        <w:rPr>
          <w:spacing w:val="-1"/>
          <w:vertAlign w:val="baseline"/>
        </w:rPr>
        <w:t> </w:t>
      </w:r>
      <w:r>
        <w:rPr>
          <w:vertAlign w:val="baseline"/>
        </w:rPr>
        <w:t>estoppel</w:t>
      </w:r>
      <w:r>
        <w:rPr>
          <w:spacing w:val="-1"/>
          <w:vertAlign w:val="baseline"/>
        </w:rPr>
        <w:t> </w:t>
      </w:r>
      <w:r>
        <w:rPr>
          <w:vertAlign w:val="baseline"/>
        </w:rPr>
        <w:t>is</w:t>
      </w:r>
      <w:r>
        <w:rPr>
          <w:spacing w:val="-1"/>
          <w:vertAlign w:val="baseline"/>
        </w:rPr>
        <w:t> </w:t>
      </w:r>
      <w:r>
        <w:rPr>
          <w:vertAlign w:val="baseline"/>
        </w:rPr>
        <w:t>an</w:t>
      </w:r>
      <w:r>
        <w:rPr>
          <w:spacing w:val="-1"/>
          <w:vertAlign w:val="baseline"/>
        </w:rPr>
        <w:t> </w:t>
      </w:r>
      <w:r>
        <w:rPr>
          <w:vertAlign w:val="baseline"/>
        </w:rPr>
        <w:t>“agreement, or</w:t>
      </w:r>
      <w:r>
        <w:rPr>
          <w:spacing w:val="53"/>
          <w:vertAlign w:val="baseline"/>
        </w:rPr>
        <w:t> </w:t>
      </w:r>
      <w:r>
        <w:rPr>
          <w:vertAlign w:val="baseline"/>
        </w:rPr>
        <w:t>at</w:t>
      </w:r>
      <w:r>
        <w:rPr>
          <w:spacing w:val="53"/>
          <w:vertAlign w:val="baseline"/>
        </w:rPr>
        <w:t> </w:t>
      </w:r>
      <w:r>
        <w:rPr>
          <w:vertAlign w:val="baseline"/>
        </w:rPr>
        <w:t>least</w:t>
      </w:r>
      <w:r>
        <w:rPr>
          <w:spacing w:val="53"/>
          <w:vertAlign w:val="baseline"/>
        </w:rPr>
        <w:t> </w:t>
      </w:r>
      <w:r>
        <w:rPr>
          <w:vertAlign w:val="baseline"/>
        </w:rPr>
        <w:t>an</w:t>
      </w:r>
      <w:r>
        <w:rPr>
          <w:spacing w:val="53"/>
          <w:vertAlign w:val="baseline"/>
        </w:rPr>
        <w:t> </w:t>
      </w:r>
      <w:r>
        <w:rPr>
          <w:vertAlign w:val="baseline"/>
        </w:rPr>
        <w:t>expression</w:t>
      </w:r>
      <w:r>
        <w:rPr>
          <w:spacing w:val="53"/>
          <w:vertAlign w:val="baseline"/>
        </w:rPr>
        <w:t> </w:t>
      </w:r>
      <w:r>
        <w:rPr>
          <w:vertAlign w:val="baseline"/>
        </w:rPr>
        <w:t>of</w:t>
      </w:r>
      <w:r>
        <w:rPr>
          <w:spacing w:val="53"/>
          <w:vertAlign w:val="baseline"/>
        </w:rPr>
        <w:t> </w:t>
      </w:r>
      <w:r>
        <w:rPr>
          <w:vertAlign w:val="baseline"/>
        </w:rPr>
        <w:t>common</w:t>
      </w:r>
      <w:r>
        <w:rPr>
          <w:spacing w:val="53"/>
          <w:vertAlign w:val="baseline"/>
        </w:rPr>
        <w:t> </w:t>
      </w:r>
      <w:r>
        <w:rPr>
          <w:vertAlign w:val="baseline"/>
        </w:rPr>
        <w:t>understanding,</w:t>
      </w:r>
      <w:r>
        <w:rPr>
          <w:spacing w:val="53"/>
          <w:vertAlign w:val="baseline"/>
        </w:rPr>
        <w:t> </w:t>
      </w:r>
      <w:r>
        <w:rPr>
          <w:vertAlign w:val="baseline"/>
        </w:rPr>
        <w:t>exchanged</w:t>
      </w:r>
      <w:r>
        <w:rPr>
          <w:spacing w:val="53"/>
          <w:vertAlign w:val="baseline"/>
        </w:rPr>
        <w:t> </w:t>
      </w:r>
      <w:r>
        <w:rPr>
          <w:vertAlign w:val="baseline"/>
        </w:rPr>
        <w:t>between</w:t>
      </w:r>
      <w:r>
        <w:rPr>
          <w:spacing w:val="53"/>
          <w:vertAlign w:val="baseline"/>
        </w:rPr>
        <w:t> </w:t>
      </w:r>
      <w:r>
        <w:rPr>
          <w:vertAlign w:val="baseline"/>
        </w:rPr>
        <w:t>the</w:t>
      </w:r>
      <w:r>
        <w:rPr>
          <w:spacing w:val="53"/>
          <w:vertAlign w:val="baseline"/>
        </w:rPr>
        <w:t> </w:t>
      </w:r>
      <w:r>
        <w:rPr>
          <w:vertAlign w:val="baseline"/>
        </w:rPr>
        <w:t>parties</w:t>
      </w:r>
      <w:r>
        <w:rPr>
          <w:spacing w:val="53"/>
          <w:vertAlign w:val="baseline"/>
        </w:rPr>
        <w:t> </w:t>
      </w:r>
      <w:r>
        <w:rPr>
          <w:vertAlign w:val="baseline"/>
        </w:rPr>
        <w:t>as</w:t>
      </w:r>
      <w:r>
        <w:rPr>
          <w:spacing w:val="53"/>
          <w:vertAlign w:val="baseline"/>
        </w:rPr>
        <w:t> </w:t>
      </w:r>
      <w:r>
        <w:rPr>
          <w:vertAlign w:val="baseline"/>
        </w:rPr>
        <w:t>to</w:t>
      </w:r>
      <w:r>
        <w:rPr>
          <w:spacing w:val="53"/>
          <w:vertAlign w:val="baseline"/>
        </w:rPr>
        <w:t> </w:t>
      </w:r>
      <w:r>
        <w:rPr>
          <w:spacing w:val="-5"/>
          <w:vertAlign w:val="baseline"/>
        </w:rPr>
        <w:t>the</w:t>
      </w:r>
    </w:p>
    <w:p>
      <w:pPr>
        <w:pStyle w:val="BodyText"/>
        <w:spacing w:after="0" w:line="235" w:lineRule="auto"/>
        <w:jc w:val="both"/>
        <w:sectPr>
          <w:headerReference w:type="default" r:id="rId52"/>
          <w:headerReference w:type="even" r:id="rId53"/>
          <w:pgSz w:w="11900" w:h="16840"/>
          <w:pgMar w:header="971" w:footer="0" w:top="1160" w:bottom="280" w:left="1275" w:right="1275"/>
          <w:pgNumType w:start="1"/>
        </w:sectPr>
      </w:pPr>
    </w:p>
    <w:p>
      <w:pPr>
        <w:pStyle w:val="BodyText"/>
        <w:spacing w:before="24"/>
      </w:pPr>
    </w:p>
    <w:p>
      <w:pPr>
        <w:pStyle w:val="BodyText"/>
        <w:spacing w:line="235" w:lineRule="auto" w:before="1"/>
        <w:ind w:left="165" w:right="167"/>
        <w:jc w:val="both"/>
      </w:pPr>
      <w:bookmarkStart w:name="_bookmark1668" w:id="1670"/>
      <w:bookmarkEnd w:id="1670"/>
      <w:r>
        <w:rPr/>
      </w:r>
      <w:r>
        <w:rPr/>
        <w:t>existence, or intended existence, of a proprietary interest … “ </w:t>
      </w:r>
      <w:r>
        <w:rPr>
          <w:color w:val="005DA1"/>
          <w:u w:val="single" w:color="005DA1"/>
          <w:vertAlign w:val="superscript"/>
        </w:rPr>
        <w:t>895</w:t>
      </w:r>
      <w:r>
        <w:rPr>
          <w:color w:val="005DA1"/>
          <w:vertAlign w:val="baseline"/>
        </w:rPr>
        <w:t> </w:t>
      </w:r>
      <w:r>
        <w:rPr>
          <w:vertAlign w:val="baseline"/>
        </w:rPr>
        <w:t>The second type of case is that in </w:t>
      </w:r>
      <w:bookmarkStart w:name="_bookmark1669" w:id="1671"/>
      <w:bookmarkEnd w:id="1671"/>
      <w:r>
        <w:rPr>
          <w:vertAlign w:val="baseline"/>
        </w:rPr>
        <w:t>which</w:t>
      </w:r>
      <w:r>
        <w:rPr>
          <w:vertAlign w:val="baseline"/>
        </w:rPr>
        <w:t> proprietary estoppel can arise without any such element of agreement: e.g., where </w:t>
      </w:r>
      <w:r>
        <w:rPr>
          <w:vertAlign w:val="baseline"/>
        </w:rPr>
        <w:t>“a landowner stands by while his neighbour mistakenly builds on the former’s land.” </w:t>
      </w:r>
      <w:r>
        <w:rPr>
          <w:color w:val="005DA1"/>
          <w:u w:val="single" w:color="005DA1"/>
          <w:vertAlign w:val="superscript"/>
        </w:rPr>
        <w:t>896</w:t>
      </w:r>
      <w:r>
        <w:rPr>
          <w:color w:val="005DA1"/>
          <w:vertAlign w:val="baseline"/>
        </w:rPr>
        <w:t> </w:t>
      </w:r>
      <w:r>
        <w:rPr>
          <w:vertAlign w:val="baseline"/>
        </w:rPr>
        <w:t>In cases of the </w:t>
      </w:r>
      <w:bookmarkStart w:name="_bookmark1670" w:id="1672"/>
      <w:bookmarkEnd w:id="1672"/>
      <w:r>
        <w:rPr>
          <w:vertAlign w:val="baseline"/>
        </w:rPr>
        <w:t>first</w:t>
      </w:r>
      <w:r>
        <w:rPr>
          <w:spacing w:val="35"/>
          <w:vertAlign w:val="baseline"/>
        </w:rPr>
        <w:t> </w:t>
      </w:r>
      <w:r>
        <w:rPr>
          <w:vertAlign w:val="baseline"/>
        </w:rPr>
        <w:t>kind,</w:t>
      </w:r>
      <w:r>
        <w:rPr>
          <w:spacing w:val="35"/>
          <w:vertAlign w:val="baseline"/>
        </w:rPr>
        <w:t> </w:t>
      </w:r>
      <w:r>
        <w:rPr>
          <w:vertAlign w:val="baseline"/>
        </w:rPr>
        <w:t>the</w:t>
      </w:r>
      <w:r>
        <w:rPr>
          <w:spacing w:val="35"/>
          <w:vertAlign w:val="baseline"/>
        </w:rPr>
        <w:t> </w:t>
      </w:r>
      <w:r>
        <w:rPr>
          <w:vertAlign w:val="baseline"/>
        </w:rPr>
        <w:t>two</w:t>
      </w:r>
      <w:r>
        <w:rPr>
          <w:spacing w:val="35"/>
          <w:vertAlign w:val="baseline"/>
        </w:rPr>
        <w:t> </w:t>
      </w:r>
      <w:r>
        <w:rPr>
          <w:vertAlign w:val="baseline"/>
        </w:rPr>
        <w:t>concepts</w:t>
      </w:r>
      <w:r>
        <w:rPr>
          <w:spacing w:val="35"/>
          <w:vertAlign w:val="baseline"/>
        </w:rPr>
        <w:t> </w:t>
      </w:r>
      <w:r>
        <w:rPr>
          <w:vertAlign w:val="baseline"/>
        </w:rPr>
        <w:t>overlap</w:t>
      </w:r>
      <w:r>
        <w:rPr>
          <w:spacing w:val="35"/>
          <w:vertAlign w:val="baseline"/>
        </w:rPr>
        <w:t> </w:t>
      </w:r>
      <w:r>
        <w:rPr>
          <w:vertAlign w:val="baseline"/>
        </w:rPr>
        <w:t>in</w:t>
      </w:r>
      <w:r>
        <w:rPr>
          <w:spacing w:val="35"/>
          <w:vertAlign w:val="baseline"/>
        </w:rPr>
        <w:t> </w:t>
      </w:r>
      <w:r>
        <w:rPr>
          <w:vertAlign w:val="baseline"/>
        </w:rPr>
        <w:t>the</w:t>
      </w:r>
      <w:r>
        <w:rPr>
          <w:spacing w:val="35"/>
          <w:vertAlign w:val="baseline"/>
        </w:rPr>
        <w:t> </w:t>
      </w:r>
      <w:r>
        <w:rPr>
          <w:vertAlign w:val="baseline"/>
        </w:rPr>
        <w:t>sense</w:t>
      </w:r>
      <w:r>
        <w:rPr>
          <w:spacing w:val="35"/>
          <w:vertAlign w:val="baseline"/>
        </w:rPr>
        <w:t> </w:t>
      </w:r>
      <w:r>
        <w:rPr>
          <w:vertAlign w:val="baseline"/>
        </w:rPr>
        <w:t>that</w:t>
      </w:r>
      <w:r>
        <w:rPr>
          <w:spacing w:val="35"/>
          <w:vertAlign w:val="baseline"/>
        </w:rPr>
        <w:t> </w:t>
      </w:r>
      <w:r>
        <w:rPr>
          <w:vertAlign w:val="baseline"/>
        </w:rPr>
        <w:t>the</w:t>
      </w:r>
      <w:r>
        <w:rPr>
          <w:spacing w:val="35"/>
          <w:vertAlign w:val="baseline"/>
        </w:rPr>
        <w:t> </w:t>
      </w:r>
      <w:r>
        <w:rPr>
          <w:vertAlign w:val="baseline"/>
        </w:rPr>
        <w:t>same</w:t>
      </w:r>
      <w:r>
        <w:rPr>
          <w:spacing w:val="35"/>
          <w:vertAlign w:val="baseline"/>
        </w:rPr>
        <w:t> </w:t>
      </w:r>
      <w:r>
        <w:rPr>
          <w:vertAlign w:val="baseline"/>
        </w:rPr>
        <w:t>facts</w:t>
      </w:r>
      <w:r>
        <w:rPr>
          <w:spacing w:val="35"/>
          <w:vertAlign w:val="baseline"/>
        </w:rPr>
        <w:t> </w:t>
      </w:r>
      <w:r>
        <w:rPr>
          <w:vertAlign w:val="baseline"/>
        </w:rPr>
        <w:t>can</w:t>
      </w:r>
      <w:r>
        <w:rPr>
          <w:spacing w:val="35"/>
          <w:vertAlign w:val="baseline"/>
        </w:rPr>
        <w:t> </w:t>
      </w:r>
      <w:r>
        <w:rPr>
          <w:vertAlign w:val="baseline"/>
        </w:rPr>
        <w:t>give</w:t>
      </w:r>
      <w:r>
        <w:rPr>
          <w:spacing w:val="35"/>
          <w:vertAlign w:val="baseline"/>
        </w:rPr>
        <w:t> </w:t>
      </w:r>
      <w:r>
        <w:rPr>
          <w:vertAlign w:val="baseline"/>
        </w:rPr>
        <w:t>rise,</w:t>
      </w:r>
      <w:r>
        <w:rPr>
          <w:spacing w:val="35"/>
          <w:vertAlign w:val="baseline"/>
        </w:rPr>
        <w:t> </w:t>
      </w:r>
      <w:r>
        <w:rPr>
          <w:vertAlign w:val="baseline"/>
        </w:rPr>
        <w:t>not</w:t>
      </w:r>
      <w:r>
        <w:rPr>
          <w:spacing w:val="35"/>
          <w:vertAlign w:val="baseline"/>
        </w:rPr>
        <w:t> </w:t>
      </w:r>
      <w:r>
        <w:rPr>
          <w:vertAlign w:val="baseline"/>
        </w:rPr>
        <w:t>only</w:t>
      </w:r>
      <w:r>
        <w:rPr>
          <w:spacing w:val="35"/>
          <w:vertAlign w:val="baseline"/>
        </w:rPr>
        <w:t> </w:t>
      </w:r>
      <w:r>
        <w:rPr>
          <w:vertAlign w:val="baseline"/>
        </w:rPr>
        <w:t>to</w:t>
      </w:r>
      <w:r>
        <w:rPr>
          <w:spacing w:val="35"/>
          <w:vertAlign w:val="baseline"/>
        </w:rPr>
        <w:t> </w:t>
      </w:r>
      <w:r>
        <w:rPr>
          <w:spacing w:val="-10"/>
          <w:vertAlign w:val="baseline"/>
        </w:rPr>
        <w:t>a</w:t>
      </w:r>
    </w:p>
    <w:p>
      <w:pPr>
        <w:pStyle w:val="BodyText"/>
        <w:spacing w:before="114"/>
        <w:ind w:left="165"/>
        <w:jc w:val="both"/>
      </w:pPr>
      <w:bookmarkStart w:name="_bookmark1671" w:id="1673"/>
      <w:bookmarkEnd w:id="1673"/>
      <w:r>
        <w:rPr/>
      </w:r>
      <w:r>
        <w:rPr/>
        <w:t>proprietary</w:t>
      </w:r>
      <w:r>
        <w:rPr>
          <w:spacing w:val="1"/>
        </w:rPr>
        <w:t> </w:t>
      </w:r>
      <w:r>
        <w:rPr/>
        <w:t>estoppel,</w:t>
      </w:r>
      <w:r>
        <w:rPr>
          <w:spacing w:val="1"/>
        </w:rPr>
        <w:t> </w:t>
      </w:r>
      <w:r>
        <w:rPr/>
        <w:t>but</w:t>
      </w:r>
      <w:r>
        <w:rPr>
          <w:spacing w:val="1"/>
        </w:rPr>
        <w:t> </w:t>
      </w:r>
      <w:r>
        <w:rPr/>
        <w:t>also</w:t>
      </w:r>
      <w:r>
        <w:rPr>
          <w:spacing w:val="1"/>
        </w:rPr>
        <w:t> </w:t>
      </w:r>
      <w:r>
        <w:rPr/>
        <w:t>to</w:t>
      </w:r>
      <w:r>
        <w:rPr>
          <w:spacing w:val="1"/>
        </w:rPr>
        <w:t> </w:t>
      </w:r>
      <w:r>
        <w:rPr/>
        <w:t>a</w:t>
      </w:r>
      <w:r>
        <w:rPr>
          <w:spacing w:val="2"/>
        </w:rPr>
        <w:t> </w:t>
      </w:r>
      <w:r>
        <w:rPr/>
        <w:t>constructive</w:t>
      </w:r>
      <w:r>
        <w:rPr>
          <w:spacing w:val="1"/>
        </w:rPr>
        <w:t> </w:t>
      </w:r>
      <w:r>
        <w:rPr/>
        <w:t>trust.</w:t>
      </w:r>
      <w:r>
        <w:rPr>
          <w:spacing w:val="1"/>
        </w:rPr>
        <w:t> </w:t>
      </w:r>
      <w:r>
        <w:rPr>
          <w:color w:val="005DA1"/>
          <w:u w:val="single" w:color="005DA1"/>
          <w:vertAlign w:val="superscript"/>
        </w:rPr>
        <w:t>897</w:t>
      </w:r>
      <w:r>
        <w:rPr>
          <w:color w:val="005DA1"/>
          <w:spacing w:val="30"/>
          <w:vertAlign w:val="baseline"/>
        </w:rPr>
        <w:t>  </w:t>
      </w:r>
      <w:r>
        <w:rPr>
          <w:color w:val="005DA1"/>
          <w:spacing w:val="7"/>
          <w:position w:val="-2"/>
          <w:vertAlign w:val="baseline"/>
        </w:rPr>
        <w:drawing>
          <wp:inline distT="0" distB="0" distL="0" distR="0">
            <wp:extent cx="107988" cy="107988"/>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color w:val="005DA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also</w:t>
      </w:r>
      <w:r>
        <w:rPr>
          <w:spacing w:val="2"/>
          <w:vertAlign w:val="baseline"/>
        </w:rPr>
        <w:t> </w:t>
      </w:r>
      <w:r>
        <w:rPr>
          <w:vertAlign w:val="baseline"/>
        </w:rPr>
        <w:t>possible,</w:t>
      </w:r>
      <w:r>
        <w:rPr>
          <w:spacing w:val="1"/>
          <w:vertAlign w:val="baseline"/>
        </w:rPr>
        <w:t> </w:t>
      </w:r>
      <w:r>
        <w:rPr>
          <w:vertAlign w:val="baseline"/>
        </w:rPr>
        <w:t>in</w:t>
      </w:r>
      <w:r>
        <w:rPr>
          <w:spacing w:val="1"/>
          <w:vertAlign w:val="baseline"/>
        </w:rPr>
        <w:t> </w:t>
      </w:r>
      <w:r>
        <w:rPr>
          <w:vertAlign w:val="baseline"/>
        </w:rPr>
        <w:t>cases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first</w:t>
      </w:r>
      <w:r>
        <w:rPr>
          <w:spacing w:val="2"/>
          <w:vertAlign w:val="baseline"/>
        </w:rPr>
        <w:t> </w:t>
      </w:r>
      <w:r>
        <w:rPr>
          <w:spacing w:val="-4"/>
          <w:vertAlign w:val="baseline"/>
        </w:rPr>
        <w:t>kind</w:t>
      </w:r>
    </w:p>
    <w:p>
      <w:pPr>
        <w:pStyle w:val="BodyText"/>
        <w:spacing w:before="9"/>
      </w:pPr>
    </w:p>
    <w:p>
      <w:pPr>
        <w:pStyle w:val="BodyText"/>
        <w:spacing w:line="235" w:lineRule="auto"/>
        <w:ind w:left="165" w:right="168"/>
        <w:jc w:val="both"/>
      </w:pPr>
      <w:bookmarkStart w:name="_bookmark1672" w:id="1674"/>
      <w:bookmarkEnd w:id="1674"/>
      <w:r>
        <w:rPr/>
      </w:r>
      <w:bookmarkStart w:name="_bookmark1673" w:id="1675"/>
      <w:bookmarkEnd w:id="1675"/>
      <w:r>
        <w:rPr/>
      </w:r>
      <w:r>
        <w:rPr/>
        <w:t>described in para.4-142 </w:t>
      </w:r>
      <w:r>
        <w:rPr>
          <w:color w:val="005DA1"/>
          <w:u w:val="single" w:color="005DA1"/>
          <w:vertAlign w:val="superscript"/>
        </w:rPr>
        <w:t>898</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320" name="Image 320"/>
            <wp:cNvGraphicFramePr>
              <a:graphicFrameLocks/>
            </wp:cNvGraphicFramePr>
            <a:graphic>
              <a:graphicData uri="http://schemas.openxmlformats.org/drawingml/2006/picture">
                <pic:pic>
                  <pic:nvPicPr>
                    <pic:cNvPr id="320" name="Image 32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5"/>
          <w:vertAlign w:val="baseline"/>
        </w:rPr>
        <w:t> </w:t>
      </w:r>
      <w:r>
        <w:rPr>
          <w:vertAlign w:val="baseline"/>
        </w:rPr>
        <w:t>for relief to be given on the ground of proprietary estoppel </w:t>
      </w:r>
      <w:r>
        <w:rPr>
          <w:color w:val="005DA1"/>
          <w:u w:val="single" w:color="005DA1"/>
          <w:vertAlign w:val="superscript"/>
        </w:rPr>
        <w:t>899</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5"/>
          <w:vertAlign w:val="baseline"/>
        </w:rPr>
        <w:t> </w:t>
      </w:r>
      <w:r>
        <w:rPr>
          <w:vertAlign w:val="baseline"/>
        </w:rPr>
        <w:t>even though</w:t>
      </w:r>
      <w:r>
        <w:rPr>
          <w:spacing w:val="2"/>
          <w:vertAlign w:val="baseline"/>
        </w:rPr>
        <w:t> </w:t>
      </w:r>
      <w:r>
        <w:rPr>
          <w:vertAlign w:val="baseline"/>
        </w:rPr>
        <w:t>the</w:t>
      </w:r>
      <w:r>
        <w:rPr>
          <w:spacing w:val="3"/>
          <w:vertAlign w:val="baseline"/>
        </w:rPr>
        <w:t> </w:t>
      </w:r>
      <w:r>
        <w:rPr>
          <w:vertAlign w:val="baseline"/>
        </w:rPr>
        <w:t>facts</w:t>
      </w:r>
      <w:r>
        <w:rPr>
          <w:spacing w:val="3"/>
          <w:vertAlign w:val="baseline"/>
        </w:rPr>
        <w:t> </w:t>
      </w:r>
      <w:r>
        <w:rPr>
          <w:vertAlign w:val="baseline"/>
        </w:rPr>
        <w:t>do</w:t>
      </w:r>
      <w:r>
        <w:rPr>
          <w:spacing w:val="3"/>
          <w:vertAlign w:val="baseline"/>
        </w:rPr>
        <w:t> </w:t>
      </w:r>
      <w:r>
        <w:rPr>
          <w:rFonts w:ascii="Arial" w:hAnsi="Arial"/>
          <w:i/>
          <w:vertAlign w:val="baseline"/>
        </w:rPr>
        <w:t>not</w:t>
      </w:r>
      <w:r>
        <w:rPr>
          <w:vertAlign w:val="baseline"/>
        </w:rPr>
        <w:t>,</w:t>
      </w:r>
      <w:r>
        <w:rPr>
          <w:spacing w:val="3"/>
          <w:vertAlign w:val="baseline"/>
        </w:rPr>
        <w:t> </w:t>
      </w:r>
      <w:r>
        <w:rPr>
          <w:vertAlign w:val="baseline"/>
        </w:rPr>
        <w:t>for</w:t>
      </w:r>
      <w:r>
        <w:rPr>
          <w:spacing w:val="3"/>
          <w:vertAlign w:val="baseline"/>
        </w:rPr>
        <w:t> </w:t>
      </w:r>
      <w:r>
        <w:rPr>
          <w:vertAlign w:val="baseline"/>
        </w:rPr>
        <w:t>want</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sufficiently</w:t>
      </w:r>
      <w:r>
        <w:rPr>
          <w:spacing w:val="3"/>
          <w:vertAlign w:val="baseline"/>
        </w:rPr>
        <w:t> </w:t>
      </w:r>
      <w:r>
        <w:rPr>
          <w:vertAlign w:val="baseline"/>
        </w:rPr>
        <w:t>“clear</w:t>
      </w:r>
      <w:r>
        <w:rPr>
          <w:spacing w:val="3"/>
          <w:vertAlign w:val="baseline"/>
        </w:rPr>
        <w:t> </w:t>
      </w:r>
      <w:r>
        <w:rPr>
          <w:vertAlign w:val="baseline"/>
        </w:rPr>
        <w:t>agreement”,</w:t>
      </w:r>
      <w:r>
        <w:rPr>
          <w:spacing w:val="3"/>
          <w:vertAlign w:val="baseline"/>
        </w:rPr>
        <w:t> </w:t>
      </w:r>
      <w:r>
        <w:rPr>
          <w:vertAlign w:val="baseline"/>
        </w:rPr>
        <w:t>give</w:t>
      </w:r>
      <w:r>
        <w:rPr>
          <w:spacing w:val="3"/>
          <w:vertAlign w:val="baseline"/>
        </w:rPr>
        <w:t> </w:t>
      </w:r>
      <w:r>
        <w:rPr>
          <w:vertAlign w:val="baseline"/>
        </w:rPr>
        <w:t>rise</w:t>
      </w:r>
      <w:r>
        <w:rPr>
          <w:spacing w:val="3"/>
          <w:vertAlign w:val="baseline"/>
        </w:rPr>
        <w:t> </w:t>
      </w:r>
      <w:r>
        <w:rPr>
          <w:vertAlign w:val="baseline"/>
        </w:rPr>
        <w:t>to</w:t>
      </w:r>
      <w:r>
        <w:rPr>
          <w:spacing w:val="3"/>
          <w:vertAlign w:val="baseline"/>
        </w:rPr>
        <w:t> </w:t>
      </w:r>
      <w:r>
        <w:rPr>
          <w:vertAlign w:val="baseline"/>
        </w:rPr>
        <w:t>any</w:t>
      </w:r>
      <w:r>
        <w:rPr>
          <w:spacing w:val="3"/>
          <w:vertAlign w:val="baseline"/>
        </w:rPr>
        <w:t> </w:t>
      </w:r>
      <w:r>
        <w:rPr>
          <w:vertAlign w:val="baseline"/>
        </w:rPr>
        <w:t>constructive</w:t>
      </w:r>
      <w:r>
        <w:rPr>
          <w:spacing w:val="3"/>
          <w:vertAlign w:val="baseline"/>
        </w:rPr>
        <w:t> </w:t>
      </w:r>
      <w:r>
        <w:rPr>
          <w:spacing w:val="-2"/>
          <w:vertAlign w:val="baseline"/>
        </w:rPr>
        <w:t>trust.</w:t>
      </w:r>
    </w:p>
    <w:p>
      <w:pPr>
        <w:pStyle w:val="BodyText"/>
        <w:spacing w:line="235" w:lineRule="auto" w:before="119"/>
        <w:ind w:left="165" w:right="168"/>
        <w:jc w:val="both"/>
      </w:pPr>
      <w:hyperlink w:history="true" w:anchor="_bookmark1721">
        <w:r>
          <w:rPr>
            <w:color w:val="005DA1"/>
            <w:u w:val="single" w:color="005DA1"/>
            <w:vertAlign w:val="superscript"/>
          </w:rPr>
          <w:t>900</w:t>
        </w:r>
        <w:r>
          <w:rPr>
            <w:color w:val="005DA1"/>
            <w:spacing w:val="80"/>
            <w:vertAlign w:val="baseline"/>
          </w:rPr>
          <w:t> </w:t>
        </w:r>
        <w:r>
          <w:rPr>
            <w:color w:val="005DA1"/>
            <w:spacing w:val="26"/>
            <w:position w:val="-2"/>
            <w:vertAlign w:val="baseline"/>
          </w:rPr>
          <w:drawing>
            <wp:inline distT="0" distB="0" distL="0" distR="0">
              <wp:extent cx="107988" cy="107988"/>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color w:val="005DA1"/>
            <w:spacing w:val="5"/>
            <w:vertAlign w:val="baseline"/>
          </w:rPr>
          <w:t> </w:t>
        </w:r>
        <w:bookmarkStart w:name="_bookmark1674" w:id="1676"/>
        <w:bookmarkEnd w:id="1676"/>
        <w:r>
          <w:rPr>
            <w:rFonts w:ascii="Times New Roman"/>
            <w:color w:val="005DA1"/>
            <w:spacing w:val="6"/>
            <w:vertAlign w:val="baseline"/>
          </w:rPr>
        </w:r>
        <w:r>
          <w:rPr>
            <w:vertAlign w:val="baseline"/>
          </w:rPr>
          <w:t>In cases of the second kind, there is no such overlap, so that, even if the requirements of proprietary estoppel are satisfied, there will not, for this reason alone, be a constructive trust. </w:t>
        </w:r>
        <w:r>
          <w:rPr>
            <w:color w:val="005DA1"/>
            <w:u w:val="single" w:color="005DA1"/>
            <w:vertAlign w:val="superscript"/>
          </w:rPr>
          <w:t>901</w:t>
        </w:r>
      </w:hyperlink>
    </w:p>
    <w:p>
      <w:pPr>
        <w:pStyle w:val="BodyText"/>
      </w:pPr>
    </w:p>
    <w:p>
      <w:pPr>
        <w:pStyle w:val="BodyText"/>
        <w:spacing w:before="38"/>
      </w:pPr>
    </w:p>
    <w:p>
      <w:pPr>
        <w:spacing w:before="0"/>
        <w:ind w:left="165" w:right="0" w:firstLine="0"/>
        <w:jc w:val="both"/>
        <w:rPr>
          <w:rFonts w:ascii="Arial"/>
          <w:b/>
          <w:sz w:val="18"/>
        </w:rPr>
      </w:pPr>
      <w:r>
        <w:rPr>
          <w:rFonts w:ascii="Arial"/>
          <w:b/>
          <w:sz w:val="18"/>
        </w:rPr>
        <w:t>Other acts done in reliance on the </w:t>
      </w:r>
      <w:r>
        <w:rPr>
          <w:rFonts w:ascii="Arial"/>
          <w:b/>
          <w:spacing w:val="-2"/>
          <w:sz w:val="18"/>
        </w:rPr>
        <w:t>promise</w:t>
      </w:r>
    </w:p>
    <w:p>
      <w:pPr>
        <w:pStyle w:val="BodyText"/>
        <w:spacing w:before="42"/>
        <w:rPr>
          <w:rFonts w:ascii="Arial"/>
          <w:b/>
          <w:sz w:val="18"/>
        </w:rPr>
      </w:pPr>
    </w:p>
    <w:p>
      <w:pPr>
        <w:pStyle w:val="Heading2"/>
      </w:pPr>
      <w:r>
        <w:rPr/>
        <w:t>4-</w:t>
      </w:r>
      <w:r>
        <w:rPr>
          <w:spacing w:val="-5"/>
        </w:rPr>
        <w:t>143</w:t>
      </w:r>
    </w:p>
    <w:p>
      <w:pPr>
        <w:pStyle w:val="BodyText"/>
        <w:spacing w:line="235" w:lineRule="auto" w:before="202"/>
        <w:ind w:left="164" w:right="167"/>
        <w:jc w:val="both"/>
      </w:pPr>
      <w:r>
        <w:rPr/>
        <w:t>The operation of proprietary estoppel is not confined to cases in which the promisee has </w:t>
      </w:r>
      <w:r>
        <w:rPr/>
        <w:t>incurred </w:t>
      </w:r>
      <w:bookmarkStart w:name="_bookmark1675" w:id="1677"/>
      <w:bookmarkEnd w:id="1677"/>
      <w:r>
        <w:rPr/>
        <w:t>expenditure</w:t>
      </w:r>
      <w:r>
        <w:rPr/>
        <w:t> on, or done work to, the promisor’s land. It can also apply where the promisee has conferred some other benefit on the promisor </w:t>
      </w:r>
      <w:r>
        <w:rPr>
          <w:color w:val="005DA1"/>
          <w:u w:val="single" w:color="005DA1"/>
          <w:vertAlign w:val="superscript"/>
        </w:rPr>
        <w:t>902</w:t>
      </w:r>
      <w:r>
        <w:rPr>
          <w:vertAlign w:val="baseline"/>
        </w:rPr>
        <w:t>; and even where no work has been done on the promisor’s land and he has not received any other benefit. This indeed appears from one of the illustrations given by Lord Westbury in </w:t>
      </w:r>
      <w:r>
        <w:rPr>
          <w:rFonts w:ascii="Arial" w:hAnsi="Arial"/>
          <w:i/>
          <w:vertAlign w:val="baseline"/>
        </w:rPr>
        <w:t>Dillwyn v Llewelyn</w:t>
      </w:r>
      <w:r>
        <w:rPr>
          <w:vertAlign w:val="baseline"/>
        </w:rPr>
        <w:t>: if “A gives a house to B, but makes no </w:t>
      </w:r>
      <w:bookmarkStart w:name="_bookmark1676" w:id="1678"/>
      <w:bookmarkEnd w:id="1678"/>
      <w:r>
        <w:rPr>
          <w:vertAlign w:val="baseline"/>
        </w:rPr>
        <w:t>formal</w:t>
      </w:r>
      <w:r>
        <w:rPr>
          <w:vertAlign w:val="baseline"/>
        </w:rPr>
        <w:t> conveyance, and the house is afterwards included, with the knowledge of A, in the marriage settlement of B, A would be bound to complete the title of the parties claiming under the settlement.” </w:t>
      </w:r>
      <w:r>
        <w:rPr>
          <w:color w:val="005DA1"/>
          <w:u w:val="single" w:color="005DA1"/>
          <w:vertAlign w:val="superscript"/>
        </w:rPr>
        <w:t>903</w:t>
      </w:r>
      <w:r>
        <w:rPr>
          <w:color w:val="005DA1"/>
          <w:vertAlign w:val="baseline"/>
        </w:rPr>
        <w:t> </w:t>
      </w:r>
      <w:bookmarkStart w:name="_bookmark1677" w:id="1679"/>
      <w:bookmarkEnd w:id="1679"/>
      <w:r>
        <w:rPr>
          <w:color w:val="005DA1"/>
          <w:spacing w:val="6"/>
          <w:vertAlign w:val="baseline"/>
        </w:rPr>
      </w:r>
      <w:r>
        <w:rPr>
          <w:vertAlign w:val="baseline"/>
        </w:rPr>
        <w:t>Similarly, the doctrine operated in the absence of any expenditure on the promisor’s land in </w:t>
      </w:r>
      <w:r>
        <w:rPr>
          <w:rFonts w:ascii="Arial" w:hAnsi="Arial"/>
          <w:i/>
          <w:vertAlign w:val="baseline"/>
        </w:rPr>
        <w:t>Crabb v Arun DC </w:t>
      </w:r>
      <w:r>
        <w:rPr>
          <w:color w:val="005DA1"/>
          <w:u w:val="single" w:color="005DA1"/>
          <w:vertAlign w:val="superscript"/>
        </w:rPr>
        <w:t>904</w:t>
      </w:r>
      <w:r>
        <w:rPr>
          <w:color w:val="005DA1"/>
          <w:vertAlign w:val="baseline"/>
        </w:rPr>
        <w:t> </w:t>
      </w:r>
      <w:r>
        <w:rPr>
          <w:vertAlign w:val="baseline"/>
        </w:rPr>
        <w:t>In that case A (a local authority) by its conduct represented to B that B had a right of way from his land over adjoining land owned by A. In reliance on that representation, B sold part of</w:t>
      </w:r>
      <w:r>
        <w:rPr>
          <w:spacing w:val="40"/>
          <w:vertAlign w:val="baseline"/>
        </w:rPr>
        <w:t> </w:t>
      </w:r>
      <w:r>
        <w:rPr>
          <w:vertAlign w:val="baseline"/>
        </w:rPr>
        <w:t>his</w:t>
      </w:r>
      <w:r>
        <w:rPr>
          <w:spacing w:val="-1"/>
          <w:vertAlign w:val="baseline"/>
        </w:rPr>
        <w:t> </w:t>
      </w:r>
      <w:r>
        <w:rPr>
          <w:vertAlign w:val="baseline"/>
        </w:rPr>
        <w:t>own</w:t>
      </w:r>
      <w:r>
        <w:rPr>
          <w:spacing w:val="-1"/>
          <w:vertAlign w:val="baseline"/>
        </w:rPr>
        <w:t> </w:t>
      </w:r>
      <w:r>
        <w:rPr>
          <w:vertAlign w:val="baseline"/>
        </w:rPr>
        <w:t>land,</w:t>
      </w:r>
      <w:r>
        <w:rPr>
          <w:spacing w:val="-1"/>
          <w:vertAlign w:val="baseline"/>
        </w:rPr>
        <w:t> </w:t>
      </w:r>
      <w:r>
        <w:rPr>
          <w:vertAlign w:val="baseline"/>
        </w:rPr>
        <w:t>so</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only</w:t>
      </w:r>
      <w:r>
        <w:rPr>
          <w:spacing w:val="-1"/>
          <w:vertAlign w:val="baseline"/>
        </w:rPr>
        <w:t> </w:t>
      </w:r>
      <w:r>
        <w:rPr>
          <w:vertAlign w:val="baseline"/>
        </w:rPr>
        <w:t>access</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remainder</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nearest</w:t>
      </w:r>
      <w:r>
        <w:rPr>
          <w:spacing w:val="-1"/>
          <w:vertAlign w:val="baseline"/>
        </w:rPr>
        <w:t> </w:t>
      </w:r>
      <w:r>
        <w:rPr>
          <w:vertAlign w:val="baseline"/>
        </w:rPr>
        <w:t>public</w:t>
      </w:r>
      <w:r>
        <w:rPr>
          <w:spacing w:val="-1"/>
          <w:vertAlign w:val="baseline"/>
        </w:rPr>
        <w:t> </w:t>
      </w:r>
      <w:r>
        <w:rPr>
          <w:vertAlign w:val="baseline"/>
        </w:rPr>
        <w:t>highway</w:t>
      </w:r>
      <w:r>
        <w:rPr>
          <w:spacing w:val="-1"/>
          <w:vertAlign w:val="baseline"/>
        </w:rPr>
        <w:t> </w:t>
      </w:r>
      <w:r>
        <w:rPr>
          <w:vertAlign w:val="baseline"/>
        </w:rPr>
        <w:t>was</w:t>
      </w:r>
      <w:r>
        <w:rPr>
          <w:spacing w:val="-1"/>
          <w:vertAlign w:val="baseline"/>
        </w:rPr>
        <w:t> </w:t>
      </w:r>
      <w:r>
        <w:rPr>
          <w:vertAlign w:val="baseline"/>
        </w:rPr>
        <w:t>by</w:t>
      </w:r>
      <w:r>
        <w:rPr>
          <w:spacing w:val="-1"/>
          <w:vertAlign w:val="baseline"/>
        </w:rPr>
        <w:t> </w:t>
      </w:r>
      <w:r>
        <w:rPr>
          <w:vertAlign w:val="baseline"/>
        </w:rPr>
        <w:t>means of the right of way across A’s land. It was held that B had a right to cross A’s land for the purpose of </w:t>
      </w:r>
      <w:bookmarkStart w:name="_bookmark1678" w:id="1680"/>
      <w:bookmarkEnd w:id="1680"/>
      <w:r>
        <w:rPr>
          <w:vertAlign w:val="baseline"/>
        </w:rPr>
        <w:t>access</w:t>
      </w:r>
      <w:r>
        <w:rPr>
          <w:vertAlign w:val="baseline"/>
        </w:rPr>
        <w:t> to his retained land. Detrimental reliance by the promisee here gave rise to a proprietary estoppel even though no benefit was conferred on the promisor. </w:t>
      </w:r>
      <w:r>
        <w:rPr>
          <w:color w:val="005DA1"/>
          <w:u w:val="single" w:color="005DA1"/>
          <w:vertAlign w:val="superscript"/>
        </w:rPr>
        <w:t>905</w:t>
      </w:r>
    </w:p>
    <w:p>
      <w:pPr>
        <w:pStyle w:val="BodyText"/>
      </w:pPr>
    </w:p>
    <w:p>
      <w:pPr>
        <w:pStyle w:val="BodyText"/>
        <w:spacing w:before="33"/>
      </w:pPr>
    </w:p>
    <w:p>
      <w:pPr>
        <w:spacing w:before="1"/>
        <w:ind w:left="165" w:right="0" w:firstLine="0"/>
        <w:jc w:val="left"/>
        <w:rPr>
          <w:rFonts w:ascii="Arial"/>
          <w:b/>
          <w:sz w:val="18"/>
        </w:rPr>
      </w:pPr>
      <w:r>
        <w:rPr>
          <w:rFonts w:ascii="Arial"/>
          <w:b/>
          <w:sz w:val="18"/>
        </w:rPr>
        <w:t>Alternative explanation: </w:t>
      </w:r>
      <w:r>
        <w:rPr>
          <w:rFonts w:ascii="Arial"/>
          <w:b/>
          <w:spacing w:val="-2"/>
          <w:sz w:val="18"/>
        </w:rPr>
        <w:t>contract</w:t>
      </w:r>
    </w:p>
    <w:p>
      <w:pPr>
        <w:pStyle w:val="BodyText"/>
        <w:spacing w:before="41"/>
        <w:rPr>
          <w:rFonts w:ascii="Arial"/>
          <w:b/>
          <w:sz w:val="18"/>
        </w:rPr>
      </w:pPr>
    </w:p>
    <w:p>
      <w:pPr>
        <w:pStyle w:val="Heading2"/>
      </w:pPr>
      <w:r>
        <w:rPr/>
        <w:t>4-</w:t>
      </w:r>
      <w:r>
        <w:rPr>
          <w:spacing w:val="-5"/>
        </w:rPr>
        <w:t>144</w:t>
      </w:r>
    </w:p>
    <w:p>
      <w:pPr>
        <w:pStyle w:val="BodyText"/>
        <w:spacing w:line="235" w:lineRule="auto" w:before="203"/>
        <w:ind w:left="164" w:right="168"/>
        <w:jc w:val="both"/>
      </w:pPr>
      <w:bookmarkStart w:name="_bookmark1679" w:id="1681"/>
      <w:bookmarkEnd w:id="1681"/>
      <w:r>
        <w:rPr/>
      </w:r>
      <w:r>
        <w:rPr/>
        <w:t>In </w:t>
      </w:r>
      <w:r>
        <w:rPr>
          <w:rFonts w:ascii="Arial" w:hAnsi="Arial"/>
          <w:i/>
        </w:rPr>
        <w:t>Dillwyn v Llewelyn </w:t>
      </w:r>
      <w:r>
        <w:rPr/>
        <w:t>Lord Westbury, while referring to the parties of the transaction as “donor” </w:t>
      </w:r>
      <w:r>
        <w:rPr/>
        <w:t>and “donee” also said that the son’s expenditure “supplied a valuable consideration originally wanting” </w:t>
      </w:r>
      <w:r>
        <w:rPr>
          <w:color w:val="005DA1"/>
          <w:u w:val="single" w:color="005DA1"/>
          <w:vertAlign w:val="superscript"/>
        </w:rPr>
        <w:t>906</w:t>
      </w:r>
      <w:r>
        <w:rPr>
          <w:vertAlign w:val="baseline"/>
        </w:rPr>
        <w:t>; and in discussing a hypothetical example similar to the facts of the case before him he concluded</w:t>
      </w:r>
      <w:r>
        <w:rPr>
          <w:spacing w:val="40"/>
          <w:vertAlign w:val="baseline"/>
        </w:rPr>
        <w:t> </w:t>
      </w:r>
      <w:bookmarkStart w:name="_bookmark1680" w:id="1682"/>
      <w:bookmarkEnd w:id="1682"/>
      <w:r>
        <w:rPr>
          <w:vertAlign w:val="baseline"/>
        </w:rPr>
        <w:t>“that</w:t>
      </w:r>
      <w:r>
        <w:rPr>
          <w:vertAlign w:val="baseline"/>
        </w:rPr>
        <w:t> the donee acquires a right from the subsequent transaction to call upon the donor to perform</w:t>
      </w:r>
      <w:r>
        <w:rPr>
          <w:spacing w:val="80"/>
          <w:vertAlign w:val="baseline"/>
        </w:rPr>
        <w:t> </w:t>
      </w:r>
      <w:bookmarkStart w:name="_bookmark1681" w:id="1683"/>
      <w:bookmarkEnd w:id="1683"/>
      <w:r>
        <w:rPr>
          <w:vertAlign w:val="baseline"/>
        </w:rPr>
        <w:t>that</w:t>
      </w:r>
      <w:r>
        <w:rPr>
          <w:vertAlign w:val="baseline"/>
        </w:rPr>
        <w:t> contract and to complete the imperfect donation.” </w:t>
      </w:r>
      <w:r>
        <w:rPr>
          <w:color w:val="005DA1"/>
          <w:u w:val="single" w:color="005DA1"/>
          <w:vertAlign w:val="superscript"/>
        </w:rPr>
        <w:t>907</w:t>
      </w:r>
      <w:r>
        <w:rPr>
          <w:color w:val="005DA1"/>
          <w:vertAlign w:val="baseline"/>
        </w:rPr>
        <w:t> </w:t>
      </w:r>
      <w:r>
        <w:rPr>
          <w:vertAlign w:val="baseline"/>
        </w:rPr>
        <w:t>These passages may suggest that he regarded the memorandum as a kind of unilateral contract </w:t>
      </w:r>
      <w:r>
        <w:rPr>
          <w:color w:val="005DA1"/>
          <w:u w:val="single" w:color="005DA1"/>
          <w:vertAlign w:val="superscript"/>
        </w:rPr>
        <w:t>908</w:t>
      </w:r>
      <w:r>
        <w:rPr>
          <w:color w:val="005DA1"/>
          <w:vertAlign w:val="baseline"/>
        </w:rPr>
        <w:t> </w:t>
      </w:r>
      <w:r>
        <w:rPr>
          <w:vertAlign w:val="baseline"/>
        </w:rPr>
        <w:t>by which the father promised to convey the land if the son built a house on it. The terms of the memorandum make it improbable that a </w:t>
      </w:r>
      <w:bookmarkStart w:name="_bookmark1682" w:id="1684"/>
      <w:bookmarkEnd w:id="1684"/>
      <w:r>
        <w:rPr>
          <w:vertAlign w:val="baseline"/>
        </w:rPr>
        <w:t>modern</w:t>
      </w:r>
      <w:r>
        <w:rPr>
          <w:vertAlign w:val="baseline"/>
        </w:rPr>
        <w:t> court would so regard it; it is more likely that these terms would now be regarded as </w:t>
      </w:r>
      <w:bookmarkStart w:name="_bookmark1683" w:id="1685"/>
      <w:bookmarkEnd w:id="1685"/>
      <w:r>
        <w:rPr>
          <w:vertAlign w:val="baseline"/>
        </w:rPr>
        <w:t>negativing</w:t>
      </w:r>
      <w:r>
        <w:rPr>
          <w:vertAlign w:val="baseline"/>
        </w:rPr>
        <w:t> contractual intention. </w:t>
      </w:r>
      <w:r>
        <w:rPr>
          <w:color w:val="005DA1"/>
          <w:u w:val="single" w:color="005DA1"/>
          <w:vertAlign w:val="superscript"/>
        </w:rPr>
        <w:t>909</w:t>
      </w:r>
      <w:r>
        <w:rPr>
          <w:color w:val="005DA1"/>
          <w:vertAlign w:val="baseline"/>
        </w:rPr>
        <w:t> </w:t>
      </w:r>
      <w:r>
        <w:rPr>
          <w:vertAlign w:val="baseline"/>
        </w:rPr>
        <w:t>However, in a number of later cases the rights of a person who has expended money on the property of another have been explained as being based on contract </w:t>
      </w:r>
      <w:r>
        <w:rPr>
          <w:color w:val="005DA1"/>
          <w:u w:val="single" w:color="005DA1"/>
          <w:vertAlign w:val="superscript"/>
        </w:rPr>
        <w:t>910</w:t>
      </w:r>
      <w:r>
        <w:rPr>
          <w:vertAlign w:val="baseline"/>
        </w:rPr>
        <w:t>; </w:t>
      </w:r>
      <w:bookmarkStart w:name="_bookmark1684" w:id="1686"/>
      <w:bookmarkEnd w:id="1686"/>
      <w:r>
        <w:rPr>
          <w:vertAlign w:val="baseline"/>
        </w:rPr>
        <w:t>and</w:t>
      </w:r>
      <w:r>
        <w:rPr>
          <w:spacing w:val="-1"/>
          <w:vertAlign w:val="baseline"/>
        </w:rPr>
        <w:t> </w:t>
      </w:r>
      <w:r>
        <w:rPr>
          <w:vertAlign w:val="baseline"/>
        </w:rPr>
        <w:t>such</w:t>
      </w:r>
      <w:r>
        <w:rPr>
          <w:spacing w:val="-1"/>
          <w:vertAlign w:val="baseline"/>
        </w:rPr>
        <w:t> </w:t>
      </w:r>
      <w:r>
        <w:rPr>
          <w:vertAlign w:val="baseline"/>
        </w:rPr>
        <w:t>an</w:t>
      </w:r>
      <w:r>
        <w:rPr>
          <w:spacing w:val="-1"/>
          <w:vertAlign w:val="baseline"/>
        </w:rPr>
        <w:t> </w:t>
      </w:r>
      <w:r>
        <w:rPr>
          <w:vertAlign w:val="baseline"/>
        </w:rPr>
        <w:t>explanation</w:t>
      </w:r>
      <w:r>
        <w:rPr>
          <w:spacing w:val="-1"/>
          <w:vertAlign w:val="baseline"/>
        </w:rPr>
        <w:t> </w:t>
      </w:r>
      <w:r>
        <w:rPr>
          <w:vertAlign w:val="baseline"/>
        </w:rPr>
        <w:t>is</w:t>
      </w:r>
      <w:r>
        <w:rPr>
          <w:spacing w:val="-1"/>
          <w:vertAlign w:val="baseline"/>
        </w:rPr>
        <w:t> </w:t>
      </w:r>
      <w:r>
        <w:rPr>
          <w:vertAlign w:val="baseline"/>
        </w:rPr>
        <w:t>sufficiently</w:t>
      </w:r>
      <w:r>
        <w:rPr>
          <w:spacing w:val="-1"/>
          <w:vertAlign w:val="baseline"/>
        </w:rPr>
        <w:t> </w:t>
      </w:r>
      <w:r>
        <w:rPr>
          <w:vertAlign w:val="baseline"/>
        </w:rPr>
        <w:t>plausible</w:t>
      </w:r>
      <w:r>
        <w:rPr>
          <w:spacing w:val="-1"/>
          <w:vertAlign w:val="baseline"/>
        </w:rPr>
        <w:t> </w:t>
      </w:r>
      <w:r>
        <w:rPr>
          <w:vertAlign w:val="baseline"/>
        </w:rPr>
        <w:t>to</w:t>
      </w:r>
      <w:r>
        <w:rPr>
          <w:spacing w:val="-1"/>
          <w:vertAlign w:val="baseline"/>
        </w:rPr>
        <w:t> </w:t>
      </w:r>
      <w:r>
        <w:rPr>
          <w:vertAlign w:val="baseline"/>
        </w:rPr>
        <w:t>make</w:t>
      </w:r>
      <w:r>
        <w:rPr>
          <w:spacing w:val="-1"/>
          <w:vertAlign w:val="baseline"/>
        </w:rPr>
        <w:t> </w:t>
      </w:r>
      <w:r>
        <w:rPr>
          <w:vertAlign w:val="baseline"/>
        </w:rPr>
        <w:t>reliance</w:t>
      </w:r>
      <w:r>
        <w:rPr>
          <w:spacing w:val="-1"/>
          <w:vertAlign w:val="baseline"/>
        </w:rPr>
        <w:t> </w:t>
      </w:r>
      <w:r>
        <w:rPr>
          <w:vertAlign w:val="baseline"/>
        </w:rPr>
        <w:t>on</w:t>
      </w:r>
      <w:r>
        <w:rPr>
          <w:spacing w:val="-1"/>
          <w:vertAlign w:val="baseline"/>
        </w:rPr>
        <w:t> </w:t>
      </w:r>
      <w:r>
        <w:rPr>
          <w:vertAlign w:val="baseline"/>
        </w:rPr>
        <w:t>a</w:t>
      </w:r>
      <w:r>
        <w:rPr>
          <w:spacing w:val="-1"/>
          <w:vertAlign w:val="baseline"/>
        </w:rPr>
        <w:t> </w:t>
      </w:r>
      <w:r>
        <w:rPr>
          <w:vertAlign w:val="baseline"/>
        </w:rPr>
        <w:t>doctrine</w:t>
      </w:r>
      <w:r>
        <w:rPr>
          <w:spacing w:val="-1"/>
          <w:vertAlign w:val="baseline"/>
        </w:rPr>
        <w:t> </w:t>
      </w:r>
      <w:r>
        <w:rPr>
          <w:vertAlign w:val="baseline"/>
        </w:rPr>
        <w:t>of</w:t>
      </w:r>
      <w:r>
        <w:rPr>
          <w:spacing w:val="-1"/>
          <w:vertAlign w:val="baseline"/>
        </w:rPr>
        <w:t> </w:t>
      </w:r>
      <w:r>
        <w:rPr>
          <w:vertAlign w:val="baseline"/>
        </w:rPr>
        <w:t>proprietary</w:t>
      </w:r>
      <w:r>
        <w:rPr>
          <w:spacing w:val="-1"/>
          <w:vertAlign w:val="baseline"/>
        </w:rPr>
        <w:t> </w:t>
      </w:r>
      <w:r>
        <w:rPr>
          <w:vertAlign w:val="baseline"/>
        </w:rPr>
        <w:t>estoppel unnecessary. </w:t>
      </w:r>
      <w:r>
        <w:rPr>
          <w:color w:val="005DA1"/>
          <w:u w:val="single" w:color="005DA1"/>
          <w:vertAlign w:val="superscript"/>
        </w:rPr>
        <w:t>911</w:t>
      </w:r>
      <w:r>
        <w:rPr>
          <w:color w:val="005DA1"/>
          <w:vertAlign w:val="baseline"/>
        </w:rPr>
        <w:t> </w:t>
      </w:r>
      <w:r>
        <w:rPr>
          <w:vertAlign w:val="baseline"/>
        </w:rPr>
        <w:t>A unilateral contract to transfer an interest in land has been held to arise out of a </w:t>
      </w:r>
      <w:bookmarkStart w:name="_bookmark1685" w:id="1687"/>
      <w:bookmarkEnd w:id="1687"/>
      <w:r>
        <w:rPr>
          <w:vertAlign w:val="baseline"/>
        </w:rPr>
        <w:t>promise</w:t>
      </w:r>
      <w:r>
        <w:rPr>
          <w:vertAlign w:val="baseline"/>
        </w:rPr>
        <w:t> to make the transfer if the promisee would pay instalments due under a mortgage on the </w:t>
      </w:r>
      <w:bookmarkStart w:name="_bookmark1686" w:id="1688"/>
      <w:bookmarkEnd w:id="1688"/>
      <w:r>
        <w:rPr>
          <w:vertAlign w:val="baseline"/>
        </w:rPr>
        <w:t>house</w:t>
      </w:r>
      <w:r>
        <w:rPr>
          <w:vertAlign w:val="baseline"/>
        </w:rPr>
        <w:t> </w:t>
      </w:r>
      <w:r>
        <w:rPr>
          <w:color w:val="005DA1"/>
          <w:u w:val="single" w:color="005DA1"/>
          <w:vertAlign w:val="superscript"/>
        </w:rPr>
        <w:t>912</w:t>
      </w:r>
      <w:r>
        <w:rPr>
          <w:vertAlign w:val="baseline"/>
        </w:rPr>
        <w:t>; it can equally arise out of a promise to make the transfer if the promisee will make improvements to the land, or indeed do any other act. </w:t>
      </w:r>
      <w:r>
        <w:rPr>
          <w:color w:val="005DA1"/>
          <w:u w:val="single" w:color="005DA1"/>
          <w:vertAlign w:val="superscript"/>
        </w:rPr>
        <w:t>913</w:t>
      </w:r>
    </w:p>
    <w:p>
      <w:pPr>
        <w:pStyle w:val="BodyText"/>
        <w:spacing w:before="75"/>
      </w:pPr>
    </w:p>
    <w:p>
      <w:pPr>
        <w:pStyle w:val="Heading2"/>
      </w:pPr>
      <w:r>
        <w:rPr/>
        <w:t>4-</w:t>
      </w:r>
      <w:r>
        <w:rPr>
          <w:spacing w:val="-5"/>
        </w:rPr>
        <w:t>145</w:t>
      </w:r>
    </w:p>
    <w:p>
      <w:pPr>
        <w:pStyle w:val="BodyText"/>
        <w:spacing w:line="235" w:lineRule="auto" w:before="203"/>
        <w:ind w:left="165" w:right="167"/>
        <w:jc w:val="both"/>
      </w:pPr>
      <w:r>
        <w:rPr/>
        <w:t>But there are, it is submitted, obstacles to treating all cases of proprietary estoppel as depending </w:t>
      </w:r>
      <w:r>
        <w:rPr/>
        <w:t>on </w:t>
      </w:r>
      <w:bookmarkStart w:name="_bookmark1687" w:id="1689"/>
      <w:bookmarkEnd w:id="1689"/>
      <w:r>
        <w:rPr/>
        <w:t>contract.</w:t>
      </w:r>
      <w:r>
        <w:rPr/>
        <w:t> One is that the promises in cases of this kind are often made in a family context and lack contractual force because they were made without contractual intention. </w:t>
      </w:r>
      <w:r>
        <w:rPr>
          <w:color w:val="005DA1"/>
          <w:u w:val="single" w:color="005DA1"/>
          <w:vertAlign w:val="superscript"/>
        </w:rPr>
        <w:t>914</w:t>
      </w:r>
      <w:r>
        <w:rPr>
          <w:color w:val="005DA1"/>
          <w:vertAlign w:val="baseline"/>
        </w:rPr>
        <w:t> </w:t>
      </w:r>
      <w:r>
        <w:rPr>
          <w:vertAlign w:val="baseline"/>
        </w:rPr>
        <w:t>Another is that the promise may lack consideration because the party relying on the estoppel made no counter-promise and</w:t>
      </w:r>
      <w:r>
        <w:rPr>
          <w:spacing w:val="55"/>
          <w:vertAlign w:val="baseline"/>
        </w:rPr>
        <w:t> </w:t>
      </w:r>
      <w:r>
        <w:rPr>
          <w:vertAlign w:val="baseline"/>
        </w:rPr>
        <w:t>so</w:t>
      </w:r>
      <w:r>
        <w:rPr>
          <w:spacing w:val="56"/>
          <w:vertAlign w:val="baseline"/>
        </w:rPr>
        <w:t> </w:t>
      </w:r>
      <w:r>
        <w:rPr>
          <w:vertAlign w:val="baseline"/>
        </w:rPr>
        <w:t>incurred</w:t>
      </w:r>
      <w:r>
        <w:rPr>
          <w:spacing w:val="55"/>
          <w:vertAlign w:val="baseline"/>
        </w:rPr>
        <w:t> </w:t>
      </w:r>
      <w:r>
        <w:rPr>
          <w:vertAlign w:val="baseline"/>
        </w:rPr>
        <w:t>no</w:t>
      </w:r>
      <w:r>
        <w:rPr>
          <w:spacing w:val="56"/>
          <w:vertAlign w:val="baseline"/>
        </w:rPr>
        <w:t> </w:t>
      </w:r>
      <w:r>
        <w:rPr>
          <w:vertAlign w:val="baseline"/>
        </w:rPr>
        <w:t>obligation,</w:t>
      </w:r>
      <w:r>
        <w:rPr>
          <w:spacing w:val="55"/>
          <w:vertAlign w:val="baseline"/>
        </w:rPr>
        <w:t> </w:t>
      </w:r>
      <w:r>
        <w:rPr>
          <w:vertAlign w:val="baseline"/>
        </w:rPr>
        <w:t>and</w:t>
      </w:r>
      <w:r>
        <w:rPr>
          <w:spacing w:val="56"/>
          <w:vertAlign w:val="baseline"/>
        </w:rPr>
        <w:t> </w:t>
      </w:r>
      <w:r>
        <w:rPr>
          <w:vertAlign w:val="baseline"/>
        </w:rPr>
        <w:t>that</w:t>
      </w:r>
      <w:r>
        <w:rPr>
          <w:spacing w:val="55"/>
          <w:vertAlign w:val="baseline"/>
        </w:rPr>
        <w:t> </w:t>
      </w:r>
      <w:r>
        <w:rPr>
          <w:vertAlign w:val="baseline"/>
        </w:rPr>
        <w:t>the</w:t>
      </w:r>
      <w:r>
        <w:rPr>
          <w:spacing w:val="56"/>
          <w:vertAlign w:val="baseline"/>
        </w:rPr>
        <w:t> </w:t>
      </w:r>
      <w:r>
        <w:rPr>
          <w:vertAlign w:val="baseline"/>
        </w:rPr>
        <w:t>arrangement</w:t>
      </w:r>
      <w:r>
        <w:rPr>
          <w:spacing w:val="56"/>
          <w:vertAlign w:val="baseline"/>
        </w:rPr>
        <w:t> </w:t>
      </w:r>
      <w:r>
        <w:rPr>
          <w:vertAlign w:val="baseline"/>
        </w:rPr>
        <w:t>was</w:t>
      </w:r>
      <w:r>
        <w:rPr>
          <w:spacing w:val="55"/>
          <w:vertAlign w:val="baseline"/>
        </w:rPr>
        <w:t> </w:t>
      </w:r>
      <w:r>
        <w:rPr>
          <w:vertAlign w:val="baseline"/>
        </w:rPr>
        <w:t>one</w:t>
      </w:r>
      <w:r>
        <w:rPr>
          <w:spacing w:val="56"/>
          <w:vertAlign w:val="baseline"/>
        </w:rPr>
        <w:t> </w:t>
      </w:r>
      <w:r>
        <w:rPr>
          <w:vertAlign w:val="baseline"/>
        </w:rPr>
        <w:t>in</w:t>
      </w:r>
      <w:r>
        <w:rPr>
          <w:spacing w:val="55"/>
          <w:vertAlign w:val="baseline"/>
        </w:rPr>
        <w:t> </w:t>
      </w:r>
      <w:r>
        <w:rPr>
          <w:vertAlign w:val="baseline"/>
        </w:rPr>
        <w:t>which</w:t>
      </w:r>
      <w:r>
        <w:rPr>
          <w:spacing w:val="56"/>
          <w:vertAlign w:val="baseline"/>
        </w:rPr>
        <w:t> </w:t>
      </w:r>
      <w:r>
        <w:rPr>
          <w:vertAlign w:val="baseline"/>
        </w:rPr>
        <w:t>it</w:t>
      </w:r>
      <w:r>
        <w:rPr>
          <w:spacing w:val="55"/>
          <w:vertAlign w:val="baseline"/>
        </w:rPr>
        <w:t> </w:t>
      </w:r>
      <w:r>
        <w:rPr>
          <w:vertAlign w:val="baseline"/>
        </w:rPr>
        <w:t>would</w:t>
      </w:r>
      <w:r>
        <w:rPr>
          <w:spacing w:val="56"/>
          <w:vertAlign w:val="baseline"/>
        </w:rPr>
        <w:t> </w:t>
      </w:r>
      <w:r>
        <w:rPr>
          <w:vertAlign w:val="baseline"/>
        </w:rPr>
        <w:t>not</w:t>
      </w:r>
      <w:r>
        <w:rPr>
          <w:spacing w:val="56"/>
          <w:vertAlign w:val="baseline"/>
        </w:rPr>
        <w:t> </w:t>
      </w:r>
      <w:r>
        <w:rPr>
          <w:vertAlign w:val="baseline"/>
        </w:rPr>
        <w:t>be</w:t>
      </w:r>
      <w:r>
        <w:rPr>
          <w:spacing w:val="55"/>
          <w:vertAlign w:val="baseline"/>
        </w:rPr>
        <w:t> </w:t>
      </w:r>
      <w:r>
        <w:rPr>
          <w:spacing w:val="-5"/>
          <w:vertAlign w:val="baseline"/>
        </w:rPr>
        <w:t>in</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bookmarkStart w:name="_bookmark1688" w:id="1690"/>
      <w:bookmarkEnd w:id="1690"/>
      <w:r>
        <w:rPr/>
      </w:r>
      <w:bookmarkStart w:name="_bookmark1689" w:id="1691"/>
      <w:bookmarkEnd w:id="1691"/>
      <w:r>
        <w:rPr/>
      </w:r>
      <w:r>
        <w:rPr/>
        <w:t>accordance with the intention of the parties to treat it as a unilateral contract. </w:t>
      </w:r>
      <w:r>
        <w:rPr>
          <w:color w:val="005DA1"/>
          <w:u w:val="single" w:color="005DA1"/>
          <w:vertAlign w:val="superscript"/>
        </w:rPr>
        <w:t>915</w:t>
      </w:r>
      <w:r>
        <w:rPr>
          <w:color w:val="005DA1"/>
          <w:vertAlign w:val="baseline"/>
        </w:rPr>
        <w:t> </w:t>
      </w:r>
      <w:r>
        <w:rPr>
          <w:vertAlign w:val="baseline"/>
        </w:rPr>
        <w:t>A third is that the </w:t>
      </w:r>
      <w:bookmarkStart w:name="_bookmark1690" w:id="1692"/>
      <w:bookmarkEnd w:id="1692"/>
      <w:r>
        <w:rPr>
          <w:vertAlign w:val="baseline"/>
        </w:rPr>
        <w:t>terms</w:t>
      </w:r>
      <w:r>
        <w:rPr>
          <w:vertAlign w:val="baseline"/>
        </w:rPr>
        <w:t> of the alleged contract are often too vague to satisfy the requirement of certainty. </w:t>
      </w:r>
      <w:r>
        <w:rPr>
          <w:color w:val="005DA1"/>
          <w:u w:val="single" w:color="005DA1"/>
          <w:vertAlign w:val="superscript"/>
        </w:rPr>
        <w:t>916</w:t>
      </w:r>
      <w:r>
        <w:rPr>
          <w:color w:val="005DA1"/>
          <w:vertAlign w:val="baseline"/>
        </w:rPr>
        <w:t> </w:t>
      </w:r>
      <w:r>
        <w:rPr>
          <w:vertAlign w:val="baseline"/>
        </w:rPr>
        <w:t>This difficulty accounts for the view of the Court of Appeal that there was no contract in </w:t>
      </w:r>
      <w:r>
        <w:rPr>
          <w:rFonts w:ascii="Arial" w:hAnsi="Arial"/>
          <w:i/>
          <w:vertAlign w:val="baseline"/>
        </w:rPr>
        <w:t>Crabb v Arun </w:t>
      </w:r>
      <w:r>
        <w:rPr>
          <w:rFonts w:ascii="Arial" w:hAnsi="Arial"/>
          <w:i/>
          <w:vertAlign w:val="baseline"/>
        </w:rPr>
        <w:t>DC </w:t>
      </w:r>
      <w:r>
        <w:rPr>
          <w:color w:val="005DA1"/>
          <w:u w:val="single" w:color="005DA1"/>
          <w:vertAlign w:val="superscript"/>
        </w:rPr>
        <w:t>917</w:t>
      </w:r>
      <w:r>
        <w:rPr>
          <w:vertAlign w:val="baseline"/>
        </w:rPr>
        <w:t>: there may have been an implied promise to grant the claimant some right of way across the defendant’s land, but no financial or other terms were specified in that promise, so that it would not (even</w:t>
      </w:r>
      <w:r>
        <w:rPr>
          <w:spacing w:val="-2"/>
          <w:vertAlign w:val="baseline"/>
        </w:rPr>
        <w:t> </w:t>
      </w:r>
      <w:r>
        <w:rPr>
          <w:vertAlign w:val="baseline"/>
        </w:rPr>
        <w:t>if</w:t>
      </w:r>
      <w:r>
        <w:rPr>
          <w:spacing w:val="-2"/>
          <w:vertAlign w:val="baseline"/>
        </w:rPr>
        <w:t> </w:t>
      </w:r>
      <w:r>
        <w:rPr>
          <w:vertAlign w:val="baseline"/>
        </w:rPr>
        <w:t>supported</w:t>
      </w:r>
      <w:r>
        <w:rPr>
          <w:spacing w:val="-2"/>
          <w:vertAlign w:val="baseline"/>
        </w:rPr>
        <w:t> </w:t>
      </w:r>
      <w:r>
        <w:rPr>
          <w:vertAlign w:val="baseline"/>
        </w:rPr>
        <w:t>by</w:t>
      </w:r>
      <w:r>
        <w:rPr>
          <w:spacing w:val="-2"/>
          <w:vertAlign w:val="baseline"/>
        </w:rPr>
        <w:t> </w:t>
      </w:r>
      <w:r>
        <w:rPr>
          <w:vertAlign w:val="baseline"/>
        </w:rPr>
        <w:t>consideration)</w:t>
      </w:r>
      <w:r>
        <w:rPr>
          <w:spacing w:val="-2"/>
          <w:vertAlign w:val="baseline"/>
        </w:rPr>
        <w:t> </w:t>
      </w:r>
      <w:r>
        <w:rPr>
          <w:vertAlign w:val="baseline"/>
        </w:rPr>
        <w:t>have</w:t>
      </w:r>
      <w:r>
        <w:rPr>
          <w:spacing w:val="-2"/>
          <w:vertAlign w:val="baseline"/>
        </w:rPr>
        <w:t> </w:t>
      </w:r>
      <w:r>
        <w:rPr>
          <w:vertAlign w:val="baseline"/>
        </w:rPr>
        <w:t>been</w:t>
      </w:r>
      <w:r>
        <w:rPr>
          <w:spacing w:val="-2"/>
          <w:vertAlign w:val="baseline"/>
        </w:rPr>
        <w:t> </w:t>
      </w:r>
      <w:r>
        <w:rPr>
          <w:vertAlign w:val="baseline"/>
        </w:rPr>
        <w:t>sufficiently</w:t>
      </w:r>
      <w:r>
        <w:rPr>
          <w:spacing w:val="-2"/>
          <w:vertAlign w:val="baseline"/>
        </w:rPr>
        <w:t> </w:t>
      </w:r>
      <w:r>
        <w:rPr>
          <w:vertAlign w:val="baseline"/>
        </w:rPr>
        <w:t>certain</w:t>
      </w:r>
      <w:r>
        <w:rPr>
          <w:spacing w:val="-2"/>
          <w:vertAlign w:val="baseline"/>
        </w:rPr>
        <w:t> </w:t>
      </w:r>
      <w:r>
        <w:rPr>
          <w:vertAlign w:val="baseline"/>
        </w:rPr>
        <w:t>to</w:t>
      </w:r>
      <w:r>
        <w:rPr>
          <w:spacing w:val="-2"/>
          <w:vertAlign w:val="baseline"/>
        </w:rPr>
        <w:t> </w:t>
      </w:r>
      <w:r>
        <w:rPr>
          <w:vertAlign w:val="baseline"/>
        </w:rPr>
        <w:t>give</w:t>
      </w:r>
      <w:r>
        <w:rPr>
          <w:spacing w:val="-2"/>
          <w:vertAlign w:val="baseline"/>
        </w:rPr>
        <w:t> </w:t>
      </w:r>
      <w:r>
        <w:rPr>
          <w:vertAlign w:val="baseline"/>
        </w:rPr>
        <w:t>rise</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A</w:t>
      </w:r>
      <w:r>
        <w:rPr>
          <w:spacing w:val="-2"/>
          <w:vertAlign w:val="baseline"/>
        </w:rPr>
        <w:t> </w:t>
      </w:r>
      <w:r>
        <w:rPr>
          <w:vertAlign w:val="baseline"/>
        </w:rPr>
        <w:t>fourth</w:t>
      </w:r>
      <w:r>
        <w:rPr>
          <w:spacing w:val="-2"/>
          <w:vertAlign w:val="baseline"/>
        </w:rPr>
        <w:t> </w:t>
      </w:r>
      <w:r>
        <w:rPr>
          <w:vertAlign w:val="baseline"/>
        </w:rPr>
        <w:t>is that, even if the promise or representation has the force of a contract, that contract can bind only the </w:t>
      </w:r>
      <w:bookmarkStart w:name="_bookmark1691" w:id="1693"/>
      <w:bookmarkEnd w:id="1693"/>
      <w:r>
        <w:rPr>
          <w:vertAlign w:val="baseline"/>
        </w:rPr>
        <w:t>promisor</w:t>
      </w:r>
      <w:r>
        <w:rPr>
          <w:spacing w:val="-1"/>
          <w:vertAlign w:val="baseline"/>
        </w:rPr>
        <w:t> </w:t>
      </w:r>
      <w:r>
        <w:rPr>
          <w:vertAlign w:val="baseline"/>
        </w:rPr>
        <w:t>and</w:t>
      </w:r>
      <w:r>
        <w:rPr>
          <w:spacing w:val="-1"/>
          <w:vertAlign w:val="baseline"/>
        </w:rPr>
        <w:t> </w:t>
      </w:r>
      <w:r>
        <w:rPr>
          <w:vertAlign w:val="baseline"/>
        </w:rPr>
        <w:t>so</w:t>
      </w:r>
      <w:r>
        <w:rPr>
          <w:spacing w:val="-1"/>
          <w:vertAlign w:val="baseline"/>
        </w:rPr>
        <w:t> </w:t>
      </w:r>
      <w:r>
        <w:rPr>
          <w:vertAlign w:val="baseline"/>
        </w:rPr>
        <w:t>cannot</w:t>
      </w:r>
      <w:r>
        <w:rPr>
          <w:spacing w:val="-2"/>
          <w:vertAlign w:val="baseline"/>
        </w:rPr>
        <w:t> </w:t>
      </w:r>
      <w:r>
        <w:rPr>
          <w:vertAlign w:val="baseline"/>
        </w:rPr>
        <w:t>be</w:t>
      </w:r>
      <w:r>
        <w:rPr>
          <w:spacing w:val="-1"/>
          <w:vertAlign w:val="baseline"/>
        </w:rPr>
        <w:t> </w:t>
      </w:r>
      <w:r>
        <w:rPr>
          <w:vertAlign w:val="baseline"/>
        </w:rPr>
        <w:t>enforced</w:t>
      </w:r>
      <w:r>
        <w:rPr>
          <w:spacing w:val="-1"/>
          <w:vertAlign w:val="baseline"/>
        </w:rPr>
        <w:t> </w:t>
      </w:r>
      <w:r>
        <w:rPr>
          <w:vertAlign w:val="baseline"/>
        </w:rPr>
        <w:t>against</w:t>
      </w:r>
      <w:r>
        <w:rPr>
          <w:spacing w:val="-1"/>
          <w:vertAlign w:val="baseline"/>
        </w:rPr>
        <w:t> </w:t>
      </w:r>
      <w:r>
        <w:rPr>
          <w:vertAlign w:val="baseline"/>
        </w:rPr>
        <w:t>any</w:t>
      </w:r>
      <w:r>
        <w:rPr>
          <w:spacing w:val="-2"/>
          <w:vertAlign w:val="baseline"/>
        </w:rPr>
        <w:t> </w:t>
      </w:r>
      <w:r>
        <w:rPr>
          <w:vertAlign w:val="baseline"/>
        </w:rPr>
        <w:t>third</w:t>
      </w:r>
      <w:r>
        <w:rPr>
          <w:spacing w:val="-1"/>
          <w:vertAlign w:val="baseline"/>
        </w:rPr>
        <w:t> </w:t>
      </w:r>
      <w:r>
        <w:rPr>
          <w:vertAlign w:val="baseline"/>
        </w:rPr>
        <w:t>party,</w:t>
      </w:r>
      <w:r>
        <w:rPr>
          <w:spacing w:val="-1"/>
          <w:vertAlign w:val="baseline"/>
        </w:rPr>
        <w:t> </w:t>
      </w:r>
      <w:r>
        <w:rPr>
          <w:vertAlign w:val="baseline"/>
        </w:rPr>
        <w:t>against</w:t>
      </w:r>
      <w:r>
        <w:rPr>
          <w:spacing w:val="-1"/>
          <w:vertAlign w:val="baseline"/>
        </w:rPr>
        <w:t> </w:t>
      </w:r>
      <w:r>
        <w:rPr>
          <w:vertAlign w:val="baseline"/>
        </w:rPr>
        <w:t>whom</w:t>
      </w:r>
      <w:r>
        <w:rPr>
          <w:spacing w:val="-2"/>
          <w:vertAlign w:val="baseline"/>
        </w:rPr>
        <w:t> </w:t>
      </w:r>
      <w:r>
        <w:rPr>
          <w:vertAlign w:val="baseline"/>
        </w:rPr>
        <w:t>a</w:t>
      </w:r>
      <w:r>
        <w:rPr>
          <w:spacing w:val="-1"/>
          <w:vertAlign w:val="baseline"/>
        </w:rPr>
        <w:t> </w:t>
      </w:r>
      <w:r>
        <w:rPr>
          <w:vertAlign w:val="baseline"/>
        </w:rPr>
        <w:t>proprietary</w:t>
      </w:r>
      <w:r>
        <w:rPr>
          <w:spacing w:val="-1"/>
          <w:vertAlign w:val="baseline"/>
        </w:rPr>
        <w:t> </w:t>
      </w:r>
      <w:r>
        <w:rPr>
          <w:vertAlign w:val="baseline"/>
        </w:rPr>
        <w:t>estoppel</w:t>
      </w:r>
      <w:r>
        <w:rPr>
          <w:spacing w:val="-1"/>
          <w:vertAlign w:val="baseline"/>
        </w:rPr>
        <w:t> </w:t>
      </w:r>
      <w:r>
        <w:rPr>
          <w:vertAlign w:val="baseline"/>
        </w:rPr>
        <w:t>may </w:t>
      </w:r>
      <w:bookmarkStart w:name="_bookmark1692" w:id="1694"/>
      <w:bookmarkEnd w:id="1694"/>
      <w:r>
        <w:rPr>
          <w:vertAlign w:val="baseline"/>
        </w:rPr>
        <w:t>nevertheless</w:t>
      </w:r>
      <w:r>
        <w:rPr>
          <w:vertAlign w:val="baseline"/>
        </w:rPr>
        <w:t> arise. The point is illustrated by </w:t>
      </w:r>
      <w:r>
        <w:rPr>
          <w:rFonts w:ascii="Arial" w:hAnsi="Arial"/>
          <w:i/>
          <w:vertAlign w:val="baseline"/>
        </w:rPr>
        <w:t>Stallion v Albert Stallion Holdings (Great Britain) Ltd </w:t>
      </w:r>
      <w:r>
        <w:rPr>
          <w:color w:val="005DA1"/>
          <w:u w:val="single" w:color="005DA1"/>
          <w:vertAlign w:val="superscript"/>
        </w:rPr>
        <w:t>918</w:t>
      </w:r>
      <w:r>
        <w:rPr>
          <w:color w:val="005DA1"/>
          <w:vertAlign w:val="baseline"/>
        </w:rPr>
        <w:t> </w:t>
      </w:r>
      <w:r>
        <w:rPr>
          <w:vertAlign w:val="baseline"/>
        </w:rPr>
        <w:t>where a husband had, in a “Divorce Settlement Agreement” </w:t>
      </w:r>
      <w:r>
        <w:rPr>
          <w:color w:val="005DA1"/>
          <w:u w:val="single" w:color="005DA1"/>
          <w:vertAlign w:val="superscript"/>
        </w:rPr>
        <w:t>919</w:t>
      </w:r>
      <w:r>
        <w:rPr>
          <w:color w:val="005DA1"/>
          <w:vertAlign w:val="baseline"/>
        </w:rPr>
        <w:t> </w:t>
      </w:r>
      <w:r>
        <w:rPr>
          <w:vertAlign w:val="baseline"/>
        </w:rPr>
        <w:t>represented to his wife that, if she consented to a divorce from him, she would be allowed to live rent free in a specified house. This agreement may well have amounted to a unilateral contract between the husband and the wife; but </w:t>
      </w:r>
      <w:bookmarkStart w:name="_bookmark1693" w:id="1695"/>
      <w:bookmarkEnd w:id="1695"/>
      <w:r>
        <w:rPr>
          <w:vertAlign w:val="baseline"/>
        </w:rPr>
        <w:t>the</w:t>
      </w:r>
      <w:r>
        <w:rPr>
          <w:vertAlign w:val="baseline"/>
        </w:rPr>
        <w:t> point is not discussed in the judgment, presumably because any such contract would not have </w:t>
      </w:r>
      <w:bookmarkStart w:name="_bookmark1694" w:id="1696"/>
      <w:bookmarkEnd w:id="1696"/>
      <w:r>
        <w:rPr>
          <w:vertAlign w:val="baseline"/>
        </w:rPr>
        <w:t>bound</w:t>
      </w:r>
      <w:r>
        <w:rPr>
          <w:vertAlign w:val="baseline"/>
        </w:rPr>
        <w:t> the company (controlled by the husband) which owned the house. </w:t>
      </w:r>
      <w:r>
        <w:rPr>
          <w:color w:val="005DA1"/>
          <w:u w:val="single" w:color="005DA1"/>
          <w:vertAlign w:val="superscript"/>
        </w:rPr>
        <w:t>920</w:t>
      </w:r>
      <w:r>
        <w:rPr>
          <w:color w:val="005DA1"/>
          <w:vertAlign w:val="baseline"/>
        </w:rPr>
        <w:t> </w:t>
      </w:r>
      <w:r>
        <w:rPr>
          <w:vertAlign w:val="baseline"/>
        </w:rPr>
        <w:t>But, as the</w:t>
      </w:r>
      <w:r>
        <w:rPr>
          <w:spacing w:val="40"/>
          <w:vertAlign w:val="baseline"/>
        </w:rPr>
        <w:t> </w:t>
      </w:r>
      <w:bookmarkStart w:name="_bookmark1695" w:id="1697"/>
      <w:bookmarkEnd w:id="1697"/>
      <w:r>
        <w:rPr>
          <w:vertAlign w:val="baseline"/>
        </w:rPr>
        <w:t>representation</w:t>
      </w:r>
      <w:r>
        <w:rPr>
          <w:vertAlign w:val="baseline"/>
        </w:rPr>
        <w:t> on which the wife had relied </w:t>
      </w:r>
      <w:r>
        <w:rPr>
          <w:color w:val="005DA1"/>
          <w:u w:val="single" w:color="005DA1"/>
          <w:vertAlign w:val="superscript"/>
        </w:rPr>
        <w:t>921</w:t>
      </w:r>
      <w:r>
        <w:rPr>
          <w:color w:val="005DA1"/>
          <w:vertAlign w:val="baseline"/>
        </w:rPr>
        <w:t> </w:t>
      </w:r>
      <w:r>
        <w:rPr>
          <w:vertAlign w:val="baseline"/>
        </w:rPr>
        <w:t>had also been made on behalf of that company, it was found that “the conscience of [the company] was also affected”, </w:t>
      </w:r>
      <w:r>
        <w:rPr>
          <w:color w:val="005DA1"/>
          <w:u w:val="single" w:color="005DA1"/>
          <w:vertAlign w:val="superscript"/>
        </w:rPr>
        <w:t>922</w:t>
      </w:r>
      <w:r>
        <w:rPr>
          <w:color w:val="005DA1"/>
          <w:vertAlign w:val="baseline"/>
        </w:rPr>
        <w:t> </w:t>
      </w:r>
      <w:r>
        <w:rPr>
          <w:vertAlign w:val="baseline"/>
        </w:rPr>
        <w:t>so as to give rise to a proprietary estoppel against it. A fifth is that many arrangements which can give rise to proprietary estoppel are </w:t>
      </w:r>
      <w:bookmarkStart w:name="_bookmark1696" w:id="1698"/>
      <w:bookmarkEnd w:id="1698"/>
      <w:r>
        <w:rPr>
          <w:vertAlign w:val="baseline"/>
        </w:rPr>
        <w:t>made</w:t>
      </w:r>
      <w:r>
        <w:rPr>
          <w:vertAlign w:val="baseline"/>
        </w:rPr>
        <w:t> without any attempt to comply with the stringent formal requirements now imposed on the making of contracts for the disposition of interests in land. </w:t>
      </w:r>
      <w:r>
        <w:rPr>
          <w:color w:val="005DA1"/>
          <w:u w:val="single" w:color="005DA1"/>
          <w:vertAlign w:val="superscript"/>
        </w:rPr>
        <w:t>923</w:t>
      </w:r>
      <w:r>
        <w:rPr>
          <w:color w:val="005DA1"/>
          <w:vertAlign w:val="baseline"/>
        </w:rPr>
        <w:t> </w:t>
      </w:r>
      <w:r>
        <w:rPr>
          <w:vertAlign w:val="baseline"/>
        </w:rPr>
        <w:t>Failure to comply with these </w:t>
      </w:r>
      <w:bookmarkStart w:name="_bookmark1697" w:id="1699"/>
      <w:bookmarkEnd w:id="1699"/>
      <w:r>
        <w:rPr>
          <w:vertAlign w:val="baseline"/>
        </w:rPr>
        <w:t>requirements</w:t>
      </w:r>
      <w:r>
        <w:rPr>
          <w:vertAlign w:val="baseline"/>
        </w:rPr>
        <w:t> does not prevent such arrangements from giving rise in certain circumstances to a proprietary estoppel, </w:t>
      </w:r>
      <w:r>
        <w:rPr>
          <w:color w:val="005DA1"/>
          <w:u w:val="single" w:color="005DA1"/>
          <w:vertAlign w:val="superscript"/>
        </w:rPr>
        <w:t>924</w:t>
      </w:r>
      <w:r>
        <w:rPr>
          <w:color w:val="005DA1"/>
          <w:vertAlign w:val="baseline"/>
        </w:rPr>
        <w:t> </w:t>
      </w:r>
      <w:r>
        <w:rPr>
          <w:vertAlign w:val="baseline"/>
        </w:rPr>
        <w:t>but it does prevent them from taking effect as contracts. The possibility of </w:t>
      </w:r>
      <w:bookmarkStart w:name="_bookmark1698" w:id="1700"/>
      <w:bookmarkEnd w:id="1700"/>
      <w:r>
        <w:rPr>
          <w:vertAlign w:val="baseline"/>
        </w:rPr>
        <w:t>explaining</w:t>
      </w:r>
      <w:r>
        <w:rPr>
          <w:vertAlign w:val="baseline"/>
        </w:rPr>
        <w:t> proprietary estoppel on the basis of contract is therefore in practice likely to be restricted to cases where the arrangement does </w:t>
      </w:r>
      <w:r>
        <w:rPr>
          <w:rFonts w:ascii="Arial" w:hAnsi="Arial"/>
          <w:i/>
          <w:vertAlign w:val="baseline"/>
        </w:rPr>
        <w:t>not </w:t>
      </w:r>
      <w:r>
        <w:rPr>
          <w:vertAlign w:val="baseline"/>
        </w:rPr>
        <w:t>purport to dispose of an interest in land. </w:t>
      </w:r>
      <w:r>
        <w:rPr>
          <w:color w:val="005DA1"/>
          <w:u w:val="single" w:color="005DA1"/>
          <w:vertAlign w:val="superscript"/>
        </w:rPr>
        <w:t>925</w:t>
      </w:r>
      <w:r>
        <w:rPr>
          <w:color w:val="005DA1"/>
          <w:vertAlign w:val="baseline"/>
        </w:rPr>
        <w:t> </w:t>
      </w:r>
      <w:r>
        <w:rPr>
          <w:vertAlign w:val="baseline"/>
        </w:rPr>
        <w:t>A sixth is that the explanation of proprietary estoppel as based on contract also fails to take account of the fact that the promisee’s remedy in cases of proprietary estoppel may fall short of awarding him the full amount of the expectation interest to which he is in principle entitled for breach of contract, at least where the value of that interest can be established with sufficient certainty. In cases of proprietary estoppel the </w:t>
      </w:r>
      <w:bookmarkStart w:name="_bookmark1699" w:id="1701"/>
      <w:bookmarkEnd w:id="1701"/>
      <w:r>
        <w:rPr>
          <w:vertAlign w:val="baseline"/>
        </w:rPr>
        <w:t>court</w:t>
      </w:r>
      <w:r>
        <w:rPr>
          <w:vertAlign w:val="baseline"/>
        </w:rPr>
        <w:t> may, under the principles discussed in paragraph 4-173 below, award less than the value of his expectations. This fact (among others), </w:t>
      </w:r>
      <w:r>
        <w:rPr>
          <w:color w:val="005DA1"/>
          <w:u w:val="single" w:color="005DA1"/>
          <w:vertAlign w:val="superscript"/>
        </w:rPr>
        <w:t>926</w:t>
      </w:r>
      <w:r>
        <w:rPr>
          <w:color w:val="005DA1"/>
          <w:vertAlign w:val="baseline"/>
        </w:rPr>
        <w:t> </w:t>
      </w:r>
      <w:r>
        <w:rPr>
          <w:vertAlign w:val="baseline"/>
        </w:rPr>
        <w:t>supports the view that remedies based on proprietary estoppel are distinct from those for breach of contract. A final and related point follows from a </w:t>
      </w:r>
      <w:bookmarkStart w:name="_bookmark1700" w:id="1702"/>
      <w:bookmarkEnd w:id="1702"/>
      <w:r>
        <w:rPr>
          <w:vertAlign w:val="baseline"/>
        </w:rPr>
        <w:t>difference</w:t>
      </w:r>
      <w:r>
        <w:rPr>
          <w:vertAlign w:val="baseline"/>
        </w:rPr>
        <w:t> between contract and proprietary estoppel explained in the unreported case of </w:t>
      </w:r>
      <w:r>
        <w:rPr>
          <w:rFonts w:ascii="Arial" w:hAnsi="Arial"/>
          <w:i/>
          <w:vertAlign w:val="baseline"/>
        </w:rPr>
        <w:t>Walton v Walton</w:t>
      </w:r>
      <w:r>
        <w:rPr>
          <w:vertAlign w:val="baseline"/>
        </w:rPr>
        <w:t>, </w:t>
      </w:r>
      <w:r>
        <w:rPr>
          <w:color w:val="005DA1"/>
          <w:u w:val="single" w:color="005DA1"/>
          <w:vertAlign w:val="superscript"/>
        </w:rPr>
        <w:t>927</w:t>
      </w:r>
      <w:r>
        <w:rPr>
          <w:color w:val="005DA1"/>
          <w:vertAlign w:val="baseline"/>
        </w:rPr>
        <w:t> </w:t>
      </w:r>
      <w:r>
        <w:rPr>
          <w:vertAlign w:val="baseline"/>
        </w:rPr>
        <w:t>where Hoffmann L.J. said that, while “a contract, subject to the narrow doctrine of frustration, must be performed, come what may”, what he called “equitable” estoppel “looks backwards from the moment when the promise fails to be performed and asks whether, in the </w:t>
      </w:r>
      <w:bookmarkStart w:name="_bookmark1701" w:id="1703"/>
      <w:bookmarkEnd w:id="1703"/>
      <w:r>
        <w:rPr>
          <w:vertAlign w:val="baseline"/>
        </w:rPr>
        <w:t>circumstances</w:t>
      </w:r>
      <w:r>
        <w:rPr>
          <w:vertAlign w:val="baseline"/>
        </w:rPr>
        <w:t> which have actually happened, it would be unconscionable for the promise not to be </w:t>
      </w:r>
      <w:bookmarkStart w:name="_bookmark1702" w:id="1704"/>
      <w:bookmarkEnd w:id="1704"/>
      <w:r>
        <w:rPr>
          <w:vertAlign w:val="baseline"/>
        </w:rPr>
        <w:t>kept.”</w:t>
      </w:r>
      <w:r>
        <w:rPr>
          <w:vertAlign w:val="baseline"/>
        </w:rPr>
        <w:t> </w:t>
      </w:r>
      <w:r>
        <w:rPr>
          <w:color w:val="005DA1"/>
          <w:u w:val="single" w:color="005DA1"/>
          <w:vertAlign w:val="superscript"/>
        </w:rPr>
        <w:t>928</w:t>
      </w:r>
      <w:r>
        <w:rPr>
          <w:color w:val="005DA1"/>
          <w:vertAlign w:val="baseline"/>
        </w:rPr>
        <w:t> </w:t>
      </w:r>
      <w:r>
        <w:rPr>
          <w:vertAlign w:val="baseline"/>
        </w:rPr>
        <w:t>This process of looking backwards may lead not only to the conclusion of awarding the promisee less than the value of his expectation, </w:t>
      </w:r>
      <w:r>
        <w:rPr>
          <w:color w:val="005DA1"/>
          <w:u w:val="single" w:color="005DA1"/>
          <w:vertAlign w:val="superscript"/>
        </w:rPr>
        <w:t>929</w:t>
      </w:r>
      <w:r>
        <w:rPr>
          <w:color w:val="005DA1"/>
          <w:vertAlign w:val="baseline"/>
        </w:rPr>
        <w:t> </w:t>
      </w:r>
      <w:r>
        <w:rPr>
          <w:vertAlign w:val="baseline"/>
        </w:rPr>
        <w:t>but also to that of awarding him nothing at all. </w:t>
      </w:r>
      <w:r>
        <w:rPr>
          <w:color w:val="005DA1"/>
          <w:u w:val="single" w:color="005DA1"/>
          <w:vertAlign w:val="superscript"/>
        </w:rPr>
        <w:t>930</w:t>
      </w:r>
    </w:p>
    <w:p>
      <w:pPr>
        <w:pStyle w:val="BodyText"/>
      </w:pPr>
    </w:p>
    <w:p>
      <w:pPr>
        <w:pStyle w:val="BodyText"/>
        <w:spacing w:before="25"/>
      </w:pPr>
      <w:r>
        <w:rPr/>
        <mc:AlternateContent>
          <mc:Choice Requires="wps">
            <w:drawing>
              <wp:anchor distT="0" distB="0" distL="0" distR="0" allowOverlap="1" layoutInCell="1" locked="0" behindDoc="1" simplePos="0" relativeHeight="487667712">
                <wp:simplePos x="0" y="0"/>
                <wp:positionH relativeFrom="page">
                  <wp:posOffset>914400</wp:posOffset>
                </wp:positionH>
                <wp:positionV relativeFrom="paragraph">
                  <wp:posOffset>177648</wp:posOffset>
                </wp:positionV>
                <wp:extent cx="5724525" cy="1270"/>
                <wp:effectExtent l="0" t="0" r="0" b="0"/>
                <wp:wrapTopAndBottom/>
                <wp:docPr id="323" name="Graphic 323"/>
                <wp:cNvGraphicFramePr>
                  <a:graphicFrameLocks/>
                </wp:cNvGraphicFramePr>
                <a:graphic>
                  <a:graphicData uri="http://schemas.microsoft.com/office/word/2010/wordprocessingShape">
                    <wps:wsp>
                      <wps:cNvPr id="323" name="Graphic 32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3.98805pt;width:450.75pt;height:.1pt;mso-position-horizontal-relative:page;mso-position-vertical-relative:paragraph;z-index:-15648768;mso-wrap-distance-left:0;mso-wrap-distance-right:0" id="docshape76" coordorigin="1440,280" coordsize="9015,0" path="m1440,280l10454,280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234880">
                <wp:simplePos x="0" y="0"/>
                <wp:positionH relativeFrom="page">
                  <wp:posOffset>914400</wp:posOffset>
                </wp:positionH>
                <wp:positionV relativeFrom="paragraph">
                  <wp:posOffset>97116</wp:posOffset>
                </wp:positionV>
                <wp:extent cx="49530"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81600"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before="5"/>
      </w:pPr>
    </w:p>
    <w:p>
      <w:pPr>
        <w:tabs>
          <w:tab w:pos="705" w:val="left" w:leader="none"/>
        </w:tabs>
        <w:spacing w:before="0"/>
        <w:ind w:left="165" w:right="0" w:firstLine="0"/>
        <w:jc w:val="left"/>
        <w:rPr>
          <w:sz w:val="20"/>
        </w:rPr>
      </w:pPr>
      <w:bookmarkStart w:name="_bookmark1703" w:id="1705"/>
      <w:bookmarkEnd w:id="1705"/>
      <w:r>
        <w:rPr/>
      </w:r>
      <w:hyperlink w:history="true" w:anchor="_bookmark1655">
        <w:r>
          <w:rPr>
            <w:color w:val="005DA1"/>
            <w:spacing w:val="-4"/>
            <w:position w:val="5"/>
            <w:sz w:val="14"/>
            <w:u w:val="single" w:color="005DA1"/>
          </w:rPr>
          <w:t>881</w:t>
        </w:r>
      </w:hyperlink>
      <w:r>
        <w:rPr>
          <w:spacing w:val="-4"/>
          <w:position w:val="5"/>
          <w:sz w:val="14"/>
        </w:rPr>
        <w:t>.</w:t>
      </w:r>
      <w:r>
        <w:rPr>
          <w:position w:val="5"/>
          <w:sz w:val="14"/>
        </w:rPr>
        <w:tab/>
      </w:r>
      <w:r>
        <w:rPr>
          <w:rFonts w:ascii="Arial"/>
          <w:i/>
          <w:sz w:val="20"/>
        </w:rPr>
        <w:t>(1862)</w:t>
      </w:r>
      <w:r>
        <w:rPr>
          <w:rFonts w:ascii="Arial"/>
          <w:i/>
          <w:spacing w:val="-2"/>
          <w:sz w:val="20"/>
        </w:rPr>
        <w:t> </w:t>
      </w:r>
      <w:r>
        <w:rPr>
          <w:rFonts w:ascii="Arial"/>
          <w:i/>
          <w:sz w:val="20"/>
        </w:rPr>
        <w:t>4 D.F. &amp; G. </w:t>
      </w:r>
      <w:r>
        <w:rPr>
          <w:rFonts w:ascii="Arial"/>
          <w:i/>
          <w:spacing w:val="-4"/>
          <w:sz w:val="20"/>
        </w:rPr>
        <w:t>517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704" w:id="1706"/>
      <w:bookmarkEnd w:id="1706"/>
      <w:r>
        <w:rPr/>
      </w:r>
      <w:hyperlink w:history="true" w:anchor="_bookmark1656">
        <w:r>
          <w:rPr>
            <w:color w:val="005DA1"/>
            <w:spacing w:val="-4"/>
            <w:position w:val="5"/>
            <w:sz w:val="14"/>
            <w:u w:val="single" w:color="005DA1"/>
          </w:rPr>
          <w:t>882</w:t>
        </w:r>
      </w:hyperlink>
      <w:r>
        <w:rPr>
          <w:spacing w:val="-4"/>
          <w:position w:val="5"/>
          <w:sz w:val="14"/>
        </w:rPr>
        <w:t>.</w:t>
      </w:r>
      <w:r>
        <w:rPr>
          <w:position w:val="5"/>
          <w:sz w:val="14"/>
        </w:rPr>
        <w:tab/>
      </w:r>
      <w:r>
        <w:rPr>
          <w:rFonts w:ascii="Arial"/>
          <w:i/>
          <w:sz w:val="20"/>
        </w:rPr>
        <w:t>Inwards v Baker [1965] 2 Q.B. </w:t>
      </w:r>
      <w:r>
        <w:rPr>
          <w:rFonts w:ascii="Arial"/>
          <w:i/>
          <w:spacing w:val="-4"/>
          <w:sz w:val="20"/>
        </w:rPr>
        <w:t>507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705" w:id="1707"/>
      <w:bookmarkEnd w:id="1707"/>
      <w:r>
        <w:rPr/>
      </w:r>
      <w:hyperlink w:history="true" w:anchor="_bookmark1657">
        <w:r>
          <w:rPr>
            <w:color w:val="005DA1"/>
            <w:spacing w:val="-4"/>
            <w:position w:val="5"/>
            <w:sz w:val="14"/>
            <w:u w:val="single" w:color="005DA1"/>
          </w:rPr>
          <w:t>883</w:t>
        </w:r>
      </w:hyperlink>
      <w:r>
        <w:rPr>
          <w:spacing w:val="-4"/>
          <w:position w:val="5"/>
          <w:sz w:val="14"/>
        </w:rPr>
        <w:t>.</w:t>
      </w:r>
      <w:r>
        <w:rPr>
          <w:position w:val="5"/>
          <w:sz w:val="14"/>
        </w:rPr>
        <w:tab/>
      </w:r>
      <w:r>
        <w:rPr>
          <w:rFonts w:ascii="Arial"/>
          <w:i/>
          <w:sz w:val="20"/>
        </w:rPr>
        <w:t>Voyce</w:t>
      </w:r>
      <w:r>
        <w:rPr>
          <w:rFonts w:ascii="Arial"/>
          <w:i/>
          <w:spacing w:val="-1"/>
          <w:sz w:val="20"/>
        </w:rPr>
        <w:t> </w:t>
      </w:r>
      <w:r>
        <w:rPr>
          <w:rFonts w:ascii="Arial"/>
          <w:i/>
          <w:sz w:val="20"/>
        </w:rPr>
        <w:t>v Voyce (1991) 62 P. &amp; C.R. 290</w:t>
      </w:r>
      <w:r>
        <w:rPr>
          <w:sz w:val="20"/>
        </w:rPr>
        <w:t>; </w:t>
      </w:r>
      <w:r>
        <w:rPr>
          <w:rFonts w:ascii="Arial"/>
          <w:i/>
          <w:sz w:val="20"/>
        </w:rPr>
        <w:t>Q v Q [2008] EWHC 1874, [2009] 1 F.L.R. </w:t>
      </w:r>
      <w:r>
        <w:rPr>
          <w:rFonts w:ascii="Arial"/>
          <w:i/>
          <w:spacing w:val="-4"/>
          <w:sz w:val="20"/>
        </w:rPr>
        <w:t>935</w:t>
      </w:r>
      <w:r>
        <w:rPr>
          <w:spacing w:val="-4"/>
          <w:sz w:val="20"/>
        </w:rPr>
        <w:t>.</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bookmarkStart w:name="_bookmark1706" w:id="1708"/>
      <w:bookmarkEnd w:id="1708"/>
      <w:r>
        <w:rPr/>
      </w:r>
      <w:hyperlink w:history="true" w:anchor="_bookmark1658">
        <w:r>
          <w:rPr>
            <w:color w:val="005DA1"/>
            <w:spacing w:val="-4"/>
            <w:sz w:val="14"/>
            <w:u w:val="single" w:color="005DA1"/>
          </w:rPr>
          <w:t>884</w:t>
        </w:r>
      </w:hyperlink>
      <w:r>
        <w:rPr>
          <w:spacing w:val="-4"/>
          <w:sz w:val="14"/>
        </w:rPr>
        <w:t>.</w:t>
      </w:r>
    </w:p>
    <w:p>
      <w:pPr>
        <w:spacing w:line="227" w:lineRule="exact" w:before="208"/>
        <w:ind w:left="0" w:right="168" w:firstLine="0"/>
        <w:jc w:val="right"/>
        <w:rPr>
          <w:rFonts w:ascii="Arial"/>
          <w:i/>
          <w:sz w:val="20"/>
        </w:rPr>
      </w:pPr>
      <w:r>
        <w:rPr/>
        <w:br w:type="column"/>
      </w:r>
      <w:r>
        <w:rPr>
          <w:rFonts w:ascii="Arial"/>
          <w:i/>
          <w:sz w:val="20"/>
        </w:rPr>
        <w:t>Hussey</w:t>
      </w:r>
      <w:r>
        <w:rPr>
          <w:rFonts w:ascii="Arial"/>
          <w:i/>
          <w:spacing w:val="31"/>
          <w:sz w:val="20"/>
        </w:rPr>
        <w:t> </w:t>
      </w:r>
      <w:r>
        <w:rPr>
          <w:rFonts w:ascii="Arial"/>
          <w:i/>
          <w:sz w:val="20"/>
        </w:rPr>
        <w:t>v</w:t>
      </w:r>
      <w:r>
        <w:rPr>
          <w:rFonts w:ascii="Arial"/>
          <w:i/>
          <w:spacing w:val="32"/>
          <w:sz w:val="20"/>
        </w:rPr>
        <w:t> </w:t>
      </w:r>
      <w:r>
        <w:rPr>
          <w:rFonts w:ascii="Arial"/>
          <w:i/>
          <w:sz w:val="20"/>
        </w:rPr>
        <w:t>Palmer</w:t>
      </w:r>
      <w:r>
        <w:rPr>
          <w:rFonts w:ascii="Arial"/>
          <w:i/>
          <w:spacing w:val="32"/>
          <w:sz w:val="20"/>
        </w:rPr>
        <w:t> </w:t>
      </w:r>
      <w:r>
        <w:rPr>
          <w:rFonts w:ascii="Arial"/>
          <w:i/>
          <w:sz w:val="20"/>
        </w:rPr>
        <w:t>[1972]</w:t>
      </w:r>
      <w:r>
        <w:rPr>
          <w:rFonts w:ascii="Arial"/>
          <w:i/>
          <w:spacing w:val="32"/>
          <w:sz w:val="20"/>
        </w:rPr>
        <w:t> </w:t>
      </w:r>
      <w:r>
        <w:rPr>
          <w:rFonts w:ascii="Arial"/>
          <w:i/>
          <w:sz w:val="20"/>
        </w:rPr>
        <w:t>1</w:t>
      </w:r>
      <w:r>
        <w:rPr>
          <w:rFonts w:ascii="Arial"/>
          <w:i/>
          <w:spacing w:val="32"/>
          <w:sz w:val="20"/>
        </w:rPr>
        <w:t> </w:t>
      </w:r>
      <w:r>
        <w:rPr>
          <w:rFonts w:ascii="Arial"/>
          <w:i/>
          <w:sz w:val="20"/>
        </w:rPr>
        <w:t>W.L.R.</w:t>
      </w:r>
      <w:r>
        <w:rPr>
          <w:rFonts w:ascii="Arial"/>
          <w:i/>
          <w:spacing w:val="32"/>
          <w:sz w:val="20"/>
        </w:rPr>
        <w:t> </w:t>
      </w:r>
      <w:r>
        <w:rPr>
          <w:rFonts w:ascii="Arial"/>
          <w:i/>
          <w:sz w:val="20"/>
        </w:rPr>
        <w:t>1286</w:t>
      </w:r>
      <w:r>
        <w:rPr>
          <w:sz w:val="20"/>
        </w:rPr>
        <w:t>;</w:t>
      </w:r>
      <w:r>
        <w:rPr>
          <w:spacing w:val="32"/>
          <w:sz w:val="20"/>
        </w:rPr>
        <w:t> </w:t>
      </w:r>
      <w:r>
        <w:rPr>
          <w:rFonts w:ascii="Arial"/>
          <w:i/>
          <w:sz w:val="20"/>
        </w:rPr>
        <w:t>Pascoe</w:t>
      </w:r>
      <w:r>
        <w:rPr>
          <w:rFonts w:ascii="Arial"/>
          <w:i/>
          <w:spacing w:val="31"/>
          <w:sz w:val="20"/>
        </w:rPr>
        <w:t> </w:t>
      </w:r>
      <w:r>
        <w:rPr>
          <w:rFonts w:ascii="Arial"/>
          <w:i/>
          <w:sz w:val="20"/>
        </w:rPr>
        <w:t>v</w:t>
      </w:r>
      <w:r>
        <w:rPr>
          <w:rFonts w:ascii="Arial"/>
          <w:i/>
          <w:spacing w:val="32"/>
          <w:sz w:val="20"/>
        </w:rPr>
        <w:t> </w:t>
      </w:r>
      <w:r>
        <w:rPr>
          <w:rFonts w:ascii="Arial"/>
          <w:i/>
          <w:sz w:val="20"/>
        </w:rPr>
        <w:t>Turner</w:t>
      </w:r>
      <w:r>
        <w:rPr>
          <w:rFonts w:ascii="Arial"/>
          <w:i/>
          <w:spacing w:val="32"/>
          <w:sz w:val="20"/>
        </w:rPr>
        <w:t> </w:t>
      </w:r>
      <w:r>
        <w:rPr>
          <w:rFonts w:ascii="Arial"/>
          <w:i/>
          <w:sz w:val="20"/>
        </w:rPr>
        <w:t>[1979]</w:t>
      </w:r>
      <w:r>
        <w:rPr>
          <w:rFonts w:ascii="Arial"/>
          <w:i/>
          <w:spacing w:val="32"/>
          <w:sz w:val="20"/>
        </w:rPr>
        <w:t> </w:t>
      </w:r>
      <w:r>
        <w:rPr>
          <w:rFonts w:ascii="Arial"/>
          <w:i/>
          <w:sz w:val="20"/>
        </w:rPr>
        <w:t>1</w:t>
      </w:r>
      <w:r>
        <w:rPr>
          <w:rFonts w:ascii="Arial"/>
          <w:i/>
          <w:spacing w:val="32"/>
          <w:sz w:val="20"/>
        </w:rPr>
        <w:t> </w:t>
      </w:r>
      <w:r>
        <w:rPr>
          <w:rFonts w:ascii="Arial"/>
          <w:i/>
          <w:sz w:val="20"/>
        </w:rPr>
        <w:t>W.L.R.</w:t>
      </w:r>
      <w:r>
        <w:rPr>
          <w:rFonts w:ascii="Arial"/>
          <w:i/>
          <w:spacing w:val="32"/>
          <w:sz w:val="20"/>
        </w:rPr>
        <w:t> </w:t>
      </w:r>
      <w:r>
        <w:rPr>
          <w:rFonts w:ascii="Arial"/>
          <w:i/>
          <w:sz w:val="20"/>
        </w:rPr>
        <w:t>431</w:t>
      </w:r>
      <w:r>
        <w:rPr>
          <w:sz w:val="20"/>
        </w:rPr>
        <w:t>;</w:t>
      </w:r>
      <w:r>
        <w:rPr>
          <w:spacing w:val="32"/>
          <w:sz w:val="20"/>
        </w:rPr>
        <w:t> </w:t>
      </w:r>
      <w:r>
        <w:rPr>
          <w:rFonts w:ascii="Arial"/>
          <w:i/>
          <w:sz w:val="20"/>
        </w:rPr>
        <w:t>Durrant</w:t>
      </w:r>
      <w:r>
        <w:rPr>
          <w:rFonts w:ascii="Arial"/>
          <w:i/>
          <w:spacing w:val="32"/>
          <w:sz w:val="20"/>
        </w:rPr>
        <w:t> </w:t>
      </w:r>
      <w:r>
        <w:rPr>
          <w:rFonts w:ascii="Arial"/>
          <w:i/>
          <w:spacing w:val="-10"/>
          <w:sz w:val="20"/>
        </w:rPr>
        <w:t>v</w:t>
      </w:r>
    </w:p>
    <w:p>
      <w:pPr>
        <w:spacing w:line="225" w:lineRule="exact" w:before="0"/>
        <w:ind w:left="0" w:right="168" w:firstLine="0"/>
        <w:jc w:val="right"/>
        <w:rPr>
          <w:sz w:val="20"/>
        </w:rPr>
      </w:pPr>
      <w:r>
        <w:rPr>
          <w:sz w:val="20"/>
        </w:rPr>
        <w:drawing>
          <wp:anchor distT="0" distB="0" distL="0" distR="0" allowOverlap="1" layoutInCell="1" locked="0" behindDoc="0" simplePos="0" relativeHeight="15809536">
            <wp:simplePos x="0" y="0"/>
            <wp:positionH relativeFrom="page">
              <wp:posOffset>1257846</wp:posOffset>
            </wp:positionH>
            <wp:positionV relativeFrom="paragraph">
              <wp:posOffset>-116155</wp:posOffset>
            </wp:positionV>
            <wp:extent cx="107988" cy="107988"/>
            <wp:effectExtent l="0" t="0" r="0" b="0"/>
            <wp:wrapNone/>
            <wp:docPr id="325" name="Image 325"/>
            <wp:cNvGraphicFramePr>
              <a:graphicFrameLocks/>
            </wp:cNvGraphicFramePr>
            <a:graphic>
              <a:graphicData uri="http://schemas.openxmlformats.org/drawingml/2006/picture">
                <pic:pic>
                  <pic:nvPicPr>
                    <pic:cNvPr id="325" name="Image 325"/>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Heritage</w:t>
      </w:r>
      <w:r>
        <w:rPr>
          <w:rFonts w:ascii="Arial"/>
          <w:i/>
          <w:spacing w:val="17"/>
          <w:sz w:val="20"/>
        </w:rPr>
        <w:t> </w:t>
      </w:r>
      <w:r>
        <w:rPr>
          <w:rFonts w:ascii="Arial"/>
          <w:i/>
          <w:sz w:val="20"/>
        </w:rPr>
        <w:t>[1994]</w:t>
      </w:r>
      <w:r>
        <w:rPr>
          <w:rFonts w:ascii="Arial"/>
          <w:i/>
          <w:spacing w:val="18"/>
          <w:sz w:val="20"/>
        </w:rPr>
        <w:t> </w:t>
      </w:r>
      <w:r>
        <w:rPr>
          <w:rFonts w:ascii="Arial"/>
          <w:i/>
          <w:sz w:val="20"/>
        </w:rPr>
        <w:t>E.G.C.S.</w:t>
      </w:r>
      <w:r>
        <w:rPr>
          <w:rFonts w:ascii="Arial"/>
          <w:i/>
          <w:spacing w:val="18"/>
          <w:sz w:val="20"/>
        </w:rPr>
        <w:t> </w:t>
      </w:r>
      <w:r>
        <w:rPr>
          <w:rFonts w:ascii="Arial"/>
          <w:i/>
          <w:sz w:val="20"/>
        </w:rPr>
        <w:t>134</w:t>
      </w:r>
      <w:r>
        <w:rPr>
          <w:sz w:val="20"/>
        </w:rPr>
        <w:t>;</w:t>
      </w:r>
      <w:r>
        <w:rPr>
          <w:spacing w:val="18"/>
          <w:sz w:val="20"/>
        </w:rPr>
        <w:t> </w:t>
      </w:r>
      <w:r>
        <w:rPr>
          <w:sz w:val="20"/>
        </w:rPr>
        <w:t>cf.</w:t>
      </w:r>
      <w:r>
        <w:rPr>
          <w:spacing w:val="18"/>
          <w:sz w:val="20"/>
        </w:rPr>
        <w:t> </w:t>
      </w:r>
      <w:r>
        <w:rPr>
          <w:rFonts w:ascii="Arial"/>
          <w:i/>
          <w:sz w:val="20"/>
        </w:rPr>
        <w:t>Arif</w:t>
      </w:r>
      <w:r>
        <w:rPr>
          <w:rFonts w:ascii="Arial"/>
          <w:i/>
          <w:spacing w:val="18"/>
          <w:sz w:val="20"/>
        </w:rPr>
        <w:t> </w:t>
      </w:r>
      <w:r>
        <w:rPr>
          <w:rFonts w:ascii="Arial"/>
          <w:i/>
          <w:sz w:val="20"/>
        </w:rPr>
        <w:t>v</w:t>
      </w:r>
      <w:r>
        <w:rPr>
          <w:rFonts w:ascii="Arial"/>
          <w:i/>
          <w:spacing w:val="18"/>
          <w:sz w:val="20"/>
        </w:rPr>
        <w:t> </w:t>
      </w:r>
      <w:r>
        <w:rPr>
          <w:rFonts w:ascii="Arial"/>
          <w:i/>
          <w:sz w:val="20"/>
        </w:rPr>
        <w:t>Anwar</w:t>
      </w:r>
      <w:r>
        <w:rPr>
          <w:rFonts w:ascii="Arial"/>
          <w:i/>
          <w:spacing w:val="18"/>
          <w:sz w:val="20"/>
        </w:rPr>
        <w:t> </w:t>
      </w:r>
      <w:r>
        <w:rPr>
          <w:rFonts w:ascii="Arial"/>
          <w:i/>
          <w:sz w:val="20"/>
        </w:rPr>
        <w:t>[2015]</w:t>
      </w:r>
      <w:r>
        <w:rPr>
          <w:rFonts w:ascii="Arial"/>
          <w:i/>
          <w:spacing w:val="18"/>
          <w:sz w:val="20"/>
        </w:rPr>
        <w:t> </w:t>
      </w:r>
      <w:r>
        <w:rPr>
          <w:rFonts w:ascii="Arial"/>
          <w:i/>
          <w:sz w:val="20"/>
        </w:rPr>
        <w:t>EWHC</w:t>
      </w:r>
      <w:r>
        <w:rPr>
          <w:rFonts w:ascii="Arial"/>
          <w:i/>
          <w:spacing w:val="18"/>
          <w:sz w:val="20"/>
        </w:rPr>
        <w:t> </w:t>
      </w:r>
      <w:r>
        <w:rPr>
          <w:rFonts w:ascii="Arial"/>
          <w:i/>
          <w:sz w:val="20"/>
        </w:rPr>
        <w:t>124</w:t>
      </w:r>
      <w:r>
        <w:rPr>
          <w:rFonts w:ascii="Arial"/>
          <w:i/>
          <w:spacing w:val="18"/>
          <w:sz w:val="20"/>
        </w:rPr>
        <w:t> </w:t>
      </w:r>
      <w:r>
        <w:rPr>
          <w:rFonts w:ascii="Arial"/>
          <w:i/>
          <w:sz w:val="20"/>
        </w:rPr>
        <w:t>(Fam),</w:t>
      </w:r>
      <w:r>
        <w:rPr>
          <w:rFonts w:ascii="Arial"/>
          <w:i/>
          <w:spacing w:val="18"/>
          <w:sz w:val="20"/>
        </w:rPr>
        <w:t> </w:t>
      </w:r>
      <w:r>
        <w:rPr>
          <w:rFonts w:ascii="Arial"/>
          <w:i/>
          <w:sz w:val="20"/>
        </w:rPr>
        <w:t>[2016]</w:t>
      </w:r>
      <w:r>
        <w:rPr>
          <w:rFonts w:ascii="Arial"/>
          <w:i/>
          <w:spacing w:val="18"/>
          <w:sz w:val="20"/>
        </w:rPr>
        <w:t> </w:t>
      </w:r>
      <w:r>
        <w:rPr>
          <w:rFonts w:ascii="Arial"/>
          <w:i/>
          <w:sz w:val="20"/>
        </w:rPr>
        <w:t>1</w:t>
      </w:r>
      <w:r>
        <w:rPr>
          <w:rFonts w:ascii="Arial"/>
          <w:i/>
          <w:spacing w:val="18"/>
          <w:sz w:val="20"/>
        </w:rPr>
        <w:t> </w:t>
      </w:r>
      <w:r>
        <w:rPr>
          <w:rFonts w:ascii="Arial"/>
          <w:i/>
          <w:sz w:val="20"/>
        </w:rPr>
        <w:t>F.L.R.</w:t>
      </w:r>
      <w:r>
        <w:rPr>
          <w:rFonts w:ascii="Arial"/>
          <w:i/>
          <w:spacing w:val="18"/>
          <w:sz w:val="20"/>
        </w:rPr>
        <w:t> </w:t>
      </w:r>
      <w:r>
        <w:rPr>
          <w:rFonts w:ascii="Arial"/>
          <w:i/>
          <w:spacing w:val="-4"/>
          <w:sz w:val="20"/>
        </w:rPr>
        <w:t>359</w:t>
      </w:r>
      <w:r>
        <w:rPr>
          <w:spacing w:val="-4"/>
          <w:sz w:val="20"/>
        </w:rPr>
        <w:t>,</w:t>
      </w:r>
    </w:p>
    <w:p>
      <w:pPr>
        <w:pStyle w:val="BodyText"/>
        <w:spacing w:line="235" w:lineRule="auto" w:before="2"/>
        <w:ind w:left="165" w:right="167"/>
        <w:jc w:val="both"/>
      </w:pPr>
      <w:r>
        <w:rPr/>
        <w:t>where the person claiming to be entitled to the benefit of the proprietary estoppel had </w:t>
      </w:r>
      <w:r>
        <w:rPr/>
        <w:t>allowed money to which he was entitled to be used in improving the property; and this fact was held to be</w:t>
      </w:r>
      <w:r>
        <w:rPr>
          <w:spacing w:val="-3"/>
        </w:rPr>
        <w:t> </w:t>
      </w:r>
      <w:r>
        <w:rPr/>
        <w:t>sufficient</w:t>
      </w:r>
      <w:r>
        <w:rPr>
          <w:spacing w:val="-3"/>
        </w:rPr>
        <w:t> </w:t>
      </w:r>
      <w:r>
        <w:rPr/>
        <w:t>detrimental</w:t>
      </w:r>
      <w:r>
        <w:rPr>
          <w:spacing w:val="-3"/>
        </w:rPr>
        <w:t> </w:t>
      </w:r>
      <w:r>
        <w:rPr/>
        <w:t>reliance</w:t>
      </w:r>
      <w:r>
        <w:rPr>
          <w:spacing w:val="-3"/>
        </w:rPr>
        <w:t> </w:t>
      </w:r>
      <w:r>
        <w:rPr/>
        <w:t>(at</w:t>
      </w:r>
      <w:r>
        <w:rPr>
          <w:spacing w:val="-3"/>
        </w:rPr>
        <w:t> </w:t>
      </w:r>
      <w:r>
        <w:rPr/>
        <w:t>[68])</w:t>
      </w:r>
      <w:r>
        <w:rPr>
          <w:spacing w:val="-3"/>
        </w:rPr>
        <w:t> </w:t>
      </w:r>
      <w:r>
        <w:rPr/>
        <w:t>to</w:t>
      </w:r>
      <w:r>
        <w:rPr>
          <w:spacing w:val="-3"/>
        </w:rPr>
        <w:t> </w:t>
      </w:r>
      <w:r>
        <w:rPr/>
        <w:t>give</w:t>
      </w:r>
      <w:r>
        <w:rPr>
          <w:spacing w:val="-3"/>
        </w:rPr>
        <w:t> </w:t>
      </w:r>
      <w:r>
        <w:rPr/>
        <w:t>rise</w:t>
      </w:r>
      <w:r>
        <w:rPr>
          <w:spacing w:val="-3"/>
        </w:rPr>
        <w:t> </w:t>
      </w:r>
      <w:r>
        <w:rPr/>
        <w:t>to</w:t>
      </w:r>
      <w:r>
        <w:rPr>
          <w:spacing w:val="-3"/>
        </w:rPr>
        <w:t> </w:t>
      </w:r>
      <w:r>
        <w:rPr/>
        <w:t>the</w:t>
      </w:r>
      <w:r>
        <w:rPr>
          <w:spacing w:val="-3"/>
        </w:rPr>
        <w:t> </w:t>
      </w:r>
      <w:r>
        <w:rPr/>
        <w:t>proprietary</w:t>
      </w:r>
      <w:r>
        <w:rPr>
          <w:spacing w:val="-3"/>
        </w:rPr>
        <w:t> </w:t>
      </w:r>
      <w:r>
        <w:rPr/>
        <w:t>estoppel</w:t>
      </w:r>
      <w:r>
        <w:rPr>
          <w:spacing w:val="-3"/>
        </w:rPr>
        <w:t> </w:t>
      </w:r>
      <w:r>
        <w:rPr/>
        <w:t>(at</w:t>
      </w:r>
      <w:r>
        <w:rPr>
          <w:spacing w:val="-3"/>
        </w:rPr>
        <w:t> </w:t>
      </w:r>
      <w:r>
        <w:rPr/>
        <w:t>[69]);</w:t>
      </w:r>
      <w:r>
        <w:rPr>
          <w:spacing w:val="-3"/>
        </w:rPr>
        <w:t> </w:t>
      </w:r>
      <w:r>
        <w:rPr/>
        <w:t>for</w:t>
      </w:r>
      <w:r>
        <w:rPr>
          <w:spacing w:val="-3"/>
        </w:rPr>
        <w:t> </w:t>
      </w:r>
      <w:r>
        <w:rPr/>
        <w:t>this requirement, see Vol.I, para.4-158); semble spending money on mere maintenance would not suffice: </w:t>
      </w:r>
      <w:r>
        <w:rPr>
          <w:rFonts w:ascii="Arial"/>
          <w:i/>
        </w:rPr>
        <w:t>Griffiths v Williams [1978] E.G.D. 919</w:t>
      </w:r>
      <w:r>
        <w:rPr/>
        <w:t>. cf. </w:t>
      </w:r>
      <w:r>
        <w:rPr>
          <w:rFonts w:ascii="Arial"/>
          <w:i/>
        </w:rPr>
        <w:t>Maharaj v Chand [1986] A.C. 898 </w:t>
      </w:r>
      <w:r>
        <w:rPr/>
        <w:t>(where, because of local legislation, proprietary estoppel was not argued).</w:t>
      </w:r>
    </w:p>
    <w:p>
      <w:pPr>
        <w:pStyle w:val="BodyText"/>
        <w:spacing w:after="0" w:line="235" w:lineRule="auto"/>
        <w:jc w:val="both"/>
        <w:sectPr>
          <w:type w:val="continuous"/>
          <w:pgSz w:w="11900" w:h="16840"/>
          <w:pgMar w:header="971" w:footer="0" w:top="3760" w:bottom="280" w:left="1275" w:right="1275"/>
          <w:cols w:num="2" w:equalWidth="0">
            <w:col w:w="478" w:space="63"/>
            <w:col w:w="8809"/>
          </w:cols>
        </w:sectPr>
      </w:pPr>
    </w:p>
    <w:p>
      <w:pPr>
        <w:pStyle w:val="BodyText"/>
        <w:spacing w:before="7"/>
      </w:pPr>
    </w:p>
    <w:p>
      <w:pPr>
        <w:tabs>
          <w:tab w:pos="705" w:val="left" w:leader="none"/>
        </w:tabs>
        <w:spacing w:line="235" w:lineRule="auto" w:before="0"/>
        <w:ind w:left="705" w:right="168" w:hanging="541"/>
        <w:jc w:val="left"/>
        <w:rPr>
          <w:sz w:val="20"/>
        </w:rPr>
      </w:pPr>
      <w:bookmarkStart w:name="_bookmark1707" w:id="1709"/>
      <w:bookmarkEnd w:id="1709"/>
      <w:r>
        <w:rPr/>
      </w:r>
      <w:hyperlink w:history="true" w:anchor="_bookmark1659">
        <w:r>
          <w:rPr>
            <w:color w:val="005DA1"/>
            <w:spacing w:val="-4"/>
            <w:position w:val="5"/>
            <w:sz w:val="14"/>
            <w:u w:val="single" w:color="005DA1"/>
          </w:rPr>
          <w:t>885</w:t>
        </w:r>
      </w:hyperlink>
      <w:r>
        <w:rPr>
          <w:spacing w:val="-4"/>
          <w:position w:val="5"/>
          <w:sz w:val="14"/>
        </w:rPr>
        <w:t>.</w:t>
      </w:r>
      <w:r>
        <w:rPr>
          <w:position w:val="5"/>
          <w:sz w:val="14"/>
        </w:rPr>
        <w:tab/>
      </w:r>
      <w:r>
        <w:rPr>
          <w:rFonts w:ascii="Arial"/>
          <w:i/>
          <w:sz w:val="20"/>
        </w:rPr>
        <w:t>Eves</w:t>
      </w:r>
      <w:r>
        <w:rPr>
          <w:rFonts w:ascii="Arial"/>
          <w:i/>
          <w:spacing w:val="23"/>
          <w:sz w:val="20"/>
        </w:rPr>
        <w:t> </w:t>
      </w:r>
      <w:r>
        <w:rPr>
          <w:rFonts w:ascii="Arial"/>
          <w:i/>
          <w:sz w:val="20"/>
        </w:rPr>
        <w:t>v</w:t>
      </w:r>
      <w:r>
        <w:rPr>
          <w:rFonts w:ascii="Arial"/>
          <w:i/>
          <w:spacing w:val="23"/>
          <w:sz w:val="20"/>
        </w:rPr>
        <w:t> </w:t>
      </w:r>
      <w:r>
        <w:rPr>
          <w:rFonts w:ascii="Arial"/>
          <w:i/>
          <w:sz w:val="20"/>
        </w:rPr>
        <w:t>Eves</w:t>
      </w:r>
      <w:r>
        <w:rPr>
          <w:rFonts w:ascii="Arial"/>
          <w:i/>
          <w:spacing w:val="23"/>
          <w:sz w:val="20"/>
        </w:rPr>
        <w:t> </w:t>
      </w:r>
      <w:r>
        <w:rPr>
          <w:rFonts w:ascii="Arial"/>
          <w:i/>
          <w:sz w:val="20"/>
        </w:rPr>
        <w:t>[1975]</w:t>
      </w:r>
      <w:r>
        <w:rPr>
          <w:rFonts w:ascii="Arial"/>
          <w:i/>
          <w:spacing w:val="23"/>
          <w:sz w:val="20"/>
        </w:rPr>
        <w:t> </w:t>
      </w:r>
      <w:r>
        <w:rPr>
          <w:rFonts w:ascii="Arial"/>
          <w:i/>
          <w:sz w:val="20"/>
        </w:rPr>
        <w:t>1</w:t>
      </w:r>
      <w:r>
        <w:rPr>
          <w:rFonts w:ascii="Arial"/>
          <w:i/>
          <w:spacing w:val="23"/>
          <w:sz w:val="20"/>
        </w:rPr>
        <w:t> </w:t>
      </w:r>
      <w:r>
        <w:rPr>
          <w:rFonts w:ascii="Arial"/>
          <w:i/>
          <w:sz w:val="20"/>
        </w:rPr>
        <w:t>W.L.R.</w:t>
      </w:r>
      <w:r>
        <w:rPr>
          <w:rFonts w:ascii="Arial"/>
          <w:i/>
          <w:spacing w:val="23"/>
          <w:sz w:val="20"/>
        </w:rPr>
        <w:t> </w:t>
      </w:r>
      <w:r>
        <w:rPr>
          <w:rFonts w:ascii="Arial"/>
          <w:i/>
          <w:sz w:val="20"/>
        </w:rPr>
        <w:t>1338</w:t>
      </w:r>
      <w:r>
        <w:rPr>
          <w:sz w:val="20"/>
        </w:rPr>
        <w:t>;</w:t>
      </w:r>
      <w:r>
        <w:rPr>
          <w:spacing w:val="23"/>
          <w:sz w:val="20"/>
        </w:rPr>
        <w:t> </w:t>
      </w:r>
      <w:r>
        <w:rPr>
          <w:rFonts w:ascii="Arial"/>
          <w:i/>
          <w:sz w:val="20"/>
        </w:rPr>
        <w:t>Jones</w:t>
      </w:r>
      <w:r>
        <w:rPr>
          <w:rFonts w:ascii="Arial"/>
          <w:i/>
          <w:spacing w:val="23"/>
          <w:sz w:val="20"/>
        </w:rPr>
        <w:t> </w:t>
      </w:r>
      <w:r>
        <w:rPr>
          <w:rFonts w:ascii="Arial"/>
          <w:i/>
          <w:sz w:val="20"/>
        </w:rPr>
        <w:t>v</w:t>
      </w:r>
      <w:r>
        <w:rPr>
          <w:rFonts w:ascii="Arial"/>
          <w:i/>
          <w:spacing w:val="23"/>
          <w:sz w:val="20"/>
        </w:rPr>
        <w:t> </w:t>
      </w:r>
      <w:r>
        <w:rPr>
          <w:rFonts w:ascii="Arial"/>
          <w:i/>
          <w:sz w:val="20"/>
        </w:rPr>
        <w:t>Jones</w:t>
      </w:r>
      <w:r>
        <w:rPr>
          <w:rFonts w:ascii="Arial"/>
          <w:i/>
          <w:spacing w:val="23"/>
          <w:sz w:val="20"/>
        </w:rPr>
        <w:t> </w:t>
      </w:r>
      <w:r>
        <w:rPr>
          <w:rFonts w:ascii="Arial"/>
          <w:i/>
          <w:sz w:val="20"/>
        </w:rPr>
        <w:t>[1977]</w:t>
      </w:r>
      <w:r>
        <w:rPr>
          <w:rFonts w:ascii="Arial"/>
          <w:i/>
          <w:spacing w:val="23"/>
          <w:sz w:val="20"/>
        </w:rPr>
        <w:t> </w:t>
      </w:r>
      <w:r>
        <w:rPr>
          <w:rFonts w:ascii="Arial"/>
          <w:i/>
          <w:sz w:val="20"/>
        </w:rPr>
        <w:t>1</w:t>
      </w:r>
      <w:r>
        <w:rPr>
          <w:rFonts w:ascii="Arial"/>
          <w:i/>
          <w:spacing w:val="23"/>
          <w:sz w:val="20"/>
        </w:rPr>
        <w:t> </w:t>
      </w:r>
      <w:r>
        <w:rPr>
          <w:rFonts w:ascii="Arial"/>
          <w:i/>
          <w:sz w:val="20"/>
        </w:rPr>
        <w:t>W.L.R.</w:t>
      </w:r>
      <w:r>
        <w:rPr>
          <w:rFonts w:ascii="Arial"/>
          <w:i/>
          <w:spacing w:val="23"/>
          <w:sz w:val="20"/>
        </w:rPr>
        <w:t> </w:t>
      </w:r>
      <w:r>
        <w:rPr>
          <w:rFonts w:ascii="Arial"/>
          <w:i/>
          <w:sz w:val="20"/>
        </w:rPr>
        <w:t>438</w:t>
      </w:r>
      <w:r>
        <w:rPr>
          <w:sz w:val="20"/>
        </w:rPr>
        <w:t>;</w:t>
      </w:r>
      <w:r>
        <w:rPr>
          <w:spacing w:val="23"/>
          <w:sz w:val="20"/>
        </w:rPr>
        <w:t> </w:t>
      </w:r>
      <w:r>
        <w:rPr>
          <w:rFonts w:ascii="Arial"/>
          <w:i/>
          <w:sz w:val="20"/>
        </w:rPr>
        <w:t>Ungurian</w:t>
      </w:r>
      <w:r>
        <w:rPr>
          <w:rFonts w:ascii="Arial"/>
          <w:i/>
          <w:spacing w:val="23"/>
          <w:sz w:val="20"/>
        </w:rPr>
        <w:t> </w:t>
      </w:r>
      <w:r>
        <w:rPr>
          <w:rFonts w:ascii="Arial"/>
          <w:i/>
          <w:sz w:val="20"/>
        </w:rPr>
        <w:t>v</w:t>
      </w:r>
      <w:r>
        <w:rPr>
          <w:rFonts w:ascii="Arial"/>
          <w:i/>
          <w:spacing w:val="23"/>
          <w:sz w:val="20"/>
        </w:rPr>
        <w:t> </w:t>
      </w:r>
      <w:r>
        <w:rPr>
          <w:rFonts w:ascii="Arial"/>
          <w:i/>
          <w:sz w:val="20"/>
        </w:rPr>
        <w:t>Lesnoff [1990]</w:t>
      </w:r>
      <w:r>
        <w:rPr>
          <w:rFonts w:ascii="Arial"/>
          <w:i/>
          <w:spacing w:val="20"/>
          <w:sz w:val="20"/>
        </w:rPr>
        <w:t> </w:t>
      </w:r>
      <w:r>
        <w:rPr>
          <w:rFonts w:ascii="Arial"/>
          <w:i/>
          <w:sz w:val="20"/>
        </w:rPr>
        <w:t>Ch.</w:t>
      </w:r>
      <w:r>
        <w:rPr>
          <w:rFonts w:ascii="Arial"/>
          <w:i/>
          <w:spacing w:val="23"/>
          <w:sz w:val="20"/>
        </w:rPr>
        <w:t> </w:t>
      </w:r>
      <w:r>
        <w:rPr>
          <w:rFonts w:ascii="Arial"/>
          <w:i/>
          <w:sz w:val="20"/>
        </w:rPr>
        <w:t>206</w:t>
      </w:r>
      <w:r>
        <w:rPr>
          <w:sz w:val="20"/>
        </w:rPr>
        <w:t>;</w:t>
      </w:r>
      <w:r>
        <w:rPr>
          <w:spacing w:val="23"/>
          <w:sz w:val="20"/>
        </w:rPr>
        <w:t> </w:t>
      </w:r>
      <w:r>
        <w:rPr>
          <w:rFonts w:ascii="Arial"/>
          <w:i/>
          <w:sz w:val="20"/>
        </w:rPr>
        <w:t>Clough</w:t>
      </w:r>
      <w:r>
        <w:rPr>
          <w:rFonts w:ascii="Arial"/>
          <w:i/>
          <w:spacing w:val="23"/>
          <w:sz w:val="20"/>
        </w:rPr>
        <w:t> </w:t>
      </w:r>
      <w:r>
        <w:rPr>
          <w:rFonts w:ascii="Arial"/>
          <w:i/>
          <w:sz w:val="20"/>
        </w:rPr>
        <w:t>v</w:t>
      </w:r>
      <w:r>
        <w:rPr>
          <w:rFonts w:ascii="Arial"/>
          <w:i/>
          <w:spacing w:val="23"/>
          <w:sz w:val="20"/>
        </w:rPr>
        <w:t> </w:t>
      </w:r>
      <w:r>
        <w:rPr>
          <w:rFonts w:ascii="Arial"/>
          <w:i/>
          <w:sz w:val="20"/>
        </w:rPr>
        <w:t>Kelly</w:t>
      </w:r>
      <w:r>
        <w:rPr>
          <w:rFonts w:ascii="Arial"/>
          <w:i/>
          <w:spacing w:val="23"/>
          <w:sz w:val="20"/>
        </w:rPr>
        <w:t> </w:t>
      </w:r>
      <w:r>
        <w:rPr>
          <w:rFonts w:ascii="Arial"/>
          <w:i/>
          <w:sz w:val="20"/>
        </w:rPr>
        <w:t>(1996)</w:t>
      </w:r>
      <w:r>
        <w:rPr>
          <w:rFonts w:ascii="Arial"/>
          <w:i/>
          <w:spacing w:val="23"/>
          <w:sz w:val="20"/>
        </w:rPr>
        <w:t> </w:t>
      </w:r>
      <w:r>
        <w:rPr>
          <w:rFonts w:ascii="Arial"/>
          <w:i/>
          <w:sz w:val="20"/>
        </w:rPr>
        <w:t>72</w:t>
      </w:r>
      <w:r>
        <w:rPr>
          <w:rFonts w:ascii="Arial"/>
          <w:i/>
          <w:spacing w:val="23"/>
          <w:sz w:val="20"/>
        </w:rPr>
        <w:t> </w:t>
      </w:r>
      <w:r>
        <w:rPr>
          <w:rFonts w:ascii="Arial"/>
          <w:i/>
          <w:sz w:val="20"/>
        </w:rPr>
        <w:t>P.</w:t>
      </w:r>
      <w:r>
        <w:rPr>
          <w:rFonts w:ascii="Arial"/>
          <w:i/>
          <w:spacing w:val="23"/>
          <w:sz w:val="20"/>
        </w:rPr>
        <w:t> </w:t>
      </w:r>
      <w:r>
        <w:rPr>
          <w:rFonts w:ascii="Arial"/>
          <w:i/>
          <w:sz w:val="20"/>
        </w:rPr>
        <w:t>&amp;</w:t>
      </w:r>
      <w:r>
        <w:rPr>
          <w:rFonts w:ascii="Arial"/>
          <w:i/>
          <w:spacing w:val="23"/>
          <w:sz w:val="20"/>
        </w:rPr>
        <w:t> </w:t>
      </w:r>
      <w:r>
        <w:rPr>
          <w:rFonts w:ascii="Arial"/>
          <w:i/>
          <w:sz w:val="20"/>
        </w:rPr>
        <w:t>C.R.</w:t>
      </w:r>
      <w:r>
        <w:rPr>
          <w:rFonts w:ascii="Arial"/>
          <w:i/>
          <w:spacing w:val="23"/>
          <w:sz w:val="20"/>
        </w:rPr>
        <w:t> </w:t>
      </w:r>
      <w:r>
        <w:rPr>
          <w:rFonts w:ascii="Arial"/>
          <w:i/>
          <w:sz w:val="20"/>
        </w:rPr>
        <w:t>D22</w:t>
      </w:r>
      <w:r>
        <w:rPr>
          <w:rFonts w:ascii="Arial"/>
          <w:i/>
          <w:spacing w:val="22"/>
          <w:sz w:val="20"/>
        </w:rPr>
        <w:t> </w:t>
      </w:r>
      <w:r>
        <w:rPr>
          <w:sz w:val="20"/>
        </w:rPr>
        <w:t>(where</w:t>
      </w:r>
      <w:r>
        <w:rPr>
          <w:spacing w:val="23"/>
          <w:sz w:val="20"/>
        </w:rPr>
        <w:t> </w:t>
      </w:r>
      <w:r>
        <w:rPr>
          <w:sz w:val="20"/>
        </w:rPr>
        <w:t>the</w:t>
      </w:r>
      <w:r>
        <w:rPr>
          <w:spacing w:val="23"/>
          <w:sz w:val="20"/>
        </w:rPr>
        <w:t> </w:t>
      </w:r>
      <w:r>
        <w:rPr>
          <w:sz w:val="20"/>
        </w:rPr>
        <w:t>claimant</w:t>
      </w:r>
      <w:r>
        <w:rPr>
          <w:spacing w:val="23"/>
          <w:sz w:val="20"/>
        </w:rPr>
        <w:t> </w:t>
      </w:r>
      <w:r>
        <w:rPr>
          <w:sz w:val="20"/>
        </w:rPr>
        <w:t>had</w:t>
      </w:r>
      <w:r>
        <w:rPr>
          <w:spacing w:val="23"/>
          <w:sz w:val="20"/>
        </w:rPr>
        <w:t> </w:t>
      </w:r>
      <w:r>
        <w:rPr>
          <w:sz w:val="20"/>
        </w:rPr>
        <w:t>also</w:t>
      </w:r>
      <w:r>
        <w:rPr>
          <w:spacing w:val="23"/>
          <w:sz w:val="20"/>
        </w:rPr>
        <w:t> </w:t>
      </w:r>
      <w:r>
        <w:rPr>
          <w:spacing w:val="-2"/>
          <w:sz w:val="20"/>
        </w:rPr>
        <w:t>spent</w:t>
      </w:r>
    </w:p>
    <w:p>
      <w:pPr>
        <w:spacing w:after="0" w:line="235" w:lineRule="auto"/>
        <w:jc w:val="left"/>
        <w:rPr>
          <w:sz w:val="20"/>
        </w:rPr>
        <w:sectPr>
          <w:type w:val="continuous"/>
          <w:pgSz w:w="11900" w:h="16840"/>
          <w:pgMar w:header="971" w:footer="0" w:top="3760" w:bottom="280" w:left="1275" w:right="1275"/>
        </w:sectPr>
      </w:pPr>
    </w:p>
    <w:p>
      <w:pPr>
        <w:pStyle w:val="BodyText"/>
        <w:spacing w:before="24"/>
      </w:pPr>
    </w:p>
    <w:p>
      <w:pPr>
        <w:spacing w:line="235" w:lineRule="auto" w:before="1"/>
        <w:ind w:left="705" w:right="168" w:firstLine="0"/>
        <w:jc w:val="both"/>
        <w:rPr>
          <w:sz w:val="20"/>
        </w:rPr>
      </w:pPr>
      <w:r>
        <w:rPr>
          <w:sz w:val="20"/>
        </w:rPr>
        <w:t>money on the premises); cf. </w:t>
      </w:r>
      <w:r>
        <w:rPr>
          <w:rFonts w:ascii="Arial"/>
          <w:i/>
          <w:sz w:val="20"/>
        </w:rPr>
        <w:t>Jiggins v Brisley [2003] EWHC 841; [2003] 1 W.T.L.R. </w:t>
      </w:r>
      <w:r>
        <w:rPr>
          <w:rFonts w:ascii="Arial"/>
          <w:i/>
          <w:sz w:val="20"/>
        </w:rPr>
        <w:t>1141 </w:t>
      </w:r>
      <w:r>
        <w:rPr>
          <w:sz w:val="20"/>
        </w:rPr>
        <w:t>(provision of purchase money and money to pay for improvements); see also </w:t>
      </w:r>
      <w:r>
        <w:rPr>
          <w:rFonts w:ascii="Arial"/>
          <w:i/>
          <w:sz w:val="20"/>
        </w:rPr>
        <w:t>Van Leathen v Brooker [2006] EWHC 1478, [2006] 1 F.C.R. 697</w:t>
      </w:r>
      <w:r>
        <w:rPr>
          <w:sz w:val="20"/>
        </w:rPr>
        <w:t>, below para.4-158.</w:t>
      </w:r>
    </w:p>
    <w:p>
      <w:pPr>
        <w:pStyle w:val="BodyText"/>
        <w:spacing w:before="5"/>
      </w:pPr>
    </w:p>
    <w:p>
      <w:pPr>
        <w:tabs>
          <w:tab w:pos="705" w:val="left" w:leader="none"/>
        </w:tabs>
        <w:spacing w:before="0"/>
        <w:ind w:left="165" w:right="0" w:firstLine="0"/>
        <w:jc w:val="left"/>
        <w:rPr>
          <w:sz w:val="20"/>
        </w:rPr>
      </w:pPr>
      <w:bookmarkStart w:name="_bookmark1708" w:id="1710"/>
      <w:bookmarkEnd w:id="1710"/>
      <w:r>
        <w:rPr/>
      </w:r>
      <w:hyperlink w:history="true" w:anchor="_bookmark1660">
        <w:r>
          <w:rPr>
            <w:color w:val="005DA1"/>
            <w:spacing w:val="-4"/>
            <w:position w:val="5"/>
            <w:sz w:val="14"/>
            <w:u w:val="single" w:color="005DA1"/>
          </w:rPr>
          <w:t>886</w:t>
        </w:r>
      </w:hyperlink>
      <w:r>
        <w:rPr>
          <w:spacing w:val="-4"/>
          <w:position w:val="5"/>
          <w:sz w:val="14"/>
        </w:rPr>
        <w:t>.</w:t>
      </w:r>
      <w:r>
        <w:rPr>
          <w:position w:val="5"/>
          <w:sz w:val="14"/>
        </w:rPr>
        <w:tab/>
      </w:r>
      <w:r>
        <w:rPr>
          <w:rFonts w:ascii="Arial"/>
          <w:i/>
          <w:sz w:val="20"/>
        </w:rPr>
        <w:t>J.T. Developments v Quinn (1991) 62 P. &amp; C.R. </w:t>
      </w:r>
      <w:r>
        <w:rPr>
          <w:rFonts w:ascii="Arial"/>
          <w:i/>
          <w:spacing w:val="-5"/>
          <w:sz w:val="20"/>
        </w:rPr>
        <w:t>33</w:t>
      </w:r>
      <w:r>
        <w:rPr>
          <w:spacing w:val="-5"/>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709" w:id="1711"/>
      <w:bookmarkEnd w:id="1711"/>
      <w:r>
        <w:rPr/>
      </w:r>
      <w:hyperlink w:history="true" w:anchor="_bookmark1661">
        <w:r>
          <w:rPr>
            <w:color w:val="005DA1"/>
            <w:spacing w:val="-4"/>
            <w:position w:val="5"/>
            <w:sz w:val="14"/>
            <w:u w:val="single" w:color="005DA1"/>
          </w:rPr>
          <w:t>887</w:t>
        </w:r>
      </w:hyperlink>
      <w:r>
        <w:rPr>
          <w:spacing w:val="-4"/>
          <w:position w:val="5"/>
          <w:sz w:val="14"/>
        </w:rPr>
        <w:t>.</w:t>
      </w:r>
      <w:r>
        <w:rPr>
          <w:position w:val="5"/>
          <w:sz w:val="14"/>
        </w:rPr>
        <w:tab/>
      </w:r>
      <w:r>
        <w:rPr>
          <w:rFonts w:ascii="Arial"/>
          <w:i/>
          <w:sz w:val="20"/>
        </w:rPr>
        <w:t>Canadian</w:t>
      </w:r>
      <w:r>
        <w:rPr>
          <w:rFonts w:ascii="Arial"/>
          <w:i/>
          <w:spacing w:val="6"/>
          <w:sz w:val="20"/>
        </w:rPr>
        <w:t> </w:t>
      </w:r>
      <w:r>
        <w:rPr>
          <w:rFonts w:ascii="Arial"/>
          <w:i/>
          <w:sz w:val="20"/>
        </w:rPr>
        <w:t>Pacific</w:t>
      </w:r>
      <w:r>
        <w:rPr>
          <w:rFonts w:ascii="Arial"/>
          <w:i/>
          <w:spacing w:val="9"/>
          <w:sz w:val="20"/>
        </w:rPr>
        <w:t> </w:t>
      </w:r>
      <w:r>
        <w:rPr>
          <w:rFonts w:ascii="Arial"/>
          <w:i/>
          <w:sz w:val="20"/>
        </w:rPr>
        <w:t>Railway</w:t>
      </w:r>
      <w:r>
        <w:rPr>
          <w:rFonts w:ascii="Arial"/>
          <w:i/>
          <w:spacing w:val="9"/>
          <w:sz w:val="20"/>
        </w:rPr>
        <w:t> </w:t>
      </w:r>
      <w:r>
        <w:rPr>
          <w:rFonts w:ascii="Arial"/>
          <w:i/>
          <w:sz w:val="20"/>
        </w:rPr>
        <w:t>v</w:t>
      </w:r>
      <w:r>
        <w:rPr>
          <w:rFonts w:ascii="Arial"/>
          <w:i/>
          <w:spacing w:val="9"/>
          <w:sz w:val="20"/>
        </w:rPr>
        <w:t> </w:t>
      </w:r>
      <w:r>
        <w:rPr>
          <w:rFonts w:ascii="Arial"/>
          <w:i/>
          <w:sz w:val="20"/>
        </w:rPr>
        <w:t>The</w:t>
      </w:r>
      <w:r>
        <w:rPr>
          <w:rFonts w:ascii="Arial"/>
          <w:i/>
          <w:spacing w:val="9"/>
          <w:sz w:val="20"/>
        </w:rPr>
        <w:t> </w:t>
      </w:r>
      <w:r>
        <w:rPr>
          <w:rFonts w:ascii="Arial"/>
          <w:i/>
          <w:sz w:val="20"/>
        </w:rPr>
        <w:t>King</w:t>
      </w:r>
      <w:r>
        <w:rPr>
          <w:rFonts w:ascii="Arial"/>
          <w:i/>
          <w:spacing w:val="9"/>
          <w:sz w:val="20"/>
        </w:rPr>
        <w:t> </w:t>
      </w:r>
      <w:r>
        <w:rPr>
          <w:rFonts w:ascii="Arial"/>
          <w:i/>
          <w:sz w:val="20"/>
        </w:rPr>
        <w:t>[1931]</w:t>
      </w:r>
      <w:r>
        <w:rPr>
          <w:rFonts w:ascii="Arial"/>
          <w:i/>
          <w:spacing w:val="9"/>
          <w:sz w:val="20"/>
        </w:rPr>
        <w:t> </w:t>
      </w:r>
      <w:r>
        <w:rPr>
          <w:rFonts w:ascii="Arial"/>
          <w:i/>
          <w:sz w:val="20"/>
        </w:rPr>
        <w:t>A.C.</w:t>
      </w:r>
      <w:r>
        <w:rPr>
          <w:rFonts w:ascii="Arial"/>
          <w:i/>
          <w:spacing w:val="9"/>
          <w:sz w:val="20"/>
        </w:rPr>
        <w:t> </w:t>
      </w:r>
      <w:r>
        <w:rPr>
          <w:rFonts w:ascii="Arial"/>
          <w:i/>
          <w:sz w:val="20"/>
        </w:rPr>
        <w:t>414</w:t>
      </w:r>
      <w:r>
        <w:rPr>
          <w:sz w:val="20"/>
        </w:rPr>
        <w:t>;</w:t>
      </w:r>
      <w:r>
        <w:rPr>
          <w:spacing w:val="9"/>
          <w:sz w:val="20"/>
        </w:rPr>
        <w:t> </w:t>
      </w:r>
      <w:r>
        <w:rPr>
          <w:rFonts w:ascii="Arial"/>
          <w:i/>
          <w:sz w:val="20"/>
        </w:rPr>
        <w:t>Armstrong</w:t>
      </w:r>
      <w:r>
        <w:rPr>
          <w:rFonts w:ascii="Arial"/>
          <w:i/>
          <w:spacing w:val="9"/>
          <w:sz w:val="20"/>
        </w:rPr>
        <w:t> </w:t>
      </w:r>
      <w:r>
        <w:rPr>
          <w:rFonts w:ascii="Arial"/>
          <w:i/>
          <w:sz w:val="20"/>
        </w:rPr>
        <w:t>v</w:t>
      </w:r>
      <w:r>
        <w:rPr>
          <w:rFonts w:ascii="Arial"/>
          <w:i/>
          <w:spacing w:val="9"/>
          <w:sz w:val="20"/>
        </w:rPr>
        <w:t> </w:t>
      </w:r>
      <w:r>
        <w:rPr>
          <w:rFonts w:ascii="Arial"/>
          <w:i/>
          <w:sz w:val="20"/>
        </w:rPr>
        <w:t>Sheppard</w:t>
      </w:r>
      <w:r>
        <w:rPr>
          <w:rFonts w:ascii="Arial"/>
          <w:i/>
          <w:spacing w:val="9"/>
          <w:sz w:val="20"/>
        </w:rPr>
        <w:t> </w:t>
      </w:r>
      <w:r>
        <w:rPr>
          <w:rFonts w:ascii="Arial"/>
          <w:i/>
          <w:sz w:val="20"/>
        </w:rPr>
        <w:t>&amp;</w:t>
      </w:r>
      <w:r>
        <w:rPr>
          <w:rFonts w:ascii="Arial"/>
          <w:i/>
          <w:spacing w:val="9"/>
          <w:sz w:val="20"/>
        </w:rPr>
        <w:t> </w:t>
      </w:r>
      <w:r>
        <w:rPr>
          <w:rFonts w:ascii="Arial"/>
          <w:i/>
          <w:sz w:val="20"/>
        </w:rPr>
        <w:t>Short</w:t>
      </w:r>
      <w:r>
        <w:rPr>
          <w:rFonts w:ascii="Arial"/>
          <w:i/>
          <w:spacing w:val="9"/>
          <w:sz w:val="20"/>
        </w:rPr>
        <w:t> </w:t>
      </w:r>
      <w:r>
        <w:rPr>
          <w:rFonts w:ascii="Arial"/>
          <w:i/>
          <w:sz w:val="20"/>
        </w:rPr>
        <w:t>[1959]</w:t>
      </w:r>
      <w:r>
        <w:rPr>
          <w:rFonts w:ascii="Arial"/>
          <w:i/>
          <w:spacing w:val="9"/>
          <w:sz w:val="20"/>
        </w:rPr>
        <w:t> </w:t>
      </w:r>
      <w:r>
        <w:rPr>
          <w:rFonts w:ascii="Arial"/>
          <w:i/>
          <w:spacing w:val="-10"/>
          <w:sz w:val="20"/>
        </w:rPr>
        <w:t>2</w:t>
      </w:r>
    </w:p>
    <w:p>
      <w:pPr>
        <w:spacing w:line="227" w:lineRule="exact" w:before="0"/>
        <w:ind w:left="705" w:right="0" w:firstLine="0"/>
        <w:jc w:val="left"/>
        <w:rPr>
          <w:sz w:val="20"/>
        </w:rPr>
      </w:pPr>
      <w:r>
        <w:rPr>
          <w:rFonts w:ascii="Arial"/>
          <w:i/>
          <w:sz w:val="20"/>
        </w:rPr>
        <w:t>Q.B.</w:t>
      </w:r>
      <w:r>
        <w:rPr>
          <w:rFonts w:ascii="Arial"/>
          <w:i/>
          <w:spacing w:val="-2"/>
          <w:sz w:val="20"/>
        </w:rPr>
        <w:t> </w:t>
      </w:r>
      <w:r>
        <w:rPr>
          <w:rFonts w:ascii="Arial"/>
          <w:i/>
          <w:spacing w:val="-4"/>
          <w:sz w:val="20"/>
        </w:rPr>
        <w:t>384</w:t>
      </w:r>
      <w:r>
        <w:rPr>
          <w:spacing w:val="-4"/>
          <w:sz w:val="20"/>
        </w:rPr>
        <w:t>.</w:t>
      </w:r>
    </w:p>
    <w:p>
      <w:pPr>
        <w:pStyle w:val="BodyText"/>
        <w:spacing w:before="5"/>
      </w:pPr>
    </w:p>
    <w:p>
      <w:pPr>
        <w:pStyle w:val="BodyText"/>
        <w:tabs>
          <w:tab w:pos="705" w:val="left" w:leader="none"/>
        </w:tabs>
        <w:ind w:left="165"/>
      </w:pPr>
      <w:bookmarkStart w:name="_bookmark1710" w:id="1712"/>
      <w:bookmarkEnd w:id="1712"/>
      <w:r>
        <w:rPr/>
      </w:r>
      <w:hyperlink w:history="true" w:anchor="_bookmark1662">
        <w:r>
          <w:rPr>
            <w:color w:val="005DA1"/>
            <w:spacing w:val="-4"/>
            <w:position w:val="5"/>
            <w:sz w:val="14"/>
            <w:u w:val="single" w:color="005DA1"/>
          </w:rPr>
          <w:t>888</w:t>
        </w:r>
      </w:hyperlink>
      <w:r>
        <w:rPr>
          <w:spacing w:val="-4"/>
          <w:position w:val="5"/>
          <w:sz w:val="14"/>
        </w:rPr>
        <w:t>.</w:t>
      </w:r>
      <w:r>
        <w:rPr>
          <w:position w:val="5"/>
          <w:sz w:val="14"/>
        </w:rPr>
        <w:tab/>
      </w:r>
      <w:r>
        <w:rPr/>
        <w:t>See para.4-141 above, after </w:t>
      </w:r>
      <w:r>
        <w:rPr>
          <w:spacing w:val="-2"/>
        </w:rPr>
        <w:t>n.838.</w:t>
      </w:r>
    </w:p>
    <w:p>
      <w:pPr>
        <w:pStyle w:val="BodyText"/>
        <w:spacing w:before="5"/>
      </w:pPr>
    </w:p>
    <w:p>
      <w:pPr>
        <w:tabs>
          <w:tab w:pos="540" w:val="left" w:leader="none"/>
        </w:tabs>
        <w:spacing w:line="227" w:lineRule="exact" w:before="0"/>
        <w:ind w:left="0" w:right="168" w:firstLine="0"/>
        <w:jc w:val="right"/>
        <w:rPr>
          <w:rFonts w:ascii="Arial" w:hAnsi="Arial"/>
          <w:i/>
          <w:sz w:val="20"/>
        </w:rPr>
      </w:pPr>
      <w:bookmarkStart w:name="_bookmark1711" w:id="1713"/>
      <w:bookmarkEnd w:id="1713"/>
      <w:r>
        <w:rPr/>
      </w:r>
      <w:hyperlink w:history="true" w:anchor="_bookmark1663">
        <w:r>
          <w:rPr>
            <w:color w:val="005DA1"/>
            <w:spacing w:val="-4"/>
            <w:position w:val="5"/>
            <w:sz w:val="14"/>
            <w:u w:val="single" w:color="005DA1"/>
          </w:rPr>
          <w:t>889</w:t>
        </w:r>
      </w:hyperlink>
      <w:r>
        <w:rPr>
          <w:spacing w:val="-4"/>
          <w:position w:val="5"/>
          <w:sz w:val="14"/>
        </w:rPr>
        <w:t>.</w:t>
      </w:r>
      <w:r>
        <w:rPr>
          <w:position w:val="5"/>
          <w:sz w:val="14"/>
        </w:rPr>
        <w:tab/>
      </w:r>
      <w:r>
        <w:rPr>
          <w:rFonts w:ascii="Arial" w:hAnsi="Arial"/>
          <w:i/>
          <w:sz w:val="20"/>
        </w:rPr>
        <w:t>Sen</w:t>
      </w:r>
      <w:r>
        <w:rPr>
          <w:rFonts w:ascii="Arial" w:hAnsi="Arial"/>
          <w:i/>
          <w:spacing w:val="30"/>
          <w:sz w:val="20"/>
        </w:rPr>
        <w:t> </w:t>
      </w:r>
      <w:r>
        <w:rPr>
          <w:rFonts w:ascii="Arial" w:hAnsi="Arial"/>
          <w:i/>
          <w:sz w:val="20"/>
        </w:rPr>
        <w:t>v</w:t>
      </w:r>
      <w:r>
        <w:rPr>
          <w:rFonts w:ascii="Arial" w:hAnsi="Arial"/>
          <w:i/>
          <w:spacing w:val="31"/>
          <w:sz w:val="20"/>
        </w:rPr>
        <w:t> </w:t>
      </w:r>
      <w:r>
        <w:rPr>
          <w:rFonts w:ascii="Arial" w:hAnsi="Arial"/>
          <w:i/>
          <w:sz w:val="20"/>
        </w:rPr>
        <w:t>Headley</w:t>
      </w:r>
      <w:r>
        <w:rPr>
          <w:rFonts w:ascii="Arial" w:hAnsi="Arial"/>
          <w:i/>
          <w:spacing w:val="31"/>
          <w:sz w:val="20"/>
        </w:rPr>
        <w:t> </w:t>
      </w:r>
      <w:r>
        <w:rPr>
          <w:rFonts w:ascii="Arial" w:hAnsi="Arial"/>
          <w:i/>
          <w:sz w:val="20"/>
        </w:rPr>
        <w:t>[1991]</w:t>
      </w:r>
      <w:r>
        <w:rPr>
          <w:rFonts w:ascii="Arial" w:hAnsi="Arial"/>
          <w:i/>
          <w:spacing w:val="31"/>
          <w:sz w:val="20"/>
        </w:rPr>
        <w:t> </w:t>
      </w:r>
      <w:r>
        <w:rPr>
          <w:rFonts w:ascii="Arial" w:hAnsi="Arial"/>
          <w:i/>
          <w:sz w:val="20"/>
        </w:rPr>
        <w:t>Ch.</w:t>
      </w:r>
      <w:r>
        <w:rPr>
          <w:rFonts w:ascii="Arial" w:hAnsi="Arial"/>
          <w:i/>
          <w:spacing w:val="31"/>
          <w:sz w:val="20"/>
        </w:rPr>
        <w:t> </w:t>
      </w:r>
      <w:r>
        <w:rPr>
          <w:rFonts w:ascii="Arial" w:hAnsi="Arial"/>
          <w:i/>
          <w:sz w:val="20"/>
        </w:rPr>
        <w:t>425,</w:t>
      </w:r>
      <w:r>
        <w:rPr>
          <w:rFonts w:ascii="Arial" w:hAnsi="Arial"/>
          <w:i/>
          <w:spacing w:val="31"/>
          <w:sz w:val="20"/>
        </w:rPr>
        <w:t> </w:t>
      </w:r>
      <w:r>
        <w:rPr>
          <w:rFonts w:ascii="Arial" w:hAnsi="Arial"/>
          <w:i/>
          <w:sz w:val="20"/>
        </w:rPr>
        <w:t>440</w:t>
      </w:r>
      <w:r>
        <w:rPr>
          <w:sz w:val="20"/>
        </w:rPr>
        <w:t>;</w:t>
      </w:r>
      <w:r>
        <w:rPr>
          <w:spacing w:val="31"/>
          <w:sz w:val="20"/>
        </w:rPr>
        <w:t> </w:t>
      </w:r>
      <w:r>
        <w:rPr>
          <w:rFonts w:ascii="Arial" w:hAnsi="Arial"/>
          <w:i/>
          <w:sz w:val="20"/>
        </w:rPr>
        <w:t>Re</w:t>
      </w:r>
      <w:r>
        <w:rPr>
          <w:rFonts w:ascii="Arial" w:hAnsi="Arial"/>
          <w:i/>
          <w:spacing w:val="31"/>
          <w:sz w:val="20"/>
        </w:rPr>
        <w:t> </w:t>
      </w:r>
      <w:r>
        <w:rPr>
          <w:rFonts w:ascii="Arial" w:hAnsi="Arial"/>
          <w:i/>
          <w:sz w:val="20"/>
        </w:rPr>
        <w:t>Dale</w:t>
      </w:r>
      <w:r>
        <w:rPr>
          <w:rFonts w:ascii="Arial" w:hAnsi="Arial"/>
          <w:i/>
          <w:spacing w:val="30"/>
          <w:sz w:val="20"/>
        </w:rPr>
        <w:t> </w:t>
      </w:r>
      <w:r>
        <w:rPr>
          <w:rFonts w:ascii="Arial" w:hAnsi="Arial"/>
          <w:i/>
          <w:sz w:val="20"/>
        </w:rPr>
        <w:t>[1994]</w:t>
      </w:r>
      <w:r>
        <w:rPr>
          <w:rFonts w:ascii="Arial" w:hAnsi="Arial"/>
          <w:i/>
          <w:spacing w:val="31"/>
          <w:sz w:val="20"/>
        </w:rPr>
        <w:t> </w:t>
      </w:r>
      <w:r>
        <w:rPr>
          <w:rFonts w:ascii="Arial" w:hAnsi="Arial"/>
          <w:i/>
          <w:sz w:val="20"/>
        </w:rPr>
        <w:t>Ch.</w:t>
      </w:r>
      <w:r>
        <w:rPr>
          <w:rFonts w:ascii="Arial" w:hAnsi="Arial"/>
          <w:i/>
          <w:spacing w:val="31"/>
          <w:sz w:val="20"/>
        </w:rPr>
        <w:t> </w:t>
      </w:r>
      <w:r>
        <w:rPr>
          <w:rFonts w:ascii="Arial" w:hAnsi="Arial"/>
          <w:i/>
          <w:sz w:val="20"/>
        </w:rPr>
        <w:t>31,</w:t>
      </w:r>
      <w:r>
        <w:rPr>
          <w:rFonts w:ascii="Arial" w:hAnsi="Arial"/>
          <w:i/>
          <w:spacing w:val="31"/>
          <w:sz w:val="20"/>
        </w:rPr>
        <w:t> </w:t>
      </w:r>
      <w:r>
        <w:rPr>
          <w:rFonts w:ascii="Arial" w:hAnsi="Arial"/>
          <w:i/>
          <w:sz w:val="20"/>
        </w:rPr>
        <w:t>47</w:t>
      </w:r>
      <w:r>
        <w:rPr>
          <w:sz w:val="20"/>
        </w:rPr>
        <w:t>;</w:t>
      </w:r>
      <w:r>
        <w:rPr>
          <w:spacing w:val="31"/>
          <w:sz w:val="20"/>
        </w:rPr>
        <w:t> </w:t>
      </w:r>
      <w:r>
        <w:rPr>
          <w:rFonts w:ascii="Arial" w:hAnsi="Arial"/>
          <w:i/>
          <w:sz w:val="20"/>
        </w:rPr>
        <w:t>Lloyd’s</w:t>
      </w:r>
      <w:r>
        <w:rPr>
          <w:rFonts w:ascii="Arial" w:hAnsi="Arial"/>
          <w:i/>
          <w:spacing w:val="31"/>
          <w:sz w:val="20"/>
        </w:rPr>
        <w:t> </w:t>
      </w:r>
      <w:r>
        <w:rPr>
          <w:rFonts w:ascii="Arial" w:hAnsi="Arial"/>
          <w:i/>
          <w:sz w:val="20"/>
        </w:rPr>
        <w:t>Bank</w:t>
      </w:r>
      <w:r>
        <w:rPr>
          <w:rFonts w:ascii="Arial" w:hAnsi="Arial"/>
          <w:i/>
          <w:spacing w:val="31"/>
          <w:sz w:val="20"/>
        </w:rPr>
        <w:t> </w:t>
      </w:r>
      <w:r>
        <w:rPr>
          <w:rFonts w:ascii="Arial" w:hAnsi="Arial"/>
          <w:i/>
          <w:sz w:val="20"/>
        </w:rPr>
        <w:t>plc</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pacing w:val="-2"/>
          <w:sz w:val="20"/>
        </w:rPr>
        <w:t>Carrick</w:t>
      </w:r>
    </w:p>
    <w:p>
      <w:pPr>
        <w:spacing w:line="225" w:lineRule="exact" w:before="0"/>
        <w:ind w:left="0" w:right="168" w:firstLine="0"/>
        <w:jc w:val="right"/>
        <w:rPr>
          <w:rFonts w:ascii="Arial"/>
          <w:i/>
          <w:sz w:val="20"/>
        </w:rPr>
      </w:pPr>
      <w:r>
        <w:rPr>
          <w:rFonts w:ascii="Arial"/>
          <w:i/>
          <w:sz w:val="20"/>
        </w:rPr>
        <w:t>[1996]</w:t>
      </w:r>
      <w:r>
        <w:rPr>
          <w:rFonts w:ascii="Arial"/>
          <w:i/>
          <w:spacing w:val="10"/>
          <w:sz w:val="20"/>
        </w:rPr>
        <w:t> </w:t>
      </w:r>
      <w:r>
        <w:rPr>
          <w:rFonts w:ascii="Arial"/>
          <w:i/>
          <w:sz w:val="20"/>
        </w:rPr>
        <w:t>4</w:t>
      </w:r>
      <w:r>
        <w:rPr>
          <w:rFonts w:ascii="Arial"/>
          <w:i/>
          <w:spacing w:val="11"/>
          <w:sz w:val="20"/>
        </w:rPr>
        <w:t> </w:t>
      </w:r>
      <w:r>
        <w:rPr>
          <w:rFonts w:ascii="Arial"/>
          <w:i/>
          <w:sz w:val="20"/>
        </w:rPr>
        <w:t>All</w:t>
      </w:r>
      <w:r>
        <w:rPr>
          <w:rFonts w:ascii="Arial"/>
          <w:i/>
          <w:spacing w:val="11"/>
          <w:sz w:val="20"/>
        </w:rPr>
        <w:t> </w:t>
      </w:r>
      <w:r>
        <w:rPr>
          <w:rFonts w:ascii="Arial"/>
          <w:i/>
          <w:sz w:val="20"/>
        </w:rPr>
        <w:t>E.R.</w:t>
      </w:r>
      <w:r>
        <w:rPr>
          <w:rFonts w:ascii="Arial"/>
          <w:i/>
          <w:spacing w:val="11"/>
          <w:sz w:val="20"/>
        </w:rPr>
        <w:t> </w:t>
      </w:r>
      <w:r>
        <w:rPr>
          <w:rFonts w:ascii="Arial"/>
          <w:i/>
          <w:sz w:val="20"/>
        </w:rPr>
        <w:t>632,</w:t>
      </w:r>
      <w:r>
        <w:rPr>
          <w:rFonts w:ascii="Arial"/>
          <w:i/>
          <w:spacing w:val="11"/>
          <w:sz w:val="20"/>
        </w:rPr>
        <w:t> </w:t>
      </w:r>
      <w:r>
        <w:rPr>
          <w:rFonts w:ascii="Arial"/>
          <w:i/>
          <w:sz w:val="20"/>
        </w:rPr>
        <w:t>640</w:t>
      </w:r>
      <w:r>
        <w:rPr>
          <w:sz w:val="20"/>
        </w:rPr>
        <w:t>;</w:t>
      </w:r>
      <w:r>
        <w:rPr>
          <w:spacing w:val="11"/>
          <w:sz w:val="20"/>
        </w:rPr>
        <w:t> </w:t>
      </w:r>
      <w:r>
        <w:rPr>
          <w:sz w:val="20"/>
        </w:rPr>
        <w:t>cf.</w:t>
      </w:r>
      <w:r>
        <w:rPr>
          <w:spacing w:val="11"/>
          <w:sz w:val="20"/>
        </w:rPr>
        <w:t> </w:t>
      </w:r>
      <w:r>
        <w:rPr>
          <w:rFonts w:ascii="Arial"/>
          <w:i/>
          <w:sz w:val="20"/>
        </w:rPr>
        <w:t>Drake</w:t>
      </w:r>
      <w:r>
        <w:rPr>
          <w:rFonts w:ascii="Arial"/>
          <w:i/>
          <w:spacing w:val="11"/>
          <w:sz w:val="20"/>
        </w:rPr>
        <w:t> </w:t>
      </w:r>
      <w:r>
        <w:rPr>
          <w:rFonts w:ascii="Arial"/>
          <w:i/>
          <w:sz w:val="20"/>
        </w:rPr>
        <w:t>v</w:t>
      </w:r>
      <w:r>
        <w:rPr>
          <w:rFonts w:ascii="Arial"/>
          <w:i/>
          <w:spacing w:val="11"/>
          <w:sz w:val="20"/>
        </w:rPr>
        <w:t> </w:t>
      </w:r>
      <w:r>
        <w:rPr>
          <w:rFonts w:ascii="Arial"/>
          <w:i/>
          <w:sz w:val="20"/>
        </w:rPr>
        <w:t>Whipp</w:t>
      </w:r>
      <w:r>
        <w:rPr>
          <w:rFonts w:ascii="Arial"/>
          <w:i/>
          <w:spacing w:val="10"/>
          <w:sz w:val="20"/>
        </w:rPr>
        <w:t> </w:t>
      </w:r>
      <w:r>
        <w:rPr>
          <w:rFonts w:ascii="Arial"/>
          <w:i/>
          <w:sz w:val="20"/>
        </w:rPr>
        <w:t>(1996)</w:t>
      </w:r>
      <w:r>
        <w:rPr>
          <w:rFonts w:ascii="Arial"/>
          <w:i/>
          <w:spacing w:val="11"/>
          <w:sz w:val="20"/>
        </w:rPr>
        <w:t> </w:t>
      </w:r>
      <w:r>
        <w:rPr>
          <w:rFonts w:ascii="Arial"/>
          <w:i/>
          <w:sz w:val="20"/>
        </w:rPr>
        <w:t>28</w:t>
      </w:r>
      <w:r>
        <w:rPr>
          <w:rFonts w:ascii="Arial"/>
          <w:i/>
          <w:spacing w:val="11"/>
          <w:sz w:val="20"/>
        </w:rPr>
        <w:t> </w:t>
      </w:r>
      <w:r>
        <w:rPr>
          <w:rFonts w:ascii="Arial"/>
          <w:i/>
          <w:sz w:val="20"/>
        </w:rPr>
        <w:t>H.L.R.</w:t>
      </w:r>
      <w:r>
        <w:rPr>
          <w:rFonts w:ascii="Arial"/>
          <w:i/>
          <w:spacing w:val="11"/>
          <w:sz w:val="20"/>
        </w:rPr>
        <w:t> </w:t>
      </w:r>
      <w:r>
        <w:rPr>
          <w:rFonts w:ascii="Arial"/>
          <w:i/>
          <w:sz w:val="20"/>
        </w:rPr>
        <w:t>531</w:t>
      </w:r>
      <w:r>
        <w:rPr>
          <w:sz w:val="20"/>
        </w:rPr>
        <w:t>;</w:t>
      </w:r>
      <w:r>
        <w:rPr>
          <w:spacing w:val="11"/>
          <w:sz w:val="20"/>
        </w:rPr>
        <w:t> </w:t>
      </w:r>
      <w:r>
        <w:rPr>
          <w:rFonts w:ascii="Arial"/>
          <w:i/>
          <w:sz w:val="20"/>
        </w:rPr>
        <w:t>Yaxley</w:t>
      </w:r>
      <w:r>
        <w:rPr>
          <w:rFonts w:ascii="Arial"/>
          <w:i/>
          <w:spacing w:val="11"/>
          <w:sz w:val="20"/>
        </w:rPr>
        <w:t> </w:t>
      </w:r>
      <w:r>
        <w:rPr>
          <w:rFonts w:ascii="Arial"/>
          <w:i/>
          <w:sz w:val="20"/>
        </w:rPr>
        <w:t>v</w:t>
      </w:r>
      <w:r>
        <w:rPr>
          <w:rFonts w:ascii="Arial"/>
          <w:i/>
          <w:spacing w:val="11"/>
          <w:sz w:val="20"/>
        </w:rPr>
        <w:t> </w:t>
      </w:r>
      <w:r>
        <w:rPr>
          <w:rFonts w:ascii="Arial"/>
          <w:i/>
          <w:sz w:val="20"/>
        </w:rPr>
        <w:t>Gotts</w:t>
      </w:r>
      <w:r>
        <w:rPr>
          <w:rFonts w:ascii="Arial"/>
          <w:i/>
          <w:spacing w:val="11"/>
          <w:sz w:val="20"/>
        </w:rPr>
        <w:t> </w:t>
      </w:r>
      <w:r>
        <w:rPr>
          <w:rFonts w:ascii="Arial"/>
          <w:i/>
          <w:sz w:val="20"/>
        </w:rPr>
        <w:t>[2000]</w:t>
      </w:r>
      <w:r>
        <w:rPr>
          <w:rFonts w:ascii="Arial"/>
          <w:i/>
          <w:spacing w:val="11"/>
          <w:sz w:val="20"/>
        </w:rPr>
        <w:t> </w:t>
      </w:r>
      <w:r>
        <w:rPr>
          <w:rFonts w:ascii="Arial"/>
          <w:i/>
          <w:spacing w:val="-5"/>
          <w:sz w:val="20"/>
        </w:rPr>
        <w:t>Ch.</w:t>
      </w:r>
    </w:p>
    <w:p>
      <w:pPr>
        <w:spacing w:line="235" w:lineRule="auto" w:before="1"/>
        <w:ind w:left="705" w:right="167" w:firstLine="0"/>
        <w:jc w:val="both"/>
        <w:rPr>
          <w:sz w:val="20"/>
        </w:rPr>
      </w:pPr>
      <w:r>
        <w:rPr>
          <w:rFonts w:ascii="Arial"/>
          <w:i/>
          <w:sz w:val="20"/>
        </w:rPr>
        <w:t>162 </w:t>
      </w:r>
      <w:r>
        <w:rPr>
          <w:sz w:val="20"/>
        </w:rPr>
        <w:t>at 176, 193; </w:t>
      </w:r>
      <w:r>
        <w:rPr>
          <w:rFonts w:ascii="Arial"/>
          <w:i/>
          <w:sz w:val="20"/>
        </w:rPr>
        <w:t>Banner Homes Group plc v Luff Developments Ltd [2000] Ch. 372 </w:t>
      </w:r>
      <w:r>
        <w:rPr>
          <w:sz w:val="20"/>
        </w:rPr>
        <w:t>at </w:t>
      </w:r>
      <w:r>
        <w:rPr>
          <w:sz w:val="20"/>
        </w:rPr>
        <w:t>382 where the agreement (if any) lacked contractual force, not for want of consideration, but </w:t>
      </w:r>
      <w:r>
        <w:rPr>
          <w:sz w:val="20"/>
        </w:rPr>
        <w:t>on account of its incompleteness (above, para.2-123). For a difference of judicial opinion as to </w:t>
      </w:r>
      <w:r>
        <w:rPr>
          <w:sz w:val="20"/>
        </w:rPr>
        <w:t>the basis of the </w:t>
      </w:r>
      <w:r>
        <w:rPr>
          <w:rFonts w:ascii="Arial"/>
          <w:i/>
          <w:sz w:val="20"/>
        </w:rPr>
        <w:t>Banner Homes </w:t>
      </w:r>
      <w:r>
        <w:rPr>
          <w:sz w:val="20"/>
        </w:rPr>
        <w:t>case, see </w:t>
      </w:r>
      <w:r>
        <w:rPr>
          <w:rFonts w:ascii="Arial"/>
          <w:i/>
          <w:sz w:val="20"/>
        </w:rPr>
        <w:t>Crossco No.4 Unlimited v Jolan Ltd, Note [2011] </w:t>
      </w:r>
      <w:r>
        <w:rPr>
          <w:rFonts w:ascii="Arial"/>
          <w:i/>
          <w:sz w:val="20"/>
        </w:rPr>
        <w:t>EWCA Civ 1619, [2012] 2 All E.R. 754</w:t>
      </w:r>
      <w:r>
        <w:rPr>
          <w:sz w:val="20"/>
        </w:rPr>
        <w:t>; further discussion of this difference (which did not affect </w:t>
      </w:r>
      <w:r>
        <w:rPr>
          <w:sz w:val="20"/>
        </w:rPr>
        <w:t>the outcome of the </w:t>
      </w:r>
      <w:r>
        <w:rPr>
          <w:rFonts w:ascii="Arial"/>
          <w:i/>
          <w:sz w:val="20"/>
        </w:rPr>
        <w:t>Crossco </w:t>
      </w:r>
      <w:r>
        <w:rPr>
          <w:sz w:val="20"/>
        </w:rPr>
        <w:t>case) is beyond the scope of this Chapter. For reference to </w:t>
      </w:r>
      <w:r>
        <w:rPr>
          <w:sz w:val="20"/>
        </w:rPr>
        <w:t>the relationship between proprietary estoppel and constructive trust, see also </w:t>
      </w:r>
      <w:r>
        <w:rPr>
          <w:rFonts w:ascii="Arial"/>
          <w:i/>
          <w:sz w:val="20"/>
        </w:rPr>
        <w:t>Scott v </w:t>
      </w:r>
      <w:r>
        <w:rPr>
          <w:rFonts w:ascii="Arial"/>
          <w:i/>
          <w:sz w:val="20"/>
        </w:rPr>
        <w:t>Southern Pacific Mortgages Ltd [2014] UKSC 52, [2014] 1 W.L.R. 1163</w:t>
      </w:r>
      <w:r>
        <w:rPr>
          <w:sz w:val="20"/>
        </w:rPr>
        <w:t>, where nothing turned on the distinction, so that the Supreme Court did not find it necessary further to discuss the point: see at [28]. The actual decision in that case was that, under relevant provisions of the Land Registration Act 2002, the person in whose favour the estoppel arose did not have priority over a lender whose loan was secured by a legal charge on the property. This point, too, is </w:t>
      </w:r>
      <w:r>
        <w:rPr>
          <w:sz w:val="20"/>
        </w:rPr>
        <w:t>beyond the scope of this Chapter.</w:t>
      </w:r>
    </w:p>
    <w:p>
      <w:pPr>
        <w:pStyle w:val="BodyText"/>
        <w:spacing w:before="5"/>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bookmarkStart w:name="_bookmark1712" w:id="1714"/>
      <w:bookmarkEnd w:id="1714"/>
      <w:r>
        <w:rPr/>
      </w:r>
      <w:hyperlink w:history="true" w:anchor="_bookmark1664">
        <w:r>
          <w:rPr>
            <w:color w:val="005DA1"/>
            <w:spacing w:val="-4"/>
            <w:sz w:val="14"/>
            <w:u w:val="single" w:color="005DA1"/>
          </w:rPr>
          <w:t>890</w:t>
        </w:r>
      </w:hyperlink>
      <w:r>
        <w:rPr>
          <w:spacing w:val="-4"/>
          <w:sz w:val="14"/>
        </w:rPr>
        <w:t>.</w:t>
      </w:r>
    </w:p>
    <w:p>
      <w:pPr>
        <w:pStyle w:val="BodyText"/>
        <w:spacing w:line="235" w:lineRule="auto" w:before="212"/>
        <w:ind w:left="165" w:right="167" w:firstLine="170"/>
        <w:jc w:val="both"/>
      </w:pPr>
      <w:r>
        <w:rPr/>
        <w:br w:type="column"/>
      </w:r>
      <w:r>
        <w:rPr>
          <w:rFonts w:ascii="Arial" w:hAnsi="Arial"/>
          <w:i/>
        </w:rPr>
        <w:t>Stack v Dowden [2007] UKHL 17, [2007] 2 A.C. 432 </w:t>
      </w:r>
      <w:r>
        <w:rPr/>
        <w:t>at [13]; in this passage, Lord Walker is reported</w:t>
      </w:r>
      <w:r>
        <w:rPr>
          <w:spacing w:val="-2"/>
        </w:rPr>
        <w:t> </w:t>
      </w:r>
      <w:r>
        <w:rPr/>
        <w:t>as</w:t>
      </w:r>
      <w:r>
        <w:rPr>
          <w:spacing w:val="-2"/>
        </w:rPr>
        <w:t> </w:t>
      </w:r>
      <w:r>
        <w:rPr/>
        <w:t>having</w:t>
      </w:r>
      <w:r>
        <w:rPr>
          <w:spacing w:val="-2"/>
        </w:rPr>
        <w:t> </w:t>
      </w:r>
      <w:r>
        <w:rPr/>
        <w:t>referred</w:t>
      </w:r>
      <w:r>
        <w:rPr>
          <w:spacing w:val="-2"/>
        </w:rPr>
        <w:t> </w:t>
      </w:r>
      <w:r>
        <w:rPr/>
        <w:t>to</w:t>
      </w:r>
      <w:r>
        <w:rPr>
          <w:spacing w:val="-2"/>
        </w:rPr>
        <w:t> </w:t>
      </w:r>
      <w:r>
        <w:rPr/>
        <w:t>“common</w:t>
      </w:r>
      <w:r>
        <w:rPr>
          <w:spacing w:val="-2"/>
        </w:rPr>
        <w:t> </w:t>
      </w:r>
      <w:r>
        <w:rPr/>
        <w:t>interest</w:t>
      </w:r>
      <w:r>
        <w:rPr>
          <w:spacing w:val="-2"/>
        </w:rPr>
        <w:t> </w:t>
      </w:r>
      <w:r>
        <w:rPr/>
        <w:t>constructive</w:t>
      </w:r>
      <w:r>
        <w:rPr>
          <w:spacing w:val="-2"/>
        </w:rPr>
        <w:t> </w:t>
      </w:r>
      <w:r>
        <w:rPr/>
        <w:t>trust.”</w:t>
      </w:r>
      <w:r>
        <w:rPr>
          <w:spacing w:val="-2"/>
        </w:rPr>
        <w:t> </w:t>
      </w:r>
      <w:r>
        <w:rPr/>
        <w:t>Quaere</w:t>
      </w:r>
      <w:r>
        <w:rPr>
          <w:spacing w:val="-2"/>
        </w:rPr>
        <w:t> </w:t>
      </w:r>
      <w:r>
        <w:rPr/>
        <w:t>whether</w:t>
      </w:r>
      <w:r>
        <w:rPr>
          <w:spacing w:val="-2"/>
        </w:rPr>
        <w:t> </w:t>
      </w:r>
      <w:r>
        <w:rPr/>
        <w:t>“interest”</w:t>
      </w:r>
      <w:r>
        <w:rPr>
          <w:spacing w:val="-2"/>
        </w:rPr>
        <w:t> </w:t>
      </w:r>
      <w:r>
        <w:rPr/>
        <w:t>is not</w:t>
      </w:r>
      <w:r>
        <w:rPr>
          <w:spacing w:val="3"/>
        </w:rPr>
        <w:t> </w:t>
      </w:r>
      <w:r>
        <w:rPr/>
        <w:t>here</w:t>
      </w:r>
      <w:r>
        <w:rPr>
          <w:spacing w:val="3"/>
        </w:rPr>
        <w:t> </w:t>
      </w:r>
      <w:r>
        <w:rPr/>
        <w:t>a</w:t>
      </w:r>
      <w:r>
        <w:rPr>
          <w:spacing w:val="3"/>
        </w:rPr>
        <w:t> </w:t>
      </w:r>
      <w:r>
        <w:rPr/>
        <w:t>misprint</w:t>
      </w:r>
      <w:r>
        <w:rPr>
          <w:spacing w:val="3"/>
        </w:rPr>
        <w:t> </w:t>
      </w:r>
      <w:r>
        <w:rPr/>
        <w:t>for</w:t>
      </w:r>
      <w:r>
        <w:rPr>
          <w:spacing w:val="3"/>
        </w:rPr>
        <w:t> </w:t>
      </w:r>
      <w:r>
        <w:rPr/>
        <w:t>“intention”:</w:t>
      </w:r>
      <w:r>
        <w:rPr>
          <w:spacing w:val="3"/>
        </w:rPr>
        <w:t> </w:t>
      </w:r>
      <w:r>
        <w:rPr/>
        <w:t>cf.</w:t>
      </w:r>
      <w:r>
        <w:rPr>
          <w:spacing w:val="3"/>
        </w:rPr>
        <w:t> </w:t>
      </w:r>
      <w:r>
        <w:rPr/>
        <w:t>the</w:t>
      </w:r>
      <w:r>
        <w:rPr>
          <w:spacing w:val="3"/>
        </w:rPr>
        <w:t> </w:t>
      </w:r>
      <w:r>
        <w:rPr/>
        <w:t>reference</w:t>
      </w:r>
      <w:r>
        <w:rPr>
          <w:spacing w:val="3"/>
        </w:rPr>
        <w:t> </w:t>
      </w:r>
      <w:r>
        <w:rPr/>
        <w:t>to</w:t>
      </w:r>
      <w:r>
        <w:rPr>
          <w:spacing w:val="3"/>
        </w:rPr>
        <w:t> </w:t>
      </w:r>
      <w:r>
        <w:rPr/>
        <w:t>“common</w:t>
      </w:r>
      <w:r>
        <w:rPr>
          <w:spacing w:val="3"/>
        </w:rPr>
        <w:t> </w:t>
      </w:r>
      <w:r>
        <w:rPr/>
        <w:t>intention”</w:t>
      </w:r>
      <w:r>
        <w:rPr>
          <w:spacing w:val="3"/>
        </w:rPr>
        <w:t> </w:t>
      </w:r>
      <w:r>
        <w:rPr/>
        <w:t>ibid.</w:t>
      </w:r>
      <w:r>
        <w:rPr>
          <w:spacing w:val="3"/>
        </w:rPr>
        <w:t> </w:t>
      </w:r>
      <w:r>
        <w:rPr/>
        <w:t>at</w:t>
      </w:r>
      <w:r>
        <w:rPr>
          <w:spacing w:val="3"/>
        </w:rPr>
        <w:t> </w:t>
      </w:r>
      <w:r>
        <w:rPr/>
        <w:t>[17],</w:t>
      </w:r>
      <w:r>
        <w:rPr>
          <w:spacing w:val="3"/>
        </w:rPr>
        <w:t> </w:t>
      </w:r>
      <w:r>
        <w:rPr/>
        <w:t>[18],</w:t>
      </w:r>
      <w:r>
        <w:rPr>
          <w:spacing w:val="3"/>
        </w:rPr>
        <w:t> </w:t>
      </w:r>
      <w:r>
        <w:rPr>
          <w:spacing w:val="-2"/>
        </w:rPr>
        <w:t>[25],</w:t>
      </w:r>
    </w:p>
    <w:p>
      <w:pPr>
        <w:spacing w:line="223" w:lineRule="exact" w:before="0"/>
        <w:ind w:left="165" w:right="0" w:firstLine="0"/>
        <w:jc w:val="both"/>
        <w:rPr>
          <w:rFonts w:ascii="Arial"/>
          <w:i/>
          <w:sz w:val="20"/>
        </w:rPr>
      </w:pPr>
      <w:r>
        <w:rPr>
          <w:rFonts w:ascii="Arial"/>
          <w:i/>
          <w:sz w:val="20"/>
        </w:rPr>
        <w:drawing>
          <wp:anchor distT="0" distB="0" distL="0" distR="0" allowOverlap="1" layoutInCell="1" locked="0" behindDoc="0" simplePos="0" relativeHeight="15810048">
            <wp:simplePos x="0" y="0"/>
            <wp:positionH relativeFrom="page">
              <wp:posOffset>1257846</wp:posOffset>
            </wp:positionH>
            <wp:positionV relativeFrom="paragraph">
              <wp:posOffset>-403443</wp:posOffset>
            </wp:positionV>
            <wp:extent cx="107988" cy="107988"/>
            <wp:effectExtent l="0" t="0" r="0" b="0"/>
            <wp:wrapNone/>
            <wp:docPr id="326" name="Image 326"/>
            <wp:cNvGraphicFramePr>
              <a:graphicFrameLocks/>
            </wp:cNvGraphicFramePr>
            <a:graphic>
              <a:graphicData uri="http://schemas.openxmlformats.org/drawingml/2006/picture">
                <pic:pic>
                  <pic:nvPicPr>
                    <pic:cNvPr id="326" name="Image 326"/>
                    <pic:cNvPicPr/>
                  </pic:nvPicPr>
                  <pic:blipFill>
                    <a:blip r:embed="rId7" cstate="print"/>
                    <a:stretch>
                      <a:fillRect/>
                    </a:stretch>
                  </pic:blipFill>
                  <pic:spPr>
                    <a:xfrm>
                      <a:off x="0" y="0"/>
                      <a:ext cx="107988" cy="107988"/>
                    </a:xfrm>
                    <a:prstGeom prst="rect">
                      <a:avLst/>
                    </a:prstGeom>
                  </pic:spPr>
                </pic:pic>
              </a:graphicData>
            </a:graphic>
          </wp:anchor>
        </w:drawing>
      </w:r>
      <w:r>
        <w:rPr>
          <w:sz w:val="20"/>
        </w:rPr>
        <w:t>[30]</w:t>
      </w:r>
      <w:r>
        <w:rPr>
          <w:spacing w:val="3"/>
          <w:sz w:val="20"/>
        </w:rPr>
        <w:t> </w:t>
      </w:r>
      <w:r>
        <w:rPr>
          <w:sz w:val="20"/>
        </w:rPr>
        <w:t>and</w:t>
      </w:r>
      <w:r>
        <w:rPr>
          <w:spacing w:val="3"/>
          <w:sz w:val="20"/>
        </w:rPr>
        <w:t> </w:t>
      </w:r>
      <w:r>
        <w:rPr>
          <w:sz w:val="20"/>
        </w:rPr>
        <w:t>[37];</w:t>
      </w:r>
      <w:r>
        <w:rPr>
          <w:spacing w:val="3"/>
          <w:sz w:val="20"/>
        </w:rPr>
        <w:t> </w:t>
      </w:r>
      <w:r>
        <w:rPr>
          <w:sz w:val="20"/>
        </w:rPr>
        <w:t>see</w:t>
      </w:r>
      <w:r>
        <w:rPr>
          <w:spacing w:val="3"/>
          <w:sz w:val="20"/>
        </w:rPr>
        <w:t> </w:t>
      </w:r>
      <w:r>
        <w:rPr>
          <w:sz w:val="20"/>
        </w:rPr>
        <w:t>also</w:t>
      </w:r>
      <w:r>
        <w:rPr>
          <w:spacing w:val="3"/>
          <w:sz w:val="20"/>
        </w:rPr>
        <w:t> </w:t>
      </w:r>
      <w:r>
        <w:rPr>
          <w:rFonts w:ascii="Arial"/>
          <w:i/>
          <w:sz w:val="20"/>
        </w:rPr>
        <w:t>Matchmove</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Dowding</w:t>
      </w:r>
      <w:r>
        <w:rPr>
          <w:rFonts w:ascii="Arial"/>
          <w:i/>
          <w:spacing w:val="3"/>
          <w:sz w:val="20"/>
        </w:rPr>
        <w:t> </w:t>
      </w:r>
      <w:r>
        <w:rPr>
          <w:rFonts w:ascii="Arial"/>
          <w:i/>
          <w:sz w:val="20"/>
        </w:rPr>
        <w:t>and</w:t>
      </w:r>
      <w:r>
        <w:rPr>
          <w:rFonts w:ascii="Arial"/>
          <w:i/>
          <w:spacing w:val="3"/>
          <w:sz w:val="20"/>
        </w:rPr>
        <w:t> </w:t>
      </w:r>
      <w:r>
        <w:rPr>
          <w:rFonts w:ascii="Arial"/>
          <w:i/>
          <w:sz w:val="20"/>
        </w:rPr>
        <w:t>Church</w:t>
      </w:r>
      <w:r>
        <w:rPr>
          <w:rFonts w:ascii="Arial"/>
          <w:i/>
          <w:spacing w:val="3"/>
          <w:sz w:val="20"/>
        </w:rPr>
        <w:t> </w:t>
      </w:r>
      <w:r>
        <w:rPr>
          <w:rFonts w:ascii="Arial"/>
          <w:i/>
          <w:sz w:val="20"/>
        </w:rPr>
        <w:t>[2016]</w:t>
      </w:r>
      <w:r>
        <w:rPr>
          <w:rFonts w:ascii="Arial"/>
          <w:i/>
          <w:spacing w:val="3"/>
          <w:sz w:val="20"/>
        </w:rPr>
        <w:t> </w:t>
      </w:r>
      <w:r>
        <w:rPr>
          <w:rFonts w:ascii="Arial"/>
          <w:i/>
          <w:sz w:val="20"/>
        </w:rPr>
        <w:t>EWCA</w:t>
      </w:r>
      <w:r>
        <w:rPr>
          <w:rFonts w:ascii="Arial"/>
          <w:i/>
          <w:spacing w:val="3"/>
          <w:sz w:val="20"/>
        </w:rPr>
        <w:t> </w:t>
      </w:r>
      <w:r>
        <w:rPr>
          <w:rFonts w:ascii="Arial"/>
          <w:i/>
          <w:sz w:val="20"/>
        </w:rPr>
        <w:t>Civ</w:t>
      </w:r>
      <w:r>
        <w:rPr>
          <w:rFonts w:ascii="Arial"/>
          <w:i/>
          <w:spacing w:val="3"/>
          <w:sz w:val="20"/>
        </w:rPr>
        <w:t> </w:t>
      </w:r>
      <w:r>
        <w:rPr>
          <w:rFonts w:ascii="Arial"/>
          <w:i/>
          <w:sz w:val="20"/>
        </w:rPr>
        <w:t>1233,</w:t>
      </w:r>
      <w:r>
        <w:rPr>
          <w:rFonts w:ascii="Arial"/>
          <w:i/>
          <w:spacing w:val="3"/>
          <w:sz w:val="20"/>
        </w:rPr>
        <w:t> </w:t>
      </w:r>
      <w:r>
        <w:rPr>
          <w:rFonts w:ascii="Arial"/>
          <w:i/>
          <w:sz w:val="20"/>
        </w:rPr>
        <w:t>[2017]</w:t>
      </w:r>
      <w:r>
        <w:rPr>
          <w:rFonts w:ascii="Arial"/>
          <w:i/>
          <w:spacing w:val="3"/>
          <w:sz w:val="20"/>
        </w:rPr>
        <w:t> </w:t>
      </w:r>
      <w:r>
        <w:rPr>
          <w:rFonts w:ascii="Arial"/>
          <w:i/>
          <w:spacing w:val="-10"/>
          <w:sz w:val="20"/>
        </w:rPr>
        <w:t>1</w:t>
      </w:r>
    </w:p>
    <w:p>
      <w:pPr>
        <w:pStyle w:val="BodyText"/>
        <w:spacing w:line="235" w:lineRule="auto" w:before="2"/>
        <w:ind w:left="165" w:right="167"/>
        <w:jc w:val="both"/>
      </w:pPr>
      <w:r>
        <w:rPr>
          <w:rFonts w:ascii="Arial" w:hAnsi="Arial"/>
          <w:i/>
        </w:rPr>
        <w:t>W.L.R. 749 </w:t>
      </w:r>
      <w:r>
        <w:rPr/>
        <w:t>at [29] (“common intention constructive trust”). In </w:t>
      </w:r>
      <w:r>
        <w:rPr>
          <w:rFonts w:ascii="Arial" w:hAnsi="Arial"/>
          <w:i/>
        </w:rPr>
        <w:t>Cobbe v Yeoman’s Row Management Ltd [2008] UKHL 55, [2008] 1 W.L.R. 1752 </w:t>
      </w:r>
      <w:r>
        <w:rPr/>
        <w:t>there was neither a </w:t>
      </w:r>
      <w:r>
        <w:rPr/>
        <w:t>proprietary estoppel (see below, paras 4-161 to 4-162) nor a constructive trust but it is significant that Lord Scott treats these issues in separate parts of his speech, paras [14]–[29] being devoted to proprietary estoppel and paras [30]–[38] to constructive trust. Lord Walker at [93] briefly dismisses the constructive trust claim, having devoted the bulk of his speech to proprietary (or “equitable” estoppel): see above, para.4-139 n.822. For the recognition of the distinction between the two doctrines, see also the </w:t>
      </w:r>
      <w:r>
        <w:rPr>
          <w:rFonts w:ascii="Arial" w:hAnsi="Arial"/>
          <w:i/>
        </w:rPr>
        <w:t>Cobbe case [2008] UKHL 55 </w:t>
      </w:r>
      <w:r>
        <w:rPr/>
        <w:t>at [24] and [29]; and </w:t>
      </w:r>
      <w:r>
        <w:rPr>
          <w:rFonts w:ascii="Arial" w:hAnsi="Arial"/>
          <w:i/>
        </w:rPr>
        <w:t>Thorner v Major [2009] UKHL 18, [2009] 1 W.L.R. 776</w:t>
      </w:r>
      <w:r>
        <w:rPr/>
        <w:t>, where Lord Scott, while agreeing that the claim succeeded on the basis of proprietary estoppel (see below, especially paras 4-149 to 4-152, 4-163 to 4-166 and 4-172), found it “easier and more comfortable to regard [that claim] as established via a remedial constructive trust” (at [14] and see [20]).</w:t>
      </w:r>
    </w:p>
    <w:p>
      <w:pPr>
        <w:pStyle w:val="BodyText"/>
        <w:spacing w:after="0" w:line="235" w:lineRule="auto"/>
        <w:jc w:val="both"/>
        <w:sectPr>
          <w:type w:val="continuous"/>
          <w:pgSz w:w="11900" w:h="16840"/>
          <w:pgMar w:header="971" w:footer="0" w:top="3760" w:bottom="280" w:left="1275" w:right="1275"/>
          <w:cols w:num="2" w:equalWidth="0">
            <w:col w:w="478" w:space="63"/>
            <w:col w:w="8809"/>
          </w:cols>
        </w:sectPr>
      </w:pPr>
    </w:p>
    <w:p>
      <w:pPr>
        <w:pStyle w:val="BodyText"/>
        <w:spacing w:before="1"/>
      </w:pPr>
    </w:p>
    <w:p>
      <w:pPr>
        <w:tabs>
          <w:tab w:pos="540" w:val="left" w:leader="none"/>
        </w:tabs>
        <w:spacing w:line="227" w:lineRule="exact" w:before="0"/>
        <w:ind w:left="0" w:right="168" w:firstLine="0"/>
        <w:jc w:val="right"/>
        <w:rPr>
          <w:rFonts w:ascii="Arial"/>
          <w:i/>
          <w:sz w:val="20"/>
        </w:rPr>
      </w:pPr>
      <w:bookmarkStart w:name="_bookmark1713" w:id="1715"/>
      <w:bookmarkEnd w:id="1715"/>
      <w:r>
        <w:rPr/>
      </w:r>
      <w:hyperlink w:history="true" w:anchor="_bookmark1665">
        <w:r>
          <w:rPr>
            <w:color w:val="005DA1"/>
            <w:spacing w:val="-4"/>
            <w:position w:val="5"/>
            <w:sz w:val="14"/>
            <w:u w:val="single" w:color="005DA1"/>
          </w:rPr>
          <w:t>891</w:t>
        </w:r>
      </w:hyperlink>
      <w:r>
        <w:rPr>
          <w:spacing w:val="-4"/>
          <w:position w:val="5"/>
          <w:sz w:val="14"/>
        </w:rPr>
        <w:t>.</w:t>
      </w:r>
      <w:r>
        <w:rPr>
          <w:position w:val="5"/>
          <w:sz w:val="14"/>
        </w:rPr>
        <w:tab/>
      </w:r>
      <w:r>
        <w:rPr>
          <w:rFonts w:ascii="Arial"/>
          <w:i/>
          <w:sz w:val="20"/>
        </w:rPr>
        <w:t>Kinane</w:t>
      </w:r>
      <w:r>
        <w:rPr>
          <w:rFonts w:ascii="Arial"/>
          <w:i/>
          <w:spacing w:val="12"/>
          <w:sz w:val="20"/>
        </w:rPr>
        <w:t> </w:t>
      </w:r>
      <w:r>
        <w:rPr>
          <w:rFonts w:ascii="Arial"/>
          <w:i/>
          <w:sz w:val="20"/>
        </w:rPr>
        <w:t>v</w:t>
      </w:r>
      <w:r>
        <w:rPr>
          <w:rFonts w:ascii="Arial"/>
          <w:i/>
          <w:spacing w:val="12"/>
          <w:sz w:val="20"/>
        </w:rPr>
        <w:t> </w:t>
      </w:r>
      <w:r>
        <w:rPr>
          <w:rFonts w:ascii="Arial"/>
          <w:i/>
          <w:sz w:val="20"/>
        </w:rPr>
        <w:t>Mackie-Conteh</w:t>
      </w:r>
      <w:r>
        <w:rPr>
          <w:rFonts w:ascii="Arial"/>
          <w:i/>
          <w:spacing w:val="12"/>
          <w:sz w:val="20"/>
        </w:rPr>
        <w:t> </w:t>
      </w:r>
      <w:r>
        <w:rPr>
          <w:rFonts w:ascii="Arial"/>
          <w:i/>
          <w:sz w:val="20"/>
        </w:rPr>
        <w:t>[2005]</w:t>
      </w:r>
      <w:r>
        <w:rPr>
          <w:rFonts w:ascii="Arial"/>
          <w:i/>
          <w:spacing w:val="12"/>
          <w:sz w:val="20"/>
        </w:rPr>
        <w:t> </w:t>
      </w:r>
      <w:r>
        <w:rPr>
          <w:rFonts w:ascii="Arial"/>
          <w:i/>
          <w:sz w:val="20"/>
        </w:rPr>
        <w:t>EWCA</w:t>
      </w:r>
      <w:r>
        <w:rPr>
          <w:rFonts w:ascii="Arial"/>
          <w:i/>
          <w:spacing w:val="12"/>
          <w:sz w:val="20"/>
        </w:rPr>
        <w:t> </w:t>
      </w:r>
      <w:r>
        <w:rPr>
          <w:rFonts w:ascii="Arial"/>
          <w:i/>
          <w:sz w:val="20"/>
        </w:rPr>
        <w:t>Civ</w:t>
      </w:r>
      <w:r>
        <w:rPr>
          <w:rFonts w:ascii="Arial"/>
          <w:i/>
          <w:spacing w:val="12"/>
          <w:sz w:val="20"/>
        </w:rPr>
        <w:t> </w:t>
      </w:r>
      <w:r>
        <w:rPr>
          <w:rFonts w:ascii="Arial"/>
          <w:i/>
          <w:sz w:val="20"/>
        </w:rPr>
        <w:t>45,</w:t>
      </w:r>
      <w:r>
        <w:rPr>
          <w:rFonts w:ascii="Arial"/>
          <w:i/>
          <w:spacing w:val="12"/>
          <w:sz w:val="20"/>
        </w:rPr>
        <w:t> </w:t>
      </w:r>
      <w:r>
        <w:rPr>
          <w:rFonts w:ascii="Arial"/>
          <w:i/>
          <w:sz w:val="20"/>
        </w:rPr>
        <w:t>[2005]</w:t>
      </w:r>
      <w:r>
        <w:rPr>
          <w:rFonts w:ascii="Arial"/>
          <w:i/>
          <w:spacing w:val="12"/>
          <w:sz w:val="20"/>
        </w:rPr>
        <w:t> </w:t>
      </w:r>
      <w:r>
        <w:rPr>
          <w:rFonts w:ascii="Arial"/>
          <w:i/>
          <w:sz w:val="20"/>
        </w:rPr>
        <w:t>W.T.L.R.</w:t>
      </w:r>
      <w:r>
        <w:rPr>
          <w:rFonts w:ascii="Arial"/>
          <w:i/>
          <w:spacing w:val="12"/>
          <w:sz w:val="20"/>
        </w:rPr>
        <w:t> </w:t>
      </w:r>
      <w:r>
        <w:rPr>
          <w:rFonts w:ascii="Arial"/>
          <w:i/>
          <w:sz w:val="20"/>
        </w:rPr>
        <w:t>45</w:t>
      </w:r>
      <w:r>
        <w:rPr>
          <w:rFonts w:ascii="Arial"/>
          <w:i/>
          <w:spacing w:val="11"/>
          <w:sz w:val="20"/>
        </w:rPr>
        <w:t> </w:t>
      </w:r>
      <w:r>
        <w:rPr>
          <w:sz w:val="20"/>
        </w:rPr>
        <w:t>at</w:t>
      </w:r>
      <w:r>
        <w:rPr>
          <w:spacing w:val="12"/>
          <w:sz w:val="20"/>
        </w:rPr>
        <w:t> </w:t>
      </w:r>
      <w:r>
        <w:rPr>
          <w:sz w:val="20"/>
        </w:rPr>
        <w:t>[24];</w:t>
      </w:r>
      <w:r>
        <w:rPr>
          <w:spacing w:val="12"/>
          <w:sz w:val="20"/>
        </w:rPr>
        <w:t> </w:t>
      </w:r>
      <w:r>
        <w:rPr>
          <w:sz w:val="20"/>
        </w:rPr>
        <w:t>cf.</w:t>
      </w:r>
      <w:r>
        <w:rPr>
          <w:spacing w:val="12"/>
          <w:sz w:val="20"/>
        </w:rPr>
        <w:t> </w:t>
      </w:r>
      <w:r>
        <w:rPr>
          <w:rFonts w:ascii="Arial"/>
          <w:i/>
          <w:sz w:val="20"/>
        </w:rPr>
        <w:t>Stack</w:t>
      </w:r>
      <w:r>
        <w:rPr>
          <w:rFonts w:ascii="Arial"/>
          <w:i/>
          <w:spacing w:val="12"/>
          <w:sz w:val="20"/>
        </w:rPr>
        <w:t> </w:t>
      </w:r>
      <w:r>
        <w:rPr>
          <w:rFonts w:ascii="Arial"/>
          <w:i/>
          <w:sz w:val="20"/>
        </w:rPr>
        <w:t>v</w:t>
      </w:r>
      <w:r>
        <w:rPr>
          <w:rFonts w:ascii="Arial"/>
          <w:i/>
          <w:spacing w:val="12"/>
          <w:sz w:val="20"/>
        </w:rPr>
        <w:t> </w:t>
      </w:r>
      <w:r>
        <w:rPr>
          <w:rFonts w:ascii="Arial"/>
          <w:i/>
          <w:spacing w:val="-2"/>
          <w:sz w:val="20"/>
        </w:rPr>
        <w:t>Dowden</w:t>
      </w:r>
    </w:p>
    <w:p>
      <w:pPr>
        <w:spacing w:line="225" w:lineRule="exact" w:before="0"/>
        <w:ind w:left="0" w:right="168" w:firstLine="0"/>
        <w:jc w:val="right"/>
        <w:rPr>
          <w:rFonts w:ascii="Arial"/>
          <w:i/>
          <w:sz w:val="20"/>
        </w:rPr>
      </w:pPr>
      <w:r>
        <w:rPr>
          <w:rFonts w:ascii="Arial"/>
          <w:i/>
          <w:sz w:val="20"/>
        </w:rPr>
        <w:t>[2007]</w:t>
      </w:r>
      <w:r>
        <w:rPr>
          <w:rFonts w:ascii="Arial"/>
          <w:i/>
          <w:spacing w:val="12"/>
          <w:sz w:val="20"/>
        </w:rPr>
        <w:t> </w:t>
      </w:r>
      <w:r>
        <w:rPr>
          <w:rFonts w:ascii="Arial"/>
          <w:i/>
          <w:sz w:val="20"/>
        </w:rPr>
        <w:t>UKHL</w:t>
      </w:r>
      <w:r>
        <w:rPr>
          <w:rFonts w:ascii="Arial"/>
          <w:i/>
          <w:spacing w:val="12"/>
          <w:sz w:val="20"/>
        </w:rPr>
        <w:t> </w:t>
      </w:r>
      <w:r>
        <w:rPr>
          <w:rFonts w:ascii="Arial"/>
          <w:i/>
          <w:sz w:val="20"/>
        </w:rPr>
        <w:t>17,</w:t>
      </w:r>
      <w:r>
        <w:rPr>
          <w:rFonts w:ascii="Arial"/>
          <w:i/>
          <w:spacing w:val="12"/>
          <w:sz w:val="20"/>
        </w:rPr>
        <w:t> </w:t>
      </w:r>
      <w:r>
        <w:rPr>
          <w:rFonts w:ascii="Arial"/>
          <w:i/>
          <w:sz w:val="20"/>
        </w:rPr>
        <w:t>[2007]</w:t>
      </w:r>
      <w:r>
        <w:rPr>
          <w:rFonts w:ascii="Arial"/>
          <w:i/>
          <w:spacing w:val="12"/>
          <w:sz w:val="20"/>
        </w:rPr>
        <w:t> </w:t>
      </w:r>
      <w:r>
        <w:rPr>
          <w:rFonts w:ascii="Arial"/>
          <w:i/>
          <w:sz w:val="20"/>
        </w:rPr>
        <w:t>2</w:t>
      </w:r>
      <w:r>
        <w:rPr>
          <w:rFonts w:ascii="Arial"/>
          <w:i/>
          <w:spacing w:val="12"/>
          <w:sz w:val="20"/>
        </w:rPr>
        <w:t> </w:t>
      </w:r>
      <w:r>
        <w:rPr>
          <w:rFonts w:ascii="Arial"/>
          <w:i/>
          <w:sz w:val="20"/>
        </w:rPr>
        <w:t>A.C.</w:t>
      </w:r>
      <w:r>
        <w:rPr>
          <w:rFonts w:ascii="Arial"/>
          <w:i/>
          <w:spacing w:val="12"/>
          <w:sz w:val="20"/>
        </w:rPr>
        <w:t> </w:t>
      </w:r>
      <w:r>
        <w:rPr>
          <w:rFonts w:ascii="Arial"/>
          <w:i/>
          <w:sz w:val="20"/>
        </w:rPr>
        <w:t>432</w:t>
      </w:r>
      <w:r>
        <w:rPr>
          <w:rFonts w:ascii="Arial"/>
          <w:i/>
          <w:spacing w:val="12"/>
          <w:sz w:val="20"/>
        </w:rPr>
        <w:t> </w:t>
      </w:r>
      <w:r>
        <w:rPr>
          <w:sz w:val="20"/>
        </w:rPr>
        <w:t>at</w:t>
      </w:r>
      <w:r>
        <w:rPr>
          <w:spacing w:val="12"/>
          <w:sz w:val="20"/>
        </w:rPr>
        <w:t> </w:t>
      </w:r>
      <w:r>
        <w:rPr>
          <w:sz w:val="20"/>
        </w:rPr>
        <w:t>[128];</w:t>
      </w:r>
      <w:r>
        <w:rPr>
          <w:spacing w:val="12"/>
          <w:sz w:val="20"/>
        </w:rPr>
        <w:t> </w:t>
      </w:r>
      <w:r>
        <w:rPr>
          <w:rFonts w:ascii="Arial"/>
          <w:i/>
          <w:sz w:val="20"/>
        </w:rPr>
        <w:t>Q</w:t>
      </w:r>
      <w:r>
        <w:rPr>
          <w:rFonts w:ascii="Arial"/>
          <w:i/>
          <w:spacing w:val="12"/>
          <w:sz w:val="20"/>
        </w:rPr>
        <w:t> </w:t>
      </w:r>
      <w:r>
        <w:rPr>
          <w:rFonts w:ascii="Arial"/>
          <w:i/>
          <w:sz w:val="20"/>
        </w:rPr>
        <w:t>v</w:t>
      </w:r>
      <w:r>
        <w:rPr>
          <w:rFonts w:ascii="Arial"/>
          <w:i/>
          <w:spacing w:val="12"/>
          <w:sz w:val="20"/>
        </w:rPr>
        <w:t> </w:t>
      </w:r>
      <w:r>
        <w:rPr>
          <w:rFonts w:ascii="Arial"/>
          <w:i/>
          <w:sz w:val="20"/>
        </w:rPr>
        <w:t>Q</w:t>
      </w:r>
      <w:r>
        <w:rPr>
          <w:rFonts w:ascii="Arial"/>
          <w:i/>
          <w:spacing w:val="12"/>
          <w:sz w:val="20"/>
        </w:rPr>
        <w:t> </w:t>
      </w:r>
      <w:r>
        <w:rPr>
          <w:rFonts w:ascii="Arial"/>
          <w:i/>
          <w:sz w:val="20"/>
        </w:rPr>
        <w:t>[2008]</w:t>
      </w:r>
      <w:r>
        <w:rPr>
          <w:rFonts w:ascii="Arial"/>
          <w:i/>
          <w:spacing w:val="12"/>
          <w:sz w:val="20"/>
        </w:rPr>
        <w:t> </w:t>
      </w:r>
      <w:r>
        <w:rPr>
          <w:rFonts w:ascii="Arial"/>
          <w:i/>
          <w:sz w:val="20"/>
        </w:rPr>
        <w:t>EWHC</w:t>
      </w:r>
      <w:r>
        <w:rPr>
          <w:rFonts w:ascii="Arial"/>
          <w:i/>
          <w:spacing w:val="12"/>
          <w:sz w:val="20"/>
        </w:rPr>
        <w:t> </w:t>
      </w:r>
      <w:r>
        <w:rPr>
          <w:rFonts w:ascii="Arial"/>
          <w:i/>
          <w:sz w:val="20"/>
        </w:rPr>
        <w:t>1874</w:t>
      </w:r>
      <w:r>
        <w:rPr>
          <w:rFonts w:ascii="Arial"/>
          <w:i/>
          <w:spacing w:val="12"/>
          <w:sz w:val="20"/>
        </w:rPr>
        <w:t> </w:t>
      </w:r>
      <w:r>
        <w:rPr>
          <w:rFonts w:ascii="Arial"/>
          <w:i/>
          <w:sz w:val="20"/>
        </w:rPr>
        <w:t>(Fam),</w:t>
      </w:r>
      <w:r>
        <w:rPr>
          <w:rFonts w:ascii="Arial"/>
          <w:i/>
          <w:spacing w:val="12"/>
          <w:sz w:val="20"/>
        </w:rPr>
        <w:t> </w:t>
      </w:r>
      <w:r>
        <w:rPr>
          <w:rFonts w:ascii="Arial"/>
          <w:i/>
          <w:sz w:val="20"/>
        </w:rPr>
        <w:t>[2009]</w:t>
      </w:r>
      <w:r>
        <w:rPr>
          <w:rFonts w:ascii="Arial"/>
          <w:i/>
          <w:spacing w:val="12"/>
          <w:sz w:val="20"/>
        </w:rPr>
        <w:t> </w:t>
      </w:r>
      <w:r>
        <w:rPr>
          <w:rFonts w:ascii="Arial"/>
          <w:i/>
          <w:sz w:val="20"/>
        </w:rPr>
        <w:t>1</w:t>
      </w:r>
      <w:r>
        <w:rPr>
          <w:rFonts w:ascii="Arial"/>
          <w:i/>
          <w:spacing w:val="12"/>
          <w:sz w:val="20"/>
        </w:rPr>
        <w:t> </w:t>
      </w:r>
      <w:r>
        <w:rPr>
          <w:rFonts w:ascii="Arial"/>
          <w:i/>
          <w:spacing w:val="-2"/>
          <w:sz w:val="20"/>
        </w:rPr>
        <w:t>F.L.R.</w:t>
      </w:r>
    </w:p>
    <w:p>
      <w:pPr>
        <w:spacing w:line="225" w:lineRule="exact" w:before="0"/>
        <w:ind w:left="0" w:right="168" w:firstLine="0"/>
        <w:jc w:val="right"/>
        <w:rPr>
          <w:sz w:val="20"/>
        </w:rPr>
      </w:pPr>
      <w:r>
        <w:rPr>
          <w:rFonts w:ascii="Arial" w:hAnsi="Arial"/>
          <w:i/>
          <w:sz w:val="20"/>
        </w:rPr>
        <w:t>934</w:t>
      </w:r>
      <w:r>
        <w:rPr>
          <w:rFonts w:ascii="Arial" w:hAnsi="Arial"/>
          <w:i/>
          <w:spacing w:val="15"/>
          <w:sz w:val="20"/>
        </w:rPr>
        <w:t> </w:t>
      </w:r>
      <w:r>
        <w:rPr>
          <w:sz w:val="20"/>
        </w:rPr>
        <w:t>at</w:t>
      </w:r>
      <w:r>
        <w:rPr>
          <w:spacing w:val="15"/>
          <w:sz w:val="20"/>
        </w:rPr>
        <w:t> </w:t>
      </w:r>
      <w:r>
        <w:rPr>
          <w:sz w:val="20"/>
        </w:rPr>
        <w:t>[112],</w:t>
      </w:r>
      <w:r>
        <w:rPr>
          <w:spacing w:val="15"/>
          <w:sz w:val="20"/>
        </w:rPr>
        <w:t> </w:t>
      </w:r>
      <w:r>
        <w:rPr>
          <w:sz w:val="20"/>
        </w:rPr>
        <w:t>[113];</w:t>
      </w:r>
      <w:r>
        <w:rPr>
          <w:spacing w:val="15"/>
          <w:sz w:val="20"/>
        </w:rPr>
        <w:t> </w:t>
      </w:r>
      <w:r>
        <w:rPr>
          <w:rFonts w:ascii="Arial" w:hAnsi="Arial"/>
          <w:i/>
          <w:sz w:val="20"/>
        </w:rPr>
        <w:t>Herbert</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Doyle</w:t>
      </w:r>
      <w:r>
        <w:rPr>
          <w:rFonts w:ascii="Arial" w:hAnsi="Arial"/>
          <w:i/>
          <w:spacing w:val="15"/>
          <w:sz w:val="20"/>
        </w:rPr>
        <w:t> </w:t>
      </w:r>
      <w:r>
        <w:rPr>
          <w:rFonts w:ascii="Arial" w:hAnsi="Arial"/>
          <w:i/>
          <w:sz w:val="20"/>
        </w:rPr>
        <w:t>[2010]</w:t>
      </w:r>
      <w:r>
        <w:rPr>
          <w:rFonts w:ascii="Arial" w:hAnsi="Arial"/>
          <w:i/>
          <w:spacing w:val="15"/>
          <w:sz w:val="20"/>
        </w:rPr>
        <w:t> </w:t>
      </w:r>
      <w:r>
        <w:rPr>
          <w:rFonts w:ascii="Arial" w:hAnsi="Arial"/>
          <w:i/>
          <w:sz w:val="20"/>
        </w:rPr>
        <w:t>EWCA</w:t>
      </w:r>
      <w:r>
        <w:rPr>
          <w:rFonts w:ascii="Arial" w:hAnsi="Arial"/>
          <w:i/>
          <w:spacing w:val="15"/>
          <w:sz w:val="20"/>
        </w:rPr>
        <w:t> </w:t>
      </w:r>
      <w:r>
        <w:rPr>
          <w:rFonts w:ascii="Arial" w:hAnsi="Arial"/>
          <w:i/>
          <w:sz w:val="20"/>
        </w:rPr>
        <w:t>Civ</w:t>
      </w:r>
      <w:r>
        <w:rPr>
          <w:rFonts w:ascii="Arial" w:hAnsi="Arial"/>
          <w:i/>
          <w:spacing w:val="15"/>
          <w:sz w:val="20"/>
        </w:rPr>
        <w:t> </w:t>
      </w:r>
      <w:r>
        <w:rPr>
          <w:rFonts w:ascii="Arial" w:hAnsi="Arial"/>
          <w:i/>
          <w:sz w:val="20"/>
        </w:rPr>
        <w:t>1095,</w:t>
      </w:r>
      <w:r>
        <w:rPr>
          <w:rFonts w:ascii="Arial" w:hAnsi="Arial"/>
          <w:i/>
          <w:spacing w:val="15"/>
          <w:sz w:val="20"/>
        </w:rPr>
        <w:t> </w:t>
      </w:r>
      <w:r>
        <w:rPr>
          <w:rFonts w:ascii="Arial" w:hAnsi="Arial"/>
          <w:i/>
          <w:sz w:val="20"/>
        </w:rPr>
        <w:t>[2009]</w:t>
      </w:r>
      <w:r>
        <w:rPr>
          <w:rFonts w:ascii="Arial" w:hAnsi="Arial"/>
          <w:i/>
          <w:spacing w:val="15"/>
          <w:sz w:val="20"/>
        </w:rPr>
        <w:t> </w:t>
      </w:r>
      <w:r>
        <w:rPr>
          <w:rFonts w:ascii="Arial" w:hAnsi="Arial"/>
          <w:i/>
          <w:sz w:val="20"/>
        </w:rPr>
        <w:t>W.T.L.R.</w:t>
      </w:r>
      <w:r>
        <w:rPr>
          <w:rFonts w:ascii="Arial" w:hAnsi="Arial"/>
          <w:i/>
          <w:spacing w:val="15"/>
          <w:sz w:val="20"/>
        </w:rPr>
        <w:t> </w:t>
      </w:r>
      <w:r>
        <w:rPr>
          <w:rFonts w:ascii="Arial" w:hAnsi="Arial"/>
          <w:i/>
          <w:sz w:val="20"/>
        </w:rPr>
        <w:t>589</w:t>
      </w:r>
      <w:r>
        <w:rPr>
          <w:rFonts w:ascii="Arial" w:hAnsi="Arial"/>
          <w:i/>
          <w:spacing w:val="15"/>
          <w:sz w:val="20"/>
        </w:rPr>
        <w:t> </w:t>
      </w:r>
      <w:r>
        <w:rPr>
          <w:sz w:val="20"/>
        </w:rPr>
        <w:t>at</w:t>
      </w:r>
      <w:r>
        <w:rPr>
          <w:spacing w:val="15"/>
          <w:sz w:val="20"/>
        </w:rPr>
        <w:t> </w:t>
      </w:r>
      <w:r>
        <w:rPr>
          <w:spacing w:val="-2"/>
          <w:sz w:val="20"/>
        </w:rPr>
        <w:t>[54]–[55];</w:t>
      </w:r>
    </w:p>
    <w:p>
      <w:pPr>
        <w:spacing w:line="227" w:lineRule="exact" w:before="0"/>
        <w:ind w:left="705" w:right="0" w:firstLine="0"/>
        <w:jc w:val="left"/>
        <w:rPr>
          <w:sz w:val="20"/>
        </w:rPr>
      </w:pPr>
      <w:r>
        <w:rPr>
          <w:rFonts w:ascii="Arial"/>
          <w:i/>
          <w:sz w:val="20"/>
        </w:rPr>
        <w:t>Williams v Lawrence [2011] EWHC 2001 (Ch), [2011] W.T.L.R. 1455</w:t>
      </w:r>
      <w:r>
        <w:rPr>
          <w:rFonts w:ascii="Arial"/>
          <w:i/>
          <w:spacing w:val="-1"/>
          <w:sz w:val="20"/>
        </w:rPr>
        <w:t> </w:t>
      </w:r>
      <w:r>
        <w:rPr>
          <w:sz w:val="20"/>
        </w:rPr>
        <w:t>at </w:t>
      </w:r>
      <w:r>
        <w:rPr>
          <w:spacing w:val="-2"/>
          <w:sz w:val="20"/>
        </w:rPr>
        <w:t>[26].</w:t>
      </w:r>
    </w:p>
    <w:p>
      <w:pPr>
        <w:pStyle w:val="BodyText"/>
        <w:spacing w:before="5"/>
      </w:pPr>
    </w:p>
    <w:p>
      <w:pPr>
        <w:tabs>
          <w:tab w:pos="705" w:val="left" w:leader="none"/>
        </w:tabs>
        <w:spacing w:before="0"/>
        <w:ind w:left="165" w:right="0" w:firstLine="0"/>
        <w:jc w:val="left"/>
        <w:rPr>
          <w:sz w:val="20"/>
        </w:rPr>
      </w:pPr>
      <w:bookmarkStart w:name="_bookmark1714" w:id="1716"/>
      <w:bookmarkEnd w:id="1716"/>
      <w:r>
        <w:rPr/>
      </w:r>
      <w:hyperlink w:history="true" w:anchor="_bookmark1666">
        <w:r>
          <w:rPr>
            <w:color w:val="005DA1"/>
            <w:spacing w:val="-4"/>
            <w:position w:val="5"/>
            <w:sz w:val="14"/>
            <w:u w:val="single" w:color="005DA1"/>
          </w:rPr>
          <w:t>892</w:t>
        </w:r>
      </w:hyperlink>
      <w:r>
        <w:rPr>
          <w:spacing w:val="-4"/>
          <w:position w:val="5"/>
          <w:sz w:val="14"/>
        </w:rPr>
        <w:t>.</w:t>
      </w:r>
      <w:r>
        <w:rPr>
          <w:position w:val="5"/>
          <w:sz w:val="14"/>
        </w:rPr>
        <w:tab/>
      </w:r>
      <w:r>
        <w:rPr>
          <w:sz w:val="20"/>
        </w:rPr>
        <w:t>e.g.,</w:t>
      </w:r>
      <w:r>
        <w:rPr>
          <w:spacing w:val="-1"/>
          <w:sz w:val="20"/>
        </w:rPr>
        <w:t> </w:t>
      </w:r>
      <w:r>
        <w:rPr>
          <w:rFonts w:ascii="Arial"/>
          <w:i/>
          <w:sz w:val="20"/>
        </w:rPr>
        <w:t>Yaxley v Gotts [2000] Ch.</w:t>
      </w:r>
      <w:r>
        <w:rPr>
          <w:rFonts w:ascii="Arial"/>
          <w:i/>
          <w:spacing w:val="-1"/>
          <w:sz w:val="20"/>
        </w:rPr>
        <w:t> </w:t>
      </w:r>
      <w:r>
        <w:rPr>
          <w:rFonts w:ascii="Arial"/>
          <w:i/>
          <w:sz w:val="20"/>
        </w:rPr>
        <w:t>162</w:t>
      </w:r>
      <w:r>
        <w:rPr>
          <w:sz w:val="20"/>
        </w:rPr>
        <w:t>; </w:t>
      </w:r>
      <w:r>
        <w:rPr>
          <w:rFonts w:ascii="Arial"/>
          <w:i/>
          <w:sz w:val="20"/>
        </w:rPr>
        <w:t>Kinane v Mackie-Conteh</w:t>
      </w:r>
      <w:r>
        <w:rPr>
          <w:sz w:val="20"/>
        </w:rPr>
        <w:t>, above </w:t>
      </w:r>
      <w:r>
        <w:rPr>
          <w:spacing w:val="-2"/>
          <w:sz w:val="20"/>
        </w:rPr>
        <w:t>n.843.</w:t>
      </w:r>
    </w:p>
    <w:p>
      <w:pPr>
        <w:pStyle w:val="BodyText"/>
        <w:spacing w:before="5"/>
      </w:pPr>
    </w:p>
    <w:p>
      <w:pPr>
        <w:pStyle w:val="BodyText"/>
        <w:tabs>
          <w:tab w:pos="705" w:val="left" w:leader="none"/>
        </w:tabs>
        <w:ind w:left="165"/>
      </w:pPr>
      <w:bookmarkStart w:name="_bookmark1715" w:id="1717"/>
      <w:bookmarkEnd w:id="1717"/>
      <w:r>
        <w:rPr/>
      </w:r>
      <w:hyperlink w:history="true" w:anchor="_bookmark1666">
        <w:r>
          <w:rPr>
            <w:color w:val="005DA1"/>
            <w:spacing w:val="-4"/>
            <w:position w:val="5"/>
            <w:sz w:val="14"/>
            <w:u w:val="single" w:color="005DA1"/>
          </w:rPr>
          <w:t>893</w:t>
        </w:r>
      </w:hyperlink>
      <w:r>
        <w:rPr>
          <w:spacing w:val="-4"/>
          <w:position w:val="5"/>
          <w:sz w:val="14"/>
        </w:rPr>
        <w:t>.</w:t>
      </w:r>
      <w:r>
        <w:rPr>
          <w:position w:val="5"/>
          <w:sz w:val="14"/>
        </w:rPr>
        <w:tab/>
      </w:r>
      <w:r>
        <w:rPr/>
        <w:t>See above, para.2-180 n.958; and paras 5-040, 5-045 </w:t>
      </w:r>
      <w:r>
        <w:rPr>
          <w:spacing w:val="-2"/>
        </w:rPr>
        <w:t>below.</w:t>
      </w:r>
    </w:p>
    <w:p>
      <w:pPr>
        <w:pStyle w:val="BodyText"/>
        <w:spacing w:before="5"/>
      </w:pPr>
    </w:p>
    <w:p>
      <w:pPr>
        <w:pStyle w:val="BodyText"/>
        <w:tabs>
          <w:tab w:pos="705" w:val="left" w:leader="none"/>
        </w:tabs>
        <w:ind w:left="165"/>
      </w:pPr>
      <w:bookmarkStart w:name="_bookmark1716" w:id="1718"/>
      <w:bookmarkEnd w:id="1718"/>
      <w:r>
        <w:rPr/>
      </w:r>
      <w:hyperlink w:history="true" w:anchor="_bookmark1667">
        <w:r>
          <w:rPr>
            <w:color w:val="005DA1"/>
            <w:spacing w:val="-4"/>
            <w:position w:val="5"/>
            <w:sz w:val="14"/>
            <w:u w:val="single" w:color="005DA1"/>
          </w:rPr>
          <w:t>894</w:t>
        </w:r>
      </w:hyperlink>
      <w:r>
        <w:rPr>
          <w:spacing w:val="-4"/>
          <w:position w:val="5"/>
          <w:sz w:val="14"/>
        </w:rPr>
        <w:t>.</w:t>
      </w:r>
      <w:r>
        <w:rPr>
          <w:position w:val="5"/>
          <w:sz w:val="14"/>
        </w:rPr>
        <w:tab/>
      </w:r>
      <w:r>
        <w:rPr/>
        <w:t>i.e., if the conditions specified in paras 4-146 to 4-158 below are </w:t>
      </w:r>
      <w:r>
        <w:rPr>
          <w:spacing w:val="-2"/>
        </w:rPr>
        <w:t>satisfied.</w:t>
      </w:r>
    </w:p>
    <w:p>
      <w:pPr>
        <w:pStyle w:val="BodyText"/>
        <w:spacing w:before="9"/>
      </w:pPr>
    </w:p>
    <w:p>
      <w:pPr>
        <w:tabs>
          <w:tab w:pos="705" w:val="left" w:leader="none"/>
        </w:tabs>
        <w:spacing w:line="235" w:lineRule="auto" w:before="0"/>
        <w:ind w:left="705" w:right="168" w:hanging="541"/>
        <w:jc w:val="left"/>
        <w:rPr>
          <w:sz w:val="20"/>
        </w:rPr>
      </w:pPr>
      <w:bookmarkStart w:name="_bookmark1717" w:id="1719"/>
      <w:bookmarkEnd w:id="1719"/>
      <w:r>
        <w:rPr/>
      </w:r>
      <w:hyperlink w:history="true" w:anchor="_bookmark1668">
        <w:r>
          <w:rPr>
            <w:color w:val="005DA1"/>
            <w:spacing w:val="-4"/>
            <w:position w:val="5"/>
            <w:sz w:val="14"/>
            <w:u w:val="single" w:color="005DA1"/>
          </w:rPr>
          <w:t>895</w:t>
        </w:r>
      </w:hyperlink>
      <w:r>
        <w:rPr>
          <w:spacing w:val="-4"/>
          <w:position w:val="5"/>
          <w:sz w:val="14"/>
        </w:rPr>
        <w:t>.</w:t>
      </w:r>
      <w:r>
        <w:rPr>
          <w:position w:val="5"/>
          <w:sz w:val="14"/>
        </w:rPr>
        <w:tab/>
      </w:r>
      <w:r>
        <w:rPr>
          <w:rFonts w:ascii="Arial"/>
          <w:i/>
          <w:sz w:val="20"/>
        </w:rPr>
        <w:t>Kinane</w:t>
      </w:r>
      <w:r>
        <w:rPr>
          <w:rFonts w:ascii="Arial"/>
          <w:i/>
          <w:spacing w:val="29"/>
          <w:sz w:val="20"/>
        </w:rPr>
        <w:t> </w:t>
      </w:r>
      <w:r>
        <w:rPr>
          <w:rFonts w:ascii="Arial"/>
          <w:i/>
          <w:sz w:val="20"/>
        </w:rPr>
        <w:t>v</w:t>
      </w:r>
      <w:r>
        <w:rPr>
          <w:rFonts w:ascii="Arial"/>
          <w:i/>
          <w:spacing w:val="29"/>
          <w:sz w:val="20"/>
        </w:rPr>
        <w:t> </w:t>
      </w:r>
      <w:r>
        <w:rPr>
          <w:rFonts w:ascii="Arial"/>
          <w:i/>
          <w:sz w:val="20"/>
        </w:rPr>
        <w:t>Mackie-Conteh</w:t>
      </w:r>
      <w:r>
        <w:rPr>
          <w:sz w:val="20"/>
        </w:rPr>
        <w:t>,</w:t>
      </w:r>
      <w:r>
        <w:rPr>
          <w:spacing w:val="29"/>
          <w:sz w:val="20"/>
        </w:rPr>
        <w:t> </w:t>
      </w:r>
      <w:r>
        <w:rPr>
          <w:sz w:val="20"/>
        </w:rPr>
        <w:t>above</w:t>
      </w:r>
      <w:r>
        <w:rPr>
          <w:spacing w:val="29"/>
          <w:sz w:val="20"/>
        </w:rPr>
        <w:t> </w:t>
      </w:r>
      <w:r>
        <w:rPr>
          <w:sz w:val="20"/>
        </w:rPr>
        <w:t>n.843</w:t>
      </w:r>
      <w:r>
        <w:rPr>
          <w:spacing w:val="29"/>
          <w:sz w:val="20"/>
        </w:rPr>
        <w:t> </w:t>
      </w:r>
      <w:r>
        <w:rPr>
          <w:sz w:val="20"/>
        </w:rPr>
        <w:t>at</w:t>
      </w:r>
      <w:r>
        <w:rPr>
          <w:spacing w:val="29"/>
          <w:sz w:val="20"/>
        </w:rPr>
        <w:t> </w:t>
      </w:r>
      <w:r>
        <w:rPr>
          <w:sz w:val="20"/>
        </w:rPr>
        <w:t>[51];</w:t>
      </w:r>
      <w:r>
        <w:rPr>
          <w:spacing w:val="29"/>
          <w:sz w:val="20"/>
        </w:rPr>
        <w:t> </w:t>
      </w:r>
      <w:r>
        <w:rPr>
          <w:sz w:val="20"/>
        </w:rPr>
        <w:t>cf.</w:t>
      </w:r>
      <w:r>
        <w:rPr>
          <w:spacing w:val="29"/>
          <w:sz w:val="20"/>
        </w:rPr>
        <w:t> </w:t>
      </w:r>
      <w:r>
        <w:rPr>
          <w:sz w:val="20"/>
        </w:rPr>
        <w:t>ibid.,</w:t>
      </w:r>
      <w:r>
        <w:rPr>
          <w:spacing w:val="29"/>
          <w:sz w:val="20"/>
        </w:rPr>
        <w:t> </w:t>
      </w:r>
      <w:r>
        <w:rPr>
          <w:sz w:val="20"/>
        </w:rPr>
        <w:t>at</w:t>
      </w:r>
      <w:r>
        <w:rPr>
          <w:spacing w:val="29"/>
          <w:sz w:val="20"/>
        </w:rPr>
        <w:t> </w:t>
      </w:r>
      <w:r>
        <w:rPr>
          <w:sz w:val="20"/>
        </w:rPr>
        <w:t>[50],</w:t>
      </w:r>
      <w:r>
        <w:rPr>
          <w:spacing w:val="29"/>
          <w:sz w:val="20"/>
        </w:rPr>
        <w:t> </w:t>
      </w:r>
      <w:r>
        <w:rPr>
          <w:sz w:val="20"/>
        </w:rPr>
        <w:t>citing</w:t>
      </w:r>
      <w:r>
        <w:rPr>
          <w:spacing w:val="29"/>
          <w:sz w:val="20"/>
        </w:rPr>
        <w:t> </w:t>
      </w:r>
      <w:r>
        <w:rPr>
          <w:rFonts w:ascii="Arial"/>
          <w:i/>
          <w:sz w:val="20"/>
        </w:rPr>
        <w:t>Yaxley</w:t>
      </w:r>
      <w:r>
        <w:rPr>
          <w:rFonts w:ascii="Arial"/>
          <w:i/>
          <w:spacing w:val="29"/>
          <w:sz w:val="20"/>
        </w:rPr>
        <w:t> </w:t>
      </w:r>
      <w:r>
        <w:rPr>
          <w:rFonts w:ascii="Arial"/>
          <w:i/>
          <w:sz w:val="20"/>
        </w:rPr>
        <w:t>v</w:t>
      </w:r>
      <w:r>
        <w:rPr>
          <w:rFonts w:ascii="Arial"/>
          <w:i/>
          <w:spacing w:val="29"/>
          <w:sz w:val="20"/>
        </w:rPr>
        <w:t> </w:t>
      </w:r>
      <w:r>
        <w:rPr>
          <w:rFonts w:ascii="Arial"/>
          <w:i/>
          <w:sz w:val="20"/>
        </w:rPr>
        <w:t>Gotts</w:t>
      </w:r>
      <w:r>
        <w:rPr>
          <w:sz w:val="20"/>
        </w:rPr>
        <w:t>,</w:t>
      </w:r>
      <w:r>
        <w:rPr>
          <w:spacing w:val="29"/>
          <w:sz w:val="20"/>
        </w:rPr>
        <w:t> </w:t>
      </w:r>
      <w:r>
        <w:rPr>
          <w:sz w:val="20"/>
        </w:rPr>
        <w:t>above n.844, at 180.</w:t>
      </w:r>
    </w:p>
    <w:p>
      <w:pPr>
        <w:pStyle w:val="BodyText"/>
        <w:spacing w:before="5"/>
      </w:pPr>
    </w:p>
    <w:p>
      <w:pPr>
        <w:tabs>
          <w:tab w:pos="705" w:val="left" w:leader="none"/>
        </w:tabs>
        <w:spacing w:before="1"/>
        <w:ind w:left="165" w:right="0" w:firstLine="0"/>
        <w:jc w:val="left"/>
        <w:rPr>
          <w:sz w:val="20"/>
        </w:rPr>
      </w:pPr>
      <w:bookmarkStart w:name="_bookmark1718" w:id="1720"/>
      <w:bookmarkEnd w:id="1720"/>
      <w:r>
        <w:rPr/>
      </w:r>
      <w:hyperlink w:history="true" w:anchor="_bookmark1669">
        <w:r>
          <w:rPr>
            <w:color w:val="005DA1"/>
            <w:spacing w:val="-4"/>
            <w:position w:val="5"/>
            <w:sz w:val="14"/>
            <w:u w:val="single" w:color="005DA1"/>
          </w:rPr>
          <w:t>896</w:t>
        </w:r>
      </w:hyperlink>
      <w:r>
        <w:rPr>
          <w:spacing w:val="-4"/>
          <w:position w:val="5"/>
          <w:sz w:val="14"/>
        </w:rPr>
        <w:t>.</w:t>
      </w:r>
      <w:r>
        <w:rPr>
          <w:position w:val="5"/>
          <w:sz w:val="14"/>
        </w:rPr>
        <w:tab/>
      </w:r>
      <w:r>
        <w:rPr>
          <w:sz w:val="20"/>
        </w:rPr>
        <w:t>ibid.,</w:t>
      </w:r>
      <w:r>
        <w:rPr>
          <w:spacing w:val="-1"/>
          <w:sz w:val="20"/>
        </w:rPr>
        <w:t> </w:t>
      </w:r>
      <w:r>
        <w:rPr>
          <w:sz w:val="20"/>
        </w:rPr>
        <w:t>at [176], cited in</w:t>
      </w:r>
      <w:r>
        <w:rPr>
          <w:spacing w:val="-1"/>
          <w:sz w:val="20"/>
        </w:rPr>
        <w:t> </w:t>
      </w:r>
      <w:r>
        <w:rPr>
          <w:rFonts w:ascii="Arial"/>
          <w:i/>
          <w:sz w:val="20"/>
        </w:rPr>
        <w:t>Kinnane v Mackie-Conteh</w:t>
      </w:r>
      <w:r>
        <w:rPr>
          <w:sz w:val="20"/>
        </w:rPr>
        <w:t>, above n.843 at </w:t>
      </w:r>
      <w:r>
        <w:rPr>
          <w:spacing w:val="-2"/>
          <w:sz w:val="20"/>
        </w:rPr>
        <w:t>[47].</w:t>
      </w:r>
    </w:p>
    <w:p>
      <w:pPr>
        <w:spacing w:after="0"/>
        <w:jc w:val="left"/>
        <w:rPr>
          <w:sz w:val="20"/>
        </w:rPr>
        <w:sectPr>
          <w:type w:val="continuous"/>
          <w:pgSz w:w="11900" w:h="16840"/>
          <w:pgMar w:header="971" w:footer="0" w:top="3760" w:bottom="280" w:left="1275" w:right="1275"/>
        </w:sectPr>
      </w:pPr>
    </w:p>
    <w:p>
      <w:pPr>
        <w:pStyle w:val="BodyText"/>
        <w:spacing w:before="4"/>
        <w:rPr>
          <w:sz w:val="19"/>
        </w:rPr>
      </w:pPr>
    </w:p>
    <w:p>
      <w:pPr>
        <w:pStyle w:val="BodyText"/>
        <w:spacing w:after="0"/>
        <w:rPr>
          <w:sz w:val="19"/>
        </w:rPr>
        <w:sectPr>
          <w:pgSz w:w="11900" w:h="16840"/>
          <w:pgMar w:header="971" w:footer="0" w:top="1160" w:bottom="280" w:left="1275" w:right="1275"/>
        </w:sectPr>
      </w:pPr>
    </w:p>
    <w:p>
      <w:pPr>
        <w:spacing w:before="96"/>
        <w:ind w:left="165" w:right="0" w:firstLine="0"/>
        <w:jc w:val="left"/>
        <w:rPr>
          <w:sz w:val="14"/>
        </w:rPr>
      </w:pPr>
      <w:hyperlink w:history="true" w:anchor="_bookmark1670">
        <w:r>
          <w:rPr>
            <w:color w:val="005DA1"/>
            <w:spacing w:val="-4"/>
            <w:sz w:val="14"/>
            <w:u w:val="single" w:color="005DA1"/>
          </w:rPr>
          <w:t>897</w:t>
        </w:r>
      </w:hyperlink>
      <w:r>
        <w:rPr>
          <w:spacing w:val="-4"/>
          <w:sz w:val="14"/>
        </w:rPr>
        <w:t>.</w:t>
      </w:r>
    </w:p>
    <w:p>
      <w:pPr>
        <w:spacing w:line="227" w:lineRule="exact" w:before="208"/>
        <w:ind w:left="335" w:right="0" w:firstLine="0"/>
        <w:jc w:val="left"/>
        <w:rPr>
          <w:rFonts w:ascii="Arial"/>
          <w:i/>
          <w:sz w:val="20"/>
        </w:rPr>
      </w:pPr>
      <w:r>
        <w:rPr/>
        <w:br w:type="column"/>
      </w:r>
      <w:r>
        <w:rPr>
          <w:sz w:val="20"/>
        </w:rPr>
        <w:t>ibid.,</w:t>
      </w:r>
      <w:r>
        <w:rPr>
          <w:spacing w:val="2"/>
          <w:sz w:val="20"/>
        </w:rPr>
        <w:t> </w:t>
      </w:r>
      <w:r>
        <w:rPr>
          <w:sz w:val="20"/>
        </w:rPr>
        <w:t>at</w:t>
      </w:r>
      <w:r>
        <w:rPr>
          <w:spacing w:val="2"/>
          <w:sz w:val="20"/>
        </w:rPr>
        <w:t> </w:t>
      </w:r>
      <w:r>
        <w:rPr>
          <w:sz w:val="20"/>
        </w:rPr>
        <w:t>[51];</w:t>
      </w:r>
      <w:r>
        <w:rPr>
          <w:spacing w:val="2"/>
          <w:sz w:val="20"/>
        </w:rPr>
        <w:t> </w:t>
      </w:r>
      <w:r>
        <w:rPr>
          <w:rFonts w:ascii="Arial"/>
          <w:i/>
          <w:sz w:val="20"/>
        </w:rPr>
        <w:t>S</w:t>
      </w:r>
      <w:r>
        <w:rPr>
          <w:rFonts w:ascii="Arial"/>
          <w:i/>
          <w:spacing w:val="2"/>
          <w:sz w:val="20"/>
        </w:rPr>
        <w:t> </w:t>
      </w:r>
      <w:r>
        <w:rPr>
          <w:rFonts w:ascii="Arial"/>
          <w:i/>
          <w:sz w:val="20"/>
        </w:rPr>
        <w:t>v</w:t>
      </w:r>
      <w:r>
        <w:rPr>
          <w:rFonts w:ascii="Arial"/>
          <w:i/>
          <w:spacing w:val="2"/>
          <w:sz w:val="20"/>
        </w:rPr>
        <w:t> </w:t>
      </w:r>
      <w:r>
        <w:rPr>
          <w:rFonts w:ascii="Arial"/>
          <w:i/>
          <w:sz w:val="20"/>
        </w:rPr>
        <w:t>S</w:t>
      </w:r>
      <w:r>
        <w:rPr>
          <w:rFonts w:ascii="Arial"/>
          <w:i/>
          <w:spacing w:val="2"/>
          <w:sz w:val="20"/>
        </w:rPr>
        <w:t> </w:t>
      </w:r>
      <w:r>
        <w:rPr>
          <w:rFonts w:ascii="Arial"/>
          <w:i/>
          <w:sz w:val="20"/>
        </w:rPr>
        <w:t>[2006]</w:t>
      </w:r>
      <w:r>
        <w:rPr>
          <w:rFonts w:ascii="Arial"/>
          <w:i/>
          <w:spacing w:val="2"/>
          <w:sz w:val="20"/>
        </w:rPr>
        <w:t> </w:t>
      </w:r>
      <w:r>
        <w:rPr>
          <w:rFonts w:ascii="Arial"/>
          <w:i/>
          <w:sz w:val="20"/>
        </w:rPr>
        <w:t>EWHC</w:t>
      </w:r>
      <w:r>
        <w:rPr>
          <w:rFonts w:ascii="Arial"/>
          <w:i/>
          <w:spacing w:val="2"/>
          <w:sz w:val="20"/>
        </w:rPr>
        <w:t> </w:t>
      </w:r>
      <w:r>
        <w:rPr>
          <w:rFonts w:ascii="Arial"/>
          <w:i/>
          <w:sz w:val="20"/>
        </w:rPr>
        <w:t>2892</w:t>
      </w:r>
      <w:r>
        <w:rPr>
          <w:rFonts w:ascii="Arial"/>
          <w:i/>
          <w:spacing w:val="2"/>
          <w:sz w:val="20"/>
        </w:rPr>
        <w:t> </w:t>
      </w:r>
      <w:r>
        <w:rPr>
          <w:rFonts w:ascii="Arial"/>
          <w:i/>
          <w:sz w:val="20"/>
        </w:rPr>
        <w:t>(Fam),</w:t>
      </w:r>
      <w:r>
        <w:rPr>
          <w:rFonts w:ascii="Arial"/>
          <w:i/>
          <w:spacing w:val="2"/>
          <w:sz w:val="20"/>
        </w:rPr>
        <w:t> </w:t>
      </w:r>
      <w:r>
        <w:rPr>
          <w:rFonts w:ascii="Arial"/>
          <w:i/>
          <w:sz w:val="20"/>
        </w:rPr>
        <w:t>[2007]</w:t>
      </w:r>
      <w:r>
        <w:rPr>
          <w:rFonts w:ascii="Arial"/>
          <w:i/>
          <w:spacing w:val="2"/>
          <w:sz w:val="20"/>
        </w:rPr>
        <w:t> </w:t>
      </w:r>
      <w:r>
        <w:rPr>
          <w:rFonts w:ascii="Arial"/>
          <w:i/>
          <w:sz w:val="20"/>
        </w:rPr>
        <w:t>F.L.R.</w:t>
      </w:r>
      <w:r>
        <w:rPr>
          <w:rFonts w:ascii="Arial"/>
          <w:i/>
          <w:spacing w:val="2"/>
          <w:sz w:val="20"/>
        </w:rPr>
        <w:t> </w:t>
      </w:r>
      <w:r>
        <w:rPr>
          <w:rFonts w:ascii="Arial"/>
          <w:i/>
          <w:sz w:val="20"/>
        </w:rPr>
        <w:t>1123</w:t>
      </w:r>
      <w:r>
        <w:rPr>
          <w:rFonts w:ascii="Arial"/>
          <w:i/>
          <w:spacing w:val="1"/>
          <w:sz w:val="20"/>
        </w:rPr>
        <w:t> </w:t>
      </w:r>
      <w:r>
        <w:rPr>
          <w:sz w:val="20"/>
        </w:rPr>
        <w:t>at</w:t>
      </w:r>
      <w:r>
        <w:rPr>
          <w:spacing w:val="2"/>
          <w:sz w:val="20"/>
        </w:rPr>
        <w:t> </w:t>
      </w:r>
      <w:r>
        <w:rPr>
          <w:sz w:val="20"/>
        </w:rPr>
        <w:t>[59];</w:t>
      </w:r>
      <w:r>
        <w:rPr>
          <w:spacing w:val="2"/>
          <w:sz w:val="20"/>
        </w:rPr>
        <w:t> </w:t>
      </w:r>
      <w:r>
        <w:rPr>
          <w:rFonts w:ascii="Arial"/>
          <w:i/>
          <w:sz w:val="20"/>
        </w:rPr>
        <w:t>Brightlingsea</w:t>
      </w:r>
      <w:r>
        <w:rPr>
          <w:rFonts w:ascii="Arial"/>
          <w:i/>
          <w:spacing w:val="2"/>
          <w:sz w:val="20"/>
        </w:rPr>
        <w:t> </w:t>
      </w:r>
      <w:r>
        <w:rPr>
          <w:rFonts w:ascii="Arial"/>
          <w:i/>
          <w:spacing w:val="-2"/>
          <w:sz w:val="20"/>
        </w:rPr>
        <w:t>Haven</w:t>
      </w:r>
    </w:p>
    <w:p>
      <w:pPr>
        <w:pStyle w:val="BodyText"/>
        <w:spacing w:line="235" w:lineRule="auto" w:before="2"/>
        <w:ind w:left="165" w:right="167"/>
        <w:jc w:val="both"/>
      </w:pPr>
      <w:r>
        <w:rPr/>
        <w:drawing>
          <wp:anchor distT="0" distB="0" distL="0" distR="0" allowOverlap="1" layoutInCell="1" locked="0" behindDoc="0" simplePos="0" relativeHeight="15810560">
            <wp:simplePos x="0" y="0"/>
            <wp:positionH relativeFrom="page">
              <wp:posOffset>1257846</wp:posOffset>
            </wp:positionH>
            <wp:positionV relativeFrom="paragraph">
              <wp:posOffset>-116051</wp:posOffset>
            </wp:positionV>
            <wp:extent cx="107988" cy="107988"/>
            <wp:effectExtent l="0" t="0" r="0" b="0"/>
            <wp:wrapNone/>
            <wp:docPr id="327" name="Image 327"/>
            <wp:cNvGraphicFramePr>
              <a:graphicFrameLocks/>
            </wp:cNvGraphicFramePr>
            <a:graphic>
              <a:graphicData uri="http://schemas.openxmlformats.org/drawingml/2006/picture">
                <pic:pic>
                  <pic:nvPicPr>
                    <pic:cNvPr id="327" name="Image 327"/>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rPr>
        <w:t>v Morris [2008] EWHC 1928, [2009] 2 P &amp; C.R. 11 </w:t>
      </w:r>
      <w:r>
        <w:rPr/>
        <w:t>at [40] (“the creation and operation of a constructive trust through proprietary estoppel”) but even in such cases it should be</w:t>
      </w:r>
      <w:r>
        <w:rPr>
          <w:spacing w:val="40"/>
        </w:rPr>
        <w:t> </w:t>
      </w:r>
      <w:r>
        <w:rPr/>
        <w:t>emphasised the two concepts cannot be “completely assimilated” (above at n.842); </w:t>
      </w:r>
      <w:r>
        <w:rPr/>
        <w:t>in</w:t>
      </w:r>
      <w:r>
        <w:rPr>
          <w:spacing w:val="40"/>
        </w:rPr>
        <w:t> </w:t>
      </w:r>
      <w:r>
        <w:rPr/>
        <w:t>particular, their legal effects may differ: </w:t>
      </w:r>
      <w:r>
        <w:rPr>
          <w:rFonts w:ascii="Arial" w:hAnsi="Arial"/>
          <w:i/>
        </w:rPr>
        <w:t>Stack v Dowden </w:t>
      </w:r>
      <w:r>
        <w:rPr/>
        <w:t>above n.842 at [37]; Lord </w:t>
      </w:r>
      <w:r>
        <w:rPr/>
        <w:t>Neuberger ibid., at [128] more cautiously says that “it may well be that facts which may justify a </w:t>
      </w:r>
      <w:r>
        <w:rPr/>
        <w:t>proprietary estoppel … would give rise to a constructive trust.” In </w:t>
      </w:r>
      <w:r>
        <w:rPr>
          <w:rFonts w:ascii="Arial" w:hAnsi="Arial"/>
          <w:i/>
        </w:rPr>
        <w:t>Stallion v Albert Stallion Holdings </w:t>
      </w:r>
      <w:r>
        <w:rPr>
          <w:rFonts w:ascii="Arial" w:hAnsi="Arial"/>
          <w:i/>
        </w:rPr>
        <w:t>(Great Britain) Ltd [2009] EWHC 1950 (Ch), [2010] 2 F.L.R. 78 </w:t>
      </w:r>
      <w:r>
        <w:rPr/>
        <w:t>(below, para.4-145) the claim </w:t>
      </w:r>
      <w:r>
        <w:rPr/>
        <w:t>was originally based on proprietary estoppel and constructive trust but the second of these </w:t>
      </w:r>
      <w:r>
        <w:rPr/>
        <w:t>bases was not pursued (at [3], [4]). Conversely, in </w:t>
      </w:r>
      <w:r>
        <w:rPr>
          <w:rFonts w:ascii="Arial" w:hAnsi="Arial"/>
          <w:i/>
        </w:rPr>
        <w:t>Matchmove Ltd v Dowding and Church [2016] EWCA Civ 1233, [2017] 1 W.L.R. 749 </w:t>
      </w:r>
      <w:r>
        <w:rPr/>
        <w:t>relief was given at first instance to buyers of land </w:t>
      </w:r>
      <w:r>
        <w:rPr/>
        <w:t>which they had bought without complying with the formal requirement of Law of Property (Miscellaneous Provisions) Act 1989 s.2(1) (Main Work, Vol.I, para.5-011) on the ground of “both proprietary estoppel and constructive trust” (</w:t>
      </w:r>
      <w:r>
        <w:rPr>
          <w:rFonts w:ascii="Arial" w:hAnsi="Arial"/>
          <w:i/>
        </w:rPr>
        <w:t>[2016] EWCA Civ 1233 </w:t>
      </w:r>
      <w:r>
        <w:rPr/>
        <w:t>at [28]), but </w:t>
      </w:r>
      <w:r>
        <w:rPr/>
        <w:t>on</w:t>
      </w:r>
      <w:r>
        <w:rPr>
          <w:spacing w:val="40"/>
        </w:rPr>
        <w:t> </w:t>
      </w:r>
      <w:r>
        <w:rPr/>
        <w:t>appeal counsel for the buyers “was content to rely solely upon constructive trust” (ibid.) so that the Court of Appeal, in upholding the decision below, was able to avoid “the issue whether section 2(5) of the 1989 Act can apply to claims based upon proprietary estoppel as distinct from constructive trust” </w:t>
      </w:r>
      <w:r>
        <w:rPr>
          <w:rFonts w:ascii="Arial" w:hAnsi="Arial"/>
          <w:i/>
        </w:rPr>
        <w:t>[2016] EWCA Civ 1233 </w:t>
      </w:r>
      <w:r>
        <w:rPr/>
        <w:t>at [28]. For this problem, see Main Work, Vol.I, para.4-115 n.686, para.4-160 n.981 and paras 5-044 to 5-048.</w:t>
      </w:r>
    </w:p>
    <w:p>
      <w:pPr>
        <w:pStyle w:val="BodyText"/>
        <w:spacing w:after="0" w:line="235" w:lineRule="auto"/>
        <w:jc w:val="both"/>
        <w:sectPr>
          <w:type w:val="continuous"/>
          <w:pgSz w:w="11900" w:h="16840"/>
          <w:pgMar w:header="971" w:footer="0" w:top="3760" w:bottom="280" w:left="1275" w:right="1275"/>
          <w:cols w:num="2" w:equalWidth="0">
            <w:col w:w="478" w:space="63"/>
            <w:col w:w="8809"/>
          </w:cols>
        </w:sectPr>
      </w:pPr>
    </w:p>
    <w:p>
      <w:pPr>
        <w:pStyle w:val="BodyText"/>
        <w:spacing w:before="3"/>
        <w:rPr>
          <w:sz w:val="12"/>
        </w:rPr>
      </w:pPr>
    </w:p>
    <w:p>
      <w:pPr>
        <w:pStyle w:val="BodyText"/>
        <w:spacing w:after="0"/>
        <w:rPr>
          <w:sz w:val="12"/>
        </w:rPr>
        <w:sectPr>
          <w:type w:val="continuous"/>
          <w:pgSz w:w="11900" w:h="16840"/>
          <w:pgMar w:header="971" w:footer="0" w:top="3760" w:bottom="280" w:left="1275" w:right="1275"/>
        </w:sectPr>
      </w:pPr>
    </w:p>
    <w:p>
      <w:pPr>
        <w:spacing w:before="95"/>
        <w:ind w:left="165" w:right="0" w:firstLine="0"/>
        <w:jc w:val="left"/>
        <w:rPr>
          <w:sz w:val="14"/>
        </w:rPr>
      </w:pPr>
      <w:bookmarkStart w:name="_bookmark1719" w:id="1721"/>
      <w:bookmarkEnd w:id="1721"/>
      <w:r>
        <w:rPr/>
      </w:r>
      <w:hyperlink w:history="true" w:anchor="_bookmark1671">
        <w:r>
          <w:rPr>
            <w:color w:val="005DA1"/>
            <w:spacing w:val="-4"/>
            <w:sz w:val="14"/>
            <w:u w:val="single" w:color="005DA1"/>
          </w:rPr>
          <w:t>898</w:t>
        </w:r>
      </w:hyperlink>
      <w:r>
        <w:rPr>
          <w:spacing w:val="-4"/>
          <w:sz w:val="14"/>
        </w:rPr>
        <w:t>.</w:t>
      </w:r>
    </w:p>
    <w:p>
      <w:pPr>
        <w:pStyle w:val="BodyText"/>
        <w:spacing w:before="208"/>
        <w:ind w:left="335"/>
      </w:pPr>
      <w:r>
        <w:rPr/>
        <w:br w:type="column"/>
      </w:r>
      <w:r>
        <w:rPr/>
        <w:t>At note </w:t>
      </w:r>
      <w:r>
        <w:rPr>
          <w:spacing w:val="-4"/>
        </w:rPr>
        <w:t>847.</w:t>
      </w:r>
    </w:p>
    <w:p>
      <w:pPr>
        <w:pStyle w:val="BodyText"/>
        <w:spacing w:after="0"/>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11072">
            <wp:simplePos x="0" y="0"/>
            <wp:positionH relativeFrom="page">
              <wp:posOffset>1257846</wp:posOffset>
            </wp:positionH>
            <wp:positionV relativeFrom="paragraph">
              <wp:posOffset>-211182</wp:posOffset>
            </wp:positionV>
            <wp:extent cx="107988" cy="107988"/>
            <wp:effectExtent l="0" t="0" r="0" b="0"/>
            <wp:wrapNone/>
            <wp:docPr id="328" name="Image 328"/>
            <wp:cNvGraphicFramePr>
              <a:graphicFrameLocks/>
            </wp:cNvGraphicFramePr>
            <a:graphic>
              <a:graphicData uri="http://schemas.openxmlformats.org/drawingml/2006/picture">
                <pic:pic>
                  <pic:nvPicPr>
                    <pic:cNvPr id="328" name="Image 32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720" w:id="1722"/>
      <w:bookmarkEnd w:id="1722"/>
      <w:r>
        <w:rPr/>
      </w:r>
      <w:hyperlink w:history="true" w:anchor="_bookmark1672">
        <w:r>
          <w:rPr>
            <w:color w:val="005DA1"/>
            <w:spacing w:val="-4"/>
            <w:sz w:val="14"/>
            <w:u w:val="single" w:color="005DA1"/>
          </w:rPr>
          <w:t>899</w:t>
        </w:r>
      </w:hyperlink>
      <w:r>
        <w:rPr>
          <w:spacing w:val="-4"/>
          <w:sz w:val="14"/>
        </w:rPr>
        <w:t>.</w:t>
      </w:r>
    </w:p>
    <w:p>
      <w:pPr>
        <w:spacing w:before="208"/>
        <w:ind w:left="335" w:right="0" w:firstLine="0"/>
        <w:jc w:val="left"/>
        <w:rPr>
          <w:sz w:val="20"/>
        </w:rPr>
      </w:pPr>
      <w:r>
        <w:rPr/>
        <w:br w:type="column"/>
      </w:r>
      <w:r>
        <w:rPr>
          <w:rFonts w:ascii="Arial"/>
          <w:i/>
          <w:sz w:val="20"/>
        </w:rPr>
        <w:t>Arif v Anwar [2015] EWHC 124 (Fam)</w:t>
      </w:r>
      <w:r>
        <w:rPr>
          <w:rFonts w:ascii="Arial"/>
          <w:i/>
          <w:spacing w:val="-1"/>
          <w:sz w:val="20"/>
        </w:rPr>
        <w:t> </w:t>
      </w:r>
      <w:r>
        <w:rPr>
          <w:sz w:val="20"/>
        </w:rPr>
        <w:t>at </w:t>
      </w:r>
      <w:r>
        <w:rPr>
          <w:spacing w:val="-2"/>
          <w:sz w:val="20"/>
        </w:rPr>
        <w:t>[69].</w:t>
      </w:r>
    </w:p>
    <w:p>
      <w:pPr>
        <w:spacing w:after="0"/>
        <w:jc w:val="left"/>
        <w:rPr>
          <w:sz w:val="20"/>
        </w:rPr>
        <w:sectPr>
          <w:type w:val="continuous"/>
          <w:pgSz w:w="11900" w:h="16840"/>
          <w:pgMar w:header="971" w:footer="0" w:top="37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11584">
            <wp:simplePos x="0" y="0"/>
            <wp:positionH relativeFrom="page">
              <wp:posOffset>1257846</wp:posOffset>
            </wp:positionH>
            <wp:positionV relativeFrom="paragraph">
              <wp:posOffset>-211162</wp:posOffset>
            </wp:positionV>
            <wp:extent cx="107988" cy="107988"/>
            <wp:effectExtent l="0" t="0" r="0" b="0"/>
            <wp:wrapNone/>
            <wp:docPr id="329" name="Image 329"/>
            <wp:cNvGraphicFramePr>
              <a:graphicFrameLocks/>
            </wp:cNvGraphicFramePr>
            <a:graphic>
              <a:graphicData uri="http://schemas.openxmlformats.org/drawingml/2006/picture">
                <pic:pic>
                  <pic:nvPicPr>
                    <pic:cNvPr id="329" name="Image 32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721" w:id="1723"/>
      <w:bookmarkEnd w:id="1723"/>
      <w:r>
        <w:rPr/>
      </w:r>
      <w:hyperlink w:history="true" w:anchor="_bookmark1673">
        <w:r>
          <w:rPr>
            <w:color w:val="005DA1"/>
            <w:spacing w:val="-4"/>
            <w:sz w:val="14"/>
            <w:u w:val="single" w:color="005DA1"/>
          </w:rPr>
          <w:t>900</w:t>
        </w:r>
      </w:hyperlink>
      <w:r>
        <w:rPr>
          <w:spacing w:val="-4"/>
          <w:sz w:val="14"/>
        </w:rPr>
        <w:t>.</w:t>
      </w:r>
    </w:p>
    <w:p>
      <w:pPr>
        <w:pStyle w:val="BodyText"/>
        <w:spacing w:before="208"/>
        <w:ind w:left="335"/>
      </w:pPr>
      <w:r>
        <w:rPr/>
        <w:br w:type="column"/>
      </w:r>
      <w:r>
        <w:rPr/>
        <w:t>At [47], </w:t>
      </w:r>
      <w:r>
        <w:rPr>
          <w:spacing w:val="-2"/>
        </w:rPr>
        <w:t>[68].</w:t>
      </w:r>
    </w:p>
    <w:p>
      <w:pPr>
        <w:pStyle w:val="BodyText"/>
        <w:spacing w:after="0"/>
        <w:sectPr>
          <w:type w:val="continuous"/>
          <w:pgSz w:w="11900" w:h="16840"/>
          <w:pgMar w:header="971" w:footer="0" w:top="3760" w:bottom="280" w:left="1275" w:right="1275"/>
          <w:cols w:num="2" w:equalWidth="0">
            <w:col w:w="478" w:space="63"/>
            <w:col w:w="8809"/>
          </w:cols>
        </w:sectPr>
      </w:pPr>
    </w:p>
    <w:p>
      <w:pPr>
        <w:pStyle w:val="BodyText"/>
        <w:spacing w:before="9"/>
      </w:pPr>
    </w:p>
    <w:p>
      <w:pPr>
        <w:tabs>
          <w:tab w:pos="705" w:val="left" w:leader="none"/>
        </w:tabs>
        <w:spacing w:line="235" w:lineRule="auto" w:before="0"/>
        <w:ind w:left="705" w:right="168" w:hanging="541"/>
        <w:jc w:val="left"/>
        <w:rPr>
          <w:sz w:val="20"/>
        </w:rPr>
      </w:pPr>
      <w:r>
        <w:rPr>
          <w:sz w:val="20"/>
        </w:rPr>
        <w:drawing>
          <wp:anchor distT="0" distB="0" distL="0" distR="0" allowOverlap="1" layoutInCell="1" locked="0" behindDoc="0" simplePos="0" relativeHeight="15812096">
            <wp:simplePos x="0" y="0"/>
            <wp:positionH relativeFrom="page">
              <wp:posOffset>1257846</wp:posOffset>
            </wp:positionH>
            <wp:positionV relativeFrom="paragraph">
              <wp:posOffset>-269557</wp:posOffset>
            </wp:positionV>
            <wp:extent cx="107988" cy="107988"/>
            <wp:effectExtent l="0" t="0" r="0" b="0"/>
            <wp:wrapNone/>
            <wp:docPr id="330" name="Image 330"/>
            <wp:cNvGraphicFramePr>
              <a:graphicFrameLocks/>
            </wp:cNvGraphicFramePr>
            <a:graphic>
              <a:graphicData uri="http://schemas.openxmlformats.org/drawingml/2006/picture">
                <pic:pic>
                  <pic:nvPicPr>
                    <pic:cNvPr id="330" name="Image 33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722" w:id="1724"/>
      <w:bookmarkEnd w:id="1724"/>
      <w:r>
        <w:rPr/>
      </w:r>
      <w:hyperlink w:history="true" w:anchor="_bookmark1674">
        <w:r>
          <w:rPr>
            <w:color w:val="005DA1"/>
            <w:spacing w:val="-4"/>
            <w:position w:val="5"/>
            <w:sz w:val="14"/>
            <w:u w:val="single" w:color="005DA1"/>
          </w:rPr>
          <w:t>901</w:t>
        </w:r>
      </w:hyperlink>
      <w:r>
        <w:rPr>
          <w:spacing w:val="-4"/>
          <w:position w:val="5"/>
          <w:sz w:val="14"/>
        </w:rPr>
        <w:t>.</w:t>
      </w:r>
      <w:r>
        <w:rPr>
          <w:position w:val="5"/>
          <w:sz w:val="14"/>
        </w:rPr>
        <w:tab/>
      </w:r>
      <w:r>
        <w:rPr>
          <w:sz w:val="20"/>
        </w:rPr>
        <w:t>This follows from the reasoning of </w:t>
      </w:r>
      <w:r>
        <w:rPr>
          <w:rFonts w:ascii="Arial"/>
          <w:i/>
          <w:sz w:val="20"/>
        </w:rPr>
        <w:t>Kinane v Mackie-Conteh</w:t>
      </w:r>
      <w:r>
        <w:rPr>
          <w:sz w:val="20"/>
        </w:rPr>
        <w:t>, above n.843 at [51] and of </w:t>
      </w:r>
      <w:r>
        <w:rPr>
          <w:rFonts w:ascii="Arial"/>
          <w:i/>
          <w:sz w:val="20"/>
        </w:rPr>
        <w:t>S v </w:t>
      </w:r>
      <w:r>
        <w:rPr>
          <w:rFonts w:ascii="Arial"/>
          <w:i/>
          <w:sz w:val="20"/>
        </w:rPr>
        <w:t>S</w:t>
      </w:r>
      <w:r>
        <w:rPr>
          <w:sz w:val="20"/>
        </w:rPr>
        <w:t>, above n.849 at [59].</w:t>
      </w:r>
    </w:p>
    <w:p>
      <w:pPr>
        <w:pStyle w:val="BodyText"/>
        <w:spacing w:before="9"/>
      </w:pPr>
    </w:p>
    <w:p>
      <w:pPr>
        <w:spacing w:line="235" w:lineRule="auto" w:before="0"/>
        <w:ind w:left="705" w:right="167" w:hanging="541"/>
        <w:jc w:val="both"/>
        <w:rPr>
          <w:sz w:val="20"/>
        </w:rPr>
      </w:pPr>
      <w:bookmarkStart w:name="_bookmark1723" w:id="1725"/>
      <w:bookmarkEnd w:id="1725"/>
      <w:r>
        <w:rPr/>
      </w:r>
      <w:hyperlink w:history="true" w:anchor="_bookmark1675">
        <w:r>
          <w:rPr>
            <w:color w:val="005DA1"/>
            <w:position w:val="5"/>
            <w:sz w:val="14"/>
            <w:u w:val="single" w:color="005DA1"/>
          </w:rPr>
          <w:t>902</w:t>
        </w:r>
      </w:hyperlink>
      <w:r>
        <w:rPr>
          <w:position w:val="5"/>
          <w:sz w:val="14"/>
        </w:rPr>
        <w:t>.</w:t>
      </w:r>
      <w:r>
        <w:rPr>
          <w:spacing w:val="80"/>
          <w:position w:val="5"/>
          <w:sz w:val="14"/>
        </w:rPr>
        <w:t> </w:t>
      </w:r>
      <w:r>
        <w:rPr>
          <w:sz w:val="20"/>
        </w:rPr>
        <w:t>e.g. </w:t>
      </w:r>
      <w:r>
        <w:rPr>
          <w:rFonts w:ascii="Arial" w:hAnsi="Arial"/>
          <w:i/>
          <w:sz w:val="20"/>
        </w:rPr>
        <w:t>Tanner v Tanner [1975] 1 W.L.R. 1346 </w:t>
      </w:r>
      <w:r>
        <w:rPr>
          <w:sz w:val="20"/>
        </w:rPr>
        <w:t>(services rendered to promisor in managing his property); </w:t>
      </w:r>
      <w:r>
        <w:rPr>
          <w:rFonts w:ascii="Arial" w:hAnsi="Arial"/>
          <w:i/>
          <w:sz w:val="20"/>
        </w:rPr>
        <w:t>Greasley v Cooke [1980] 1 W.L.R. 1306 </w:t>
      </w:r>
      <w:r>
        <w:rPr>
          <w:sz w:val="20"/>
        </w:rPr>
        <w:t>(personal and nursing services); </w:t>
      </w:r>
      <w:r>
        <w:rPr>
          <w:rFonts w:ascii="Arial" w:hAnsi="Arial"/>
          <w:i/>
          <w:sz w:val="20"/>
        </w:rPr>
        <w:t>Wayling v Jones (1993) 69 P. &amp; C.R. 170 </w:t>
      </w:r>
      <w:r>
        <w:rPr>
          <w:sz w:val="20"/>
        </w:rPr>
        <w:t>(services rendered to promisor for virtually no pay); </w:t>
      </w:r>
      <w:r>
        <w:rPr>
          <w:rFonts w:ascii="Arial" w:hAnsi="Arial"/>
          <w:i/>
          <w:sz w:val="20"/>
        </w:rPr>
        <w:t>Campbell v Griffin [2001] EWCA Civ 999; [2001] W.T.L.R. 981 </w:t>
      </w:r>
      <w:r>
        <w:rPr>
          <w:sz w:val="20"/>
        </w:rPr>
        <w:t>(lodger caring for elderly couple);</w:t>
      </w:r>
      <w:r>
        <w:rPr>
          <w:spacing w:val="-1"/>
          <w:sz w:val="20"/>
        </w:rPr>
        <w:t> </w:t>
      </w:r>
      <w:r>
        <w:rPr>
          <w:rFonts w:ascii="Arial" w:hAnsi="Arial"/>
          <w:i/>
          <w:sz w:val="20"/>
        </w:rPr>
        <w:t>Jennings v Rice [2002] EWCA Civ 159; [2002] W.T.L.R. 367 </w:t>
      </w:r>
      <w:r>
        <w:rPr>
          <w:sz w:val="20"/>
        </w:rPr>
        <w:t>(gardener-handyman caring for </w:t>
      </w:r>
      <w:r>
        <w:rPr>
          <w:sz w:val="20"/>
        </w:rPr>
        <w:t>childless widow, below, para.4-175); </w:t>
      </w:r>
      <w:r>
        <w:rPr>
          <w:rFonts w:ascii="Arial" w:hAnsi="Arial"/>
          <w:i/>
          <w:sz w:val="20"/>
        </w:rPr>
        <w:t>Stallion v Albert Stallion Holdings (Great Britain) Ltd [2009] EWHC 1950 (Ch), [2010] 2 F.L.R. 78 </w:t>
      </w:r>
      <w:r>
        <w:rPr>
          <w:sz w:val="20"/>
        </w:rPr>
        <w:t>(wife consenting to divorce and making no claim to ancillary relief); cf. </w:t>
      </w:r>
      <w:r>
        <w:rPr>
          <w:rFonts w:ascii="Arial" w:hAnsi="Arial"/>
          <w:i/>
          <w:sz w:val="20"/>
        </w:rPr>
        <w:t>Plimmer v Mayor of Wellington (1884) 9 App. Cas. 699</w:t>
      </w:r>
      <w:r>
        <w:rPr>
          <w:rFonts w:ascii="Arial" w:hAnsi="Arial"/>
          <w:i/>
          <w:spacing w:val="-1"/>
          <w:sz w:val="20"/>
        </w:rPr>
        <w:t> </w:t>
      </w:r>
      <w:r>
        <w:rPr>
          <w:sz w:val="20"/>
        </w:rPr>
        <w:t>and </w:t>
      </w:r>
      <w:r>
        <w:rPr>
          <w:rFonts w:ascii="Arial" w:hAnsi="Arial"/>
          <w:i/>
          <w:sz w:val="20"/>
        </w:rPr>
        <w:t>E.R. Ives Investments Ltd v High [1967] 2 Q.B. 379 </w:t>
      </w:r>
      <w:r>
        <w:rPr>
          <w:sz w:val="20"/>
        </w:rPr>
        <w:t>(where the landowner benefited from improvements to his land but also—and more significantly—in other ways); </w:t>
      </w:r>
      <w:r>
        <w:rPr>
          <w:rFonts w:ascii="Arial" w:hAnsi="Arial"/>
          <w:i/>
          <w:sz w:val="20"/>
        </w:rPr>
        <w:t>Grant v Edwards [1986] Ch. 638, 657</w:t>
      </w:r>
      <w:r>
        <w:rPr>
          <w:sz w:val="20"/>
        </w:rPr>
        <w:t>; contrast </w:t>
      </w:r>
      <w:r>
        <w:rPr>
          <w:rFonts w:ascii="Arial" w:hAnsi="Arial"/>
          <w:i/>
          <w:sz w:val="20"/>
        </w:rPr>
        <w:t>Howard v Jones (1988) 19 Fam. Law 231 </w:t>
      </w:r>
      <w:r>
        <w:rPr>
          <w:sz w:val="20"/>
        </w:rPr>
        <w:t>(contribution to running costs of </w:t>
      </w:r>
      <w:r>
        <w:rPr>
          <w:rFonts w:ascii="Arial" w:hAnsi="Arial"/>
          <w:i/>
          <w:sz w:val="20"/>
        </w:rPr>
        <w:t>another </w:t>
      </w:r>
      <w:r>
        <w:rPr>
          <w:sz w:val="20"/>
        </w:rPr>
        <w:t>property </w:t>
      </w:r>
      <w:r>
        <w:rPr>
          <w:spacing w:val="-2"/>
          <w:sz w:val="20"/>
        </w:rPr>
        <w:t>insufficient).</w:t>
      </w:r>
    </w:p>
    <w:p>
      <w:pPr>
        <w:pStyle w:val="BodyText"/>
        <w:spacing w:before="2"/>
      </w:pPr>
    </w:p>
    <w:p>
      <w:pPr>
        <w:tabs>
          <w:tab w:pos="705" w:val="left" w:leader="none"/>
        </w:tabs>
        <w:spacing w:before="0"/>
        <w:ind w:left="165" w:right="0" w:firstLine="0"/>
        <w:jc w:val="left"/>
        <w:rPr>
          <w:sz w:val="20"/>
        </w:rPr>
      </w:pPr>
      <w:bookmarkStart w:name="_bookmark1724" w:id="1726"/>
      <w:bookmarkEnd w:id="1726"/>
      <w:r>
        <w:rPr/>
      </w:r>
      <w:hyperlink w:history="true" w:anchor="_bookmark1676">
        <w:r>
          <w:rPr>
            <w:color w:val="005DA1"/>
            <w:spacing w:val="-4"/>
            <w:position w:val="5"/>
            <w:sz w:val="14"/>
            <w:u w:val="single" w:color="005DA1"/>
          </w:rPr>
          <w:t>903</w:t>
        </w:r>
      </w:hyperlink>
      <w:r>
        <w:rPr>
          <w:spacing w:val="-4"/>
          <w:position w:val="5"/>
          <w:sz w:val="14"/>
        </w:rPr>
        <w:t>.</w:t>
      </w:r>
      <w:r>
        <w:rPr>
          <w:position w:val="5"/>
          <w:sz w:val="14"/>
        </w:rPr>
        <w:tab/>
      </w:r>
      <w:r>
        <w:rPr>
          <w:rFonts w:ascii="Arial"/>
          <w:i/>
          <w:sz w:val="20"/>
        </w:rPr>
        <w:t>(1862) 4 D.F. &amp; G. 517, </w:t>
      </w:r>
      <w:r>
        <w:rPr>
          <w:rFonts w:ascii="Arial"/>
          <w:i/>
          <w:spacing w:val="-4"/>
          <w:sz w:val="20"/>
        </w:rPr>
        <w:t>521</w:t>
      </w:r>
      <w:r>
        <w:rPr>
          <w:spacing w:val="-4"/>
          <w:sz w:val="20"/>
        </w:rPr>
        <w:t>.</w:t>
      </w:r>
    </w:p>
    <w:p>
      <w:pPr>
        <w:pStyle w:val="BodyText"/>
        <w:spacing w:before="9"/>
      </w:pPr>
    </w:p>
    <w:p>
      <w:pPr>
        <w:spacing w:line="235" w:lineRule="auto" w:before="0"/>
        <w:ind w:left="705" w:right="167" w:hanging="541"/>
        <w:jc w:val="both"/>
        <w:rPr>
          <w:sz w:val="20"/>
        </w:rPr>
      </w:pPr>
      <w:bookmarkStart w:name="_bookmark1725" w:id="1727"/>
      <w:bookmarkEnd w:id="1727"/>
      <w:r>
        <w:rPr/>
      </w:r>
      <w:hyperlink w:history="true" w:anchor="_bookmark1677">
        <w:r>
          <w:rPr>
            <w:color w:val="005DA1"/>
            <w:position w:val="5"/>
            <w:sz w:val="14"/>
            <w:u w:val="single" w:color="005DA1"/>
          </w:rPr>
          <w:t>904</w:t>
        </w:r>
      </w:hyperlink>
      <w:r>
        <w:rPr>
          <w:position w:val="5"/>
          <w:sz w:val="14"/>
        </w:rPr>
        <w:t>.</w:t>
      </w:r>
      <w:r>
        <w:rPr>
          <w:spacing w:val="80"/>
          <w:position w:val="5"/>
          <w:sz w:val="14"/>
        </w:rPr>
        <w:t>  </w:t>
      </w:r>
      <w:r>
        <w:rPr>
          <w:rFonts w:ascii="Arial" w:hAnsi="Arial"/>
          <w:i/>
          <w:sz w:val="20"/>
        </w:rPr>
        <w:t>[1976]</w:t>
      </w:r>
      <w:r>
        <w:rPr>
          <w:rFonts w:ascii="Arial" w:hAnsi="Arial"/>
          <w:i/>
          <w:spacing w:val="37"/>
          <w:sz w:val="20"/>
        </w:rPr>
        <w:t> </w:t>
      </w:r>
      <w:r>
        <w:rPr>
          <w:rFonts w:ascii="Arial" w:hAnsi="Arial"/>
          <w:i/>
          <w:sz w:val="20"/>
        </w:rPr>
        <w:t>Ch.</w:t>
      </w:r>
      <w:r>
        <w:rPr>
          <w:rFonts w:ascii="Arial" w:hAnsi="Arial"/>
          <w:i/>
          <w:spacing w:val="37"/>
          <w:sz w:val="20"/>
        </w:rPr>
        <w:t> </w:t>
      </w:r>
      <w:r>
        <w:rPr>
          <w:rFonts w:ascii="Arial" w:hAnsi="Arial"/>
          <w:i/>
          <w:sz w:val="20"/>
        </w:rPr>
        <w:t>179</w:t>
      </w:r>
      <w:r>
        <w:rPr>
          <w:sz w:val="20"/>
        </w:rPr>
        <w:t>.</w:t>
      </w:r>
      <w:r>
        <w:rPr>
          <w:spacing w:val="37"/>
          <w:sz w:val="20"/>
        </w:rPr>
        <w:t> </w:t>
      </w:r>
      <w:r>
        <w:rPr>
          <w:sz w:val="20"/>
        </w:rPr>
        <w:t>The</w:t>
      </w:r>
      <w:r>
        <w:rPr>
          <w:spacing w:val="37"/>
          <w:sz w:val="20"/>
        </w:rPr>
        <w:t> </w:t>
      </w:r>
      <w:r>
        <w:rPr>
          <w:sz w:val="20"/>
        </w:rPr>
        <w:t>case</w:t>
      </w:r>
      <w:r>
        <w:rPr>
          <w:spacing w:val="37"/>
          <w:sz w:val="20"/>
        </w:rPr>
        <w:t> </w:t>
      </w:r>
      <w:r>
        <w:rPr>
          <w:sz w:val="20"/>
        </w:rPr>
        <w:t>was</w:t>
      </w:r>
      <w:r>
        <w:rPr>
          <w:spacing w:val="37"/>
          <w:sz w:val="20"/>
        </w:rPr>
        <w:t> </w:t>
      </w:r>
      <w:r>
        <w:rPr>
          <w:sz w:val="20"/>
        </w:rPr>
        <w:t>described</w:t>
      </w:r>
      <w:r>
        <w:rPr>
          <w:spacing w:val="37"/>
          <w:sz w:val="20"/>
        </w:rPr>
        <w:t> </w:t>
      </w:r>
      <w:r>
        <w:rPr>
          <w:sz w:val="20"/>
        </w:rPr>
        <w:t>in</w:t>
      </w:r>
      <w:r>
        <w:rPr>
          <w:spacing w:val="37"/>
          <w:sz w:val="20"/>
        </w:rPr>
        <w:t> </w:t>
      </w:r>
      <w:r>
        <w:rPr>
          <w:rFonts w:ascii="Arial" w:hAnsi="Arial"/>
          <w:i/>
          <w:sz w:val="20"/>
        </w:rPr>
        <w:t>Amalgamated</w:t>
      </w:r>
      <w:r>
        <w:rPr>
          <w:rFonts w:ascii="Arial" w:hAnsi="Arial"/>
          <w:i/>
          <w:spacing w:val="37"/>
          <w:sz w:val="20"/>
        </w:rPr>
        <w:t> </w:t>
      </w:r>
      <w:r>
        <w:rPr>
          <w:rFonts w:ascii="Arial" w:hAnsi="Arial"/>
          <w:i/>
          <w:sz w:val="20"/>
        </w:rPr>
        <w:t>Investment</w:t>
      </w:r>
      <w:r>
        <w:rPr>
          <w:rFonts w:ascii="Arial" w:hAnsi="Arial"/>
          <w:i/>
          <w:spacing w:val="37"/>
          <w:sz w:val="20"/>
        </w:rPr>
        <w:t> </w:t>
      </w:r>
      <w:r>
        <w:rPr>
          <w:rFonts w:ascii="Arial" w:hAnsi="Arial"/>
          <w:i/>
          <w:sz w:val="20"/>
        </w:rPr>
        <w:t>&amp;</w:t>
      </w:r>
      <w:r>
        <w:rPr>
          <w:rFonts w:ascii="Arial" w:hAnsi="Arial"/>
          <w:i/>
          <w:spacing w:val="37"/>
          <w:sz w:val="20"/>
        </w:rPr>
        <w:t> </w:t>
      </w:r>
      <w:r>
        <w:rPr>
          <w:rFonts w:ascii="Arial" w:hAnsi="Arial"/>
          <w:i/>
          <w:sz w:val="20"/>
        </w:rPr>
        <w:t>Property</w:t>
      </w:r>
      <w:r>
        <w:rPr>
          <w:rFonts w:ascii="Arial" w:hAnsi="Arial"/>
          <w:i/>
          <w:spacing w:val="37"/>
          <w:sz w:val="20"/>
        </w:rPr>
        <w:t> </w:t>
      </w:r>
      <w:r>
        <w:rPr>
          <w:rFonts w:ascii="Arial" w:hAnsi="Arial"/>
          <w:i/>
          <w:sz w:val="20"/>
        </w:rPr>
        <w:t>Co</w:t>
      </w:r>
      <w:r>
        <w:rPr>
          <w:rFonts w:ascii="Arial" w:hAnsi="Arial"/>
          <w:i/>
          <w:spacing w:val="37"/>
          <w:sz w:val="20"/>
        </w:rPr>
        <w:t> </w:t>
      </w:r>
      <w:r>
        <w:rPr>
          <w:rFonts w:ascii="Arial" w:hAnsi="Arial"/>
          <w:i/>
          <w:sz w:val="20"/>
        </w:rPr>
        <w:t>Ltd</w:t>
      </w:r>
      <w:r>
        <w:rPr>
          <w:rFonts w:ascii="Arial" w:hAnsi="Arial"/>
          <w:i/>
          <w:spacing w:val="37"/>
          <w:sz w:val="20"/>
        </w:rPr>
        <w:t> </w:t>
      </w:r>
      <w:r>
        <w:rPr>
          <w:rFonts w:ascii="Arial" w:hAnsi="Arial"/>
          <w:i/>
          <w:sz w:val="20"/>
        </w:rPr>
        <w:t>v Texas Commerce International Bank Ltd [1982] Q.B. 84, 121 </w:t>
      </w:r>
      <w:r>
        <w:rPr>
          <w:sz w:val="20"/>
        </w:rPr>
        <w:t>as one of “estoppel by convention”; but this would require a dealing between A and B on the basis of a </w:t>
      </w:r>
      <w:r>
        <w:rPr>
          <w:sz w:val="20"/>
        </w:rPr>
        <w:t>common assumption (above, paras 4-109, 4-110) while in </w:t>
      </w:r>
      <w:r>
        <w:rPr>
          <w:rFonts w:ascii="Arial" w:hAnsi="Arial"/>
          <w:i/>
          <w:sz w:val="20"/>
        </w:rPr>
        <w:t>Crabb’s </w:t>
      </w:r>
      <w:r>
        <w:rPr>
          <w:sz w:val="20"/>
        </w:rPr>
        <w:t>case the dealing was between B and the purchaser from him. In </w:t>
      </w:r>
      <w:r>
        <w:rPr>
          <w:rFonts w:ascii="Arial" w:hAnsi="Arial"/>
          <w:i/>
          <w:sz w:val="20"/>
        </w:rPr>
        <w:t>Waltons Stores (Interstate) Ltd v Maher (1988) 164 C.L.R. 387, 403</w:t>
      </w:r>
      <w:r>
        <w:rPr>
          <w:sz w:val="20"/>
        </w:rPr>
        <w:t>, </w:t>
      </w:r>
      <w:r>
        <w:rPr>
          <w:rFonts w:ascii="Arial" w:hAnsi="Arial"/>
          <w:i/>
          <w:sz w:val="20"/>
        </w:rPr>
        <w:t>Crabb’s </w:t>
      </w:r>
      <w:r>
        <w:rPr>
          <w:sz w:val="20"/>
        </w:rPr>
        <w:t>case was described as one of “promissory estoppel” (see above, para.4-086); but the requirements of that doctrine (in particular, the requirement of a pre-existing legal relationship: above, para.4-089) were not satisfied in </w:t>
      </w:r>
      <w:r>
        <w:rPr>
          <w:rFonts w:ascii="Arial" w:hAnsi="Arial"/>
          <w:i/>
          <w:sz w:val="20"/>
        </w:rPr>
        <w:t>Crabb’s </w:t>
      </w:r>
      <w:r>
        <w:rPr>
          <w:sz w:val="20"/>
        </w:rPr>
        <w:t>case, and the effect of the estoppel differed from promissory estoppel in giving rise to a new right: cf. above, para.4-099.</w:t>
      </w:r>
    </w:p>
    <w:p>
      <w:pPr>
        <w:pStyle w:val="BodyText"/>
        <w:spacing w:before="6"/>
      </w:pPr>
    </w:p>
    <w:p>
      <w:pPr>
        <w:spacing w:line="235" w:lineRule="auto" w:before="0"/>
        <w:ind w:left="705" w:right="167" w:hanging="541"/>
        <w:jc w:val="both"/>
        <w:rPr>
          <w:sz w:val="20"/>
        </w:rPr>
      </w:pPr>
      <w:bookmarkStart w:name="_bookmark1726" w:id="1728"/>
      <w:bookmarkEnd w:id="1728"/>
      <w:r>
        <w:rPr/>
      </w:r>
      <w:hyperlink w:history="true" w:anchor="_bookmark1678">
        <w:r>
          <w:rPr>
            <w:color w:val="005DA1"/>
            <w:position w:val="5"/>
            <w:sz w:val="14"/>
            <w:u w:val="single" w:color="005DA1"/>
          </w:rPr>
          <w:t>905</w:t>
        </w:r>
      </w:hyperlink>
      <w:r>
        <w:rPr>
          <w:position w:val="5"/>
          <w:sz w:val="14"/>
        </w:rPr>
        <w:t>.</w:t>
      </w:r>
      <w:r>
        <w:rPr>
          <w:spacing w:val="80"/>
          <w:position w:val="5"/>
          <w:sz w:val="14"/>
        </w:rPr>
        <w:t>  </w:t>
      </w:r>
      <w:r>
        <w:rPr>
          <w:sz w:val="20"/>
        </w:rPr>
        <w:t>cf. </w:t>
      </w:r>
      <w:r>
        <w:rPr>
          <w:rFonts w:ascii="Arial" w:hAnsi="Arial"/>
          <w:i/>
          <w:sz w:val="20"/>
        </w:rPr>
        <w:t>Hammersmith &amp; Fulham BC v Top Shop Centres Ltd [1990] Ch. 237</w:t>
      </w:r>
      <w:r>
        <w:rPr>
          <w:sz w:val="20"/>
        </w:rPr>
        <w:t>; </w:t>
      </w:r>
      <w:r>
        <w:rPr>
          <w:rFonts w:ascii="Arial" w:hAnsi="Arial"/>
          <w:i/>
          <w:sz w:val="20"/>
        </w:rPr>
        <w:t>Evans v HSBC Trust</w:t>
      </w:r>
      <w:r>
        <w:rPr>
          <w:rFonts w:ascii="Arial" w:hAnsi="Arial"/>
          <w:i/>
          <w:spacing w:val="40"/>
          <w:sz w:val="20"/>
        </w:rPr>
        <w:t> </w:t>
      </w:r>
      <w:r>
        <w:rPr>
          <w:rFonts w:ascii="Arial" w:hAnsi="Arial"/>
          <w:i/>
          <w:sz w:val="20"/>
        </w:rPr>
        <w:t>Co (UK) Ltd [2005] W.T.L.R. 1289 </w:t>
      </w:r>
      <w:r>
        <w:rPr>
          <w:sz w:val="20"/>
        </w:rPr>
        <w:t>(as to which see also para.4-160 below, n.983) and </w:t>
      </w:r>
      <w:r>
        <w:rPr>
          <w:rFonts w:ascii="Arial" w:hAnsi="Arial"/>
          <w:i/>
          <w:sz w:val="20"/>
        </w:rPr>
        <w:t>Joyce v Epsom and Ewell Borough Council [2012] EWCA Civ 1398, [2013] 1 E.G.L.R. 21</w:t>
      </w:r>
      <w:r>
        <w:rPr>
          <w:sz w:val="20"/>
        </w:rPr>
        <w:t>, where the detriment consisted of work done by the promisee in the expectation of being granted a right of way</w:t>
      </w:r>
      <w:r>
        <w:rPr>
          <w:spacing w:val="21"/>
          <w:sz w:val="20"/>
        </w:rPr>
        <w:t> </w:t>
      </w:r>
      <w:r>
        <w:rPr>
          <w:sz w:val="20"/>
        </w:rPr>
        <w:t>over</w:t>
      </w:r>
      <w:r>
        <w:rPr>
          <w:spacing w:val="21"/>
          <w:sz w:val="20"/>
        </w:rPr>
        <w:t> </w:t>
      </w:r>
      <w:r>
        <w:rPr>
          <w:sz w:val="20"/>
        </w:rPr>
        <w:t>adjoining</w:t>
      </w:r>
      <w:r>
        <w:rPr>
          <w:spacing w:val="21"/>
          <w:sz w:val="20"/>
        </w:rPr>
        <w:t> </w:t>
      </w:r>
      <w:r>
        <w:rPr>
          <w:sz w:val="20"/>
        </w:rPr>
        <w:t>land</w:t>
      </w:r>
      <w:r>
        <w:rPr>
          <w:spacing w:val="21"/>
          <w:sz w:val="20"/>
        </w:rPr>
        <w:t> </w:t>
      </w:r>
      <w:r>
        <w:rPr>
          <w:sz w:val="20"/>
        </w:rPr>
        <w:t>owned</w:t>
      </w:r>
      <w:r>
        <w:rPr>
          <w:spacing w:val="21"/>
          <w:sz w:val="20"/>
        </w:rPr>
        <w:t> </w:t>
      </w:r>
      <w:r>
        <w:rPr>
          <w:sz w:val="20"/>
        </w:rPr>
        <w:t>by</w:t>
      </w:r>
      <w:r>
        <w:rPr>
          <w:spacing w:val="21"/>
          <w:sz w:val="20"/>
        </w:rPr>
        <w:t> </w:t>
      </w:r>
      <w:r>
        <w:rPr>
          <w:sz w:val="20"/>
        </w:rPr>
        <w:t>the</w:t>
      </w:r>
      <w:r>
        <w:rPr>
          <w:spacing w:val="21"/>
          <w:sz w:val="20"/>
        </w:rPr>
        <w:t> </w:t>
      </w:r>
      <w:r>
        <w:rPr>
          <w:sz w:val="20"/>
        </w:rPr>
        <w:t>defendants:</w:t>
      </w:r>
      <w:r>
        <w:rPr>
          <w:spacing w:val="21"/>
          <w:sz w:val="20"/>
        </w:rPr>
        <w:t> </w:t>
      </w:r>
      <w:r>
        <w:rPr>
          <w:sz w:val="20"/>
        </w:rPr>
        <w:t>see</w:t>
      </w:r>
      <w:r>
        <w:rPr>
          <w:spacing w:val="21"/>
          <w:sz w:val="20"/>
        </w:rPr>
        <w:t> </w:t>
      </w:r>
      <w:r>
        <w:rPr>
          <w:sz w:val="20"/>
        </w:rPr>
        <w:t>at</w:t>
      </w:r>
      <w:r>
        <w:rPr>
          <w:spacing w:val="21"/>
          <w:sz w:val="20"/>
        </w:rPr>
        <w:t> </w:t>
      </w:r>
      <w:r>
        <w:rPr>
          <w:sz w:val="20"/>
        </w:rPr>
        <w:t>[21].</w:t>
      </w:r>
      <w:r>
        <w:rPr>
          <w:spacing w:val="21"/>
          <w:sz w:val="20"/>
        </w:rPr>
        <w:t> </w:t>
      </w:r>
      <w:r>
        <w:rPr>
          <w:sz w:val="20"/>
        </w:rPr>
        <w:t>This</w:t>
      </w:r>
      <w:r>
        <w:rPr>
          <w:spacing w:val="21"/>
          <w:sz w:val="20"/>
        </w:rPr>
        <w:t> </w:t>
      </w:r>
      <w:r>
        <w:rPr>
          <w:sz w:val="20"/>
        </w:rPr>
        <w:t>“encouragement”</w:t>
      </w:r>
      <w:r>
        <w:rPr>
          <w:spacing w:val="21"/>
          <w:sz w:val="20"/>
        </w:rPr>
        <w:t> </w:t>
      </w:r>
      <w:r>
        <w:rPr>
          <w:sz w:val="20"/>
        </w:rPr>
        <w:t>(at</w:t>
      </w:r>
      <w:r>
        <w:rPr>
          <w:spacing w:val="21"/>
          <w:sz w:val="20"/>
        </w:rPr>
        <w:t> </w:t>
      </w:r>
      <w:r>
        <w:rPr>
          <w:spacing w:val="-4"/>
          <w:sz w:val="20"/>
        </w:rPr>
        <w:t>[39]</w:t>
      </w:r>
    </w:p>
    <w:p>
      <w:pPr>
        <w:spacing w:after="0" w:line="235" w:lineRule="auto"/>
        <w:jc w:val="both"/>
        <w:rPr>
          <w:sz w:val="20"/>
        </w:rPr>
        <w:sectPr>
          <w:type w:val="continuous"/>
          <w:pgSz w:w="11900" w:h="16840"/>
          <w:pgMar w:header="971" w:footer="0" w:top="3760" w:bottom="280" w:left="1275" w:right="1275"/>
        </w:sectPr>
      </w:pPr>
    </w:p>
    <w:p>
      <w:pPr>
        <w:pStyle w:val="BodyText"/>
        <w:spacing w:before="24"/>
      </w:pPr>
    </w:p>
    <w:p>
      <w:pPr>
        <w:pStyle w:val="BodyText"/>
        <w:spacing w:line="235" w:lineRule="auto" w:before="1"/>
        <w:ind w:left="705"/>
      </w:pPr>
      <w:r>
        <w:rPr/>
        <w:t>and</w:t>
      </w:r>
      <w:r>
        <w:rPr>
          <w:spacing w:val="40"/>
        </w:rPr>
        <w:t> </w:t>
      </w:r>
      <w:r>
        <w:rPr/>
        <w:t>see</w:t>
      </w:r>
      <w:r>
        <w:rPr>
          <w:spacing w:val="40"/>
        </w:rPr>
        <w:t> </w:t>
      </w:r>
      <w:r>
        <w:rPr/>
        <w:t>above</w:t>
      </w:r>
      <w:r>
        <w:rPr>
          <w:spacing w:val="40"/>
        </w:rPr>
        <w:t> </w:t>
      </w:r>
      <w:r>
        <w:rPr/>
        <w:t>para.4-140)</w:t>
      </w:r>
      <w:r>
        <w:rPr>
          <w:spacing w:val="40"/>
        </w:rPr>
        <w:t> </w:t>
      </w:r>
      <w:r>
        <w:rPr/>
        <w:t>gave</w:t>
      </w:r>
      <w:r>
        <w:rPr>
          <w:spacing w:val="40"/>
        </w:rPr>
        <w:t> </w:t>
      </w:r>
      <w:r>
        <w:rPr/>
        <w:t>rise</w:t>
      </w:r>
      <w:r>
        <w:rPr>
          <w:spacing w:val="40"/>
        </w:rPr>
        <w:t> </w:t>
      </w:r>
      <w:r>
        <w:rPr/>
        <w:t>to</w:t>
      </w:r>
      <w:r>
        <w:rPr>
          <w:spacing w:val="40"/>
        </w:rPr>
        <w:t> </w:t>
      </w:r>
      <w:r>
        <w:rPr/>
        <w:t>the</w:t>
      </w:r>
      <w:r>
        <w:rPr>
          <w:spacing w:val="40"/>
        </w:rPr>
        <w:t> </w:t>
      </w:r>
      <w:r>
        <w:rPr/>
        <w:t>proprietary</w:t>
      </w:r>
      <w:r>
        <w:rPr>
          <w:spacing w:val="40"/>
        </w:rPr>
        <w:t> </w:t>
      </w:r>
      <w:r>
        <w:rPr/>
        <w:t>estoppels</w:t>
      </w:r>
      <w:r>
        <w:rPr>
          <w:spacing w:val="40"/>
        </w:rPr>
        <w:t> </w:t>
      </w:r>
      <w:r>
        <w:rPr/>
        <w:t>described</w:t>
      </w:r>
      <w:r>
        <w:rPr>
          <w:spacing w:val="40"/>
        </w:rPr>
        <w:t> </w:t>
      </w:r>
      <w:r>
        <w:rPr/>
        <w:t>in</w:t>
      </w:r>
      <w:r>
        <w:rPr>
          <w:spacing w:val="40"/>
        </w:rPr>
        <w:t> </w:t>
      </w:r>
      <w:r>
        <w:rPr/>
        <w:t>para.4-170 </w:t>
      </w:r>
      <w:r>
        <w:rPr>
          <w:spacing w:val="-2"/>
        </w:rPr>
        <w:t>below.</w:t>
      </w:r>
    </w:p>
    <w:p>
      <w:pPr>
        <w:pStyle w:val="BodyText"/>
        <w:spacing w:before="5"/>
      </w:pPr>
    </w:p>
    <w:p>
      <w:pPr>
        <w:tabs>
          <w:tab w:pos="705" w:val="left" w:leader="none"/>
        </w:tabs>
        <w:spacing w:before="0"/>
        <w:ind w:left="165" w:right="0" w:firstLine="0"/>
        <w:jc w:val="left"/>
        <w:rPr>
          <w:sz w:val="20"/>
        </w:rPr>
      </w:pPr>
      <w:bookmarkStart w:name="_bookmark1727" w:id="1729"/>
      <w:bookmarkEnd w:id="1729"/>
      <w:r>
        <w:rPr/>
      </w:r>
      <w:hyperlink w:history="true" w:anchor="_bookmark1679">
        <w:r>
          <w:rPr>
            <w:color w:val="005DA1"/>
            <w:spacing w:val="-4"/>
            <w:position w:val="5"/>
            <w:sz w:val="14"/>
            <w:u w:val="single" w:color="005DA1"/>
          </w:rPr>
          <w:t>906</w:t>
        </w:r>
      </w:hyperlink>
      <w:r>
        <w:rPr>
          <w:spacing w:val="-4"/>
          <w:position w:val="5"/>
          <w:sz w:val="14"/>
        </w:rPr>
        <w:t>.</w:t>
      </w:r>
      <w:r>
        <w:rPr>
          <w:position w:val="5"/>
          <w:sz w:val="14"/>
        </w:rPr>
        <w:tab/>
      </w:r>
      <w:r>
        <w:rPr>
          <w:rFonts w:ascii="Arial"/>
          <w:i/>
          <w:sz w:val="20"/>
        </w:rPr>
        <w:t>(1862) 4 D. F. &amp; G. 517, </w:t>
      </w:r>
      <w:r>
        <w:rPr>
          <w:rFonts w:ascii="Arial"/>
          <w:i/>
          <w:spacing w:val="-4"/>
          <w:sz w:val="20"/>
        </w:rPr>
        <w:t>521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728" w:id="1730"/>
      <w:bookmarkEnd w:id="1730"/>
      <w:r>
        <w:rPr/>
      </w:r>
      <w:hyperlink w:history="true" w:anchor="_bookmark1680">
        <w:r>
          <w:rPr>
            <w:color w:val="005DA1"/>
            <w:spacing w:val="-4"/>
            <w:position w:val="5"/>
            <w:sz w:val="14"/>
            <w:u w:val="single" w:color="005DA1"/>
          </w:rPr>
          <w:t>907</w:t>
        </w:r>
      </w:hyperlink>
      <w:r>
        <w:rPr>
          <w:spacing w:val="-4"/>
          <w:position w:val="5"/>
          <w:sz w:val="14"/>
        </w:rPr>
        <w:t>.</w:t>
      </w:r>
      <w:r>
        <w:rPr>
          <w:position w:val="5"/>
          <w:sz w:val="14"/>
        </w:rPr>
        <w:tab/>
      </w:r>
      <w:r>
        <w:rPr>
          <w:sz w:val="20"/>
        </w:rPr>
        <w:t>ibid., at </w:t>
      </w:r>
      <w:r>
        <w:rPr>
          <w:spacing w:val="-4"/>
          <w:sz w:val="20"/>
        </w:rPr>
        <w:t>522.</w:t>
      </w:r>
    </w:p>
    <w:p>
      <w:pPr>
        <w:pStyle w:val="BodyText"/>
        <w:spacing w:before="5"/>
      </w:pPr>
    </w:p>
    <w:p>
      <w:pPr>
        <w:tabs>
          <w:tab w:pos="705" w:val="left" w:leader="none"/>
        </w:tabs>
        <w:spacing w:before="0"/>
        <w:ind w:left="165" w:right="0" w:firstLine="0"/>
        <w:jc w:val="left"/>
        <w:rPr>
          <w:sz w:val="20"/>
        </w:rPr>
      </w:pPr>
      <w:bookmarkStart w:name="_bookmark1729" w:id="1731"/>
      <w:bookmarkEnd w:id="1731"/>
      <w:r>
        <w:rPr/>
      </w:r>
      <w:hyperlink w:history="true" w:anchor="_bookmark1681">
        <w:r>
          <w:rPr>
            <w:color w:val="005DA1"/>
            <w:spacing w:val="-4"/>
            <w:position w:val="5"/>
            <w:sz w:val="14"/>
            <w:u w:val="single" w:color="005DA1"/>
          </w:rPr>
          <w:t>908</w:t>
        </w:r>
      </w:hyperlink>
      <w:r>
        <w:rPr>
          <w:spacing w:val="-4"/>
          <w:position w:val="5"/>
          <w:sz w:val="14"/>
        </w:rPr>
        <w:t>.</w:t>
      </w:r>
      <w:r>
        <w:rPr>
          <w:position w:val="5"/>
          <w:sz w:val="14"/>
        </w:rPr>
        <w:tab/>
      </w:r>
      <w:r>
        <w:rPr>
          <w:sz w:val="20"/>
        </w:rPr>
        <w:t>Above, para.2-</w:t>
      </w:r>
      <w:r>
        <w:rPr>
          <w:spacing w:val="-4"/>
          <w:sz w:val="20"/>
        </w:rPr>
        <w:t>082.</w:t>
      </w:r>
    </w:p>
    <w:p>
      <w:pPr>
        <w:pStyle w:val="BodyText"/>
        <w:spacing w:before="5"/>
      </w:pPr>
    </w:p>
    <w:p>
      <w:pPr>
        <w:tabs>
          <w:tab w:pos="705" w:val="left" w:leader="none"/>
        </w:tabs>
        <w:spacing w:before="0"/>
        <w:ind w:left="165" w:right="0" w:firstLine="0"/>
        <w:jc w:val="left"/>
        <w:rPr>
          <w:sz w:val="20"/>
        </w:rPr>
      </w:pPr>
      <w:bookmarkStart w:name="_bookmark1730" w:id="1732"/>
      <w:bookmarkEnd w:id="1732"/>
      <w:r>
        <w:rPr/>
      </w:r>
      <w:hyperlink w:history="true" w:anchor="_bookmark1682">
        <w:r>
          <w:rPr>
            <w:color w:val="005DA1"/>
            <w:spacing w:val="-4"/>
            <w:position w:val="5"/>
            <w:sz w:val="14"/>
            <w:u w:val="single" w:color="005DA1"/>
          </w:rPr>
          <w:t>909</w:t>
        </w:r>
      </w:hyperlink>
      <w:r>
        <w:rPr>
          <w:spacing w:val="-4"/>
          <w:position w:val="5"/>
          <w:sz w:val="14"/>
        </w:rPr>
        <w:t>.</w:t>
      </w:r>
      <w:r>
        <w:rPr>
          <w:position w:val="5"/>
          <w:sz w:val="14"/>
        </w:rPr>
        <w:tab/>
      </w:r>
      <w:r>
        <w:rPr>
          <w:sz w:val="20"/>
        </w:rPr>
        <w:t>Above, para.2-</w:t>
      </w:r>
      <w:r>
        <w:rPr>
          <w:spacing w:val="-4"/>
          <w:sz w:val="20"/>
        </w:rPr>
        <w:t>177.</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1731" w:id="1733"/>
      <w:bookmarkEnd w:id="1733"/>
      <w:r>
        <w:rPr/>
      </w:r>
      <w:hyperlink w:history="true" w:anchor="_bookmark1683">
        <w:r>
          <w:rPr>
            <w:color w:val="005DA1"/>
            <w:spacing w:val="-4"/>
            <w:position w:val="5"/>
            <w:sz w:val="14"/>
            <w:u w:val="single" w:color="005DA1"/>
          </w:rPr>
          <w:t>910</w:t>
        </w:r>
      </w:hyperlink>
      <w:r>
        <w:rPr>
          <w:spacing w:val="-4"/>
          <w:position w:val="5"/>
          <w:sz w:val="14"/>
        </w:rPr>
        <w:t>.</w:t>
      </w:r>
      <w:r>
        <w:rPr>
          <w:position w:val="5"/>
          <w:sz w:val="14"/>
        </w:rPr>
        <w:tab/>
      </w:r>
      <w:r>
        <w:rPr>
          <w:sz w:val="20"/>
        </w:rPr>
        <w:t>e.g. </w:t>
      </w:r>
      <w:r>
        <w:rPr>
          <w:rFonts w:ascii="Arial"/>
          <w:i/>
          <w:sz w:val="20"/>
        </w:rPr>
        <w:t>Plimmer v Mayor of Wellington (1884) 9 App. Cas. 699 </w:t>
      </w:r>
      <w:r>
        <w:rPr>
          <w:sz w:val="20"/>
        </w:rPr>
        <w:t>as explained in </w:t>
      </w:r>
      <w:r>
        <w:rPr>
          <w:rFonts w:ascii="Arial"/>
          <w:i/>
          <w:sz w:val="20"/>
        </w:rPr>
        <w:t>Canadian </w:t>
      </w:r>
      <w:r>
        <w:rPr>
          <w:rFonts w:ascii="Arial"/>
          <w:i/>
          <w:sz w:val="20"/>
        </w:rPr>
        <w:t>Pacific</w:t>
      </w:r>
      <w:r>
        <w:rPr>
          <w:rFonts w:ascii="Arial"/>
          <w:i/>
          <w:spacing w:val="80"/>
          <w:sz w:val="20"/>
        </w:rPr>
        <w:t> </w:t>
      </w:r>
      <w:r>
        <w:rPr>
          <w:rFonts w:ascii="Arial"/>
          <w:i/>
          <w:sz w:val="20"/>
        </w:rPr>
        <w:t>Railway</w:t>
      </w:r>
      <w:r>
        <w:rPr>
          <w:rFonts w:ascii="Arial"/>
          <w:i/>
          <w:spacing w:val="4"/>
          <w:sz w:val="20"/>
        </w:rPr>
        <w:t> </w:t>
      </w:r>
      <w:r>
        <w:rPr>
          <w:rFonts w:ascii="Arial"/>
          <w:i/>
          <w:sz w:val="20"/>
        </w:rPr>
        <w:t>v</w:t>
      </w:r>
      <w:r>
        <w:rPr>
          <w:rFonts w:ascii="Arial"/>
          <w:i/>
          <w:spacing w:val="7"/>
          <w:sz w:val="20"/>
        </w:rPr>
        <w:t> </w:t>
      </w:r>
      <w:r>
        <w:rPr>
          <w:rFonts w:ascii="Arial"/>
          <w:i/>
          <w:sz w:val="20"/>
        </w:rPr>
        <w:t>The</w:t>
      </w:r>
      <w:r>
        <w:rPr>
          <w:rFonts w:ascii="Arial"/>
          <w:i/>
          <w:spacing w:val="7"/>
          <w:sz w:val="20"/>
        </w:rPr>
        <w:t> </w:t>
      </w:r>
      <w:r>
        <w:rPr>
          <w:rFonts w:ascii="Arial"/>
          <w:i/>
          <w:sz w:val="20"/>
        </w:rPr>
        <w:t>King</w:t>
      </w:r>
      <w:r>
        <w:rPr>
          <w:rFonts w:ascii="Arial"/>
          <w:i/>
          <w:spacing w:val="7"/>
          <w:sz w:val="20"/>
        </w:rPr>
        <w:t> </w:t>
      </w:r>
      <w:r>
        <w:rPr>
          <w:rFonts w:ascii="Arial"/>
          <w:i/>
          <w:sz w:val="20"/>
        </w:rPr>
        <w:t>[1931]</w:t>
      </w:r>
      <w:r>
        <w:rPr>
          <w:rFonts w:ascii="Arial"/>
          <w:i/>
          <w:spacing w:val="7"/>
          <w:sz w:val="20"/>
        </w:rPr>
        <w:t> </w:t>
      </w:r>
      <w:r>
        <w:rPr>
          <w:rFonts w:ascii="Arial"/>
          <w:i/>
          <w:sz w:val="20"/>
        </w:rPr>
        <w:t>A.C.</w:t>
      </w:r>
      <w:r>
        <w:rPr>
          <w:rFonts w:ascii="Arial"/>
          <w:i/>
          <w:spacing w:val="7"/>
          <w:sz w:val="20"/>
        </w:rPr>
        <w:t> </w:t>
      </w:r>
      <w:r>
        <w:rPr>
          <w:rFonts w:ascii="Arial"/>
          <w:i/>
          <w:sz w:val="20"/>
        </w:rPr>
        <w:t>414,</w:t>
      </w:r>
      <w:r>
        <w:rPr>
          <w:rFonts w:ascii="Arial"/>
          <w:i/>
          <w:spacing w:val="7"/>
          <w:sz w:val="20"/>
        </w:rPr>
        <w:t> </w:t>
      </w:r>
      <w:r>
        <w:rPr>
          <w:rFonts w:ascii="Arial"/>
          <w:i/>
          <w:sz w:val="20"/>
        </w:rPr>
        <w:t>428</w:t>
      </w:r>
      <w:r>
        <w:rPr>
          <w:sz w:val="20"/>
        </w:rPr>
        <w:t>;</w:t>
      </w:r>
      <w:r>
        <w:rPr>
          <w:spacing w:val="7"/>
          <w:sz w:val="20"/>
        </w:rPr>
        <w:t> </w:t>
      </w:r>
      <w:r>
        <w:rPr>
          <w:rFonts w:ascii="Arial"/>
          <w:i/>
          <w:sz w:val="20"/>
        </w:rPr>
        <w:t>Eves</w:t>
      </w:r>
      <w:r>
        <w:rPr>
          <w:rFonts w:ascii="Arial"/>
          <w:i/>
          <w:spacing w:val="6"/>
          <w:sz w:val="20"/>
        </w:rPr>
        <w:t> </w:t>
      </w:r>
      <w:r>
        <w:rPr>
          <w:rFonts w:ascii="Arial"/>
          <w:i/>
          <w:sz w:val="20"/>
        </w:rPr>
        <w:t>v</w:t>
      </w:r>
      <w:r>
        <w:rPr>
          <w:rFonts w:ascii="Arial"/>
          <w:i/>
          <w:spacing w:val="7"/>
          <w:sz w:val="20"/>
        </w:rPr>
        <w:t> </w:t>
      </w:r>
      <w:r>
        <w:rPr>
          <w:rFonts w:ascii="Arial"/>
          <w:i/>
          <w:sz w:val="20"/>
        </w:rPr>
        <w:t>Eves</w:t>
      </w:r>
      <w:r>
        <w:rPr>
          <w:rFonts w:ascii="Arial"/>
          <w:i/>
          <w:spacing w:val="7"/>
          <w:sz w:val="20"/>
        </w:rPr>
        <w:t> </w:t>
      </w:r>
      <w:r>
        <w:rPr>
          <w:rFonts w:ascii="Arial"/>
          <w:i/>
          <w:sz w:val="20"/>
        </w:rPr>
        <w:t>[1975]</w:t>
      </w:r>
      <w:r>
        <w:rPr>
          <w:rFonts w:ascii="Arial"/>
          <w:i/>
          <w:spacing w:val="7"/>
          <w:sz w:val="20"/>
        </w:rPr>
        <w:t> </w:t>
      </w:r>
      <w:r>
        <w:rPr>
          <w:rFonts w:ascii="Arial"/>
          <w:i/>
          <w:sz w:val="20"/>
        </w:rPr>
        <w:t>1</w:t>
      </w:r>
      <w:r>
        <w:rPr>
          <w:rFonts w:ascii="Arial"/>
          <w:i/>
          <w:spacing w:val="7"/>
          <w:sz w:val="20"/>
        </w:rPr>
        <w:t> </w:t>
      </w:r>
      <w:r>
        <w:rPr>
          <w:rFonts w:ascii="Arial"/>
          <w:i/>
          <w:sz w:val="20"/>
        </w:rPr>
        <w:t>W.L.R.</w:t>
      </w:r>
      <w:r>
        <w:rPr>
          <w:rFonts w:ascii="Arial"/>
          <w:i/>
          <w:spacing w:val="7"/>
          <w:sz w:val="20"/>
        </w:rPr>
        <w:t> </w:t>
      </w:r>
      <w:r>
        <w:rPr>
          <w:rFonts w:ascii="Arial"/>
          <w:i/>
          <w:sz w:val="20"/>
        </w:rPr>
        <w:t>1338</w:t>
      </w:r>
      <w:r>
        <w:rPr>
          <w:sz w:val="20"/>
        </w:rPr>
        <w:t>;</w:t>
      </w:r>
      <w:r>
        <w:rPr>
          <w:spacing w:val="7"/>
          <w:sz w:val="20"/>
        </w:rPr>
        <w:t> </w:t>
      </w:r>
      <w:r>
        <w:rPr>
          <w:rFonts w:ascii="Arial"/>
          <w:i/>
          <w:sz w:val="20"/>
        </w:rPr>
        <w:t>Tanner</w:t>
      </w:r>
      <w:r>
        <w:rPr>
          <w:rFonts w:ascii="Arial"/>
          <w:i/>
          <w:spacing w:val="7"/>
          <w:sz w:val="20"/>
        </w:rPr>
        <w:t> </w:t>
      </w:r>
      <w:r>
        <w:rPr>
          <w:rFonts w:ascii="Arial"/>
          <w:i/>
          <w:sz w:val="20"/>
        </w:rPr>
        <w:t>v</w:t>
      </w:r>
      <w:r>
        <w:rPr>
          <w:rFonts w:ascii="Arial"/>
          <w:i/>
          <w:spacing w:val="7"/>
          <w:sz w:val="20"/>
        </w:rPr>
        <w:t> </w:t>
      </w:r>
      <w:r>
        <w:rPr>
          <w:rFonts w:ascii="Arial"/>
          <w:i/>
          <w:spacing w:val="-2"/>
          <w:sz w:val="20"/>
        </w:rPr>
        <w:t>Tanner</w:t>
      </w:r>
    </w:p>
    <w:p>
      <w:pPr>
        <w:spacing w:line="235" w:lineRule="auto" w:before="0"/>
        <w:ind w:left="705" w:right="168" w:firstLine="0"/>
        <w:jc w:val="both"/>
        <w:rPr>
          <w:sz w:val="20"/>
        </w:rPr>
      </w:pPr>
      <w:r>
        <w:rPr>
          <w:rFonts w:ascii="Arial" w:hAnsi="Arial"/>
          <w:i/>
          <w:sz w:val="20"/>
        </w:rPr>
        <w:t>[1975] 1 W.L.R. 1346</w:t>
      </w:r>
      <w:r>
        <w:rPr>
          <w:sz w:val="20"/>
        </w:rPr>
        <w:t>; cf. </w:t>
      </w:r>
      <w:r>
        <w:rPr>
          <w:rFonts w:ascii="Arial" w:hAnsi="Arial"/>
          <w:i/>
          <w:sz w:val="20"/>
        </w:rPr>
        <w:t>Re Sharpe [1980] 1 W.L.R. 219, 224</w:t>
      </w:r>
      <w:r>
        <w:rPr>
          <w:sz w:val="20"/>
        </w:rPr>
        <w:t>; and see </w:t>
      </w:r>
      <w:r>
        <w:rPr>
          <w:rFonts w:ascii="Arial" w:hAnsi="Arial"/>
          <w:i/>
          <w:sz w:val="20"/>
        </w:rPr>
        <w:t>E.R. Ives </w:t>
      </w:r>
      <w:r>
        <w:rPr>
          <w:rFonts w:ascii="Arial" w:hAnsi="Arial"/>
          <w:i/>
          <w:sz w:val="20"/>
        </w:rPr>
        <w:t>Investments Ltd v High [1967] 2 Q.B. 379 </w:t>
      </w:r>
      <w:r>
        <w:rPr>
          <w:sz w:val="20"/>
        </w:rPr>
        <w:t>(where there was a contract between the defendant and the claimant’s predecessor in title).</w:t>
      </w:r>
    </w:p>
    <w:p>
      <w:pPr>
        <w:pStyle w:val="BodyText"/>
        <w:spacing w:before="8"/>
      </w:pPr>
    </w:p>
    <w:p>
      <w:pPr>
        <w:spacing w:line="235" w:lineRule="auto" w:before="0"/>
        <w:ind w:left="705" w:right="167" w:hanging="541"/>
        <w:jc w:val="both"/>
        <w:rPr>
          <w:sz w:val="20"/>
        </w:rPr>
      </w:pPr>
      <w:bookmarkStart w:name="_bookmark1732" w:id="1734"/>
      <w:bookmarkEnd w:id="1734"/>
      <w:r>
        <w:rPr/>
      </w:r>
      <w:hyperlink w:history="true" w:anchor="_bookmark1684">
        <w:r>
          <w:rPr>
            <w:color w:val="005DA1"/>
            <w:position w:val="5"/>
            <w:sz w:val="14"/>
            <w:u w:val="single" w:color="005DA1"/>
          </w:rPr>
          <w:t>911</w:t>
        </w:r>
      </w:hyperlink>
      <w:r>
        <w:rPr>
          <w:position w:val="5"/>
          <w:sz w:val="14"/>
        </w:rPr>
        <w:t>.</w:t>
      </w:r>
      <w:r>
        <w:rPr>
          <w:spacing w:val="40"/>
          <w:position w:val="5"/>
          <w:sz w:val="14"/>
        </w:rPr>
        <w:t>  </w:t>
      </w:r>
      <w:r>
        <w:rPr>
          <w:sz w:val="20"/>
        </w:rPr>
        <w:t>See </w:t>
      </w:r>
      <w:r>
        <w:rPr>
          <w:rFonts w:ascii="Arial" w:hAnsi="Arial"/>
          <w:i/>
          <w:sz w:val="20"/>
        </w:rPr>
        <w:t>Lloyd’s Bank plc v Carrick [1996] 4 All E.R. 632</w:t>
      </w:r>
      <w:r>
        <w:rPr>
          <w:sz w:val="20"/>
        </w:rPr>
        <w:t>, where the existence of a contract of sale precluded reliance by the purchaser on proprietary estoppel, even though that contract was, </w:t>
      </w:r>
      <w:r>
        <w:rPr>
          <w:sz w:val="20"/>
        </w:rPr>
        <w:t>as against a bank to which the property had been charged as security, void for non-registration. Contrast </w:t>
      </w:r>
      <w:r>
        <w:rPr>
          <w:rFonts w:ascii="Arial" w:hAnsi="Arial"/>
          <w:i/>
          <w:sz w:val="20"/>
        </w:rPr>
        <w:t>Yaxley v Gotts [2000] Ch. 162 </w:t>
      </w:r>
      <w:r>
        <w:rPr>
          <w:sz w:val="20"/>
        </w:rPr>
        <w:t>at 179, when there was </w:t>
      </w:r>
      <w:r>
        <w:rPr>
          <w:rFonts w:ascii="Arial" w:hAnsi="Arial"/>
          <w:i/>
          <w:sz w:val="20"/>
        </w:rPr>
        <w:t>no </w:t>
      </w:r>
      <w:r>
        <w:rPr>
          <w:sz w:val="20"/>
        </w:rPr>
        <w:t>such contract but, at most, an agreement lacking contractual force. See also </w:t>
      </w:r>
      <w:r>
        <w:rPr>
          <w:rFonts w:ascii="Arial" w:hAnsi="Arial"/>
          <w:i/>
          <w:sz w:val="20"/>
        </w:rPr>
        <w:t>Oxley v Hiscock [2004] EWCA Civ 546,</w:t>
      </w:r>
      <w:r>
        <w:rPr>
          <w:rFonts w:ascii="Arial" w:hAnsi="Arial"/>
          <w:i/>
          <w:spacing w:val="40"/>
          <w:sz w:val="20"/>
        </w:rPr>
        <w:t> </w:t>
      </w:r>
      <w:r>
        <w:rPr>
          <w:rFonts w:ascii="Arial" w:hAnsi="Arial"/>
          <w:i/>
          <w:sz w:val="20"/>
        </w:rPr>
        <w:t>[2005] Fam. 211 </w:t>
      </w:r>
      <w:r>
        <w:rPr>
          <w:sz w:val="20"/>
        </w:rPr>
        <w:t>at [35]–[36], distinguishing between cases of proprietary estoppel and those in which</w:t>
      </w:r>
      <w:r>
        <w:rPr>
          <w:spacing w:val="20"/>
          <w:sz w:val="20"/>
        </w:rPr>
        <w:t> </w:t>
      </w:r>
      <w:r>
        <w:rPr>
          <w:sz w:val="20"/>
        </w:rPr>
        <w:t>parties,</w:t>
      </w:r>
      <w:r>
        <w:rPr>
          <w:spacing w:val="20"/>
          <w:sz w:val="20"/>
        </w:rPr>
        <w:t> </w:t>
      </w:r>
      <w:r>
        <w:rPr>
          <w:rFonts w:ascii="Arial" w:hAnsi="Arial"/>
          <w:i/>
          <w:sz w:val="20"/>
        </w:rPr>
        <w:t>before</w:t>
      </w:r>
      <w:r>
        <w:rPr>
          <w:rFonts w:ascii="Arial" w:hAnsi="Arial"/>
          <w:i/>
          <w:spacing w:val="20"/>
          <w:sz w:val="20"/>
        </w:rPr>
        <w:t> </w:t>
      </w:r>
      <w:r>
        <w:rPr>
          <w:sz w:val="20"/>
        </w:rPr>
        <w:t>acquiring</w:t>
      </w:r>
      <w:r>
        <w:rPr>
          <w:spacing w:val="20"/>
          <w:sz w:val="20"/>
        </w:rPr>
        <w:t> </w:t>
      </w:r>
      <w:r>
        <w:rPr>
          <w:sz w:val="20"/>
        </w:rPr>
        <w:t>property,</w:t>
      </w:r>
      <w:r>
        <w:rPr>
          <w:spacing w:val="20"/>
          <w:sz w:val="20"/>
        </w:rPr>
        <w:t> </w:t>
      </w:r>
      <w:r>
        <w:rPr>
          <w:sz w:val="20"/>
        </w:rPr>
        <w:t>reach</w:t>
      </w:r>
      <w:r>
        <w:rPr>
          <w:spacing w:val="20"/>
          <w:sz w:val="20"/>
        </w:rPr>
        <w:t> </w:t>
      </w:r>
      <w:r>
        <w:rPr>
          <w:sz w:val="20"/>
        </w:rPr>
        <w:t>“an</w:t>
      </w:r>
      <w:r>
        <w:rPr>
          <w:spacing w:val="20"/>
          <w:sz w:val="20"/>
        </w:rPr>
        <w:t> </w:t>
      </w:r>
      <w:r>
        <w:rPr>
          <w:sz w:val="20"/>
        </w:rPr>
        <w:t>agreement,</w:t>
      </w:r>
      <w:r>
        <w:rPr>
          <w:spacing w:val="20"/>
          <w:sz w:val="20"/>
        </w:rPr>
        <w:t> </w:t>
      </w:r>
      <w:r>
        <w:rPr>
          <w:sz w:val="20"/>
        </w:rPr>
        <w:t>arrangement</w:t>
      </w:r>
      <w:r>
        <w:rPr>
          <w:spacing w:val="20"/>
          <w:sz w:val="20"/>
        </w:rPr>
        <w:t> </w:t>
      </w:r>
      <w:r>
        <w:rPr>
          <w:sz w:val="20"/>
        </w:rPr>
        <w:t>or</w:t>
      </w:r>
      <w:r>
        <w:rPr>
          <w:spacing w:val="20"/>
          <w:sz w:val="20"/>
        </w:rPr>
        <w:t> </w:t>
      </w:r>
      <w:r>
        <w:rPr>
          <w:spacing w:val="-2"/>
          <w:sz w:val="20"/>
        </w:rPr>
        <w:t>understanding</w:t>
      </w:r>
    </w:p>
    <w:p>
      <w:pPr>
        <w:pStyle w:val="BodyText"/>
        <w:spacing w:line="224" w:lineRule="exact"/>
        <w:ind w:left="705"/>
        <w:jc w:val="both"/>
      </w:pPr>
      <w:r>
        <w:rPr/>
        <w:t>… that each is to have a beneficial share in the </w:t>
      </w:r>
      <w:r>
        <w:rPr>
          <w:spacing w:val="-2"/>
        </w:rPr>
        <w:t>property.”</w:t>
      </w:r>
    </w:p>
    <w:p>
      <w:pPr>
        <w:pStyle w:val="BodyText"/>
        <w:spacing w:before="5"/>
      </w:pPr>
    </w:p>
    <w:p>
      <w:pPr>
        <w:tabs>
          <w:tab w:pos="705" w:val="left" w:leader="none"/>
        </w:tabs>
        <w:spacing w:before="0"/>
        <w:ind w:left="165" w:right="0" w:firstLine="0"/>
        <w:jc w:val="left"/>
        <w:rPr>
          <w:sz w:val="20"/>
        </w:rPr>
      </w:pPr>
      <w:bookmarkStart w:name="_bookmark1733" w:id="1735"/>
      <w:bookmarkEnd w:id="1735"/>
      <w:r>
        <w:rPr/>
      </w:r>
      <w:hyperlink w:history="true" w:anchor="_bookmark1685">
        <w:r>
          <w:rPr>
            <w:color w:val="005DA1"/>
            <w:spacing w:val="-4"/>
            <w:position w:val="5"/>
            <w:sz w:val="14"/>
            <w:u w:val="single" w:color="005DA1"/>
          </w:rPr>
          <w:t>912</w:t>
        </w:r>
      </w:hyperlink>
      <w:r>
        <w:rPr>
          <w:spacing w:val="-4"/>
          <w:position w:val="5"/>
          <w:sz w:val="14"/>
        </w:rPr>
        <w:t>.</w:t>
      </w:r>
      <w:r>
        <w:rPr>
          <w:position w:val="5"/>
          <w:sz w:val="14"/>
        </w:rPr>
        <w:tab/>
      </w:r>
      <w:r>
        <w:rPr>
          <w:rFonts w:ascii="Arial"/>
          <w:i/>
          <w:sz w:val="20"/>
        </w:rPr>
        <w:t>Errington</w:t>
      </w:r>
      <w:r>
        <w:rPr>
          <w:rFonts w:ascii="Arial"/>
          <w:i/>
          <w:spacing w:val="-1"/>
          <w:sz w:val="20"/>
        </w:rPr>
        <w:t> </w:t>
      </w:r>
      <w:r>
        <w:rPr>
          <w:rFonts w:ascii="Arial"/>
          <w:i/>
          <w:sz w:val="20"/>
        </w:rPr>
        <w:t>v Errington [1952] 1 Q.B. 290</w:t>
      </w:r>
      <w:r>
        <w:rPr>
          <w:sz w:val="20"/>
        </w:rPr>
        <w:t>; above, para.2-</w:t>
      </w:r>
      <w:r>
        <w:rPr>
          <w:spacing w:val="-4"/>
          <w:sz w:val="20"/>
        </w:rPr>
        <w:t>084.</w:t>
      </w:r>
    </w:p>
    <w:p>
      <w:pPr>
        <w:pStyle w:val="BodyText"/>
        <w:spacing w:before="9"/>
      </w:pPr>
    </w:p>
    <w:p>
      <w:pPr>
        <w:pStyle w:val="BodyText"/>
        <w:spacing w:line="235" w:lineRule="auto"/>
        <w:ind w:left="705" w:right="167" w:hanging="541"/>
        <w:jc w:val="both"/>
      </w:pPr>
      <w:bookmarkStart w:name="_bookmark1734" w:id="1736"/>
      <w:bookmarkEnd w:id="1736"/>
      <w:r>
        <w:rPr/>
      </w:r>
      <w:hyperlink w:history="true" w:anchor="_bookmark1686">
        <w:r>
          <w:rPr>
            <w:color w:val="005DA1"/>
            <w:position w:val="5"/>
            <w:sz w:val="14"/>
            <w:u w:val="single" w:color="005DA1"/>
          </w:rPr>
          <w:t>913</w:t>
        </w:r>
      </w:hyperlink>
      <w:r>
        <w:rPr>
          <w:position w:val="5"/>
          <w:sz w:val="14"/>
        </w:rPr>
        <w:t>.</w:t>
      </w:r>
      <w:r>
        <w:rPr>
          <w:spacing w:val="80"/>
          <w:w w:val="150"/>
          <w:position w:val="5"/>
          <w:sz w:val="14"/>
        </w:rPr>
        <w:t> </w:t>
      </w:r>
      <w:r>
        <w:rPr/>
        <w:t>e.g. </w:t>
      </w:r>
      <w:r>
        <w:rPr>
          <w:rFonts w:ascii="Arial"/>
          <w:i/>
        </w:rPr>
        <w:t>Tanner v Tanner [1975] 1 W.L.R. 1346</w:t>
      </w:r>
      <w:r>
        <w:rPr/>
        <w:t>; merely to maintain the house in repair could be sufficient for the present purpose, even if it did not suffice to raise a proprietary estoppel: see above, para.4-141, n.836.</w:t>
      </w:r>
    </w:p>
    <w:p>
      <w:pPr>
        <w:pStyle w:val="BodyText"/>
        <w:spacing w:before="9"/>
      </w:pPr>
    </w:p>
    <w:p>
      <w:pPr>
        <w:spacing w:line="235" w:lineRule="auto" w:before="0"/>
        <w:ind w:left="705" w:right="168" w:hanging="541"/>
        <w:jc w:val="both"/>
        <w:rPr>
          <w:sz w:val="20"/>
        </w:rPr>
      </w:pPr>
      <w:bookmarkStart w:name="_bookmark1735" w:id="1737"/>
      <w:bookmarkEnd w:id="1737"/>
      <w:r>
        <w:rPr/>
      </w:r>
      <w:hyperlink w:history="true" w:anchor="_bookmark1687">
        <w:r>
          <w:rPr>
            <w:color w:val="005DA1"/>
            <w:position w:val="5"/>
            <w:sz w:val="14"/>
            <w:u w:val="single" w:color="005DA1"/>
          </w:rPr>
          <w:t>914</w:t>
        </w:r>
      </w:hyperlink>
      <w:r>
        <w:rPr>
          <w:position w:val="5"/>
          <w:sz w:val="14"/>
        </w:rPr>
        <w:t>.</w:t>
      </w:r>
      <w:r>
        <w:rPr>
          <w:spacing w:val="40"/>
          <w:position w:val="5"/>
          <w:sz w:val="14"/>
        </w:rPr>
        <w:t>  </w:t>
      </w:r>
      <w:r>
        <w:rPr>
          <w:rFonts w:ascii="Arial" w:hAnsi="Arial"/>
          <w:i/>
          <w:sz w:val="20"/>
        </w:rPr>
        <w:t>Walton v Walton (April 14, 1994, unreported) </w:t>
      </w:r>
      <w:r>
        <w:rPr>
          <w:sz w:val="20"/>
        </w:rPr>
        <w:t>per Hoffmann L.J., cited in </w:t>
      </w:r>
      <w:r>
        <w:rPr>
          <w:rFonts w:ascii="Arial" w:hAnsi="Arial"/>
          <w:i/>
          <w:sz w:val="20"/>
        </w:rPr>
        <w:t>Thorner v Major </w:t>
      </w:r>
      <w:r>
        <w:rPr>
          <w:rFonts w:ascii="Arial" w:hAnsi="Arial"/>
          <w:i/>
          <w:sz w:val="20"/>
        </w:rPr>
        <w:t>[2009] UKHL 18, [2009] 1 W.L.R. 776 </w:t>
      </w:r>
      <w:r>
        <w:rPr>
          <w:sz w:val="20"/>
        </w:rPr>
        <w:t>at [57] (“in many cases of promises made in a family or social context, there is no intention to create an immediately binding contract”).</w:t>
      </w:r>
    </w:p>
    <w:p>
      <w:pPr>
        <w:pStyle w:val="BodyText"/>
        <w:spacing w:before="5"/>
      </w:pPr>
    </w:p>
    <w:p>
      <w:pPr>
        <w:tabs>
          <w:tab w:pos="705" w:val="left" w:leader="none"/>
        </w:tabs>
        <w:spacing w:before="0"/>
        <w:ind w:left="165" w:right="0" w:firstLine="0"/>
        <w:jc w:val="left"/>
        <w:rPr>
          <w:sz w:val="20"/>
        </w:rPr>
      </w:pPr>
      <w:bookmarkStart w:name="_bookmark1736" w:id="1738"/>
      <w:bookmarkEnd w:id="1738"/>
      <w:r>
        <w:rPr/>
      </w:r>
      <w:hyperlink w:history="true" w:anchor="_bookmark1688">
        <w:r>
          <w:rPr>
            <w:color w:val="005DA1"/>
            <w:spacing w:val="-4"/>
            <w:position w:val="5"/>
            <w:sz w:val="14"/>
            <w:u w:val="single" w:color="005DA1"/>
          </w:rPr>
          <w:t>915</w:t>
        </w:r>
      </w:hyperlink>
      <w:r>
        <w:rPr>
          <w:spacing w:val="-4"/>
          <w:position w:val="5"/>
          <w:sz w:val="14"/>
        </w:rPr>
        <w:t>.</w:t>
      </w:r>
      <w:r>
        <w:rPr>
          <w:position w:val="5"/>
          <w:sz w:val="14"/>
        </w:rPr>
        <w:tab/>
      </w:r>
      <w:r>
        <w:rPr>
          <w:rFonts w:ascii="Arial"/>
          <w:i/>
          <w:sz w:val="20"/>
        </w:rPr>
        <w:t>J.T. Developments v Quinn (1991) 62 P. &amp; C.R. </w:t>
      </w:r>
      <w:r>
        <w:rPr>
          <w:rFonts w:ascii="Arial"/>
          <w:i/>
          <w:spacing w:val="-5"/>
          <w:sz w:val="20"/>
        </w:rPr>
        <w:t>33</w:t>
      </w:r>
      <w:r>
        <w:rPr>
          <w:spacing w:val="-5"/>
          <w:sz w:val="20"/>
        </w:rPr>
        <w:t>.</w:t>
      </w:r>
    </w:p>
    <w:p>
      <w:pPr>
        <w:pStyle w:val="BodyText"/>
        <w:spacing w:before="9"/>
      </w:pPr>
    </w:p>
    <w:p>
      <w:pPr>
        <w:spacing w:line="235" w:lineRule="auto" w:before="0"/>
        <w:ind w:left="705" w:right="167" w:hanging="541"/>
        <w:jc w:val="both"/>
        <w:rPr>
          <w:sz w:val="20"/>
        </w:rPr>
      </w:pPr>
      <w:bookmarkStart w:name="_bookmark1737" w:id="1739"/>
      <w:bookmarkEnd w:id="1739"/>
      <w:r>
        <w:rPr/>
      </w:r>
      <w:hyperlink w:history="true" w:anchor="_bookmark1689">
        <w:r>
          <w:rPr>
            <w:color w:val="005DA1"/>
            <w:position w:val="5"/>
            <w:sz w:val="14"/>
            <w:u w:val="single" w:color="005DA1"/>
          </w:rPr>
          <w:t>916</w:t>
        </w:r>
      </w:hyperlink>
      <w:r>
        <w:rPr>
          <w:position w:val="5"/>
          <w:sz w:val="14"/>
        </w:rPr>
        <w:t>.</w:t>
      </w:r>
      <w:r>
        <w:rPr>
          <w:spacing w:val="80"/>
          <w:w w:val="150"/>
          <w:position w:val="5"/>
          <w:sz w:val="14"/>
        </w:rPr>
        <w:t> </w:t>
      </w:r>
      <w:r>
        <w:rPr>
          <w:sz w:val="20"/>
        </w:rPr>
        <w:t>Above, para.2-145. See </w:t>
      </w:r>
      <w:r>
        <w:rPr>
          <w:rFonts w:ascii="Arial" w:hAnsi="Arial"/>
          <w:i/>
          <w:sz w:val="20"/>
        </w:rPr>
        <w:t>Gillett v Holt [2001] Ch. 210 </w:t>
      </w:r>
      <w:r>
        <w:rPr>
          <w:sz w:val="20"/>
        </w:rPr>
        <w:t>at 230; </w:t>
      </w:r>
      <w:r>
        <w:rPr>
          <w:rFonts w:ascii="Arial" w:hAnsi="Arial"/>
          <w:i/>
          <w:sz w:val="20"/>
        </w:rPr>
        <w:t>Banner Homes Group plc v </w:t>
      </w:r>
      <w:r>
        <w:rPr>
          <w:rFonts w:ascii="Arial" w:hAnsi="Arial"/>
          <w:i/>
          <w:sz w:val="20"/>
        </w:rPr>
        <w:t>Luff Developments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[2000]</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372</w:t>
      </w:r>
      <w:r>
        <w:rPr>
          <w:sz w:val="20"/>
        </w:rPr>
        <w:t>;</w:t>
      </w:r>
      <w:r>
        <w:rPr>
          <w:spacing w:val="-2"/>
          <w:sz w:val="20"/>
        </w:rPr>
        <w:t> </w:t>
      </w:r>
      <w:r>
        <w:rPr>
          <w:rFonts w:ascii="Arial" w:hAnsi="Arial"/>
          <w:i/>
          <w:sz w:val="20"/>
        </w:rPr>
        <w:t>Jennings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Rice</w:t>
      </w:r>
      <w:r>
        <w:rPr>
          <w:rFonts w:ascii="Arial" w:hAnsi="Arial"/>
          <w:i/>
          <w:spacing w:val="-2"/>
          <w:sz w:val="20"/>
        </w:rPr>
        <w:t> </w:t>
      </w:r>
      <w:r>
        <w:rPr>
          <w:rFonts w:ascii="Arial" w:hAnsi="Arial"/>
          <w:i/>
          <w:sz w:val="20"/>
        </w:rPr>
        <w:t>[2002]</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159;</w:t>
      </w:r>
      <w:r>
        <w:rPr>
          <w:rFonts w:ascii="Arial" w:hAnsi="Arial"/>
          <w:i/>
          <w:spacing w:val="-2"/>
          <w:sz w:val="20"/>
        </w:rPr>
        <w:t> </w:t>
      </w:r>
      <w:r>
        <w:rPr>
          <w:rFonts w:ascii="Arial" w:hAnsi="Arial"/>
          <w:i/>
          <w:sz w:val="20"/>
        </w:rPr>
        <w:t>[2002]</w:t>
      </w:r>
      <w:r>
        <w:rPr>
          <w:rFonts w:ascii="Arial" w:hAnsi="Arial"/>
          <w:i/>
          <w:spacing w:val="-2"/>
          <w:sz w:val="20"/>
        </w:rPr>
        <w:t> </w:t>
      </w:r>
      <w:r>
        <w:rPr>
          <w:rFonts w:ascii="Arial" w:hAnsi="Arial"/>
          <w:i/>
          <w:sz w:val="20"/>
        </w:rPr>
        <w:t>W.T.L.R.</w:t>
      </w:r>
      <w:r>
        <w:rPr>
          <w:rFonts w:ascii="Arial" w:hAnsi="Arial"/>
          <w:i/>
          <w:spacing w:val="-2"/>
          <w:sz w:val="20"/>
        </w:rPr>
        <w:t> </w:t>
      </w:r>
      <w:r>
        <w:rPr>
          <w:rFonts w:ascii="Arial" w:hAnsi="Arial"/>
          <w:i/>
          <w:sz w:val="20"/>
        </w:rPr>
        <w:t>367</w:t>
      </w:r>
      <w:r>
        <w:rPr>
          <w:sz w:val="20"/>
        </w:rPr>
        <w:t>, at [10], [49], [50]; if the party claiming the benefit of a proprietary estoppel </w:t>
      </w:r>
      <w:r>
        <w:rPr>
          <w:rFonts w:ascii="Arial" w:hAnsi="Arial"/>
          <w:i/>
          <w:sz w:val="20"/>
        </w:rPr>
        <w:t>knows </w:t>
      </w:r>
      <w:r>
        <w:rPr>
          <w:sz w:val="20"/>
        </w:rPr>
        <w:t>that the agreement has no contractual force because it lacks certainty or is incomplete, this fact may prevent the estoppel from arising, as in </w:t>
      </w:r>
      <w:r>
        <w:rPr>
          <w:rFonts w:ascii="Arial" w:hAnsi="Arial"/>
          <w:i/>
          <w:sz w:val="20"/>
        </w:rPr>
        <w:t>Cobbe v Yeoman’s Row Management Ltd [2008] UKHL 55, [2008] 1 W.L.R. 1752</w:t>
      </w:r>
      <w:r>
        <w:rPr>
          <w:sz w:val="20"/>
        </w:rPr>
        <w:t>, below, paras 4-161 to 4-162. See also paras 4-149 to 4-152 below</w:t>
      </w:r>
      <w:r>
        <w:rPr>
          <w:spacing w:val="40"/>
          <w:sz w:val="20"/>
        </w:rPr>
        <w:t> </w:t>
      </w:r>
      <w:r>
        <w:rPr>
          <w:sz w:val="20"/>
        </w:rPr>
        <w:t>for the discussion in </w:t>
      </w:r>
      <w:r>
        <w:rPr>
          <w:rFonts w:ascii="Arial" w:hAnsi="Arial"/>
          <w:i/>
          <w:sz w:val="20"/>
        </w:rPr>
        <w:t>Thorner v Major [2009] UKHL 18, [2009] 1 W.L.R. 776 </w:t>
      </w:r>
      <w:r>
        <w:rPr>
          <w:sz w:val="20"/>
        </w:rPr>
        <w:t>of the degree of certainty which a non-contractual promise or representation must have to give rise to a proprietary estoppel; and paras 4-165 and 4-166 for the relationship on this point between the </w:t>
      </w:r>
      <w:r>
        <w:rPr>
          <w:rFonts w:ascii="Arial" w:hAnsi="Arial"/>
          <w:i/>
          <w:sz w:val="20"/>
        </w:rPr>
        <w:t>Thorner </w:t>
      </w:r>
      <w:r>
        <w:rPr>
          <w:sz w:val="20"/>
        </w:rPr>
        <w:t>case and the </w:t>
      </w:r>
      <w:r>
        <w:rPr>
          <w:rFonts w:ascii="Arial" w:hAnsi="Arial"/>
          <w:i/>
          <w:sz w:val="20"/>
        </w:rPr>
        <w:t>Cobbe </w:t>
      </w:r>
      <w:r>
        <w:rPr>
          <w:sz w:val="20"/>
        </w:rPr>
        <w:t>case, above.</w:t>
      </w:r>
    </w:p>
    <w:p>
      <w:pPr>
        <w:pStyle w:val="BodyText"/>
        <w:spacing w:before="6"/>
      </w:pPr>
    </w:p>
    <w:p>
      <w:pPr>
        <w:pStyle w:val="BodyText"/>
        <w:spacing w:line="235" w:lineRule="auto"/>
        <w:ind w:left="705" w:right="167" w:hanging="541"/>
        <w:jc w:val="both"/>
      </w:pPr>
      <w:bookmarkStart w:name="_bookmark1738" w:id="1740"/>
      <w:bookmarkEnd w:id="1740"/>
      <w:r>
        <w:rPr/>
      </w:r>
      <w:hyperlink w:history="true" w:anchor="_bookmark1690">
        <w:r>
          <w:rPr>
            <w:color w:val="005DA1"/>
            <w:position w:val="5"/>
            <w:sz w:val="14"/>
            <w:u w:val="single" w:color="005DA1"/>
          </w:rPr>
          <w:t>917</w:t>
        </w:r>
      </w:hyperlink>
      <w:r>
        <w:rPr>
          <w:position w:val="5"/>
          <w:sz w:val="14"/>
        </w:rPr>
        <w:t>.</w:t>
      </w:r>
      <w:r>
        <w:rPr>
          <w:spacing w:val="80"/>
          <w:position w:val="5"/>
          <w:sz w:val="14"/>
        </w:rPr>
        <w:t>  </w:t>
      </w:r>
      <w:r>
        <w:rPr>
          <w:rFonts w:ascii="Arial" w:hAnsi="Arial"/>
          <w:i/>
        </w:rPr>
        <w:t>[1976] Ch. 179</w:t>
      </w:r>
      <w:r>
        <w:rPr/>
        <w:t>; above, para.4-143. Atiyah (1974) 92 L.Q.R. 174 criticises the view that there was no contract but the argument is based on the fallacy that, merely because a promise has </w:t>
      </w:r>
      <w:r>
        <w:rPr>
          <w:rFonts w:ascii="Arial" w:hAnsi="Arial"/>
          <w:i/>
        </w:rPr>
        <w:t>some </w:t>
      </w:r>
      <w:r>
        <w:rPr/>
        <w:t>legal effects, it must necessarily have </w:t>
      </w:r>
      <w:r>
        <w:rPr>
          <w:rFonts w:ascii="Arial" w:hAnsi="Arial"/>
          <w:i/>
        </w:rPr>
        <w:t>all </w:t>
      </w:r>
      <w:r>
        <w:rPr/>
        <w:t>the effects of a contract: cf. above, paras 4-</w:t>
      </w:r>
      <w:r>
        <w:rPr/>
        <w:t>013, 4-106 and below, para.4-185. The alleged contract in </w:t>
      </w:r>
      <w:r>
        <w:rPr>
          <w:rFonts w:ascii="Arial" w:hAnsi="Arial"/>
          <w:i/>
        </w:rPr>
        <w:t>Crabb’s </w:t>
      </w:r>
      <w:r>
        <w:rPr/>
        <w:t>case would, quite apart from lacking</w:t>
      </w:r>
      <w:r>
        <w:rPr>
          <w:spacing w:val="32"/>
        </w:rPr>
        <w:t> </w:t>
      </w:r>
      <w:r>
        <w:rPr/>
        <w:t>consideration,</w:t>
      </w:r>
      <w:r>
        <w:rPr>
          <w:spacing w:val="34"/>
        </w:rPr>
        <w:t> </w:t>
      </w:r>
      <w:r>
        <w:rPr/>
        <w:t>be</w:t>
      </w:r>
      <w:r>
        <w:rPr>
          <w:spacing w:val="34"/>
        </w:rPr>
        <w:t> </w:t>
      </w:r>
      <w:r>
        <w:rPr/>
        <w:t>impossibly</w:t>
      </w:r>
      <w:r>
        <w:rPr>
          <w:spacing w:val="34"/>
        </w:rPr>
        <w:t> </w:t>
      </w:r>
      <w:r>
        <w:rPr/>
        <w:t>vague:</w:t>
      </w:r>
      <w:r>
        <w:rPr>
          <w:spacing w:val="34"/>
        </w:rPr>
        <w:t> </w:t>
      </w:r>
      <w:r>
        <w:rPr/>
        <w:t>see</w:t>
      </w:r>
      <w:r>
        <w:rPr>
          <w:spacing w:val="34"/>
        </w:rPr>
        <w:t> </w:t>
      </w:r>
      <w:r>
        <w:rPr/>
        <w:t>above,</w:t>
      </w:r>
      <w:r>
        <w:rPr>
          <w:spacing w:val="34"/>
        </w:rPr>
        <w:t> </w:t>
      </w:r>
      <w:r>
        <w:rPr/>
        <w:t>para.2-147</w:t>
      </w:r>
      <w:r>
        <w:rPr>
          <w:spacing w:val="34"/>
        </w:rPr>
        <w:t> </w:t>
      </w:r>
      <w:r>
        <w:rPr/>
        <w:t>and</w:t>
      </w:r>
      <w:r>
        <w:rPr>
          <w:spacing w:val="34"/>
        </w:rPr>
        <w:t> </w:t>
      </w:r>
      <w:r>
        <w:rPr/>
        <w:t>cf.</w:t>
      </w:r>
      <w:r>
        <w:rPr>
          <w:spacing w:val="34"/>
        </w:rPr>
        <w:t> </w:t>
      </w:r>
      <w:r>
        <w:rPr/>
        <w:t>Millett</w:t>
      </w:r>
      <w:r>
        <w:rPr>
          <w:spacing w:val="34"/>
        </w:rPr>
        <w:t> </w:t>
      </w:r>
      <w:r>
        <w:rPr/>
        <w:t>(1976)</w:t>
      </w:r>
      <w:r>
        <w:rPr>
          <w:spacing w:val="34"/>
        </w:rPr>
        <w:t> </w:t>
      </w:r>
      <w:r>
        <w:rPr>
          <w:spacing w:val="-5"/>
        </w:rPr>
        <w:t>92</w:t>
      </w:r>
    </w:p>
    <w:p>
      <w:pPr>
        <w:spacing w:line="235" w:lineRule="auto" w:before="0"/>
        <w:ind w:left="705" w:right="167" w:firstLine="0"/>
        <w:jc w:val="both"/>
        <w:rPr>
          <w:sz w:val="20"/>
        </w:rPr>
      </w:pPr>
      <w:r>
        <w:rPr>
          <w:sz w:val="20"/>
        </w:rPr>
        <w:t>L.Q.R. 342; Duncanson (1976) 39 M.L.R. 268. See also </w:t>
      </w:r>
      <w:r>
        <w:rPr>
          <w:rFonts w:ascii="Arial" w:hAnsi="Arial"/>
          <w:i/>
          <w:sz w:val="20"/>
        </w:rPr>
        <w:t>Joyce v Epsom and Ewell </w:t>
      </w:r>
      <w:r>
        <w:rPr>
          <w:rFonts w:ascii="Arial" w:hAnsi="Arial"/>
          <w:i/>
          <w:sz w:val="20"/>
        </w:rPr>
        <w:t>Borough Council [2012] EWCA Civ 1398, [2013] 1 E.G.L.R. 21 </w:t>
      </w:r>
      <w:r>
        <w:rPr>
          <w:sz w:val="20"/>
        </w:rPr>
        <w:t>where the “mutual understanding” between the relevant parties “even if falling short of a contractual bargain” (at [46]) gave rise to</w:t>
      </w:r>
      <w:r>
        <w:rPr>
          <w:spacing w:val="40"/>
          <w:sz w:val="20"/>
        </w:rPr>
        <w:t> </w:t>
      </w:r>
      <w:r>
        <w:rPr>
          <w:sz w:val="20"/>
        </w:rPr>
        <w:t>a proprietary estoppel.</w:t>
      </w:r>
    </w:p>
    <w:p>
      <w:pPr>
        <w:pStyle w:val="BodyText"/>
        <w:spacing w:before="3"/>
      </w:pPr>
    </w:p>
    <w:p>
      <w:pPr>
        <w:tabs>
          <w:tab w:pos="705" w:val="left" w:leader="none"/>
        </w:tabs>
        <w:spacing w:before="0"/>
        <w:ind w:left="165" w:right="0" w:firstLine="0"/>
        <w:jc w:val="left"/>
        <w:rPr>
          <w:sz w:val="20"/>
        </w:rPr>
      </w:pPr>
      <w:bookmarkStart w:name="_bookmark1739" w:id="1741"/>
      <w:bookmarkEnd w:id="1741"/>
      <w:r>
        <w:rPr/>
      </w:r>
      <w:hyperlink w:history="true" w:anchor="_bookmark1691">
        <w:r>
          <w:rPr>
            <w:color w:val="005DA1"/>
            <w:spacing w:val="-4"/>
            <w:position w:val="5"/>
            <w:sz w:val="14"/>
            <w:u w:val="single" w:color="005DA1"/>
          </w:rPr>
          <w:t>918</w:t>
        </w:r>
      </w:hyperlink>
      <w:r>
        <w:rPr>
          <w:spacing w:val="-4"/>
          <w:position w:val="5"/>
          <w:sz w:val="14"/>
        </w:rPr>
        <w:t>.</w:t>
      </w:r>
      <w:r>
        <w:rPr>
          <w:position w:val="5"/>
          <w:sz w:val="14"/>
        </w:rPr>
        <w:tab/>
      </w:r>
      <w:r>
        <w:rPr>
          <w:rFonts w:ascii="Arial"/>
          <w:i/>
          <w:sz w:val="20"/>
        </w:rPr>
        <w:t>[2009] EWHC 1950 (Ch), [2010] 2 F.L.R. </w:t>
      </w:r>
      <w:r>
        <w:rPr>
          <w:rFonts w:ascii="Arial"/>
          <w:i/>
          <w:spacing w:val="-5"/>
          <w:sz w:val="20"/>
        </w:rPr>
        <w:t>78</w:t>
      </w:r>
      <w:r>
        <w:rPr>
          <w:spacing w:val="-5"/>
          <w:sz w:val="20"/>
        </w:rPr>
        <w:t>.</w:t>
      </w:r>
    </w:p>
    <w:p>
      <w:pPr>
        <w:spacing w:after="0"/>
        <w:jc w:val="left"/>
        <w:rPr>
          <w:sz w:val="20"/>
        </w:rPr>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1692">
        <w:r>
          <w:rPr>
            <w:color w:val="005DA1"/>
            <w:spacing w:val="-4"/>
            <w:position w:val="5"/>
            <w:sz w:val="14"/>
            <w:u w:val="single" w:color="005DA1"/>
          </w:rPr>
          <w:t>919</w:t>
        </w:r>
      </w:hyperlink>
      <w:r>
        <w:rPr>
          <w:spacing w:val="-4"/>
          <w:position w:val="5"/>
          <w:sz w:val="14"/>
        </w:rPr>
        <w:t>.</w:t>
      </w:r>
      <w:r>
        <w:rPr>
          <w:position w:val="5"/>
          <w:sz w:val="14"/>
        </w:rPr>
        <w:tab/>
      </w:r>
      <w:r>
        <w:rPr>
          <w:sz w:val="20"/>
        </w:rPr>
        <w:t>ibid., at </w:t>
      </w:r>
      <w:r>
        <w:rPr>
          <w:spacing w:val="-2"/>
          <w:sz w:val="20"/>
        </w:rPr>
        <w:t>[29].</w:t>
      </w:r>
    </w:p>
    <w:p>
      <w:pPr>
        <w:pStyle w:val="BodyText"/>
        <w:spacing w:before="5"/>
      </w:pPr>
    </w:p>
    <w:p>
      <w:pPr>
        <w:tabs>
          <w:tab w:pos="705" w:val="left" w:leader="none"/>
        </w:tabs>
        <w:spacing w:before="0"/>
        <w:ind w:left="165" w:right="0" w:firstLine="0"/>
        <w:jc w:val="left"/>
        <w:rPr>
          <w:sz w:val="20"/>
        </w:rPr>
      </w:pPr>
      <w:bookmarkStart w:name="_bookmark1740" w:id="1742"/>
      <w:bookmarkEnd w:id="1742"/>
      <w:r>
        <w:rPr/>
      </w:r>
      <w:hyperlink w:history="true" w:anchor="_bookmark1693">
        <w:r>
          <w:rPr>
            <w:color w:val="005DA1"/>
            <w:spacing w:val="-4"/>
            <w:position w:val="5"/>
            <w:sz w:val="14"/>
            <w:u w:val="single" w:color="005DA1"/>
          </w:rPr>
          <w:t>920</w:t>
        </w:r>
      </w:hyperlink>
      <w:r>
        <w:rPr>
          <w:spacing w:val="-4"/>
          <w:position w:val="5"/>
          <w:sz w:val="14"/>
        </w:rPr>
        <w:t>.</w:t>
      </w:r>
      <w:r>
        <w:rPr>
          <w:position w:val="5"/>
          <w:sz w:val="14"/>
        </w:rPr>
        <w:tab/>
      </w:r>
      <w:r>
        <w:rPr>
          <w:sz w:val="20"/>
        </w:rPr>
        <w:t>ibid., at </w:t>
      </w:r>
      <w:r>
        <w:rPr>
          <w:spacing w:val="-2"/>
          <w:sz w:val="20"/>
        </w:rPr>
        <w:t>[12].</w:t>
      </w:r>
    </w:p>
    <w:p>
      <w:pPr>
        <w:pStyle w:val="BodyText"/>
        <w:spacing w:before="5"/>
      </w:pPr>
    </w:p>
    <w:p>
      <w:pPr>
        <w:pStyle w:val="BodyText"/>
        <w:tabs>
          <w:tab w:pos="705" w:val="left" w:leader="none"/>
        </w:tabs>
        <w:ind w:left="165"/>
      </w:pPr>
      <w:bookmarkStart w:name="_bookmark1741" w:id="1743"/>
      <w:bookmarkEnd w:id="1743"/>
      <w:r>
        <w:rPr/>
      </w:r>
      <w:hyperlink w:history="true" w:anchor="_bookmark1694">
        <w:r>
          <w:rPr>
            <w:color w:val="005DA1"/>
            <w:spacing w:val="-4"/>
            <w:position w:val="5"/>
            <w:sz w:val="14"/>
            <w:u w:val="single" w:color="005DA1"/>
          </w:rPr>
          <w:t>921</w:t>
        </w:r>
      </w:hyperlink>
      <w:r>
        <w:rPr>
          <w:spacing w:val="-4"/>
          <w:position w:val="5"/>
          <w:sz w:val="14"/>
        </w:rPr>
        <w:t>.</w:t>
      </w:r>
      <w:r>
        <w:rPr>
          <w:position w:val="5"/>
          <w:sz w:val="14"/>
        </w:rPr>
        <w:tab/>
      </w:r>
      <w:r>
        <w:rPr/>
        <w:t>See above, at </w:t>
      </w:r>
      <w:r>
        <w:rPr>
          <w:spacing w:val="-2"/>
        </w:rPr>
        <w:t>n.868.</w:t>
      </w:r>
    </w:p>
    <w:p>
      <w:pPr>
        <w:pStyle w:val="BodyText"/>
        <w:spacing w:before="5"/>
      </w:pPr>
    </w:p>
    <w:p>
      <w:pPr>
        <w:tabs>
          <w:tab w:pos="705" w:val="left" w:leader="none"/>
        </w:tabs>
        <w:spacing w:before="0"/>
        <w:ind w:left="165" w:right="0" w:firstLine="0"/>
        <w:jc w:val="left"/>
        <w:rPr>
          <w:sz w:val="20"/>
        </w:rPr>
      </w:pPr>
      <w:bookmarkStart w:name="_bookmark1742" w:id="1744"/>
      <w:bookmarkEnd w:id="1744"/>
      <w:r>
        <w:rPr/>
      </w:r>
      <w:hyperlink w:history="true" w:anchor="_bookmark1695">
        <w:r>
          <w:rPr>
            <w:color w:val="005DA1"/>
            <w:spacing w:val="-4"/>
            <w:position w:val="5"/>
            <w:sz w:val="14"/>
            <w:u w:val="single" w:color="005DA1"/>
          </w:rPr>
          <w:t>922</w:t>
        </w:r>
      </w:hyperlink>
      <w:r>
        <w:rPr>
          <w:spacing w:val="-4"/>
          <w:position w:val="5"/>
          <w:sz w:val="14"/>
        </w:rPr>
        <w:t>.</w:t>
      </w:r>
      <w:r>
        <w:rPr>
          <w:position w:val="5"/>
          <w:sz w:val="14"/>
        </w:rPr>
        <w:tab/>
      </w:r>
      <w:r>
        <w:rPr>
          <w:rFonts w:ascii="Arial"/>
          <w:i/>
          <w:sz w:val="20"/>
        </w:rPr>
        <w:t>[2009] EWHC 1950 (Ch)</w:t>
      </w:r>
      <w:r>
        <w:rPr>
          <w:rFonts w:ascii="Arial"/>
          <w:i/>
          <w:spacing w:val="-1"/>
          <w:sz w:val="20"/>
        </w:rPr>
        <w:t> </w:t>
      </w:r>
      <w:r>
        <w:rPr>
          <w:sz w:val="20"/>
        </w:rPr>
        <w:t>at </w:t>
      </w:r>
      <w:r>
        <w:rPr>
          <w:spacing w:val="-2"/>
          <w:sz w:val="20"/>
        </w:rPr>
        <w:t>[20].</w:t>
      </w:r>
    </w:p>
    <w:p>
      <w:pPr>
        <w:pStyle w:val="BodyText"/>
        <w:spacing w:before="9"/>
      </w:pPr>
    </w:p>
    <w:p>
      <w:pPr>
        <w:pStyle w:val="BodyText"/>
        <w:spacing w:line="235" w:lineRule="auto"/>
        <w:ind w:left="705" w:right="167" w:hanging="541"/>
        <w:jc w:val="both"/>
      </w:pPr>
      <w:bookmarkStart w:name="_bookmark1743" w:id="1745"/>
      <w:bookmarkEnd w:id="1745"/>
      <w:r>
        <w:rPr/>
      </w:r>
      <w:hyperlink w:history="true" w:anchor="_bookmark1696">
        <w:r>
          <w:rPr>
            <w:color w:val="005DA1"/>
            <w:position w:val="5"/>
            <w:sz w:val="14"/>
            <w:u w:val="single" w:color="005DA1"/>
          </w:rPr>
          <w:t>923</w:t>
        </w:r>
      </w:hyperlink>
      <w:r>
        <w:rPr>
          <w:position w:val="5"/>
          <w:sz w:val="14"/>
        </w:rPr>
        <w:t>.</w:t>
      </w:r>
      <w:r>
        <w:rPr>
          <w:spacing w:val="80"/>
          <w:position w:val="5"/>
          <w:sz w:val="14"/>
        </w:rPr>
        <w:t>  </w:t>
      </w:r>
      <w:r>
        <w:rPr/>
        <w:t>Law of Property (Miscellaneous Provisions) Act 1989, s.2(1)–(3). Previously the contract could be </w:t>
      </w:r>
      <w:r>
        <w:rPr>
          <w:rFonts w:ascii="Arial" w:hAnsi="Arial"/>
          <w:i/>
        </w:rPr>
        <w:t>made </w:t>
      </w:r>
      <w:r>
        <w:rPr/>
        <w:t>informally, but Law of Property Act 1925, s.40 (replacing part of Statute of </w:t>
      </w:r>
      <w:r>
        <w:rPr/>
        <w:t>Frauds 1677, s.4, and now repealed) had required either a note or memorandum in writing as evidence of the contract, or “part performance” of the contract. The latter requirement could be satisfied by the conduct of the promisee giving rise to proprietary estoppel. cf. the reference to “part performance” in </w:t>
      </w:r>
      <w:r>
        <w:rPr>
          <w:rFonts w:ascii="Arial" w:hAnsi="Arial"/>
          <w:i/>
        </w:rPr>
        <w:t>Dillwyn v Llewelyn (1862) 4 D.F. &amp; G. 517, 521</w:t>
      </w:r>
      <w:r>
        <w:rPr/>
        <w:t>.</w:t>
      </w:r>
    </w:p>
    <w:p>
      <w:pPr>
        <w:pStyle w:val="BodyText"/>
        <w:spacing w:before="4"/>
      </w:pPr>
    </w:p>
    <w:p>
      <w:pPr>
        <w:pStyle w:val="BodyText"/>
        <w:tabs>
          <w:tab w:pos="705" w:val="left" w:leader="none"/>
        </w:tabs>
        <w:ind w:left="165"/>
      </w:pPr>
      <w:bookmarkStart w:name="_bookmark1744" w:id="1746"/>
      <w:bookmarkEnd w:id="1746"/>
      <w:r>
        <w:rPr/>
      </w:r>
      <w:hyperlink w:history="true" w:anchor="_bookmark1697">
        <w:r>
          <w:rPr>
            <w:color w:val="005DA1"/>
            <w:spacing w:val="-4"/>
            <w:position w:val="5"/>
            <w:sz w:val="14"/>
            <w:u w:val="single" w:color="005DA1"/>
          </w:rPr>
          <w:t>924</w:t>
        </w:r>
      </w:hyperlink>
      <w:r>
        <w:rPr>
          <w:spacing w:val="-4"/>
          <w:position w:val="5"/>
          <w:sz w:val="14"/>
        </w:rPr>
        <w:t>.</w:t>
      </w:r>
      <w:r>
        <w:rPr>
          <w:position w:val="5"/>
          <w:sz w:val="14"/>
        </w:rPr>
        <w:tab/>
      </w:r>
      <w:r>
        <w:rPr/>
        <w:t>See above, para.4-115 n.686. cf. Law Com. No.164 (1987) </w:t>
      </w:r>
      <w:r>
        <w:rPr>
          <w:spacing w:val="-2"/>
        </w:rPr>
        <w:t>para.5.5.</w:t>
      </w:r>
    </w:p>
    <w:p>
      <w:pPr>
        <w:pStyle w:val="BodyText"/>
        <w:spacing w:before="8"/>
      </w:pPr>
    </w:p>
    <w:p>
      <w:pPr>
        <w:pStyle w:val="BodyText"/>
        <w:spacing w:line="235" w:lineRule="auto" w:before="1"/>
        <w:ind w:left="705" w:right="167" w:hanging="541"/>
        <w:jc w:val="both"/>
      </w:pPr>
      <w:bookmarkStart w:name="_bookmark1745" w:id="1747"/>
      <w:bookmarkEnd w:id="1747"/>
      <w:r>
        <w:rPr/>
      </w:r>
      <w:hyperlink w:history="true" w:anchor="_bookmark1698">
        <w:r>
          <w:rPr>
            <w:color w:val="005DA1"/>
            <w:position w:val="5"/>
            <w:sz w:val="14"/>
            <w:u w:val="single" w:color="005DA1"/>
          </w:rPr>
          <w:t>925</w:t>
        </w:r>
      </w:hyperlink>
      <w:r>
        <w:rPr>
          <w:position w:val="5"/>
          <w:sz w:val="14"/>
        </w:rPr>
        <w:t>.</w:t>
      </w:r>
      <w:r>
        <w:rPr>
          <w:spacing w:val="80"/>
          <w:w w:val="150"/>
          <w:position w:val="5"/>
          <w:sz w:val="14"/>
        </w:rPr>
        <w:t> </w:t>
      </w:r>
      <w:r>
        <w:rPr/>
        <w:t>For the view that proprietary estoppel can apply where the subject-matter of the promise is property other than land, see below, para.4-157. For the definition of “interest in land” within s.2 of the Law of Property (Miscellaneous Provisions) Act 1989 s.2, see ibid., s.2(6). An </w:t>
      </w:r>
      <w:r>
        <w:rPr/>
        <w:t>irrevocable licence can be a sufficiently certain “interest in land” for the purpose of satisfying the second of the requirements of proprietary estoppel stated in para.4-162 below: see </w:t>
      </w:r>
      <w:r>
        <w:rPr>
          <w:rFonts w:ascii="Arial" w:hAnsi="Arial"/>
          <w:i/>
        </w:rPr>
        <w:t>Cobbe v Yeoman’s Row Management Ltd [2008] UKHL 55, [2008] 1 W.L.R. 1752 </w:t>
      </w:r>
      <w:r>
        <w:rPr/>
        <w:t>at [21], [22], per Lord Scott.</w:t>
      </w:r>
    </w:p>
    <w:p>
      <w:pPr>
        <w:pStyle w:val="BodyText"/>
        <w:spacing w:before="3"/>
      </w:pPr>
    </w:p>
    <w:p>
      <w:pPr>
        <w:pStyle w:val="BodyText"/>
        <w:tabs>
          <w:tab w:pos="705" w:val="left" w:leader="none"/>
        </w:tabs>
        <w:spacing w:before="1"/>
        <w:ind w:left="165"/>
      </w:pPr>
      <w:bookmarkStart w:name="_bookmark1746" w:id="1748"/>
      <w:bookmarkEnd w:id="1748"/>
      <w:r>
        <w:rPr/>
      </w:r>
      <w:hyperlink w:history="true" w:anchor="_bookmark1699">
        <w:r>
          <w:rPr>
            <w:color w:val="005DA1"/>
            <w:spacing w:val="-4"/>
            <w:position w:val="5"/>
            <w:sz w:val="14"/>
            <w:u w:val="single" w:color="005DA1"/>
          </w:rPr>
          <w:t>926</w:t>
        </w:r>
      </w:hyperlink>
      <w:r>
        <w:rPr>
          <w:spacing w:val="-4"/>
          <w:position w:val="5"/>
          <w:sz w:val="14"/>
        </w:rPr>
        <w:t>.</w:t>
      </w:r>
      <w:r>
        <w:rPr>
          <w:position w:val="5"/>
          <w:sz w:val="14"/>
        </w:rPr>
        <w:tab/>
      </w:r>
      <w:r>
        <w:rPr/>
        <w:t>Such as the discretionary nature of the remedy: below, paras 4-173, 4-</w:t>
      </w:r>
      <w:r>
        <w:rPr>
          <w:spacing w:val="-4"/>
        </w:rPr>
        <w:t>185.</w:t>
      </w:r>
    </w:p>
    <w:p>
      <w:pPr>
        <w:pStyle w:val="BodyText"/>
        <w:spacing w:before="4"/>
      </w:pPr>
    </w:p>
    <w:p>
      <w:pPr>
        <w:tabs>
          <w:tab w:pos="705" w:val="left" w:leader="none"/>
        </w:tabs>
        <w:spacing w:before="1"/>
        <w:ind w:left="165" w:right="0" w:firstLine="0"/>
        <w:jc w:val="left"/>
        <w:rPr>
          <w:sz w:val="20"/>
        </w:rPr>
      </w:pPr>
      <w:bookmarkStart w:name="_bookmark1747" w:id="1749"/>
      <w:bookmarkEnd w:id="1749"/>
      <w:r>
        <w:rPr/>
      </w:r>
      <w:hyperlink w:history="true" w:anchor="_bookmark1700">
        <w:r>
          <w:rPr>
            <w:color w:val="005DA1"/>
            <w:spacing w:val="-4"/>
            <w:position w:val="5"/>
            <w:sz w:val="14"/>
            <w:u w:val="single" w:color="005DA1"/>
          </w:rPr>
          <w:t>927</w:t>
        </w:r>
      </w:hyperlink>
      <w:r>
        <w:rPr>
          <w:spacing w:val="-4"/>
          <w:position w:val="5"/>
          <w:sz w:val="14"/>
        </w:rPr>
        <w:t>.</w:t>
      </w:r>
      <w:r>
        <w:rPr>
          <w:position w:val="5"/>
          <w:sz w:val="14"/>
        </w:rPr>
        <w:tab/>
      </w:r>
      <w:r>
        <w:rPr>
          <w:rFonts w:ascii="Arial"/>
          <w:i/>
          <w:sz w:val="20"/>
        </w:rPr>
        <w:t>April</w:t>
      </w:r>
      <w:r>
        <w:rPr>
          <w:rFonts w:ascii="Arial"/>
          <w:i/>
          <w:spacing w:val="-1"/>
          <w:sz w:val="20"/>
        </w:rPr>
        <w:t> </w:t>
      </w:r>
      <w:r>
        <w:rPr>
          <w:rFonts w:ascii="Arial"/>
          <w:i/>
          <w:sz w:val="20"/>
        </w:rPr>
        <w:t>14, 1994</w:t>
      </w:r>
      <w:r>
        <w:rPr>
          <w:sz w:val="20"/>
        </w:rPr>
        <w:t>, cited in</w:t>
      </w:r>
      <w:r>
        <w:rPr>
          <w:spacing w:val="-1"/>
          <w:sz w:val="20"/>
        </w:rPr>
        <w:t> </w:t>
      </w:r>
      <w:r>
        <w:rPr>
          <w:rFonts w:ascii="Arial"/>
          <w:i/>
          <w:sz w:val="20"/>
        </w:rPr>
        <w:t>Thorner v Major [2009] UKHL 18, [2009] 1 W.L.R. 776</w:t>
      </w:r>
      <w:r>
        <w:rPr>
          <w:rFonts w:ascii="Arial"/>
          <w:i/>
          <w:spacing w:val="-1"/>
          <w:sz w:val="20"/>
        </w:rPr>
        <w:t> </w:t>
      </w:r>
      <w:r>
        <w:rPr>
          <w:sz w:val="20"/>
        </w:rPr>
        <w:t>at </w:t>
      </w:r>
      <w:r>
        <w:rPr>
          <w:spacing w:val="-2"/>
          <w:sz w:val="20"/>
        </w:rPr>
        <w:t>[52].</w:t>
      </w:r>
    </w:p>
    <w:p>
      <w:pPr>
        <w:pStyle w:val="BodyText"/>
        <w:spacing w:before="8"/>
      </w:pPr>
    </w:p>
    <w:p>
      <w:pPr>
        <w:pStyle w:val="BodyText"/>
        <w:tabs>
          <w:tab w:pos="705" w:val="left" w:leader="none"/>
        </w:tabs>
        <w:spacing w:line="235" w:lineRule="auto"/>
        <w:ind w:left="705" w:right="168" w:hanging="541"/>
      </w:pPr>
      <w:bookmarkStart w:name="_bookmark1748" w:id="1750"/>
      <w:bookmarkEnd w:id="1750"/>
      <w:r>
        <w:rPr/>
      </w:r>
      <w:hyperlink w:history="true" w:anchor="_bookmark1701">
        <w:r>
          <w:rPr>
            <w:color w:val="005DA1"/>
            <w:spacing w:val="-4"/>
            <w:position w:val="5"/>
            <w:sz w:val="14"/>
            <w:u w:val="single" w:color="005DA1"/>
          </w:rPr>
          <w:t>928</w:t>
        </w:r>
      </w:hyperlink>
      <w:r>
        <w:rPr>
          <w:spacing w:val="-4"/>
          <w:position w:val="5"/>
          <w:sz w:val="14"/>
        </w:rPr>
        <w:t>.</w:t>
      </w:r>
      <w:r>
        <w:rPr>
          <w:position w:val="5"/>
          <w:sz w:val="14"/>
        </w:rPr>
        <w:tab/>
      </w:r>
      <w:r>
        <w:rPr/>
        <w:t>Cited</w:t>
      </w:r>
      <w:r>
        <w:rPr>
          <w:spacing w:val="-1"/>
        </w:rPr>
        <w:t> </w:t>
      </w:r>
      <w:r>
        <w:rPr/>
        <w:t>ibid.,</w:t>
      </w:r>
      <w:r>
        <w:rPr>
          <w:spacing w:val="-1"/>
        </w:rPr>
        <w:t> </w:t>
      </w:r>
      <w:r>
        <w:rPr/>
        <w:t>at</w:t>
      </w:r>
      <w:r>
        <w:rPr>
          <w:spacing w:val="-1"/>
        </w:rPr>
        <w:t> </w:t>
      </w:r>
      <w:r>
        <w:rPr/>
        <w:t>[57]</w:t>
      </w:r>
      <w:r>
        <w:rPr>
          <w:spacing w:val="-1"/>
        </w:rPr>
        <w:t> </w:t>
      </w:r>
      <w:r>
        <w:rPr/>
        <w:t>and</w:t>
      </w:r>
      <w:r>
        <w:rPr>
          <w:spacing w:val="-1"/>
        </w:rPr>
        <w:t> </w:t>
      </w:r>
      <w:r>
        <w:rPr/>
        <w:t>[101];</w:t>
      </w:r>
      <w:r>
        <w:rPr>
          <w:spacing w:val="-1"/>
        </w:rPr>
        <w:t> </w:t>
      </w:r>
      <w:r>
        <w:rPr/>
        <w:t>the</w:t>
      </w:r>
      <w:r>
        <w:rPr>
          <w:spacing w:val="-1"/>
        </w:rPr>
        <w:t> </w:t>
      </w:r>
      <w:r>
        <w:rPr/>
        <w:t>context</w:t>
      </w:r>
      <w:r>
        <w:rPr>
          <w:spacing w:val="-1"/>
        </w:rPr>
        <w:t> </w:t>
      </w:r>
      <w:r>
        <w:rPr/>
        <w:t>indicates</w:t>
      </w:r>
      <w:r>
        <w:rPr>
          <w:spacing w:val="-1"/>
        </w:rPr>
        <w:t> </w:t>
      </w:r>
      <w:r>
        <w:rPr/>
        <w:t>that</w:t>
      </w:r>
      <w:r>
        <w:rPr>
          <w:spacing w:val="-1"/>
        </w:rPr>
        <w:t> </w:t>
      </w:r>
      <w:r>
        <w:rPr/>
        <w:t>“equitable”</w:t>
      </w:r>
      <w:r>
        <w:rPr>
          <w:spacing w:val="-1"/>
        </w:rPr>
        <w:t> </w:t>
      </w:r>
      <w:r>
        <w:rPr/>
        <w:t>in</w:t>
      </w:r>
      <w:r>
        <w:rPr>
          <w:spacing w:val="-1"/>
        </w:rPr>
        <w:t> </w:t>
      </w:r>
      <w:r>
        <w:rPr/>
        <w:t>the</w:t>
      </w:r>
      <w:r>
        <w:rPr>
          <w:spacing w:val="-1"/>
        </w:rPr>
        <w:t> </w:t>
      </w:r>
      <w:r>
        <w:rPr/>
        <w:t>passage</w:t>
      </w:r>
      <w:r>
        <w:rPr>
          <w:spacing w:val="-1"/>
        </w:rPr>
        <w:t> </w:t>
      </w:r>
      <w:r>
        <w:rPr/>
        <w:t>so</w:t>
      </w:r>
      <w:r>
        <w:rPr>
          <w:spacing w:val="-1"/>
        </w:rPr>
        <w:t> </w:t>
      </w:r>
      <w:r>
        <w:rPr/>
        <w:t>cited</w:t>
      </w:r>
      <w:r>
        <w:rPr>
          <w:spacing w:val="-1"/>
        </w:rPr>
        <w:t> </w:t>
      </w:r>
      <w:r>
        <w:rPr/>
        <w:t>refers to proprietary estoppel.</w:t>
      </w:r>
    </w:p>
    <w:p>
      <w:pPr>
        <w:pStyle w:val="BodyText"/>
        <w:spacing w:before="6"/>
      </w:pPr>
    </w:p>
    <w:p>
      <w:pPr>
        <w:pStyle w:val="BodyText"/>
        <w:tabs>
          <w:tab w:pos="705" w:val="left" w:leader="none"/>
        </w:tabs>
        <w:ind w:left="165"/>
      </w:pPr>
      <w:bookmarkStart w:name="_bookmark1749" w:id="1751"/>
      <w:bookmarkEnd w:id="1751"/>
      <w:r>
        <w:rPr/>
      </w:r>
      <w:hyperlink w:history="true" w:anchor="_bookmark1702">
        <w:r>
          <w:rPr>
            <w:color w:val="005DA1"/>
            <w:spacing w:val="-4"/>
            <w:position w:val="5"/>
            <w:sz w:val="14"/>
            <w:u w:val="single" w:color="005DA1"/>
          </w:rPr>
          <w:t>929</w:t>
        </w:r>
      </w:hyperlink>
      <w:r>
        <w:rPr>
          <w:spacing w:val="-4"/>
          <w:position w:val="5"/>
          <w:sz w:val="14"/>
        </w:rPr>
        <w:t>.</w:t>
      </w:r>
      <w:r>
        <w:rPr>
          <w:position w:val="5"/>
          <w:sz w:val="14"/>
        </w:rPr>
        <w:tab/>
      </w:r>
      <w:r>
        <w:rPr/>
        <w:t>See above, at </w:t>
      </w:r>
      <w:r>
        <w:rPr>
          <w:spacing w:val="-2"/>
        </w:rPr>
        <w:t>n.875.</w:t>
      </w:r>
    </w:p>
    <w:p>
      <w:pPr>
        <w:pStyle w:val="BodyText"/>
        <w:spacing w:before="5"/>
      </w:pPr>
    </w:p>
    <w:p>
      <w:pPr>
        <w:pStyle w:val="BodyText"/>
        <w:tabs>
          <w:tab w:pos="705" w:val="left" w:leader="none"/>
        </w:tabs>
        <w:ind w:left="165"/>
      </w:pPr>
      <w:bookmarkStart w:name="_bookmark1750" w:id="1752"/>
      <w:bookmarkEnd w:id="1752"/>
      <w:r>
        <w:rPr/>
      </w:r>
      <w:hyperlink w:history="true" w:anchor="_bookmark1702">
        <w:r>
          <w:rPr>
            <w:color w:val="005DA1"/>
            <w:spacing w:val="-4"/>
            <w:position w:val="5"/>
            <w:sz w:val="14"/>
            <w:u w:val="single" w:color="005DA1"/>
          </w:rPr>
          <w:t>930</w:t>
        </w:r>
      </w:hyperlink>
      <w:r>
        <w:rPr>
          <w:spacing w:val="-4"/>
          <w:position w:val="5"/>
          <w:sz w:val="14"/>
        </w:rPr>
        <w:t>.</w:t>
      </w:r>
      <w:r>
        <w:rPr>
          <w:position w:val="5"/>
          <w:sz w:val="14"/>
        </w:rPr>
        <w:tab/>
      </w:r>
      <w:r>
        <w:rPr/>
        <w:t>See</w:t>
      </w:r>
      <w:r>
        <w:rPr>
          <w:spacing w:val="-2"/>
        </w:rPr>
        <w:t> </w:t>
      </w:r>
      <w:r>
        <w:rPr/>
        <w:t>below, para.4-</w:t>
      </w:r>
      <w:r>
        <w:rPr>
          <w:spacing w:val="-4"/>
        </w:rPr>
        <w:t>179.</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726" w:right="2730"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2238464">
                <wp:simplePos x="0" y="0"/>
                <wp:positionH relativeFrom="page">
                  <wp:posOffset>4707940</wp:posOffset>
                </wp:positionH>
                <wp:positionV relativeFrom="paragraph">
                  <wp:posOffset>377436</wp:posOffset>
                </wp:positionV>
                <wp:extent cx="42545"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78016" from="370.70401pt,29.719406pt" to="374.04001pt,29.719406pt" stroked="true" strokeweight=".428pt" strokecolor="#005da1">
                <v:stroke dashstyle="solid"/>
                <w10:wrap type="none"/>
              </v:line>
            </w:pict>
          </mc:Fallback>
        </mc:AlternateContent>
      </w:r>
      <w:r>
        <w:rPr>
          <w:rFonts w:ascii="Arial"/>
          <w:b/>
          <w:sz w:val="24"/>
        </w:rPr>
        <w:t>Part 2 - Formation of Contract Chapter 4 - Consideration </w:t>
      </w:r>
      <w:r>
        <w:rPr>
          <w:rFonts w:ascii="Arial"/>
          <w:b/>
          <w:color w:val="005DA1"/>
          <w:position w:val="11"/>
          <w:sz w:val="12"/>
        </w:rPr>
        <w:t>1</w:t>
      </w:r>
      <w:r>
        <w:rPr>
          <w:rFonts w:ascii="Arial"/>
          <w:b/>
          <w:color w:val="005DA1"/>
          <w:spacing w:val="40"/>
          <w:position w:val="11"/>
          <w:sz w:val="12"/>
        </w:rPr>
        <w:t> </w:t>
      </w:r>
      <w:r>
        <w:rPr>
          <w:rFonts w:ascii="Arial"/>
          <w:b/>
          <w:sz w:val="24"/>
        </w:rPr>
        <w:t>Section</w:t>
      </w:r>
      <w:r>
        <w:rPr>
          <w:rFonts w:ascii="Arial"/>
          <w:b/>
          <w:spacing w:val="-10"/>
          <w:sz w:val="24"/>
        </w:rPr>
        <w:t> </w:t>
      </w:r>
      <w:r>
        <w:rPr>
          <w:rFonts w:ascii="Arial"/>
          <w:b/>
          <w:sz w:val="24"/>
        </w:rPr>
        <w:t>11.</w:t>
      </w:r>
      <w:r>
        <w:rPr>
          <w:rFonts w:ascii="Arial"/>
          <w:b/>
          <w:spacing w:val="-10"/>
          <w:sz w:val="24"/>
        </w:rPr>
        <w:t> </w:t>
      </w:r>
      <w:r>
        <w:rPr>
          <w:rFonts w:ascii="Arial"/>
          <w:b/>
          <w:sz w:val="24"/>
        </w:rPr>
        <w:t>-</w:t>
      </w:r>
      <w:r>
        <w:rPr>
          <w:rFonts w:ascii="Arial"/>
          <w:b/>
          <w:spacing w:val="-10"/>
          <w:sz w:val="24"/>
        </w:rPr>
        <w:t> </w:t>
      </w:r>
      <w:r>
        <w:rPr>
          <w:rFonts w:ascii="Arial"/>
          <w:b/>
          <w:sz w:val="24"/>
        </w:rPr>
        <w:t>Proprietary</w:t>
      </w:r>
      <w:r>
        <w:rPr>
          <w:rFonts w:ascii="Arial"/>
          <w:b/>
          <w:spacing w:val="-10"/>
          <w:sz w:val="24"/>
        </w:rPr>
        <w:t> </w:t>
      </w:r>
      <w:r>
        <w:rPr>
          <w:rFonts w:ascii="Arial"/>
          <w:b/>
          <w:sz w:val="24"/>
        </w:rPr>
        <w:t>Estoppel</w:t>
      </w:r>
    </w:p>
    <w:p>
      <w:pPr>
        <w:pStyle w:val="ListParagraph"/>
        <w:numPr>
          <w:ilvl w:val="0"/>
          <w:numId w:val="7"/>
        </w:numPr>
        <w:tabs>
          <w:tab w:pos="2885" w:val="left" w:leader="none"/>
        </w:tabs>
        <w:spacing w:line="240" w:lineRule="auto" w:before="2" w:after="0"/>
        <w:ind w:left="2885" w:right="0" w:hanging="360"/>
        <w:jc w:val="left"/>
        <w:rPr>
          <w:rFonts w:ascii="Arial"/>
          <w:b/>
          <w:sz w:val="24"/>
        </w:rPr>
      </w:pPr>
      <w:r>
        <w:rPr>
          <w:rFonts w:ascii="Arial"/>
          <w:b/>
          <w:sz w:val="24"/>
        </w:rPr>
        <w:t>- Conditions giving rise to </w:t>
      </w:r>
      <w:r>
        <w:rPr>
          <w:rFonts w:ascii="Arial"/>
          <w:b/>
          <w:spacing w:val="-2"/>
          <w:sz w:val="24"/>
        </w:rPr>
        <w:t>Liability</w:t>
      </w:r>
    </w:p>
    <w:p>
      <w:pPr>
        <w:pStyle w:val="BodyText"/>
        <w:rPr>
          <w:rFonts w:ascii="Arial"/>
          <w:b/>
          <w:sz w:val="24"/>
        </w:rPr>
      </w:pPr>
    </w:p>
    <w:p>
      <w:pPr>
        <w:pStyle w:val="BodyText"/>
        <w:spacing w:before="89"/>
        <w:rPr>
          <w:rFonts w:ascii="Arial"/>
          <w:b/>
          <w:sz w:val="24"/>
        </w:rPr>
      </w:pPr>
    </w:p>
    <w:p>
      <w:pPr>
        <w:spacing w:before="1"/>
        <w:ind w:left="165" w:right="0" w:firstLine="0"/>
        <w:jc w:val="left"/>
        <w:rPr>
          <w:rFonts w:ascii="Arial"/>
          <w:b/>
          <w:sz w:val="18"/>
        </w:rPr>
      </w:pPr>
      <w:r>
        <w:rPr>
          <w:rFonts w:ascii="Arial"/>
          <w:b/>
          <w:sz w:val="18"/>
        </w:rPr>
        <w:t>Main elements of proprietary </w:t>
      </w:r>
      <w:r>
        <w:rPr>
          <w:rFonts w:ascii="Arial"/>
          <w:b/>
          <w:spacing w:val="-2"/>
          <w:sz w:val="18"/>
        </w:rPr>
        <w:t>estoppel</w:t>
      </w:r>
    </w:p>
    <w:p>
      <w:pPr>
        <w:pStyle w:val="BodyText"/>
        <w:spacing w:before="41"/>
        <w:rPr>
          <w:rFonts w:ascii="Arial"/>
          <w:b/>
          <w:sz w:val="18"/>
        </w:rPr>
      </w:pPr>
    </w:p>
    <w:p>
      <w:pPr>
        <w:pStyle w:val="Heading2"/>
      </w:pPr>
      <w:r>
        <w:rPr/>
        <w:t>4-</w:t>
      </w:r>
      <w:r>
        <w:rPr>
          <w:spacing w:val="-5"/>
        </w:rPr>
        <w:t>146</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334" name="Image 334"/>
            <wp:cNvGraphicFramePr>
              <a:graphicFrameLocks/>
            </wp:cNvGraphicFramePr>
            <a:graphic>
              <a:graphicData uri="http://schemas.openxmlformats.org/drawingml/2006/picture">
                <pic:pic>
                  <pic:nvPicPr>
                    <pic:cNvPr id="334" name="Image 33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There are said to be “three main elements” of proprietary estoppel: a representation made or </w:t>
      </w:r>
      <w:bookmarkStart w:name="_bookmark1751" w:id="1753"/>
      <w:bookmarkEnd w:id="1753"/>
      <w:r>
        <w:rPr/>
        <w:t>assurance</w:t>
      </w:r>
      <w:r>
        <w:rPr>
          <w:spacing w:val="23"/>
        </w:rPr>
        <w:t> </w:t>
      </w:r>
      <w:r>
        <w:rPr/>
        <w:t>given</w:t>
      </w:r>
      <w:r>
        <w:rPr>
          <w:spacing w:val="23"/>
        </w:rPr>
        <w:t> </w:t>
      </w:r>
      <w:r>
        <w:rPr/>
        <w:t>to</w:t>
      </w:r>
      <w:r>
        <w:rPr>
          <w:spacing w:val="23"/>
        </w:rPr>
        <w:t> </w:t>
      </w:r>
      <w:r>
        <w:rPr/>
        <w:t>the</w:t>
      </w:r>
      <w:r>
        <w:rPr>
          <w:spacing w:val="23"/>
        </w:rPr>
        <w:t> </w:t>
      </w:r>
      <w:r>
        <w:rPr/>
        <w:t>claimant,</w:t>
      </w:r>
      <w:r>
        <w:rPr>
          <w:spacing w:val="23"/>
        </w:rPr>
        <w:t> </w:t>
      </w:r>
      <w:r>
        <w:rPr/>
        <w:t>reliance</w:t>
      </w:r>
      <w:r>
        <w:rPr>
          <w:spacing w:val="23"/>
        </w:rPr>
        <w:t> </w:t>
      </w:r>
      <w:r>
        <w:rPr/>
        <w:t>by</w:t>
      </w:r>
      <w:r>
        <w:rPr>
          <w:spacing w:val="23"/>
        </w:rPr>
        <w:t> </w:t>
      </w:r>
      <w:r>
        <w:rPr/>
        <w:t>the</w:t>
      </w:r>
      <w:r>
        <w:rPr>
          <w:spacing w:val="23"/>
        </w:rPr>
        <w:t> </w:t>
      </w:r>
      <w:r>
        <w:rPr/>
        <w:t>claimant</w:t>
      </w:r>
      <w:r>
        <w:rPr>
          <w:spacing w:val="23"/>
        </w:rPr>
        <w:t> </w:t>
      </w:r>
      <w:r>
        <w:rPr/>
        <w:t>on</w:t>
      </w:r>
      <w:r>
        <w:rPr>
          <w:spacing w:val="23"/>
        </w:rPr>
        <w:t> </w:t>
      </w:r>
      <w:r>
        <w:rPr/>
        <w:t>that</w:t>
      </w:r>
      <w:r>
        <w:rPr>
          <w:spacing w:val="23"/>
        </w:rPr>
        <w:t> </w:t>
      </w:r>
      <w:r>
        <w:rPr/>
        <w:t>representation</w:t>
      </w:r>
      <w:r>
        <w:rPr>
          <w:spacing w:val="23"/>
        </w:rPr>
        <w:t> </w:t>
      </w:r>
      <w:r>
        <w:rPr/>
        <w:t>or</w:t>
      </w:r>
      <w:r>
        <w:rPr>
          <w:spacing w:val="23"/>
        </w:rPr>
        <w:t> </w:t>
      </w:r>
      <w:r>
        <w:rPr/>
        <w:t>assurance,</w:t>
      </w:r>
      <w:r>
        <w:rPr>
          <w:spacing w:val="23"/>
        </w:rPr>
        <w:t> </w:t>
      </w:r>
      <w:r>
        <w:rPr>
          <w:spacing w:val="-5"/>
        </w:rPr>
        <w:t>and</w:t>
      </w:r>
    </w:p>
    <w:p>
      <w:pPr>
        <w:pStyle w:val="BodyText"/>
        <w:spacing w:line="235" w:lineRule="auto" w:before="119"/>
        <w:ind w:left="165" w:right="167"/>
        <w:jc w:val="both"/>
      </w:pPr>
      <w:r>
        <w:rPr/>
        <w:t>detriment suffered by the claimant in consequence of such reliance. </w:t>
      </w:r>
      <w:r>
        <w:rPr>
          <w:color w:val="005DA1"/>
          <w:u w:val="single" w:color="005DA1"/>
          <w:vertAlign w:val="superscript"/>
        </w:rPr>
        <w:t>931</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hAnsi="Times New Roman"/>
          <w:color w:val="005DA1"/>
          <w:vertAlign w:val="baseline"/>
        </w:rPr>
        <w:t> </w:t>
      </w:r>
      <w:r>
        <w:rPr>
          <w:vertAlign w:val="baseline"/>
        </w:rPr>
        <w:t>These requirements </w:t>
      </w:r>
      <w:r>
        <w:rPr>
          <w:vertAlign w:val="baseline"/>
        </w:rPr>
        <w:t>are </w:t>
      </w:r>
      <w:bookmarkStart w:name="_bookmark1752" w:id="1754"/>
      <w:bookmarkEnd w:id="1754"/>
      <w:r>
        <w:rPr>
          <w:vertAlign w:val="baseline"/>
        </w:rPr>
        <w:t>discussed</w:t>
      </w:r>
      <w:r>
        <w:rPr>
          <w:vertAlign w:val="baseline"/>
        </w:rPr>
        <w:t> in paras 4-147 to 4-166 of this Chapter. Our concern in these paragraphs will be with situations in which the representation or assurance is one which amounts to a promise, </w:t>
      </w:r>
      <w:r>
        <w:rPr>
          <w:color w:val="005DA1"/>
          <w:u w:val="single" w:color="005DA1"/>
          <w:vertAlign w:val="superscript"/>
        </w:rPr>
        <w:t>932</w:t>
      </w:r>
      <w:r>
        <w:rPr>
          <w:color w:val="005DA1"/>
          <w:vertAlign w:val="baseline"/>
        </w:rPr>
        <w:t> </w:t>
      </w:r>
      <w:r>
        <w:rPr>
          <w:vertAlign w:val="baseline"/>
        </w:rPr>
        <w:t>or one</w:t>
      </w:r>
      <w:r>
        <w:rPr>
          <w:spacing w:val="40"/>
          <w:vertAlign w:val="baseline"/>
        </w:rPr>
        <w:t> </w:t>
      </w:r>
      <w:r>
        <w:rPr>
          <w:vertAlign w:val="baseline"/>
        </w:rPr>
        <w:t>from</w:t>
      </w:r>
      <w:r>
        <w:rPr>
          <w:spacing w:val="-2"/>
          <w:vertAlign w:val="baseline"/>
        </w:rPr>
        <w:t> </w:t>
      </w:r>
      <w:r>
        <w:rPr>
          <w:vertAlign w:val="baseline"/>
        </w:rPr>
        <w:t>which</w:t>
      </w:r>
      <w:r>
        <w:rPr>
          <w:spacing w:val="-2"/>
          <w:vertAlign w:val="baseline"/>
        </w:rPr>
        <w:t> </w:t>
      </w:r>
      <w:r>
        <w:rPr>
          <w:vertAlign w:val="baseline"/>
        </w:rPr>
        <w:t>a</w:t>
      </w:r>
      <w:r>
        <w:rPr>
          <w:spacing w:val="-2"/>
          <w:vertAlign w:val="baseline"/>
        </w:rPr>
        <w:t> </w:t>
      </w:r>
      <w:r>
        <w:rPr>
          <w:vertAlign w:val="baseline"/>
        </w:rPr>
        <w:t>promise</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inferred,</w:t>
      </w:r>
      <w:r>
        <w:rPr>
          <w:spacing w:val="-2"/>
          <w:vertAlign w:val="baseline"/>
        </w:rPr>
        <w:t> </w:t>
      </w:r>
      <w:r>
        <w:rPr>
          <w:vertAlign w:val="baseline"/>
        </w:rPr>
        <w:t>but</w:t>
      </w:r>
      <w:r>
        <w:rPr>
          <w:spacing w:val="-2"/>
          <w:vertAlign w:val="baseline"/>
        </w:rPr>
        <w:t> </w:t>
      </w:r>
      <w:r>
        <w:rPr>
          <w:vertAlign w:val="baseline"/>
        </w:rPr>
        <w:t>that</w:t>
      </w:r>
      <w:r>
        <w:rPr>
          <w:spacing w:val="-2"/>
          <w:vertAlign w:val="baseline"/>
        </w:rPr>
        <w:t> </w:t>
      </w:r>
      <w:r>
        <w:rPr>
          <w:vertAlign w:val="baseline"/>
        </w:rPr>
        <w:t>promise</w:t>
      </w:r>
      <w:r>
        <w:rPr>
          <w:spacing w:val="-2"/>
          <w:vertAlign w:val="baseline"/>
        </w:rPr>
        <w:t> </w:t>
      </w:r>
      <w:r>
        <w:rPr>
          <w:vertAlign w:val="baseline"/>
        </w:rPr>
        <w:t>is</w:t>
      </w:r>
      <w:r>
        <w:rPr>
          <w:spacing w:val="-2"/>
          <w:vertAlign w:val="baseline"/>
        </w:rPr>
        <w:t> </w:t>
      </w:r>
      <w:r>
        <w:rPr>
          <w:vertAlign w:val="baseline"/>
        </w:rPr>
        <w:t>one</w:t>
      </w:r>
      <w:r>
        <w:rPr>
          <w:spacing w:val="-2"/>
          <w:vertAlign w:val="baseline"/>
        </w:rPr>
        <w:t> </w:t>
      </w:r>
      <w:r>
        <w:rPr>
          <w:vertAlign w:val="baseline"/>
        </w:rPr>
        <w:t>which</w:t>
      </w:r>
      <w:r>
        <w:rPr>
          <w:spacing w:val="-2"/>
          <w:vertAlign w:val="baseline"/>
        </w:rPr>
        <w:t> </w:t>
      </w:r>
      <w:r>
        <w:rPr>
          <w:vertAlign w:val="baseline"/>
        </w:rPr>
        <w:t>for</w:t>
      </w:r>
      <w:r>
        <w:rPr>
          <w:spacing w:val="-2"/>
          <w:vertAlign w:val="baseline"/>
        </w:rPr>
        <w:t> </w:t>
      </w:r>
      <w:r>
        <w:rPr>
          <w:vertAlign w:val="baseline"/>
        </w:rPr>
        <w:t>some</w:t>
      </w:r>
      <w:r>
        <w:rPr>
          <w:spacing w:val="-2"/>
          <w:vertAlign w:val="baseline"/>
        </w:rPr>
        <w:t> </w:t>
      </w:r>
      <w:r>
        <w:rPr>
          <w:vertAlign w:val="baseline"/>
        </w:rPr>
        <w:t>reason</w:t>
      </w:r>
      <w:r>
        <w:rPr>
          <w:spacing w:val="-2"/>
          <w:vertAlign w:val="baseline"/>
        </w:rPr>
        <w:t> </w:t>
      </w:r>
      <w:r>
        <w:rPr>
          <w:vertAlign w:val="baseline"/>
        </w:rPr>
        <w:t>(such</w:t>
      </w:r>
      <w:r>
        <w:rPr>
          <w:spacing w:val="-2"/>
          <w:vertAlign w:val="baseline"/>
        </w:rPr>
        <w:t> </w:t>
      </w:r>
      <w:r>
        <w:rPr>
          <w:vertAlign w:val="baseline"/>
        </w:rPr>
        <w:t>as</w:t>
      </w:r>
      <w:r>
        <w:rPr>
          <w:spacing w:val="-2"/>
          <w:vertAlign w:val="baseline"/>
        </w:rPr>
        <w:t> </w:t>
      </w:r>
      <w:r>
        <w:rPr>
          <w:vertAlign w:val="baseline"/>
        </w:rPr>
        <w:t>want</w:t>
      </w:r>
      <w:r>
        <w:rPr>
          <w:spacing w:val="-2"/>
          <w:vertAlign w:val="baseline"/>
        </w:rPr>
        <w:t> </w:t>
      </w:r>
      <w:r>
        <w:rPr>
          <w:vertAlign w:val="baseline"/>
        </w:rPr>
        <w:t>of consideration, the absence of contractual intention or failure to comply with formal requirements)</w:t>
      </w:r>
      <w:r>
        <w:rPr>
          <w:spacing w:val="40"/>
          <w:vertAlign w:val="baseline"/>
        </w:rPr>
        <w:t> </w:t>
      </w:r>
      <w:r>
        <w:rPr>
          <w:vertAlign w:val="baseline"/>
        </w:rPr>
        <w:t>lacks contractual force. There can be no proprietary estoppel of the kind here under discussion where </w:t>
      </w:r>
      <w:bookmarkStart w:name="_bookmark1753" w:id="1755"/>
      <w:bookmarkEnd w:id="1755"/>
      <w:r>
        <w:rPr>
          <w:vertAlign w:val="baseline"/>
        </w:rPr>
        <w:t>the</w:t>
      </w:r>
      <w:r>
        <w:rPr>
          <w:vertAlign w:val="baseline"/>
        </w:rPr>
        <w:t> statement relied on was not a promise at all: for example, where that statement was contained in</w:t>
      </w:r>
      <w:r>
        <w:rPr>
          <w:spacing w:val="40"/>
          <w:vertAlign w:val="baseline"/>
        </w:rPr>
        <w:t> </w:t>
      </w:r>
      <w:r>
        <w:rPr>
          <w:vertAlign w:val="baseline"/>
        </w:rPr>
        <w:t>a letter which “did not promise anything”. </w:t>
      </w:r>
      <w:r>
        <w:rPr>
          <w:color w:val="005DA1"/>
          <w:u w:val="single" w:color="005DA1"/>
          <w:vertAlign w:val="superscript"/>
        </w:rPr>
        <w:t>933</w:t>
      </w:r>
    </w:p>
    <w:p>
      <w:pPr>
        <w:pStyle w:val="BodyText"/>
      </w:pPr>
    </w:p>
    <w:p>
      <w:pPr>
        <w:pStyle w:val="BodyText"/>
        <w:spacing w:before="35"/>
      </w:pPr>
    </w:p>
    <w:p>
      <w:pPr>
        <w:spacing w:before="0"/>
        <w:ind w:left="165" w:right="0" w:firstLine="0"/>
        <w:jc w:val="both"/>
        <w:rPr>
          <w:rFonts w:ascii="Arial"/>
          <w:b/>
          <w:sz w:val="18"/>
        </w:rPr>
      </w:pPr>
      <w:r>
        <w:rPr>
          <w:rFonts w:ascii="Arial"/>
          <w:b/>
          <w:sz w:val="18"/>
        </w:rPr>
        <w:t>Kinds of promises capable of giving rise to a proprietary </w:t>
      </w:r>
      <w:r>
        <w:rPr>
          <w:rFonts w:ascii="Arial"/>
          <w:b/>
          <w:spacing w:val="-2"/>
          <w:sz w:val="18"/>
        </w:rPr>
        <w:t>estoppel</w:t>
      </w:r>
    </w:p>
    <w:p>
      <w:pPr>
        <w:pStyle w:val="BodyText"/>
        <w:spacing w:before="42"/>
        <w:rPr>
          <w:rFonts w:ascii="Arial"/>
          <w:b/>
          <w:sz w:val="18"/>
        </w:rPr>
      </w:pPr>
    </w:p>
    <w:p>
      <w:pPr>
        <w:pStyle w:val="Heading2"/>
      </w:pPr>
      <w:r>
        <w:rPr/>
        <w:t>4-</w:t>
      </w:r>
      <w:r>
        <w:rPr>
          <w:spacing w:val="-5"/>
        </w:rPr>
        <w:t>147</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 promise may give rise to a proprietary estoppel even though it is not express but is implied: for </w:t>
      </w:r>
      <w:bookmarkStart w:name="_bookmark1754" w:id="1756"/>
      <w:bookmarkEnd w:id="1756"/>
      <w:r>
        <w:rPr/>
        <w:t>example,</w:t>
      </w:r>
      <w:r>
        <w:rPr/>
        <w:t> from the fact that the parties acted on the common assumption that one of them was </w:t>
      </w:r>
      <w:r>
        <w:rPr/>
        <w:t>to</w:t>
      </w:r>
      <w:r>
        <w:rPr>
          <w:spacing w:val="40"/>
        </w:rPr>
        <w:t> </w:t>
      </w:r>
      <w:r>
        <w:rPr/>
        <w:t>have the right to reside on the other’s property. </w:t>
      </w:r>
      <w:r>
        <w:rPr>
          <w:color w:val="005DA1"/>
          <w:u w:val="single" w:color="005DA1"/>
          <w:vertAlign w:val="superscript"/>
        </w:rPr>
        <w:t>934</w:t>
      </w:r>
      <w:r>
        <w:rPr>
          <w:color w:val="005DA1"/>
          <w:vertAlign w:val="baseline"/>
        </w:rPr>
        <w:t> </w:t>
      </w:r>
      <w:r>
        <w:rPr>
          <w:vertAlign w:val="baseline"/>
        </w:rPr>
        <w:t>The promise must be of such a kind that it is </w:t>
      </w:r>
      <w:bookmarkStart w:name="_bookmark1755" w:id="1757"/>
      <w:bookmarkEnd w:id="1757"/>
      <w:r>
        <w:rPr>
          <w:vertAlign w:val="baseline"/>
        </w:rPr>
        <w:t>reasonable</w:t>
      </w:r>
      <w:r>
        <w:rPr>
          <w:vertAlign w:val="baseline"/>
        </w:rPr>
        <w:t> for the promisee to rely on it; the promisor must have been aware of the fact that the promisee would so rely on it, though “the particular act of [the promisee’s] reliance” </w:t>
      </w:r>
      <w:r>
        <w:rPr>
          <w:color w:val="005DA1"/>
          <w:u w:val="single" w:color="005DA1"/>
          <w:vertAlign w:val="superscript"/>
        </w:rPr>
        <w:t>935</w:t>
      </w:r>
      <w:r>
        <w:rPr>
          <w:color w:val="005DA1"/>
          <w:vertAlign w:val="baseline"/>
        </w:rPr>
        <w:t> </w:t>
      </w:r>
      <w:r>
        <w:rPr>
          <w:vertAlign w:val="baseline"/>
        </w:rPr>
        <w:t>need not have </w:t>
      </w:r>
      <w:bookmarkStart w:name="_bookmark1756" w:id="1758"/>
      <w:bookmarkEnd w:id="1758"/>
      <w:r>
        <w:rPr>
          <w:vertAlign w:val="baseline"/>
        </w:rPr>
        <w:t>been</w:t>
      </w:r>
      <w:r>
        <w:rPr>
          <w:vertAlign w:val="baseline"/>
        </w:rPr>
        <w:t> known to, or foreseen by, the promisor, and the promisor must have intended that the promisee </w:t>
      </w:r>
      <w:bookmarkStart w:name="_bookmark1757" w:id="1759"/>
      <w:bookmarkEnd w:id="1759"/>
      <w:r>
        <w:rPr>
          <w:vertAlign w:val="baseline"/>
        </w:rPr>
        <w:t>would</w:t>
      </w:r>
      <w:r>
        <w:rPr>
          <w:vertAlign w:val="baseline"/>
        </w:rPr>
        <w:t> so rely on it. </w:t>
      </w:r>
      <w:r>
        <w:rPr>
          <w:color w:val="005DA1"/>
          <w:u w:val="single" w:color="005DA1"/>
          <w:vertAlign w:val="superscript"/>
        </w:rPr>
        <w:t>936</w:t>
      </w:r>
      <w:r>
        <w:rPr>
          <w:color w:val="005DA1"/>
          <w:vertAlign w:val="baseline"/>
        </w:rPr>
        <w:t> </w:t>
      </w:r>
      <w:r>
        <w:rPr>
          <w:vertAlign w:val="baseline"/>
        </w:rPr>
        <w:t>Whether this last requirement is satisfied depends on “an objective </w:t>
      </w:r>
      <w:bookmarkStart w:name="_bookmark1758" w:id="1760"/>
      <w:bookmarkEnd w:id="1760"/>
      <w:r>
        <w:rPr>
          <w:vertAlign w:val="baseline"/>
        </w:rPr>
        <w:t>assessment”</w:t>
      </w:r>
      <w:r>
        <w:rPr>
          <w:vertAlign w:val="baseline"/>
        </w:rPr>
        <w:t> </w:t>
      </w:r>
      <w:r>
        <w:rPr>
          <w:color w:val="005DA1"/>
          <w:u w:val="single" w:color="005DA1"/>
          <w:vertAlign w:val="superscript"/>
        </w:rPr>
        <w:t>937</w:t>
      </w:r>
      <w:r>
        <w:rPr>
          <w:color w:val="005DA1"/>
          <w:vertAlign w:val="baseline"/>
        </w:rPr>
        <w:t> </w:t>
      </w:r>
      <w:r>
        <w:rPr>
          <w:vertAlign w:val="baseline"/>
        </w:rPr>
        <w:t>of the promisor’s intention or, to put the same point in another way, on whether the </w:t>
      </w:r>
      <w:bookmarkStart w:name="_bookmark1759" w:id="1761"/>
      <w:bookmarkEnd w:id="1761"/>
      <w:r>
        <w:rPr>
          <w:vertAlign w:val="baseline"/>
        </w:rPr>
        <w:t>promisee</w:t>
      </w:r>
      <w:r>
        <w:rPr>
          <w:vertAlign w:val="baseline"/>
        </w:rPr>
        <w:t> had reasonably understood the promise or representation to be one on which he could rely. </w:t>
      </w:r>
      <w:r>
        <w:rPr>
          <w:color w:val="005DA1"/>
          <w:u w:val="single" w:color="005DA1"/>
          <w:vertAlign w:val="superscript"/>
        </w:rPr>
        <w:t>938</w:t>
      </w:r>
      <w:r>
        <w:rPr>
          <w:color w:val="005DA1"/>
          <w:vertAlign w:val="baseline"/>
        </w:rPr>
        <w:t> </w:t>
      </w:r>
      <w:r>
        <w:rPr>
          <w:vertAlign w:val="baseline"/>
        </w:rPr>
        <w:t>It has been said that, in that event, “what [the promisor] intended is not really germane” </w:t>
      </w:r>
      <w:r>
        <w:rPr>
          <w:color w:val="005DA1"/>
          <w:u w:val="single" w:color="005DA1"/>
          <w:vertAlign w:val="superscript"/>
        </w:rPr>
        <w:t>939</w:t>
      </w:r>
      <w:r>
        <w:rPr>
          <w:vertAlign w:val="baseline"/>
        </w:rPr>
        <w:t>: the </w:t>
      </w:r>
      <w:bookmarkStart w:name="_bookmark1760" w:id="1762"/>
      <w:bookmarkEnd w:id="1762"/>
      <w:r>
        <w:rPr>
          <w:vertAlign w:val="baseline"/>
        </w:rPr>
        <w:t>reference</w:t>
      </w:r>
      <w:r>
        <w:rPr>
          <w:vertAlign w:val="baseline"/>
        </w:rPr>
        <w:t> here seems to be to the promisor’s actual or subjective intention. The promise must also induce the promisee to believe that a legal right has been, or will be, created in his favour. </w:t>
      </w:r>
      <w:r>
        <w:rPr>
          <w:color w:val="005DA1"/>
          <w:u w:val="single" w:color="005DA1"/>
          <w:vertAlign w:val="superscript"/>
        </w:rPr>
        <w:t>940</w:t>
      </w:r>
      <w:r>
        <w:rPr>
          <w:color w:val="005DA1"/>
          <w:vertAlign w:val="baseline"/>
        </w:rPr>
        <w:t> </w:t>
      </w:r>
      <w:r>
        <w:rPr>
          <w:vertAlign w:val="baseline"/>
        </w:rPr>
        <w:t>There </w:t>
      </w:r>
      <w:bookmarkStart w:name="_bookmark1761" w:id="1763"/>
      <w:bookmarkEnd w:id="1763"/>
      <w:r>
        <w:rPr>
          <w:vertAlign w:val="baseline"/>
        </w:rPr>
        <w:t>can</w:t>
      </w:r>
      <w:r>
        <w:rPr>
          <w:vertAlign w:val="baseline"/>
        </w:rPr>
        <w:t> normally be no such belief, and hence no proprietary estoppel, if the promise expressly disclaims legal effect: for example, in one case </w:t>
      </w:r>
      <w:r>
        <w:rPr>
          <w:color w:val="005DA1"/>
          <w:u w:val="single" w:color="005DA1"/>
          <w:vertAlign w:val="superscript"/>
        </w:rPr>
        <w:t>941</w:t>
      </w:r>
      <w:r>
        <w:rPr>
          <w:color w:val="005DA1"/>
          <w:vertAlign w:val="baseline"/>
        </w:rPr>
        <w:t> </w:t>
      </w:r>
      <w:r>
        <w:rPr>
          <w:vertAlign w:val="baseline"/>
        </w:rPr>
        <w:t>it was held that no proprietary estoppel arose out of an </w:t>
      </w:r>
      <w:bookmarkStart w:name="_bookmark1762" w:id="1764"/>
      <w:bookmarkEnd w:id="1764"/>
      <w:r>
        <w:rPr>
          <w:vertAlign w:val="baseline"/>
        </w:rPr>
        <w:t>agreement</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transfer</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number</w:t>
      </w:r>
      <w:r>
        <w:rPr>
          <w:spacing w:val="3"/>
          <w:vertAlign w:val="baseline"/>
        </w:rPr>
        <w:t> </w:t>
      </w:r>
      <w:r>
        <w:rPr>
          <w:vertAlign w:val="baseline"/>
        </w:rPr>
        <w:t>of</w:t>
      </w:r>
      <w:r>
        <w:rPr>
          <w:spacing w:val="3"/>
          <w:vertAlign w:val="baseline"/>
        </w:rPr>
        <w:t> </w:t>
      </w:r>
      <w:r>
        <w:rPr>
          <w:vertAlign w:val="baseline"/>
        </w:rPr>
        <w:t>flats</w:t>
      </w:r>
      <w:r>
        <w:rPr>
          <w:spacing w:val="3"/>
          <w:vertAlign w:val="baseline"/>
        </w:rPr>
        <w:t> </w:t>
      </w:r>
      <w:r>
        <w:rPr>
          <w:vertAlign w:val="baseline"/>
        </w:rPr>
        <w:t>“subject</w:t>
      </w:r>
      <w:r>
        <w:rPr>
          <w:spacing w:val="3"/>
          <w:vertAlign w:val="baseline"/>
        </w:rPr>
        <w:t> </w:t>
      </w:r>
      <w:r>
        <w:rPr>
          <w:vertAlign w:val="baseline"/>
        </w:rPr>
        <w:t>to</w:t>
      </w:r>
      <w:r>
        <w:rPr>
          <w:spacing w:val="3"/>
          <w:vertAlign w:val="baseline"/>
        </w:rPr>
        <w:t> </w:t>
      </w:r>
      <w:r>
        <w:rPr>
          <w:vertAlign w:val="baseline"/>
        </w:rPr>
        <w:t>contract,”</w:t>
      </w:r>
      <w:r>
        <w:rPr>
          <w:spacing w:val="3"/>
          <w:vertAlign w:val="baseline"/>
        </w:rPr>
        <w:t> </w:t>
      </w:r>
      <w:r>
        <w:rPr>
          <w:vertAlign w:val="baseline"/>
        </w:rPr>
        <w:t>it</w:t>
      </w:r>
      <w:r>
        <w:rPr>
          <w:spacing w:val="3"/>
          <w:vertAlign w:val="baseline"/>
        </w:rPr>
        <w:t> </w:t>
      </w:r>
      <w:r>
        <w:rPr>
          <w:vertAlign w:val="baseline"/>
        </w:rPr>
        <w:t>being</w:t>
      </w:r>
      <w:r>
        <w:rPr>
          <w:spacing w:val="3"/>
          <w:vertAlign w:val="baseline"/>
        </w:rPr>
        <w:t> </w:t>
      </w:r>
      <w:r>
        <w:rPr>
          <w:vertAlign w:val="baseline"/>
        </w:rPr>
        <w:t>well</w:t>
      </w:r>
      <w:r>
        <w:rPr>
          <w:spacing w:val="3"/>
          <w:vertAlign w:val="baseline"/>
        </w:rPr>
        <w:t> </w:t>
      </w:r>
      <w:r>
        <w:rPr>
          <w:vertAlign w:val="baseline"/>
        </w:rPr>
        <w:t>known</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spacing w:val="-2"/>
          <w:vertAlign w:val="baseline"/>
        </w:rPr>
        <w:t>effect</w:t>
      </w:r>
    </w:p>
    <w:p>
      <w:pPr>
        <w:pStyle w:val="BodyText"/>
        <w:spacing w:line="235" w:lineRule="auto" w:before="115"/>
        <w:ind w:left="164" w:right="167"/>
        <w:jc w:val="both"/>
      </w:pPr>
      <w:bookmarkStart w:name="_bookmark1763" w:id="1765"/>
      <w:bookmarkEnd w:id="1765"/>
      <w:r>
        <w:rPr/>
      </w:r>
      <w:r>
        <w:rPr/>
        <w:t>of these words was to negative the intention to be legally bound. </w:t>
      </w:r>
      <w:r>
        <w:rPr>
          <w:color w:val="005DA1"/>
          <w:u w:val="single" w:color="005DA1"/>
          <w:vertAlign w:val="superscript"/>
        </w:rPr>
        <w:t>942</w:t>
      </w:r>
      <w:r>
        <w:rPr>
          <w:color w:val="005DA1"/>
          <w:spacing w:val="80"/>
          <w:vertAlign w:val="baseline"/>
        </w:rPr>
        <w:t> </w:t>
      </w:r>
      <w:r>
        <w:rPr>
          <w:color w:val="005DA1"/>
          <w:spacing w:val="-26"/>
          <w:position w:val="-2"/>
          <w:vertAlign w:val="baseline"/>
        </w:rPr>
        <w:drawing>
          <wp:inline distT="0" distB="0" distL="0" distR="0">
            <wp:extent cx="107988" cy="107988"/>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hAnsi="Times New Roman"/>
          <w:color w:val="005DA1"/>
          <w:spacing w:val="40"/>
          <w:vertAlign w:val="baseline"/>
        </w:rPr>
        <w:t> </w:t>
      </w:r>
      <w:r>
        <w:rPr>
          <w:vertAlign w:val="baseline"/>
        </w:rPr>
        <w:t>The promisee may </w:t>
      </w:r>
      <w:r>
        <w:rPr>
          <w:vertAlign w:val="baseline"/>
        </w:rPr>
        <w:t>have </w:t>
      </w:r>
      <w:bookmarkStart w:name="_bookmark1764" w:id="1766"/>
      <w:bookmarkEnd w:id="1766"/>
      <w:r>
        <w:rPr>
          <w:vertAlign w:val="baseline"/>
        </w:rPr>
        <w:t>formed</w:t>
      </w:r>
      <w:r>
        <w:rPr>
          <w:spacing w:val="-3"/>
          <w:vertAlign w:val="baseline"/>
        </w:rPr>
        <w:t> </w:t>
      </w:r>
      <w:r>
        <w:rPr>
          <w:vertAlign w:val="baseline"/>
        </w:rPr>
        <w:t>“the</w:t>
      </w:r>
      <w:r>
        <w:rPr>
          <w:spacing w:val="-3"/>
          <w:vertAlign w:val="baseline"/>
        </w:rPr>
        <w:t> </w:t>
      </w:r>
      <w:r>
        <w:rPr>
          <w:vertAlign w:val="baseline"/>
        </w:rPr>
        <w:t>confident</w:t>
      </w:r>
      <w:r>
        <w:rPr>
          <w:spacing w:val="-3"/>
          <w:vertAlign w:val="baseline"/>
        </w:rPr>
        <w:t> </w:t>
      </w:r>
      <w:r>
        <w:rPr>
          <w:vertAlign w:val="baseline"/>
        </w:rPr>
        <w:t>and</w:t>
      </w:r>
      <w:r>
        <w:rPr>
          <w:spacing w:val="-3"/>
          <w:vertAlign w:val="baseline"/>
        </w:rPr>
        <w:t> </w:t>
      </w:r>
      <w:r>
        <w:rPr>
          <w:vertAlign w:val="baseline"/>
        </w:rPr>
        <w:t>not</w:t>
      </w:r>
      <w:r>
        <w:rPr>
          <w:spacing w:val="-3"/>
          <w:vertAlign w:val="baseline"/>
        </w:rPr>
        <w:t> </w:t>
      </w:r>
      <w:r>
        <w:rPr>
          <w:vertAlign w:val="baseline"/>
        </w:rPr>
        <w:t>unreasonable</w:t>
      </w:r>
      <w:r>
        <w:rPr>
          <w:spacing w:val="-3"/>
          <w:vertAlign w:val="baseline"/>
        </w:rPr>
        <w:t> </w:t>
      </w:r>
      <w:r>
        <w:rPr>
          <w:vertAlign w:val="baseline"/>
        </w:rPr>
        <w:t>hope”</w:t>
      </w:r>
      <w:r>
        <w:rPr>
          <w:spacing w:val="-4"/>
          <w:vertAlign w:val="baseline"/>
        </w:rPr>
        <w:t> </w:t>
      </w:r>
      <w:r>
        <w:rPr>
          <w:color w:val="005DA1"/>
          <w:u w:val="single" w:color="005DA1"/>
          <w:vertAlign w:val="superscript"/>
        </w:rPr>
        <w:t>943</w:t>
      </w:r>
      <w:r>
        <w:rPr>
          <w:color w:val="005DA1"/>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promise</w:t>
      </w:r>
      <w:r>
        <w:rPr>
          <w:spacing w:val="-3"/>
          <w:vertAlign w:val="baseline"/>
        </w:rPr>
        <w:t> </w:t>
      </w:r>
      <w:r>
        <w:rPr>
          <w:vertAlign w:val="baseline"/>
        </w:rPr>
        <w:t>would</w:t>
      </w:r>
      <w:r>
        <w:rPr>
          <w:spacing w:val="-3"/>
          <w:vertAlign w:val="baseline"/>
        </w:rPr>
        <w:t> </w:t>
      </w:r>
      <w:r>
        <w:rPr>
          <w:vertAlign w:val="baseline"/>
        </w:rPr>
        <w:t>not</w:t>
      </w:r>
      <w:r>
        <w:rPr>
          <w:spacing w:val="-3"/>
          <w:vertAlign w:val="baseline"/>
        </w:rPr>
        <w:t> </w:t>
      </w:r>
      <w:r>
        <w:rPr>
          <w:vertAlign w:val="baseline"/>
        </w:rPr>
        <w:t>be</w:t>
      </w:r>
      <w:r>
        <w:rPr>
          <w:spacing w:val="-3"/>
          <w:vertAlign w:val="baseline"/>
        </w:rPr>
        <w:t> </w:t>
      </w:r>
      <w:r>
        <w:rPr>
          <w:vertAlign w:val="baseline"/>
        </w:rPr>
        <w:t>withdrawn;</w:t>
      </w:r>
      <w:r>
        <w:rPr>
          <w:spacing w:val="-3"/>
          <w:vertAlign w:val="baseline"/>
        </w:rPr>
        <w:t> </w:t>
      </w:r>
      <w:r>
        <w:rPr>
          <w:vertAlign w:val="baseline"/>
        </w:rPr>
        <w:t>but</w:t>
      </w:r>
      <w:r>
        <w:rPr>
          <w:spacing w:val="-3"/>
          <w:vertAlign w:val="baseline"/>
        </w:rPr>
        <w:t> </w:t>
      </w:r>
      <w:r>
        <w:rPr>
          <w:vertAlign w:val="baseline"/>
        </w:rPr>
        <w:t>no </w:t>
      </w:r>
      <w:r>
        <w:rPr>
          <w:rFonts w:ascii="Arial" w:hAnsi="Arial"/>
          <w:i/>
          <w:vertAlign w:val="baseline"/>
        </w:rPr>
        <w:t>belief </w:t>
      </w:r>
      <w:r>
        <w:rPr>
          <w:vertAlign w:val="baseline"/>
        </w:rPr>
        <w:t>to this effect had been encouraged </w:t>
      </w:r>
      <w:r>
        <w:rPr>
          <w:color w:val="005DA1"/>
          <w:u w:val="single" w:color="005DA1"/>
          <w:vertAlign w:val="superscript"/>
        </w:rPr>
        <w:t>944</w:t>
      </w:r>
      <w:r>
        <w:rPr>
          <w:color w:val="005DA1"/>
          <w:vertAlign w:val="baseline"/>
        </w:rPr>
        <w:t> </w:t>
      </w:r>
      <w:r>
        <w:rPr>
          <w:vertAlign w:val="baseline"/>
        </w:rPr>
        <w:t>by the promisor or relied on by the promisee. It seems </w:t>
      </w:r>
      <w:bookmarkStart w:name="_bookmark1765" w:id="1767"/>
      <w:bookmarkEnd w:id="1767"/>
      <w:r>
        <w:rPr>
          <w:vertAlign w:val="baseline"/>
        </w:rPr>
        <w:t>that</w:t>
      </w:r>
      <w:r>
        <w:rPr>
          <w:vertAlign w:val="baseline"/>
        </w:rPr>
        <w:t> a proprietary estoppel could arise out of such an agreement if one of the parties </w:t>
      </w:r>
      <w:r>
        <w:rPr>
          <w:rFonts w:ascii="Arial" w:hAnsi="Arial"/>
          <w:i/>
          <w:vertAlign w:val="baseline"/>
        </w:rPr>
        <w:t>did </w:t>
      </w:r>
      <w:r>
        <w:rPr>
          <w:vertAlign w:val="baseline"/>
        </w:rPr>
        <w:t>encourage such a belief in the other and the other acted to his detriment in reliance on that belief. </w:t>
      </w:r>
      <w:r>
        <w:rPr>
          <w:color w:val="005DA1"/>
          <w:u w:val="single" w:color="005DA1"/>
          <w:vertAlign w:val="superscript"/>
        </w:rPr>
        <w:t>945</w:t>
      </w:r>
      <w:r>
        <w:rPr>
          <w:color w:val="005DA1"/>
          <w:vertAlign w:val="baseline"/>
        </w:rPr>
        <w:t> </w:t>
      </w:r>
      <w:r>
        <w:rPr>
          <w:vertAlign w:val="baseline"/>
        </w:rPr>
        <w:t>Similar reasoning</w:t>
      </w:r>
      <w:r>
        <w:rPr>
          <w:spacing w:val="20"/>
          <w:vertAlign w:val="baseline"/>
        </w:rPr>
        <w:t> </w:t>
      </w:r>
      <w:r>
        <w:rPr>
          <w:vertAlign w:val="baseline"/>
        </w:rPr>
        <w:t>applies</w:t>
      </w:r>
      <w:r>
        <w:rPr>
          <w:spacing w:val="20"/>
          <w:vertAlign w:val="baseline"/>
        </w:rPr>
        <w:t> </w:t>
      </w:r>
      <w:r>
        <w:rPr>
          <w:vertAlign w:val="baseline"/>
        </w:rPr>
        <w:t>where</w:t>
      </w:r>
      <w:r>
        <w:rPr>
          <w:spacing w:val="20"/>
          <w:vertAlign w:val="baseline"/>
        </w:rPr>
        <w:t> </w:t>
      </w:r>
      <w:r>
        <w:rPr>
          <w:vertAlign w:val="baseline"/>
        </w:rPr>
        <w:t>the</w:t>
      </w:r>
      <w:r>
        <w:rPr>
          <w:spacing w:val="20"/>
          <w:vertAlign w:val="baseline"/>
        </w:rPr>
        <w:t> </w:t>
      </w:r>
      <w:r>
        <w:rPr>
          <w:vertAlign w:val="baseline"/>
        </w:rPr>
        <w:t>promise</w:t>
      </w:r>
      <w:r>
        <w:rPr>
          <w:spacing w:val="20"/>
          <w:vertAlign w:val="baseline"/>
        </w:rPr>
        <w:t> </w:t>
      </w:r>
      <w:r>
        <w:rPr>
          <w:vertAlign w:val="baseline"/>
        </w:rPr>
        <w:t>in</w:t>
      </w:r>
      <w:r>
        <w:rPr>
          <w:spacing w:val="20"/>
          <w:vertAlign w:val="baseline"/>
        </w:rPr>
        <w:t> </w:t>
      </w:r>
      <w:r>
        <w:rPr>
          <w:vertAlign w:val="baseline"/>
        </w:rPr>
        <w:t>terms</w:t>
      </w:r>
      <w:r>
        <w:rPr>
          <w:spacing w:val="20"/>
          <w:vertAlign w:val="baseline"/>
        </w:rPr>
        <w:t> </w:t>
      </w:r>
      <w:r>
        <w:rPr>
          <w:vertAlign w:val="baseline"/>
        </w:rPr>
        <w:t>reserves</w:t>
      </w:r>
      <w:r>
        <w:rPr>
          <w:spacing w:val="20"/>
          <w:vertAlign w:val="baseline"/>
        </w:rPr>
        <w:t> </w:t>
      </w:r>
      <w:r>
        <w:rPr>
          <w:vertAlign w:val="baseline"/>
        </w:rPr>
        <w:t>a</w:t>
      </w:r>
      <w:r>
        <w:rPr>
          <w:spacing w:val="20"/>
          <w:vertAlign w:val="baseline"/>
        </w:rPr>
        <w:t> </w:t>
      </w:r>
      <w:r>
        <w:rPr>
          <w:vertAlign w:val="baseline"/>
        </w:rPr>
        <w:t>right</w:t>
      </w:r>
      <w:r>
        <w:rPr>
          <w:spacing w:val="20"/>
          <w:vertAlign w:val="baseline"/>
        </w:rPr>
        <w:t> </w:t>
      </w:r>
      <w:r>
        <w:rPr>
          <w:vertAlign w:val="baseline"/>
        </w:rPr>
        <w:t>to</w:t>
      </w:r>
      <w:r>
        <w:rPr>
          <w:spacing w:val="20"/>
          <w:vertAlign w:val="baseline"/>
        </w:rPr>
        <w:t> </w:t>
      </w:r>
      <w:r>
        <w:rPr>
          <w:vertAlign w:val="baseline"/>
        </w:rPr>
        <w:t>the</w:t>
      </w:r>
      <w:r>
        <w:rPr>
          <w:spacing w:val="20"/>
          <w:vertAlign w:val="baseline"/>
        </w:rPr>
        <w:t> </w:t>
      </w:r>
      <w:r>
        <w:rPr>
          <w:vertAlign w:val="baseline"/>
        </w:rPr>
        <w:t>promisor</w:t>
      </w:r>
      <w:r>
        <w:rPr>
          <w:spacing w:val="20"/>
          <w:vertAlign w:val="baseline"/>
        </w:rPr>
        <w:t> </w:t>
      </w:r>
      <w:r>
        <w:rPr>
          <w:vertAlign w:val="baseline"/>
        </w:rPr>
        <w:t>wholly</w:t>
      </w:r>
      <w:r>
        <w:rPr>
          <w:spacing w:val="20"/>
          <w:vertAlign w:val="baseline"/>
        </w:rPr>
        <w:t> </w:t>
      </w:r>
      <w:r>
        <w:rPr>
          <w:vertAlign w:val="baseline"/>
        </w:rPr>
        <w:t>to</w:t>
      </w:r>
      <w:r>
        <w:rPr>
          <w:spacing w:val="20"/>
          <w:vertAlign w:val="baseline"/>
        </w:rPr>
        <w:t> </w:t>
      </w:r>
      <w:r>
        <w:rPr>
          <w:vertAlign w:val="baseline"/>
        </w:rPr>
        <w:t>revoke</w:t>
      </w:r>
      <w:r>
        <w:rPr>
          <w:spacing w:val="20"/>
          <w:vertAlign w:val="baseline"/>
        </w:rPr>
        <w:t> </w:t>
      </w:r>
      <w:r>
        <w:rPr>
          <w:spacing w:val="-5"/>
          <w:vertAlign w:val="baseline"/>
        </w:rPr>
        <w:t>the</w:t>
      </w:r>
    </w:p>
    <w:p>
      <w:pPr>
        <w:pStyle w:val="BodyText"/>
        <w:spacing w:after="0" w:line="235" w:lineRule="auto"/>
        <w:jc w:val="both"/>
        <w:sectPr>
          <w:headerReference w:type="default" r:id="rId54"/>
          <w:headerReference w:type="even" r:id="rId55"/>
          <w:pgSz w:w="11900" w:h="16840"/>
          <w:pgMar w:header="971" w:footer="0" w:top="1160" w:bottom="280" w:left="1275" w:right="1275"/>
          <w:pgNumType w:start="1"/>
        </w:sectPr>
      </w:pPr>
    </w:p>
    <w:p>
      <w:pPr>
        <w:pStyle w:val="BodyText"/>
        <w:spacing w:before="24"/>
      </w:pPr>
    </w:p>
    <w:p>
      <w:pPr>
        <w:pStyle w:val="BodyText"/>
        <w:spacing w:line="235" w:lineRule="auto" w:before="1"/>
        <w:ind w:left="164" w:right="167"/>
        <w:jc w:val="both"/>
      </w:pPr>
      <w:r>
        <w:rPr/>
        <w:t>promise. Thus where a landowner promised her part-time gardener to leave him her house in her will but told him “not to count his chickens before they were hatched”, it was held that no </w:t>
      </w:r>
      <w:r>
        <w:rPr/>
        <w:t>proprietary estoppel arose when, after having made a will in his favour, she then revoked it and made another </w:t>
      </w:r>
      <w:bookmarkStart w:name="_bookmark1766" w:id="1768"/>
      <w:bookmarkEnd w:id="1768"/>
      <w:r>
        <w:rPr/>
        <w:t>leaving</w:t>
      </w:r>
      <w:r>
        <w:rPr/>
        <w:t> the property to someone else: in these circumstances it was not unconscionable for the landowner</w:t>
      </w:r>
      <w:r>
        <w:rPr>
          <w:spacing w:val="-2"/>
        </w:rPr>
        <w:t> </w:t>
      </w:r>
      <w:r>
        <w:rPr/>
        <w:t>to</w:t>
      </w:r>
      <w:r>
        <w:rPr>
          <w:spacing w:val="-2"/>
        </w:rPr>
        <w:t> </w:t>
      </w:r>
      <w:r>
        <w:rPr/>
        <w:t>revoke</w:t>
      </w:r>
      <w:r>
        <w:rPr>
          <w:spacing w:val="-2"/>
        </w:rPr>
        <w:t> </w:t>
      </w:r>
      <w:r>
        <w:rPr/>
        <w:t>the</w:t>
      </w:r>
      <w:r>
        <w:rPr>
          <w:spacing w:val="-2"/>
        </w:rPr>
        <w:t> </w:t>
      </w:r>
      <w:r>
        <w:rPr/>
        <w:t>promise.</w:t>
      </w:r>
      <w:r>
        <w:rPr>
          <w:spacing w:val="-3"/>
        </w:rPr>
        <w:t> </w:t>
      </w:r>
      <w:r>
        <w:rPr>
          <w:color w:val="005DA1"/>
          <w:u w:val="single" w:color="005DA1"/>
          <w:vertAlign w:val="superscript"/>
        </w:rPr>
        <w:t>946</w:t>
      </w:r>
      <w:r>
        <w:rPr>
          <w:color w:val="005DA1"/>
          <w:spacing w:val="-2"/>
          <w:vertAlign w:val="baseline"/>
        </w:rPr>
        <w:t> </w:t>
      </w:r>
      <w:r>
        <w:rPr>
          <w:vertAlign w:val="baseline"/>
        </w:rPr>
        <w:t>The</w:t>
      </w:r>
      <w:r>
        <w:rPr>
          <w:spacing w:val="-2"/>
          <w:vertAlign w:val="baseline"/>
        </w:rPr>
        <w:t> </w:t>
      </w:r>
      <w:r>
        <w:rPr>
          <w:vertAlign w:val="baseline"/>
        </w:rPr>
        <w:t>position</w:t>
      </w:r>
      <w:r>
        <w:rPr>
          <w:spacing w:val="-2"/>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promise,</w:t>
      </w:r>
      <w:r>
        <w:rPr>
          <w:spacing w:val="-2"/>
          <w:vertAlign w:val="baseline"/>
        </w:rPr>
        <w:t> </w:t>
      </w:r>
      <w:r>
        <w:rPr>
          <w:vertAlign w:val="baseline"/>
        </w:rPr>
        <w:t>even</w:t>
      </w:r>
      <w:r>
        <w:rPr>
          <w:spacing w:val="-2"/>
          <w:vertAlign w:val="baseline"/>
        </w:rPr>
        <w:t> </w:t>
      </w:r>
      <w:r>
        <w:rPr>
          <w:vertAlign w:val="baseline"/>
        </w:rPr>
        <w:t>though</w:t>
      </w:r>
      <w:r>
        <w:rPr>
          <w:spacing w:val="-2"/>
          <w:vertAlign w:val="baseline"/>
        </w:rPr>
        <w:t> </w:t>
      </w:r>
      <w:r>
        <w:rPr>
          <w:vertAlign w:val="baseline"/>
        </w:rPr>
        <w:t>it</w:t>
      </w:r>
      <w:r>
        <w:rPr>
          <w:spacing w:val="-2"/>
          <w:vertAlign w:val="baseline"/>
        </w:rPr>
        <w:t> </w:t>
      </w:r>
      <w:r>
        <w:rPr>
          <w:vertAlign w:val="baseline"/>
        </w:rPr>
        <w:t>does not in terms reserve a power to revoke, is in its nature revocable and this is a matter of common knowledge so that the promisee must be taken to have been aware of the risk of its being revoked. This will often be the position where the promise is one to make a will in favour of the promisee; but it </w:t>
      </w:r>
      <w:bookmarkStart w:name="_bookmark1767" w:id="1769"/>
      <w:bookmarkEnd w:id="1769"/>
      <w:r>
        <w:rPr>
          <w:vertAlign w:val="baseline"/>
        </w:rPr>
        <w:t>does</w:t>
      </w:r>
      <w:r>
        <w:rPr>
          <w:vertAlign w:val="baseline"/>
        </w:rPr>
        <w:t> not follow as a matter of law that such a promise cannot give rise to proprietary estoppel. In </w:t>
      </w:r>
      <w:r>
        <w:rPr>
          <w:rFonts w:ascii="Arial" w:hAnsi="Arial"/>
          <w:i/>
          <w:vertAlign w:val="baseline"/>
        </w:rPr>
        <w:t>Gillett v Holt </w:t>
      </w:r>
      <w:r>
        <w:rPr>
          <w:color w:val="005DA1"/>
          <w:u w:val="single" w:color="005DA1"/>
          <w:vertAlign w:val="superscript"/>
        </w:rPr>
        <w:t>947</w:t>
      </w:r>
      <w:r>
        <w:rPr>
          <w:color w:val="005DA1"/>
          <w:vertAlign w:val="baseline"/>
        </w:rPr>
        <w:t> </w:t>
      </w:r>
      <w:r>
        <w:rPr>
          <w:vertAlign w:val="baseline"/>
        </w:rPr>
        <w:t>the claimant had worked for nearly 40 years in the defendant’s farming business in reliance on the defendant’s frequently repeated promises to leave him the bulk of his estate; the </w:t>
      </w:r>
      <w:bookmarkStart w:name="_bookmark1768" w:id="1770"/>
      <w:bookmarkEnd w:id="1770"/>
      <w:r>
        <w:rPr>
          <w:vertAlign w:val="baseline"/>
        </w:rPr>
        <w:t>claimant</w:t>
      </w:r>
      <w:r>
        <w:rPr>
          <w:vertAlign w:val="baseline"/>
        </w:rPr>
        <w:t> had also in various other ways relied on those promises. It was held that the promises were “more than a statement of revocable intention </w:t>
      </w:r>
      <w:r>
        <w:rPr>
          <w:color w:val="005DA1"/>
          <w:u w:val="single" w:color="005DA1"/>
          <w:vertAlign w:val="superscript"/>
        </w:rPr>
        <w:t>948</w:t>
      </w:r>
      <w:r>
        <w:rPr>
          <w:vertAlign w:val="baseline"/>
        </w:rPr>
        <w:t>; and that they were capable of giving rise, and did give rise, to a proprietary estoppel.</w:t>
      </w:r>
    </w:p>
    <w:p>
      <w:pPr>
        <w:pStyle w:val="BodyText"/>
        <w:spacing w:before="204"/>
      </w:pPr>
    </w:p>
    <w:p>
      <w:pPr>
        <w:pStyle w:val="BodyText"/>
        <w:spacing w:line="235" w:lineRule="auto"/>
        <w:ind w:left="165" w:right="167"/>
        <w:jc w:val="both"/>
      </w:pPr>
      <w:r>
        <w:rPr>
          <w:position w:val="-2"/>
        </w:rPr>
        <w:drawing>
          <wp:inline distT="0" distB="0" distL="0" distR="0">
            <wp:extent cx="107988" cy="107988"/>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3"/>
        </w:rPr>
        <w:t> </w:t>
      </w:r>
      <w:r>
        <w:rPr/>
        <w:t>Where the property in question was held in trust by two trustees, it was held that the promise </w:t>
      </w:r>
      <w:r>
        <w:rPr/>
        <w:t>of only one of the trustees, who had no authority to bind the other, did not give rise to a proprietary </w:t>
      </w:r>
      <w:bookmarkStart w:name="_bookmark1769" w:id="1771"/>
      <w:bookmarkEnd w:id="1771"/>
      <w:r>
        <w:rPr/>
        <w:t>estoppel</w:t>
      </w:r>
      <w:r>
        <w:rPr>
          <w:spacing w:val="25"/>
        </w:rPr>
        <w:t> </w:t>
      </w:r>
      <w:r>
        <w:rPr/>
        <w:t>on</w:t>
      </w:r>
      <w:r>
        <w:rPr>
          <w:spacing w:val="25"/>
        </w:rPr>
        <w:t> </w:t>
      </w:r>
      <w:r>
        <w:rPr/>
        <w:t>which</w:t>
      </w:r>
      <w:r>
        <w:rPr>
          <w:spacing w:val="25"/>
        </w:rPr>
        <w:t> </w:t>
      </w:r>
      <w:r>
        <w:rPr/>
        <w:t>the</w:t>
      </w:r>
      <w:r>
        <w:rPr>
          <w:spacing w:val="25"/>
        </w:rPr>
        <w:t> </w:t>
      </w:r>
      <w:r>
        <w:rPr/>
        <w:t>promisee</w:t>
      </w:r>
      <w:r>
        <w:rPr>
          <w:spacing w:val="25"/>
        </w:rPr>
        <w:t> </w:t>
      </w:r>
      <w:r>
        <w:rPr/>
        <w:t>sought</w:t>
      </w:r>
      <w:r>
        <w:rPr>
          <w:spacing w:val="25"/>
        </w:rPr>
        <w:t> </w:t>
      </w:r>
      <w:r>
        <w:rPr/>
        <w:t>to</w:t>
      </w:r>
      <w:r>
        <w:rPr>
          <w:spacing w:val="25"/>
        </w:rPr>
        <w:t> </w:t>
      </w:r>
      <w:r>
        <w:rPr/>
        <w:t>rely</w:t>
      </w:r>
      <w:r>
        <w:rPr>
          <w:spacing w:val="25"/>
        </w:rPr>
        <w:t> </w:t>
      </w:r>
      <w:r>
        <w:rPr/>
        <w:t>by</w:t>
      </w:r>
      <w:r>
        <w:rPr>
          <w:spacing w:val="25"/>
        </w:rPr>
        <w:t> </w:t>
      </w:r>
      <w:r>
        <w:rPr/>
        <w:t>way</w:t>
      </w:r>
      <w:r>
        <w:rPr>
          <w:spacing w:val="25"/>
        </w:rPr>
        <w:t> </w:t>
      </w:r>
      <w:r>
        <w:rPr/>
        <w:t>of</w:t>
      </w:r>
      <w:r>
        <w:rPr>
          <w:spacing w:val="25"/>
        </w:rPr>
        <w:t> </w:t>
      </w:r>
      <w:r>
        <w:rPr/>
        <w:t>defence</w:t>
      </w:r>
      <w:r>
        <w:rPr>
          <w:spacing w:val="25"/>
        </w:rPr>
        <w:t> </w:t>
      </w:r>
      <w:r>
        <w:rPr/>
        <w:t>to</w:t>
      </w:r>
      <w:r>
        <w:rPr>
          <w:spacing w:val="25"/>
        </w:rPr>
        <w:t> </w:t>
      </w:r>
      <w:r>
        <w:rPr/>
        <w:t>a</w:t>
      </w:r>
      <w:r>
        <w:rPr>
          <w:spacing w:val="25"/>
        </w:rPr>
        <w:t> </w:t>
      </w:r>
      <w:r>
        <w:rPr/>
        <w:t>claim</w:t>
      </w:r>
      <w:r>
        <w:rPr>
          <w:spacing w:val="25"/>
        </w:rPr>
        <w:t> </w:t>
      </w:r>
      <w:r>
        <w:rPr/>
        <w:t>for</w:t>
      </w:r>
      <w:r>
        <w:rPr>
          <w:spacing w:val="25"/>
        </w:rPr>
        <w:t> </w:t>
      </w:r>
      <w:r>
        <w:rPr/>
        <w:t>possession</w:t>
      </w:r>
      <w:r>
        <w:rPr>
          <w:spacing w:val="25"/>
        </w:rPr>
        <w:t> </w:t>
      </w:r>
      <w:r>
        <w:rPr/>
        <w:t>of</w:t>
      </w:r>
      <w:r>
        <w:rPr>
          <w:spacing w:val="25"/>
        </w:rPr>
        <w:t> </w:t>
      </w:r>
      <w:r>
        <w:rPr>
          <w:spacing w:val="-5"/>
        </w:rPr>
        <w:t>the</w:t>
      </w:r>
    </w:p>
    <w:p>
      <w:pPr>
        <w:pStyle w:val="BodyText"/>
        <w:spacing w:before="115"/>
        <w:ind w:left="165"/>
        <w:jc w:val="both"/>
      </w:pPr>
      <w:bookmarkStart w:name="_bookmark1770" w:id="1772"/>
      <w:bookmarkEnd w:id="1772"/>
      <w:r>
        <w:rPr/>
      </w:r>
      <w:r>
        <w:rPr/>
        <w:t>property,</w:t>
      </w:r>
      <w:r>
        <w:rPr>
          <w:spacing w:val="26"/>
        </w:rPr>
        <w:t> </w:t>
      </w:r>
      <w:r>
        <w:rPr/>
        <w:t>that</w:t>
      </w:r>
      <w:r>
        <w:rPr>
          <w:spacing w:val="26"/>
        </w:rPr>
        <w:t> </w:t>
      </w:r>
      <w:r>
        <w:rPr/>
        <w:t>claim</w:t>
      </w:r>
      <w:r>
        <w:rPr>
          <w:spacing w:val="26"/>
        </w:rPr>
        <w:t> </w:t>
      </w:r>
      <w:r>
        <w:rPr/>
        <w:t>having</w:t>
      </w:r>
      <w:r>
        <w:rPr>
          <w:spacing w:val="26"/>
        </w:rPr>
        <w:t> </w:t>
      </w:r>
      <w:r>
        <w:rPr/>
        <w:t>been</w:t>
      </w:r>
      <w:r>
        <w:rPr>
          <w:spacing w:val="26"/>
        </w:rPr>
        <w:t> </w:t>
      </w:r>
      <w:r>
        <w:rPr/>
        <w:t>made</w:t>
      </w:r>
      <w:r>
        <w:rPr>
          <w:spacing w:val="26"/>
        </w:rPr>
        <w:t> </w:t>
      </w:r>
      <w:r>
        <w:rPr/>
        <w:t>by</w:t>
      </w:r>
      <w:r>
        <w:rPr>
          <w:spacing w:val="26"/>
        </w:rPr>
        <w:t> </w:t>
      </w:r>
      <w:r>
        <w:rPr/>
        <w:t>both</w:t>
      </w:r>
      <w:r>
        <w:rPr>
          <w:spacing w:val="26"/>
        </w:rPr>
        <w:t> </w:t>
      </w:r>
      <w:r>
        <w:rPr/>
        <w:t>trustees.</w:t>
      </w:r>
      <w:r>
        <w:rPr>
          <w:spacing w:val="25"/>
        </w:rPr>
        <w:t> </w:t>
      </w:r>
      <w:r>
        <w:rPr>
          <w:color w:val="005DA1"/>
          <w:u w:val="single" w:color="005DA1"/>
          <w:vertAlign w:val="superscript"/>
        </w:rPr>
        <w:t>949</w:t>
      </w:r>
      <w:r>
        <w:rPr>
          <w:color w:val="005DA1"/>
          <w:spacing w:val="66"/>
          <w:vertAlign w:val="baseline"/>
        </w:rPr>
        <w:t>  </w:t>
      </w:r>
      <w:r>
        <w:rPr>
          <w:color w:val="005DA1"/>
          <w:spacing w:val="26"/>
          <w:position w:val="-2"/>
          <w:vertAlign w:val="baseline"/>
        </w:rPr>
        <w:drawing>
          <wp:inline distT="0" distB="0" distL="0" distR="0">
            <wp:extent cx="107988" cy="107988"/>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color w:val="005DA1"/>
          <w:spacing w:val="7"/>
          <w:vertAlign w:val="baseline"/>
        </w:rPr>
        <w:t> </w:t>
      </w:r>
      <w:r>
        <w:rPr>
          <w:vertAlign w:val="baseline"/>
        </w:rPr>
        <w:t>On</w:t>
      </w:r>
      <w:r>
        <w:rPr>
          <w:spacing w:val="27"/>
          <w:vertAlign w:val="baseline"/>
        </w:rPr>
        <w:t> </w:t>
      </w:r>
      <w:r>
        <w:rPr>
          <w:vertAlign w:val="baseline"/>
        </w:rPr>
        <w:t>appeal,</w:t>
      </w:r>
      <w:r>
        <w:rPr>
          <w:spacing w:val="26"/>
          <w:vertAlign w:val="baseline"/>
        </w:rPr>
        <w:t> </w:t>
      </w:r>
      <w:r>
        <w:rPr>
          <w:vertAlign w:val="baseline"/>
        </w:rPr>
        <w:t>the</w:t>
      </w:r>
      <w:r>
        <w:rPr>
          <w:spacing w:val="26"/>
          <w:vertAlign w:val="baseline"/>
        </w:rPr>
        <w:t> </w:t>
      </w:r>
      <w:r>
        <w:rPr>
          <w:vertAlign w:val="baseline"/>
        </w:rPr>
        <w:t>appellant</w:t>
      </w:r>
      <w:r>
        <w:rPr>
          <w:spacing w:val="26"/>
          <w:vertAlign w:val="baseline"/>
        </w:rPr>
        <w:t> </w:t>
      </w:r>
      <w:r>
        <w:rPr>
          <w:vertAlign w:val="baseline"/>
        </w:rPr>
        <w:t>also</w:t>
      </w:r>
      <w:r>
        <w:rPr>
          <w:spacing w:val="26"/>
          <w:vertAlign w:val="baseline"/>
        </w:rPr>
        <w:t> </w:t>
      </w:r>
      <w:r>
        <w:rPr>
          <w:spacing w:val="-5"/>
          <w:vertAlign w:val="baseline"/>
        </w:rPr>
        <w:t>put</w:t>
      </w:r>
    </w:p>
    <w:p>
      <w:pPr>
        <w:pStyle w:val="BodyText"/>
        <w:spacing w:line="235" w:lineRule="auto" w:before="119"/>
        <w:ind w:left="165" w:right="168"/>
        <w:jc w:val="both"/>
      </w:pPr>
      <w:r>
        <w:rPr/>
        <w:t>forward a new claim based on estoppel by convention, </w:t>
      </w:r>
      <w:r>
        <w:rPr>
          <w:color w:val="005DA1"/>
          <w:u w:val="single" w:color="005DA1"/>
          <w:vertAlign w:val="superscript"/>
        </w:rPr>
        <w:t>950</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40"/>
          <w:vertAlign w:val="baseline"/>
        </w:rPr>
        <w:t> </w:t>
      </w:r>
      <w:r>
        <w:rPr>
          <w:vertAlign w:val="baseline"/>
        </w:rPr>
        <w:t>but this claim failed on the </w:t>
      </w:r>
      <w:r>
        <w:rPr>
          <w:vertAlign w:val="baseline"/>
        </w:rPr>
        <w:t>ground stated above, para.4-108.</w:t>
      </w:r>
    </w:p>
    <w:p>
      <w:pPr>
        <w:pStyle w:val="BodyText"/>
      </w:pPr>
    </w:p>
    <w:p>
      <w:pPr>
        <w:pStyle w:val="BodyText"/>
        <w:spacing w:before="38"/>
      </w:pPr>
    </w:p>
    <w:p>
      <w:pPr>
        <w:spacing w:before="0"/>
        <w:ind w:left="165" w:right="0" w:firstLine="0"/>
        <w:jc w:val="both"/>
        <w:rPr>
          <w:rFonts w:ascii="Arial"/>
          <w:b/>
          <w:sz w:val="18"/>
        </w:rPr>
      </w:pPr>
      <w:r>
        <w:rPr>
          <w:rFonts w:ascii="Arial"/>
          <w:b/>
          <w:sz w:val="18"/>
        </w:rPr>
        <w:t>Silence and </w:t>
      </w:r>
      <w:r>
        <w:rPr>
          <w:rFonts w:ascii="Arial"/>
          <w:b/>
          <w:spacing w:val="-2"/>
          <w:sz w:val="18"/>
        </w:rPr>
        <w:t>inaction</w:t>
      </w:r>
    </w:p>
    <w:p>
      <w:pPr>
        <w:pStyle w:val="BodyText"/>
        <w:spacing w:before="41"/>
        <w:rPr>
          <w:rFonts w:ascii="Arial"/>
          <w:b/>
          <w:sz w:val="18"/>
        </w:rPr>
      </w:pPr>
    </w:p>
    <w:p>
      <w:pPr>
        <w:pStyle w:val="Heading2"/>
        <w:spacing w:before="1"/>
      </w:pPr>
      <w:r>
        <w:rPr/>
        <w:t>4-</w:t>
      </w:r>
      <w:r>
        <w:rPr>
          <w:spacing w:val="-5"/>
        </w:rPr>
        <w:t>148</w:t>
      </w:r>
    </w:p>
    <w:p>
      <w:pPr>
        <w:pStyle w:val="BodyText"/>
        <w:spacing w:line="235" w:lineRule="auto" w:before="202"/>
        <w:ind w:left="164" w:right="167"/>
        <w:jc w:val="both"/>
      </w:pPr>
      <w:r>
        <w:rPr/>
        <w:t>Proprietary estoppel by “acquiescence” or “standing by” can no doubt arise from “silence and </w:t>
      </w:r>
      <w:bookmarkStart w:name="_bookmark1771" w:id="1773"/>
      <w:bookmarkEnd w:id="1773"/>
      <w:r>
        <w:rPr/>
        <w:t>inaction”;</w:t>
      </w:r>
      <w:r>
        <w:rPr/>
        <w:t> but the further question here to be discussed is whether proprietary estoppel </w:t>
      </w:r>
      <w:r>
        <w:rPr/>
        <w:t>by </w:t>
      </w:r>
      <w:bookmarkStart w:name="_bookmark1772" w:id="1774"/>
      <w:bookmarkEnd w:id="1774"/>
      <w:r>
        <w:rPr/>
        <w:t>“encouragement”</w:t>
      </w:r>
      <w:r>
        <w:rPr/>
        <w:t> </w:t>
      </w:r>
      <w:r>
        <w:rPr>
          <w:color w:val="005DA1"/>
          <w:u w:val="single" w:color="005DA1"/>
          <w:vertAlign w:val="superscript"/>
        </w:rPr>
        <w:t>951</w:t>
      </w:r>
      <w:r>
        <w:rPr>
          <w:color w:val="005DA1"/>
          <w:vertAlign w:val="baseline"/>
        </w:rPr>
        <w:t> </w:t>
      </w:r>
      <w:r>
        <w:rPr>
          <w:vertAlign w:val="baseline"/>
        </w:rPr>
        <w:t>can also arise in this way. One passage from Lord Walker’s speech in </w:t>
      </w:r>
      <w:r>
        <w:rPr>
          <w:rFonts w:ascii="Arial" w:hAnsi="Arial"/>
          <w:i/>
          <w:vertAlign w:val="baseline"/>
        </w:rPr>
        <w:t>Thorner v Major </w:t>
      </w:r>
      <w:r>
        <w:rPr>
          <w:color w:val="005DA1"/>
          <w:u w:val="single" w:color="005DA1"/>
          <w:vertAlign w:val="superscript"/>
        </w:rPr>
        <w:t>952</w:t>
      </w:r>
      <w:r>
        <w:rPr>
          <w:color w:val="005DA1"/>
          <w:vertAlign w:val="baseline"/>
        </w:rPr>
        <w:t> </w:t>
      </w:r>
      <w:r>
        <w:rPr>
          <w:vertAlign w:val="baseline"/>
        </w:rPr>
        <w:t>could be interpreted as giving an affirmative answer to this question; but in a later passage</w:t>
      </w:r>
      <w:r>
        <w:rPr>
          <w:spacing w:val="40"/>
          <w:vertAlign w:val="baseline"/>
        </w:rPr>
        <w:t> </w:t>
      </w:r>
      <w:bookmarkStart w:name="_bookmark1773" w:id="1775"/>
      <w:bookmarkEnd w:id="1775"/>
      <w:r>
        <w:rPr>
          <w:vertAlign w:val="baseline"/>
        </w:rPr>
        <w:t>in</w:t>
      </w:r>
      <w:r>
        <w:rPr>
          <w:vertAlign w:val="baseline"/>
        </w:rPr>
        <w:t> the same speech he refers, in the context of proprietary estoppel by “encouragement”, to a requirement</w:t>
      </w:r>
      <w:r>
        <w:rPr>
          <w:spacing w:val="-3"/>
          <w:vertAlign w:val="baseline"/>
        </w:rPr>
        <w:t> </w:t>
      </w:r>
      <w:r>
        <w:rPr>
          <w:vertAlign w:val="baseline"/>
        </w:rPr>
        <w:t>of</w:t>
      </w:r>
      <w:r>
        <w:rPr>
          <w:spacing w:val="-3"/>
          <w:vertAlign w:val="baseline"/>
        </w:rPr>
        <w:t> </w:t>
      </w:r>
      <w:r>
        <w:rPr>
          <w:vertAlign w:val="baseline"/>
        </w:rPr>
        <w:t>assurances</w:t>
      </w:r>
      <w:r>
        <w:rPr>
          <w:spacing w:val="-3"/>
          <w:vertAlign w:val="baseline"/>
        </w:rPr>
        <w:t> </w:t>
      </w:r>
      <w:r>
        <w:rPr>
          <w:vertAlign w:val="baseline"/>
        </w:rPr>
        <w:t>given</w:t>
      </w:r>
      <w:r>
        <w:rPr>
          <w:spacing w:val="-3"/>
          <w:vertAlign w:val="baseline"/>
        </w:rPr>
        <w:t> </w:t>
      </w:r>
      <w:r>
        <w:rPr>
          <w:vertAlign w:val="baseline"/>
        </w:rPr>
        <w:t>“expressly,</w:t>
      </w:r>
      <w:r>
        <w:rPr>
          <w:spacing w:val="-3"/>
          <w:vertAlign w:val="baseline"/>
        </w:rPr>
        <w:t> </w:t>
      </w:r>
      <w:r>
        <w:rPr>
          <w:vertAlign w:val="baseline"/>
        </w:rPr>
        <w:t>impliedly</w:t>
      </w:r>
      <w:r>
        <w:rPr>
          <w:spacing w:val="-3"/>
          <w:vertAlign w:val="baseline"/>
        </w:rPr>
        <w:t> </w:t>
      </w:r>
      <w:r>
        <w:rPr>
          <w:vertAlign w:val="baseline"/>
        </w:rPr>
        <w:t>or,</w:t>
      </w:r>
      <w:r>
        <w:rPr>
          <w:spacing w:val="-3"/>
          <w:vertAlign w:val="baseline"/>
        </w:rPr>
        <w:t> </w:t>
      </w:r>
      <w:r>
        <w:rPr>
          <w:vertAlign w:val="baseline"/>
        </w:rPr>
        <w:t>in</w:t>
      </w:r>
      <w:r>
        <w:rPr>
          <w:spacing w:val="-3"/>
          <w:vertAlign w:val="baseline"/>
        </w:rPr>
        <w:t> </w:t>
      </w:r>
      <w:r>
        <w:rPr>
          <w:vertAlign w:val="baseline"/>
        </w:rPr>
        <w:t>standing</w:t>
      </w:r>
      <w:r>
        <w:rPr>
          <w:spacing w:val="-3"/>
          <w:vertAlign w:val="baseline"/>
        </w:rPr>
        <w:t> </w:t>
      </w:r>
      <w:r>
        <w:rPr>
          <w:vertAlign w:val="baseline"/>
        </w:rPr>
        <w:t>by</w:t>
      </w:r>
      <w:r>
        <w:rPr>
          <w:spacing w:val="-3"/>
          <w:vertAlign w:val="baseline"/>
        </w:rPr>
        <w:t> </w:t>
      </w:r>
      <w:r>
        <w:rPr>
          <w:vertAlign w:val="baseline"/>
        </w:rPr>
        <w:t>cases</w:t>
      </w:r>
      <w:r>
        <w:rPr>
          <w:spacing w:val="-3"/>
          <w:vertAlign w:val="baseline"/>
        </w:rPr>
        <w:t> </w:t>
      </w:r>
      <w:r>
        <w:rPr>
          <w:vertAlign w:val="baseline"/>
        </w:rPr>
        <w:t>tacitly.”</w:t>
      </w:r>
      <w:r>
        <w:rPr>
          <w:spacing w:val="-4"/>
          <w:vertAlign w:val="baseline"/>
        </w:rPr>
        <w:t> </w:t>
      </w:r>
      <w:r>
        <w:rPr>
          <w:color w:val="005DA1"/>
          <w:u w:val="single" w:color="005DA1"/>
          <w:vertAlign w:val="superscript"/>
        </w:rPr>
        <w:t>953</w:t>
      </w:r>
      <w:r>
        <w:rPr>
          <w:color w:val="005DA1"/>
          <w:spacing w:val="-3"/>
          <w:vertAlign w:val="baseline"/>
        </w:rPr>
        <w:t> </w:t>
      </w:r>
      <w:r>
        <w:rPr>
          <w:vertAlign w:val="baseline"/>
        </w:rPr>
        <w:t>A</w:t>
      </w:r>
      <w:r>
        <w:rPr>
          <w:spacing w:val="-3"/>
          <w:vertAlign w:val="baseline"/>
        </w:rPr>
        <w:t> </w:t>
      </w:r>
      <w:r>
        <w:rPr>
          <w:vertAlign w:val="baseline"/>
        </w:rPr>
        <w:t>distinction </w:t>
      </w:r>
      <w:bookmarkStart w:name="_bookmark1774" w:id="1776"/>
      <w:bookmarkEnd w:id="1776"/>
      <w:r>
        <w:rPr>
          <w:vertAlign w:val="baseline"/>
        </w:rPr>
        <w:t>seems</w:t>
      </w:r>
      <w:r>
        <w:rPr>
          <w:vertAlign w:val="baseline"/>
        </w:rPr>
        <w:t> here to be drawn between an </w:t>
      </w:r>
      <w:r>
        <w:rPr>
          <w:rFonts w:ascii="Arial" w:hAnsi="Arial"/>
          <w:i/>
          <w:vertAlign w:val="baseline"/>
        </w:rPr>
        <w:t>implied </w:t>
      </w:r>
      <w:r>
        <w:rPr>
          <w:vertAlign w:val="baseline"/>
        </w:rPr>
        <w:t>assurance, inferred from conduct, which can give rise to </w:t>
      </w:r>
      <w:bookmarkStart w:name="_bookmark1775" w:id="1777"/>
      <w:bookmarkEnd w:id="1777"/>
      <w:r>
        <w:rPr>
          <w:vertAlign w:val="baseline"/>
        </w:rPr>
        <w:t>a</w:t>
      </w:r>
      <w:r>
        <w:rPr>
          <w:vertAlign w:val="baseline"/>
        </w:rPr>
        <w:t> proprietary estoppel by “encouragement” </w:t>
      </w:r>
      <w:r>
        <w:rPr>
          <w:color w:val="005DA1"/>
          <w:u w:val="single" w:color="005DA1"/>
          <w:vertAlign w:val="superscript"/>
        </w:rPr>
        <w:t>954</w:t>
      </w:r>
      <w:r>
        <w:rPr>
          <w:color w:val="005DA1"/>
          <w:vertAlign w:val="baseline"/>
        </w:rPr>
        <w:t> </w:t>
      </w:r>
      <w:r>
        <w:rPr>
          <w:vertAlign w:val="baseline"/>
        </w:rPr>
        <w:t>and a </w:t>
      </w:r>
      <w:r>
        <w:rPr>
          <w:rFonts w:ascii="Arial" w:hAnsi="Arial"/>
          <w:i/>
          <w:vertAlign w:val="baseline"/>
        </w:rPr>
        <w:t>tacit </w:t>
      </w:r>
      <w:r>
        <w:rPr>
          <w:vertAlign w:val="baseline"/>
        </w:rPr>
        <w:t>one, based, as Lord Neuberger said in the same case, on “silence and inaction, rather than any statement or action.” </w:t>
      </w:r>
      <w:r>
        <w:rPr>
          <w:color w:val="005DA1"/>
          <w:u w:val="single" w:color="005DA1"/>
          <w:vertAlign w:val="superscript"/>
        </w:rPr>
        <w:t>955</w:t>
      </w:r>
      <w:r>
        <w:rPr>
          <w:color w:val="005DA1"/>
          <w:vertAlign w:val="baseline"/>
        </w:rPr>
        <w:t> </w:t>
      </w:r>
      <w:r>
        <w:rPr>
          <w:vertAlign w:val="baseline"/>
        </w:rPr>
        <w:t>Such a tacit assurance can give rise to proprietary estoppel by “acquiescence” or “standing by”; but this possibility is, in both these speeches, </w:t>
      </w:r>
      <w:r>
        <w:rPr>
          <w:rFonts w:ascii="Arial" w:hAnsi="Arial"/>
          <w:i/>
          <w:vertAlign w:val="baseline"/>
        </w:rPr>
        <w:t>restricted </w:t>
      </w:r>
      <w:r>
        <w:rPr>
          <w:vertAlign w:val="baseline"/>
        </w:rPr>
        <w:t>to cases of this kind, so that the “encouragement” cases are left to be governed by the general principle, applied in other legal contexts, that “silence” is, in general, too equivocal</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given</w:t>
      </w:r>
      <w:r>
        <w:rPr>
          <w:spacing w:val="-1"/>
          <w:vertAlign w:val="baseline"/>
        </w:rPr>
        <w:t> </w:t>
      </w:r>
      <w:r>
        <w:rPr>
          <w:vertAlign w:val="baseline"/>
        </w:rPr>
        <w:t>the</w:t>
      </w:r>
      <w:r>
        <w:rPr>
          <w:spacing w:val="-1"/>
          <w:vertAlign w:val="baseline"/>
        </w:rPr>
        <w:t> </w:t>
      </w:r>
      <w:r>
        <w:rPr>
          <w:vertAlign w:val="baseline"/>
        </w:rPr>
        <w:t>weight</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positive</w:t>
      </w:r>
      <w:r>
        <w:rPr>
          <w:spacing w:val="-1"/>
          <w:vertAlign w:val="baseline"/>
        </w:rPr>
        <w:t> </w:t>
      </w:r>
      <w:r>
        <w:rPr>
          <w:vertAlign w:val="baseline"/>
        </w:rPr>
        <w:t>assurance.</w:t>
      </w:r>
      <w:r>
        <w:rPr>
          <w:spacing w:val="-1"/>
          <w:vertAlign w:val="baseline"/>
        </w:rPr>
        <w:t> </w:t>
      </w:r>
      <w:r>
        <w:rPr>
          <w:vertAlign w:val="baseline"/>
        </w:rPr>
        <w:t>The</w:t>
      </w:r>
      <w:r>
        <w:rPr>
          <w:spacing w:val="-1"/>
          <w:vertAlign w:val="baseline"/>
        </w:rPr>
        <w:t> </w:t>
      </w:r>
      <w:r>
        <w:rPr>
          <w:vertAlign w:val="baseline"/>
        </w:rPr>
        <w:t>policy</w:t>
      </w:r>
      <w:r>
        <w:rPr>
          <w:spacing w:val="-1"/>
          <w:vertAlign w:val="baseline"/>
        </w:rPr>
        <w:t> </w:t>
      </w:r>
      <w:r>
        <w:rPr>
          <w:vertAlign w:val="baseline"/>
        </w:rPr>
        <w:t>reasons</w:t>
      </w:r>
      <w:r>
        <w:rPr>
          <w:spacing w:val="-1"/>
          <w:vertAlign w:val="baseline"/>
        </w:rPr>
        <w:t> </w:t>
      </w:r>
      <w:r>
        <w:rPr>
          <w:vertAlign w:val="baseline"/>
        </w:rPr>
        <w:t>for</w:t>
      </w:r>
      <w:r>
        <w:rPr>
          <w:spacing w:val="-1"/>
          <w:vertAlign w:val="baseline"/>
        </w:rPr>
        <w:t> </w:t>
      </w:r>
      <w:r>
        <w:rPr>
          <w:vertAlign w:val="baseline"/>
        </w:rPr>
        <w:t>applying</w:t>
      </w:r>
      <w:r>
        <w:rPr>
          <w:spacing w:val="-1"/>
          <w:vertAlign w:val="baseline"/>
        </w:rPr>
        <w:t> </w:t>
      </w:r>
      <w:r>
        <w:rPr>
          <w:vertAlign w:val="baseline"/>
        </w:rPr>
        <w:t>this</w:t>
      </w:r>
      <w:r>
        <w:rPr>
          <w:spacing w:val="-1"/>
          <w:vertAlign w:val="baseline"/>
        </w:rPr>
        <w:t> </w:t>
      </w:r>
      <w:r>
        <w:rPr>
          <w:vertAlign w:val="baseline"/>
        </w:rPr>
        <w:t>principle in cases of promissory estoppel are stated in para.4-093 above; in cases of proprietary estoppel by </w:t>
      </w:r>
      <w:bookmarkStart w:name="_bookmark1776" w:id="1778"/>
      <w:bookmarkEnd w:id="1778"/>
      <w:r>
        <w:rPr>
          <w:vertAlign w:val="baseline"/>
        </w:rPr>
        <w:t>acquiescence</w:t>
      </w:r>
      <w:r>
        <w:rPr>
          <w:vertAlign w:val="baseline"/>
        </w:rPr>
        <w:t> they are, or may be, outweighed by the need to strip a landowner, who has “stood by”</w:t>
      </w:r>
      <w:r>
        <w:rPr>
          <w:spacing w:val="40"/>
          <w:vertAlign w:val="baseline"/>
        </w:rPr>
        <w:t> </w:t>
      </w:r>
      <w:r>
        <w:rPr>
          <w:vertAlign w:val="baseline"/>
        </w:rPr>
        <w:t>in silence, of the unjust enrichment </w:t>
      </w:r>
      <w:r>
        <w:rPr>
          <w:color w:val="005DA1"/>
          <w:u w:val="single" w:color="005DA1"/>
          <w:vertAlign w:val="superscript"/>
        </w:rPr>
        <w:t>956</w:t>
      </w:r>
      <w:r>
        <w:rPr>
          <w:color w:val="005DA1"/>
          <w:vertAlign w:val="baseline"/>
        </w:rPr>
        <w:t> </w:t>
      </w:r>
      <w:r>
        <w:rPr>
          <w:vertAlign w:val="baseline"/>
        </w:rPr>
        <w:t>that would, but for such an estoppel, accrue to him.</w:t>
      </w:r>
    </w:p>
    <w:p>
      <w:pPr>
        <w:pStyle w:val="BodyText"/>
      </w:pPr>
    </w:p>
    <w:p>
      <w:pPr>
        <w:pStyle w:val="BodyText"/>
        <w:spacing w:before="32"/>
      </w:pPr>
    </w:p>
    <w:p>
      <w:pPr>
        <w:spacing w:before="1"/>
        <w:ind w:left="165" w:right="0" w:firstLine="0"/>
        <w:jc w:val="left"/>
        <w:rPr>
          <w:rFonts w:ascii="Arial" w:hAnsi="Arial"/>
          <w:b/>
          <w:sz w:val="18"/>
        </w:rPr>
      </w:pPr>
      <w:r>
        <w:rPr>
          <w:rFonts w:ascii="Arial" w:hAnsi="Arial"/>
          <w:b/>
          <w:sz w:val="18"/>
        </w:rPr>
        <w:t>“Character or quality” of the </w:t>
      </w:r>
      <w:r>
        <w:rPr>
          <w:rFonts w:ascii="Arial" w:hAnsi="Arial"/>
          <w:b/>
          <w:spacing w:val="-2"/>
          <w:sz w:val="18"/>
        </w:rPr>
        <w:t>promise</w:t>
      </w:r>
    </w:p>
    <w:p>
      <w:pPr>
        <w:pStyle w:val="BodyText"/>
        <w:spacing w:before="41"/>
        <w:rPr>
          <w:rFonts w:ascii="Arial"/>
          <w:b/>
          <w:sz w:val="18"/>
        </w:rPr>
      </w:pPr>
    </w:p>
    <w:p>
      <w:pPr>
        <w:pStyle w:val="Heading2"/>
      </w:pPr>
      <w:r>
        <w:rPr/>
        <w:t>4-</w:t>
      </w:r>
      <w:r>
        <w:rPr>
          <w:spacing w:val="-5"/>
        </w:rPr>
        <w:t>149</w:t>
      </w:r>
    </w:p>
    <w:p>
      <w:pPr>
        <w:pStyle w:val="BodyText"/>
        <w:spacing w:line="235" w:lineRule="auto" w:before="203"/>
        <w:ind w:left="165" w:right="167"/>
        <w:jc w:val="both"/>
      </w:pPr>
      <w:r>
        <w:rPr/>
        <w:t>The “character or quality of the representation or assurance made to the claimant” in a case of</w:t>
      </w:r>
      <w:r>
        <w:rPr>
          <w:spacing w:val="40"/>
        </w:rPr>
        <w:t> </w:t>
      </w:r>
      <w:bookmarkStart w:name="_bookmark1777" w:id="1779"/>
      <w:bookmarkEnd w:id="1779"/>
      <w:r>
        <w:rPr/>
        <w:t>alleged</w:t>
      </w:r>
      <w:r>
        <w:rPr/>
        <w:t> proprietary estoppel by “encouragement” was said by Lord Walker to have been the </w:t>
      </w:r>
      <w:r>
        <w:rPr/>
        <w:t>“main issue”</w:t>
      </w:r>
      <w:r>
        <w:rPr>
          <w:spacing w:val="-3"/>
        </w:rPr>
        <w:t> </w:t>
      </w:r>
      <w:r>
        <w:rPr/>
        <w:t>in</w:t>
      </w:r>
      <w:r>
        <w:rPr>
          <w:spacing w:val="-3"/>
        </w:rPr>
        <w:t> </w:t>
      </w:r>
      <w:r>
        <w:rPr>
          <w:rFonts w:ascii="Arial" w:hAnsi="Arial"/>
          <w:i/>
        </w:rPr>
        <w:t>Thorner</w:t>
      </w:r>
      <w:r>
        <w:rPr>
          <w:rFonts w:ascii="Arial" w:hAnsi="Arial"/>
          <w:i/>
          <w:spacing w:val="-3"/>
        </w:rPr>
        <w:t> </w:t>
      </w:r>
      <w:r>
        <w:rPr>
          <w:rFonts w:ascii="Arial" w:hAnsi="Arial"/>
          <w:i/>
        </w:rPr>
        <w:t>v</w:t>
      </w:r>
      <w:r>
        <w:rPr>
          <w:rFonts w:ascii="Arial" w:hAnsi="Arial"/>
          <w:i/>
          <w:spacing w:val="-3"/>
        </w:rPr>
        <w:t> </w:t>
      </w:r>
      <w:r>
        <w:rPr>
          <w:rFonts w:ascii="Arial" w:hAnsi="Arial"/>
          <w:i/>
        </w:rPr>
        <w:t>Major</w:t>
      </w:r>
      <w:r>
        <w:rPr/>
        <w:t>.</w:t>
      </w:r>
      <w:r>
        <w:rPr>
          <w:spacing w:val="-3"/>
        </w:rPr>
        <w:t> </w:t>
      </w:r>
      <w:r>
        <w:rPr>
          <w:color w:val="005DA1"/>
          <w:u w:val="single" w:color="005DA1"/>
          <w:vertAlign w:val="superscript"/>
        </w:rPr>
        <w:t>957</w:t>
      </w:r>
      <w:r>
        <w:rPr>
          <w:color w:val="005DA1"/>
          <w:spacing w:val="-3"/>
          <w:vertAlign w:val="baseline"/>
        </w:rPr>
        <w:t> </w:t>
      </w:r>
      <w:r>
        <w:rPr>
          <w:vertAlign w:val="baseline"/>
        </w:rPr>
        <w:t>In</w:t>
      </w:r>
      <w:r>
        <w:rPr>
          <w:spacing w:val="-3"/>
          <w:vertAlign w:val="baseline"/>
        </w:rPr>
        <w:t> </w:t>
      </w:r>
      <w:r>
        <w:rPr>
          <w:vertAlign w:val="baseline"/>
        </w:rPr>
        <w:t>a</w:t>
      </w:r>
      <w:r>
        <w:rPr>
          <w:spacing w:val="-3"/>
          <w:vertAlign w:val="baseline"/>
        </w:rPr>
        <w:t> </w:t>
      </w:r>
      <w:r>
        <w:rPr>
          <w:vertAlign w:val="baseline"/>
        </w:rPr>
        <w:t>later</w:t>
      </w:r>
      <w:r>
        <w:rPr>
          <w:spacing w:val="-3"/>
          <w:vertAlign w:val="baseline"/>
        </w:rPr>
        <w:t> </w:t>
      </w:r>
      <w:r>
        <w:rPr>
          <w:vertAlign w:val="baseline"/>
        </w:rPr>
        <w:t>passage,</w:t>
      </w:r>
      <w:r>
        <w:rPr>
          <w:spacing w:val="-3"/>
          <w:vertAlign w:val="baseline"/>
        </w:rPr>
        <w:t> </w:t>
      </w:r>
      <w:r>
        <w:rPr>
          <w:color w:val="005DA1"/>
          <w:u w:val="single" w:color="005DA1"/>
          <w:vertAlign w:val="superscript"/>
        </w:rPr>
        <w:t>958</w:t>
      </w:r>
      <w:r>
        <w:rPr>
          <w:color w:val="005DA1"/>
          <w:spacing w:val="-3"/>
          <w:vertAlign w:val="baseline"/>
        </w:rPr>
        <w:t> </w:t>
      </w:r>
      <w:r>
        <w:rPr>
          <w:vertAlign w:val="baseline"/>
        </w:rPr>
        <w:t>he</w:t>
      </w:r>
      <w:r>
        <w:rPr>
          <w:spacing w:val="-3"/>
          <w:vertAlign w:val="baseline"/>
        </w:rPr>
        <w:t> </w:t>
      </w:r>
      <w:r>
        <w:rPr>
          <w:vertAlign w:val="baseline"/>
        </w:rPr>
        <w:t>amplified</w:t>
      </w:r>
      <w:r>
        <w:rPr>
          <w:spacing w:val="-3"/>
          <w:vertAlign w:val="baseline"/>
        </w:rPr>
        <w:t> </w:t>
      </w:r>
      <w:r>
        <w:rPr>
          <w:vertAlign w:val="baseline"/>
        </w:rPr>
        <w:t>this</w:t>
      </w:r>
      <w:r>
        <w:rPr>
          <w:spacing w:val="-3"/>
          <w:vertAlign w:val="baseline"/>
        </w:rPr>
        <w:t> </w:t>
      </w:r>
      <w:r>
        <w:rPr>
          <w:vertAlign w:val="baseline"/>
        </w:rPr>
        <w:t>statement</w:t>
      </w:r>
      <w:r>
        <w:rPr>
          <w:spacing w:val="-3"/>
          <w:vertAlign w:val="baseline"/>
        </w:rPr>
        <w:t> </w:t>
      </w:r>
      <w:r>
        <w:rPr>
          <w:vertAlign w:val="baseline"/>
        </w:rPr>
        <w:t>by</w:t>
      </w:r>
      <w:r>
        <w:rPr>
          <w:spacing w:val="-3"/>
          <w:vertAlign w:val="baseline"/>
        </w:rPr>
        <w:t> </w:t>
      </w:r>
      <w:r>
        <w:rPr>
          <w:vertAlign w:val="baseline"/>
        </w:rPr>
        <w:t>putting</w:t>
      </w:r>
      <w:r>
        <w:rPr>
          <w:spacing w:val="-3"/>
          <w:vertAlign w:val="baseline"/>
        </w:rPr>
        <w:t> </w:t>
      </w:r>
      <w:r>
        <w:rPr>
          <w:vertAlign w:val="baseline"/>
        </w:rPr>
        <w:t>the</w:t>
      </w:r>
      <w:r>
        <w:rPr>
          <w:spacing w:val="-3"/>
          <w:vertAlign w:val="baseline"/>
        </w:rPr>
        <w:t> </w:t>
      </w:r>
      <w:r>
        <w:rPr>
          <w:vertAlign w:val="baseline"/>
        </w:rPr>
        <w:t>question </w:t>
      </w:r>
      <w:bookmarkStart w:name="_bookmark1778" w:id="1780"/>
      <w:bookmarkEnd w:id="1780"/>
      <w:r>
        <w:rPr>
          <w:vertAlign w:val="baseline"/>
        </w:rPr>
        <w:t>whether</w:t>
      </w:r>
      <w:r>
        <w:rPr>
          <w:vertAlign w:val="baseline"/>
        </w:rPr>
        <w:t> the representation or assurance must (as in cases of promissory estoppel and estoppel by representation) </w:t>
      </w:r>
      <w:r>
        <w:rPr>
          <w:color w:val="005DA1"/>
          <w:u w:val="single" w:color="005DA1"/>
          <w:vertAlign w:val="superscript"/>
        </w:rPr>
        <w:t>959</w:t>
      </w:r>
      <w:r>
        <w:rPr>
          <w:color w:val="005DA1"/>
          <w:vertAlign w:val="baseline"/>
        </w:rPr>
        <w:t> </w:t>
      </w:r>
      <w:r>
        <w:rPr>
          <w:vertAlign w:val="baseline"/>
        </w:rPr>
        <w:t>be “clear and unequivocal” and, if so, just what this requirement meant in cases of proprietary estoppel. In </w:t>
      </w:r>
      <w:r>
        <w:rPr>
          <w:rFonts w:ascii="Arial" w:hAnsi="Arial"/>
          <w:i/>
          <w:vertAlign w:val="baseline"/>
        </w:rPr>
        <w:t>Thorner v Major</w:t>
      </w:r>
      <w:r>
        <w:rPr>
          <w:vertAlign w:val="baseline"/>
        </w:rPr>
        <w:t>, David Thorner had, from 1976, worked without pay on a</w:t>
      </w:r>
      <w:r>
        <w:rPr>
          <w:spacing w:val="80"/>
          <w:vertAlign w:val="baseline"/>
        </w:rPr>
        <w:t> </w:t>
      </w:r>
      <w:r>
        <w:rPr>
          <w:vertAlign w:val="baseline"/>
        </w:rPr>
        <w:t>farm belonging to his father’s cousin Peter Thorner. David continued to work there without pay </w:t>
      </w:r>
      <w:bookmarkStart w:name="_bookmark1779" w:id="1781"/>
      <w:bookmarkEnd w:id="1781"/>
      <w:r>
        <w:rPr>
          <w:vertAlign w:val="baseline"/>
        </w:rPr>
        <w:t>(receiving</w:t>
      </w:r>
      <w:r>
        <w:rPr>
          <w:spacing w:val="-1"/>
          <w:vertAlign w:val="baseline"/>
        </w:rPr>
        <w:t> </w:t>
      </w:r>
      <w:r>
        <w:rPr>
          <w:vertAlign w:val="baseline"/>
        </w:rPr>
        <w:t>only</w:t>
      </w:r>
      <w:r>
        <w:rPr>
          <w:spacing w:val="-1"/>
          <w:vertAlign w:val="baseline"/>
        </w:rPr>
        <w:t> </w:t>
      </w:r>
      <w:r>
        <w:rPr>
          <w:vertAlign w:val="baseline"/>
        </w:rPr>
        <w:t>pocket</w:t>
      </w:r>
      <w:r>
        <w:rPr>
          <w:spacing w:val="-1"/>
          <w:vertAlign w:val="baseline"/>
        </w:rPr>
        <w:t> </w:t>
      </w:r>
      <w:r>
        <w:rPr>
          <w:vertAlign w:val="baseline"/>
        </w:rPr>
        <w:t>money</w:t>
      </w:r>
      <w:r>
        <w:rPr>
          <w:spacing w:val="-1"/>
          <w:vertAlign w:val="baseline"/>
        </w:rPr>
        <w:t> </w:t>
      </w:r>
      <w:r>
        <w:rPr>
          <w:vertAlign w:val="baseline"/>
        </w:rPr>
        <w:t>from</w:t>
      </w:r>
      <w:r>
        <w:rPr>
          <w:spacing w:val="-1"/>
          <w:vertAlign w:val="baseline"/>
        </w:rPr>
        <w:t> </w:t>
      </w:r>
      <w:r>
        <w:rPr>
          <w:vertAlign w:val="baseline"/>
        </w:rPr>
        <w:t>his</w:t>
      </w:r>
      <w:r>
        <w:rPr>
          <w:spacing w:val="-1"/>
          <w:vertAlign w:val="baseline"/>
        </w:rPr>
        <w:t> </w:t>
      </w:r>
      <w:r>
        <w:rPr>
          <w:vertAlign w:val="baseline"/>
        </w:rPr>
        <w:t>father</w:t>
      </w:r>
      <w:r>
        <w:rPr>
          <w:spacing w:val="-1"/>
          <w:vertAlign w:val="baseline"/>
        </w:rPr>
        <w:t> </w:t>
      </w:r>
      <w:r>
        <w:rPr>
          <w:vertAlign w:val="baseline"/>
        </w:rPr>
        <w:t>until</w:t>
      </w:r>
      <w:r>
        <w:rPr>
          <w:spacing w:val="-1"/>
          <w:vertAlign w:val="baseline"/>
        </w:rPr>
        <w:t> </w:t>
      </w:r>
      <w:r>
        <w:rPr>
          <w:vertAlign w:val="baseline"/>
        </w:rPr>
        <w:t>Peter’s</w:t>
      </w:r>
      <w:r>
        <w:rPr>
          <w:spacing w:val="-1"/>
          <w:vertAlign w:val="baseline"/>
        </w:rPr>
        <w:t> </w:t>
      </w:r>
      <w:r>
        <w:rPr>
          <w:vertAlign w:val="baseline"/>
        </w:rPr>
        <w:t>death</w:t>
      </w:r>
      <w:r>
        <w:rPr>
          <w:spacing w:val="-1"/>
          <w:vertAlign w:val="baseline"/>
        </w:rPr>
        <w:t> </w:t>
      </w:r>
      <w:r>
        <w:rPr>
          <w:vertAlign w:val="baseline"/>
        </w:rPr>
        <w:t>in</w:t>
      </w:r>
      <w:r>
        <w:rPr>
          <w:spacing w:val="-1"/>
          <w:vertAlign w:val="baseline"/>
        </w:rPr>
        <w:t> </w:t>
      </w:r>
      <w:r>
        <w:rPr>
          <w:vertAlign w:val="baseline"/>
        </w:rPr>
        <w:t>2005).</w:t>
      </w:r>
      <w:r>
        <w:rPr>
          <w:spacing w:val="-1"/>
          <w:vertAlign w:val="baseline"/>
        </w:rPr>
        <w:t> </w:t>
      </w:r>
      <w:r>
        <w:rPr>
          <w:vertAlign w:val="baseline"/>
        </w:rPr>
        <w:t>Before</w:t>
      </w:r>
      <w:r>
        <w:rPr>
          <w:spacing w:val="-1"/>
          <w:vertAlign w:val="baseline"/>
        </w:rPr>
        <w:t> </w:t>
      </w:r>
      <w:r>
        <w:rPr>
          <w:vertAlign w:val="baseline"/>
        </w:rPr>
        <w:t>then,</w:t>
      </w:r>
      <w:r>
        <w:rPr>
          <w:spacing w:val="-1"/>
          <w:vertAlign w:val="baseline"/>
        </w:rPr>
        <w:t> </w:t>
      </w:r>
      <w:r>
        <w:rPr>
          <w:vertAlign w:val="baseline"/>
        </w:rPr>
        <w:t>Peter</w:t>
      </w:r>
      <w:r>
        <w:rPr>
          <w:spacing w:val="-1"/>
          <w:vertAlign w:val="baseline"/>
        </w:rPr>
        <w:t> </w:t>
      </w:r>
      <w:r>
        <w:rPr>
          <w:vertAlign w:val="baseline"/>
        </w:rPr>
        <w:t>(who</w:t>
      </w:r>
      <w:r>
        <w:rPr>
          <w:spacing w:val="-1"/>
          <w:vertAlign w:val="baseline"/>
        </w:rPr>
        <w:t> </w:t>
      </w:r>
      <w:r>
        <w:rPr>
          <w:vertAlign w:val="baseline"/>
        </w:rPr>
        <w:t>was “taciturn”, “a man of few words” and “not given to direct talking”) </w:t>
      </w:r>
      <w:r>
        <w:rPr>
          <w:color w:val="005DA1"/>
          <w:u w:val="single" w:color="005DA1"/>
          <w:vertAlign w:val="superscript"/>
        </w:rPr>
        <w:t>960</w:t>
      </w:r>
      <w:r>
        <w:rPr>
          <w:color w:val="005DA1"/>
          <w:vertAlign w:val="baseline"/>
        </w:rPr>
        <w:t> </w:t>
      </w:r>
      <w:r>
        <w:rPr>
          <w:vertAlign w:val="baseline"/>
        </w:rPr>
        <w:t>had on a number of occasions extending</w:t>
      </w:r>
      <w:r>
        <w:rPr>
          <w:spacing w:val="28"/>
          <w:vertAlign w:val="baseline"/>
        </w:rPr>
        <w:t> </w:t>
      </w:r>
      <w:r>
        <w:rPr>
          <w:vertAlign w:val="baseline"/>
        </w:rPr>
        <w:t>over</w:t>
      </w:r>
      <w:r>
        <w:rPr>
          <w:spacing w:val="28"/>
          <w:vertAlign w:val="baseline"/>
        </w:rPr>
        <w:t> </w:t>
      </w:r>
      <w:r>
        <w:rPr>
          <w:vertAlign w:val="baseline"/>
        </w:rPr>
        <w:t>many</w:t>
      </w:r>
      <w:r>
        <w:rPr>
          <w:spacing w:val="28"/>
          <w:vertAlign w:val="baseline"/>
        </w:rPr>
        <w:t> </w:t>
      </w:r>
      <w:r>
        <w:rPr>
          <w:vertAlign w:val="baseline"/>
        </w:rPr>
        <w:t>years</w:t>
      </w:r>
      <w:r>
        <w:rPr>
          <w:spacing w:val="28"/>
          <w:vertAlign w:val="baseline"/>
        </w:rPr>
        <w:t> </w:t>
      </w:r>
      <w:r>
        <w:rPr>
          <w:vertAlign w:val="baseline"/>
        </w:rPr>
        <w:t>given</w:t>
      </w:r>
      <w:r>
        <w:rPr>
          <w:spacing w:val="28"/>
          <w:vertAlign w:val="baseline"/>
        </w:rPr>
        <w:t> </w:t>
      </w:r>
      <w:r>
        <w:rPr>
          <w:vertAlign w:val="baseline"/>
        </w:rPr>
        <w:t>David</w:t>
      </w:r>
      <w:r>
        <w:rPr>
          <w:spacing w:val="28"/>
          <w:vertAlign w:val="baseline"/>
        </w:rPr>
        <w:t> </w:t>
      </w:r>
      <w:r>
        <w:rPr>
          <w:vertAlign w:val="baseline"/>
        </w:rPr>
        <w:t>to</w:t>
      </w:r>
      <w:r>
        <w:rPr>
          <w:spacing w:val="28"/>
          <w:vertAlign w:val="baseline"/>
        </w:rPr>
        <w:t> </w:t>
      </w:r>
      <w:r>
        <w:rPr>
          <w:vertAlign w:val="baseline"/>
        </w:rPr>
        <w:t>understand</w:t>
      </w:r>
      <w:r>
        <w:rPr>
          <w:spacing w:val="28"/>
          <w:vertAlign w:val="baseline"/>
        </w:rPr>
        <w:t> </w:t>
      </w:r>
      <w:r>
        <w:rPr>
          <w:vertAlign w:val="baseline"/>
        </w:rPr>
        <w:t>that</w:t>
      </w:r>
      <w:r>
        <w:rPr>
          <w:spacing w:val="28"/>
          <w:vertAlign w:val="baseline"/>
        </w:rPr>
        <w:t> </w:t>
      </w:r>
      <w:r>
        <w:rPr>
          <w:vertAlign w:val="baseline"/>
        </w:rPr>
        <w:t>he</w:t>
      </w:r>
      <w:r>
        <w:rPr>
          <w:spacing w:val="28"/>
          <w:vertAlign w:val="baseline"/>
        </w:rPr>
        <w:t> </w:t>
      </w:r>
      <w:r>
        <w:rPr>
          <w:vertAlign w:val="baseline"/>
        </w:rPr>
        <w:t>would,</w:t>
      </w:r>
      <w:r>
        <w:rPr>
          <w:spacing w:val="28"/>
          <w:vertAlign w:val="baseline"/>
        </w:rPr>
        <w:t> </w:t>
      </w:r>
      <w:r>
        <w:rPr>
          <w:vertAlign w:val="baseline"/>
        </w:rPr>
        <w:t>on</w:t>
      </w:r>
      <w:r>
        <w:rPr>
          <w:spacing w:val="28"/>
          <w:vertAlign w:val="baseline"/>
        </w:rPr>
        <w:t> </w:t>
      </w:r>
      <w:r>
        <w:rPr>
          <w:vertAlign w:val="baseline"/>
        </w:rPr>
        <w:t>Peter’s</w:t>
      </w:r>
      <w:r>
        <w:rPr>
          <w:spacing w:val="28"/>
          <w:vertAlign w:val="baseline"/>
        </w:rPr>
        <w:t> </w:t>
      </w:r>
      <w:r>
        <w:rPr>
          <w:vertAlign w:val="baseline"/>
        </w:rPr>
        <w:t>death,</w:t>
      </w:r>
      <w:r>
        <w:rPr>
          <w:spacing w:val="28"/>
          <w:vertAlign w:val="baseline"/>
        </w:rPr>
        <w:t> </w:t>
      </w:r>
      <w:r>
        <w:rPr>
          <w:vertAlign w:val="baseline"/>
        </w:rPr>
        <w:t>inherit</w:t>
      </w:r>
      <w:r>
        <w:rPr>
          <w:spacing w:val="28"/>
          <w:vertAlign w:val="baseline"/>
        </w:rPr>
        <w:t> </w:t>
      </w:r>
      <w:r>
        <w:rPr>
          <w:spacing w:val="-5"/>
          <w:vertAlign w:val="baseline"/>
        </w:rPr>
        <w:t>the</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farm, but Peter had never made any explicit promise to this effect to David. In reliance on Peter’s </w:t>
      </w:r>
      <w:bookmarkStart w:name="_bookmark1780" w:id="1782"/>
      <w:bookmarkEnd w:id="1782"/>
      <w:r>
        <w:rPr/>
        <w:t>conduct</w:t>
      </w:r>
      <w:r>
        <w:rPr/>
        <w:t> and statements, David had reasonably formed the expectation that he would inherit the farm </w:t>
      </w:r>
      <w:bookmarkStart w:name="_bookmark1781" w:id="1783"/>
      <w:bookmarkEnd w:id="1783"/>
      <w:r>
        <w:rPr/>
        <w:t>on</w:t>
      </w:r>
      <w:r>
        <w:rPr>
          <w:spacing w:val="9"/>
        </w:rPr>
        <w:t> </w:t>
      </w:r>
      <w:r>
        <w:rPr/>
        <w:t>Peter’s</w:t>
      </w:r>
      <w:r>
        <w:rPr>
          <w:spacing w:val="9"/>
        </w:rPr>
        <w:t> </w:t>
      </w:r>
      <w:r>
        <w:rPr/>
        <w:t>death</w:t>
      </w:r>
      <w:r>
        <w:rPr>
          <w:spacing w:val="9"/>
        </w:rPr>
        <w:t> </w:t>
      </w:r>
      <w:r>
        <w:rPr/>
        <w:t>and</w:t>
      </w:r>
      <w:r>
        <w:rPr>
          <w:spacing w:val="9"/>
        </w:rPr>
        <w:t> </w:t>
      </w:r>
      <w:r>
        <w:rPr/>
        <w:t>had</w:t>
      </w:r>
      <w:r>
        <w:rPr>
          <w:spacing w:val="9"/>
        </w:rPr>
        <w:t> </w:t>
      </w:r>
      <w:r>
        <w:rPr/>
        <w:t>forborne</w:t>
      </w:r>
      <w:r>
        <w:rPr>
          <w:spacing w:val="9"/>
        </w:rPr>
        <w:t> </w:t>
      </w:r>
      <w:r>
        <w:rPr/>
        <w:t>from</w:t>
      </w:r>
      <w:r>
        <w:rPr>
          <w:spacing w:val="9"/>
        </w:rPr>
        <w:t> </w:t>
      </w:r>
      <w:r>
        <w:rPr/>
        <w:t>pursuing</w:t>
      </w:r>
      <w:r>
        <w:rPr>
          <w:spacing w:val="9"/>
        </w:rPr>
        <w:t> </w:t>
      </w:r>
      <w:r>
        <w:rPr/>
        <w:t>“one</w:t>
      </w:r>
      <w:r>
        <w:rPr>
          <w:spacing w:val="9"/>
        </w:rPr>
        <w:t> </w:t>
      </w:r>
      <w:r>
        <w:rPr/>
        <w:t>of</w:t>
      </w:r>
      <w:r>
        <w:rPr>
          <w:spacing w:val="9"/>
        </w:rPr>
        <w:t> </w:t>
      </w:r>
      <w:r>
        <w:rPr/>
        <w:t>the</w:t>
      </w:r>
      <w:r>
        <w:rPr>
          <w:spacing w:val="9"/>
        </w:rPr>
        <w:t> </w:t>
      </w:r>
      <w:r>
        <w:rPr/>
        <w:t>other</w:t>
      </w:r>
      <w:r>
        <w:rPr>
          <w:spacing w:val="9"/>
        </w:rPr>
        <w:t> </w:t>
      </w:r>
      <w:r>
        <w:rPr/>
        <w:t>opportunities</w:t>
      </w:r>
      <w:r>
        <w:rPr>
          <w:spacing w:val="9"/>
        </w:rPr>
        <w:t> </w:t>
      </w:r>
      <w:r>
        <w:rPr/>
        <w:t>…</w:t>
      </w:r>
      <w:r>
        <w:rPr>
          <w:spacing w:val="9"/>
        </w:rPr>
        <w:t> </w:t>
      </w:r>
      <w:r>
        <w:rPr/>
        <w:t>available</w:t>
      </w:r>
      <w:r>
        <w:rPr>
          <w:spacing w:val="9"/>
        </w:rPr>
        <w:t> </w:t>
      </w:r>
      <w:r>
        <w:rPr/>
        <w:t>to</w:t>
      </w:r>
      <w:r>
        <w:rPr>
          <w:spacing w:val="9"/>
        </w:rPr>
        <w:t> </w:t>
      </w:r>
      <w:r>
        <w:rPr>
          <w:spacing w:val="-2"/>
        </w:rPr>
        <w:t>him.”</w:t>
      </w:r>
    </w:p>
    <w:p>
      <w:pPr>
        <w:pStyle w:val="BodyText"/>
        <w:spacing w:line="223" w:lineRule="exact"/>
        <w:ind w:left="165"/>
        <w:jc w:val="both"/>
      </w:pPr>
      <w:r>
        <w:rPr>
          <w:color w:val="005DA1"/>
          <w:u w:val="single" w:color="005DA1"/>
          <w:vertAlign w:val="superscript"/>
        </w:rPr>
        <w:t>961</w:t>
      </w:r>
      <w:r>
        <w:rPr>
          <w:color w:val="005DA1"/>
          <w:spacing w:val="37"/>
          <w:vertAlign w:val="baseline"/>
        </w:rPr>
        <w:t> </w:t>
      </w:r>
      <w:bookmarkStart w:name="_bookmark1782" w:id="1784"/>
      <w:bookmarkEnd w:id="1784"/>
      <w:r>
        <w:rPr>
          <w:color w:val="005DA1"/>
          <w:spacing w:val="-16"/>
          <w:vertAlign w:val="baseline"/>
        </w:rPr>
      </w:r>
      <w:r>
        <w:rPr>
          <w:vertAlign w:val="baseline"/>
        </w:rPr>
        <w:t>On</w:t>
      </w:r>
      <w:r>
        <w:rPr>
          <w:spacing w:val="38"/>
          <w:vertAlign w:val="baseline"/>
        </w:rPr>
        <w:t> </w:t>
      </w:r>
      <w:r>
        <w:rPr>
          <w:vertAlign w:val="baseline"/>
        </w:rPr>
        <w:t>Peter’s</w:t>
      </w:r>
      <w:r>
        <w:rPr>
          <w:spacing w:val="38"/>
          <w:vertAlign w:val="baseline"/>
        </w:rPr>
        <w:t> </w:t>
      </w:r>
      <w:r>
        <w:rPr>
          <w:vertAlign w:val="baseline"/>
        </w:rPr>
        <w:t>death</w:t>
      </w:r>
      <w:r>
        <w:rPr>
          <w:spacing w:val="37"/>
          <w:vertAlign w:val="baseline"/>
        </w:rPr>
        <w:t> </w:t>
      </w:r>
      <w:r>
        <w:rPr>
          <w:vertAlign w:val="baseline"/>
        </w:rPr>
        <w:t>intestate,</w:t>
      </w:r>
      <w:r>
        <w:rPr>
          <w:spacing w:val="38"/>
          <w:vertAlign w:val="baseline"/>
        </w:rPr>
        <w:t> </w:t>
      </w:r>
      <w:r>
        <w:rPr>
          <w:vertAlign w:val="baseline"/>
        </w:rPr>
        <w:t>David</w:t>
      </w:r>
      <w:r>
        <w:rPr>
          <w:spacing w:val="37"/>
          <w:vertAlign w:val="baseline"/>
        </w:rPr>
        <w:t> </w:t>
      </w:r>
      <w:r>
        <w:rPr>
          <w:vertAlign w:val="baseline"/>
        </w:rPr>
        <w:t>brought</w:t>
      </w:r>
      <w:r>
        <w:rPr>
          <w:spacing w:val="38"/>
          <w:vertAlign w:val="baseline"/>
        </w:rPr>
        <w:t> </w:t>
      </w:r>
      <w:r>
        <w:rPr>
          <w:vertAlign w:val="baseline"/>
        </w:rPr>
        <w:t>a</w:t>
      </w:r>
      <w:r>
        <w:rPr>
          <w:spacing w:val="38"/>
          <w:vertAlign w:val="baseline"/>
        </w:rPr>
        <w:t> </w:t>
      </w:r>
      <w:r>
        <w:rPr>
          <w:vertAlign w:val="baseline"/>
        </w:rPr>
        <w:t>claim</w:t>
      </w:r>
      <w:r>
        <w:rPr>
          <w:spacing w:val="37"/>
          <w:vertAlign w:val="baseline"/>
        </w:rPr>
        <w:t> </w:t>
      </w:r>
      <w:r>
        <w:rPr>
          <w:vertAlign w:val="baseline"/>
        </w:rPr>
        <w:t>against</w:t>
      </w:r>
      <w:r>
        <w:rPr>
          <w:spacing w:val="38"/>
          <w:vertAlign w:val="baseline"/>
        </w:rPr>
        <w:t> </w:t>
      </w:r>
      <w:r>
        <w:rPr>
          <w:vertAlign w:val="baseline"/>
        </w:rPr>
        <w:t>Peter’s</w:t>
      </w:r>
      <w:r>
        <w:rPr>
          <w:spacing w:val="38"/>
          <w:vertAlign w:val="baseline"/>
        </w:rPr>
        <w:t> </w:t>
      </w:r>
      <w:r>
        <w:rPr>
          <w:vertAlign w:val="baseline"/>
        </w:rPr>
        <w:t>personal</w:t>
      </w:r>
      <w:r>
        <w:rPr>
          <w:spacing w:val="37"/>
          <w:vertAlign w:val="baseline"/>
        </w:rPr>
        <w:t> </w:t>
      </w:r>
      <w:r>
        <w:rPr>
          <w:vertAlign w:val="baseline"/>
        </w:rPr>
        <w:t>representatives</w:t>
      </w:r>
      <w:r>
        <w:rPr>
          <w:spacing w:val="37"/>
          <w:vertAlign w:val="baseline"/>
        </w:rPr>
        <w:t> </w:t>
      </w:r>
      <w:r>
        <w:rPr>
          <w:color w:val="005DA1"/>
          <w:spacing w:val="-5"/>
          <w:u w:val="single" w:color="005DA1"/>
          <w:vertAlign w:val="superscript"/>
        </w:rPr>
        <w:t>962</w:t>
      </w:r>
    </w:p>
    <w:p>
      <w:pPr>
        <w:pStyle w:val="BodyText"/>
        <w:spacing w:line="235" w:lineRule="auto" w:before="1"/>
        <w:ind w:left="164" w:right="167"/>
        <w:jc w:val="both"/>
      </w:pPr>
      <w:r>
        <w:rPr/>
        <w:t>based on proprietary estoppel </w:t>
      </w:r>
      <w:r>
        <w:rPr>
          <w:color w:val="005DA1"/>
          <w:u w:val="single" w:color="005DA1"/>
          <w:vertAlign w:val="superscript"/>
        </w:rPr>
        <w:t>963</w:t>
      </w:r>
      <w:r>
        <w:rPr>
          <w:color w:val="005DA1"/>
          <w:vertAlign w:val="baseline"/>
        </w:rPr>
        <w:t> </w:t>
      </w:r>
      <w:r>
        <w:rPr>
          <w:vertAlign w:val="baseline"/>
        </w:rPr>
        <w:t>(no attempt being made to argue that there was any </w:t>
      </w:r>
      <w:r>
        <w:rPr>
          <w:vertAlign w:val="baseline"/>
        </w:rPr>
        <w:t>contract between Peter and David). In upholding this claim, the House of Lords considered two main issues. The first was whether Peter’s representation that David would inherit the farm was sufficiently clear to give rise to proprietary estoppel: this issue will be discussed in paras 4-150 to 4-152 below. The second was whether, even assuming that Peter had clearly represented that David would inherit something, that representation was sufficiently clear with respect to exactly what it was that David </w:t>
      </w:r>
      <w:bookmarkStart w:name="_bookmark1783" w:id="1785"/>
      <w:bookmarkEnd w:id="1785"/>
      <w:r>
        <w:rPr>
          <w:vertAlign w:val="baseline"/>
        </w:rPr>
        <w:t>would</w:t>
      </w:r>
      <w:r>
        <w:rPr>
          <w:vertAlign w:val="baseline"/>
        </w:rPr>
        <w:t> inherit or (in the words of Lord Scott in the </w:t>
      </w:r>
      <w:r>
        <w:rPr>
          <w:rFonts w:ascii="Arial" w:hAnsi="Arial"/>
          <w:i/>
          <w:vertAlign w:val="baseline"/>
        </w:rPr>
        <w:t>Cobbe </w:t>
      </w:r>
      <w:r>
        <w:rPr>
          <w:vertAlign w:val="baseline"/>
        </w:rPr>
        <w:t>case) whether the requirement of “clarity as to the interest in the property in question” </w:t>
      </w:r>
      <w:r>
        <w:rPr>
          <w:color w:val="005DA1"/>
          <w:u w:val="single" w:color="005DA1"/>
          <w:vertAlign w:val="superscript"/>
        </w:rPr>
        <w:t>964</w:t>
      </w:r>
      <w:r>
        <w:rPr>
          <w:color w:val="005DA1"/>
          <w:vertAlign w:val="baseline"/>
        </w:rPr>
        <w:t> </w:t>
      </w:r>
      <w:r>
        <w:rPr>
          <w:vertAlign w:val="baseline"/>
        </w:rPr>
        <w:t>was satisfied: this issue will be discussed in para.4-163 </w:t>
      </w:r>
      <w:r>
        <w:rPr>
          <w:spacing w:val="-2"/>
          <w:vertAlign w:val="baseline"/>
        </w:rPr>
        <w:t>below.</w:t>
      </w:r>
    </w:p>
    <w:p>
      <w:pPr>
        <w:pStyle w:val="BodyText"/>
      </w:pPr>
    </w:p>
    <w:p>
      <w:pPr>
        <w:pStyle w:val="BodyText"/>
        <w:spacing w:before="35"/>
      </w:pPr>
    </w:p>
    <w:p>
      <w:pPr>
        <w:spacing w:before="0"/>
        <w:ind w:left="165" w:right="0" w:firstLine="0"/>
        <w:jc w:val="both"/>
        <w:rPr>
          <w:rFonts w:ascii="Arial" w:hAnsi="Arial"/>
          <w:b/>
          <w:sz w:val="18"/>
        </w:rPr>
      </w:pPr>
      <w:r>
        <w:rPr>
          <w:rFonts w:ascii="Arial" w:hAnsi="Arial"/>
          <w:b/>
          <w:sz w:val="18"/>
        </w:rPr>
        <w:t>“Clear enough” in </w:t>
      </w:r>
      <w:r>
        <w:rPr>
          <w:rFonts w:ascii="Arial" w:hAnsi="Arial"/>
          <w:b/>
          <w:spacing w:val="-2"/>
          <w:sz w:val="18"/>
        </w:rPr>
        <w:t>context</w:t>
      </w:r>
    </w:p>
    <w:p>
      <w:pPr>
        <w:pStyle w:val="BodyText"/>
        <w:spacing w:before="41"/>
        <w:rPr>
          <w:rFonts w:ascii="Arial"/>
          <w:b/>
          <w:sz w:val="18"/>
        </w:rPr>
      </w:pPr>
    </w:p>
    <w:p>
      <w:pPr>
        <w:pStyle w:val="Heading2"/>
        <w:spacing w:before="1"/>
      </w:pPr>
      <w:r>
        <w:rPr/>
        <w:t>4-</w:t>
      </w:r>
      <w:r>
        <w:rPr>
          <w:spacing w:val="-5"/>
        </w:rPr>
        <w:t>150</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784" w:id="1786"/>
      <w:bookmarkEnd w:id="1786"/>
      <w:r>
        <w:rPr>
          <w:rFonts w:ascii="Times New Roman" w:hAnsi="Times New Roman"/>
          <w:spacing w:val="13"/>
        </w:rPr>
      </w:r>
      <w:r>
        <w:rPr/>
        <w:t>In upholding the proprietary estoppel claim in </w:t>
      </w:r>
      <w:r>
        <w:rPr>
          <w:rFonts w:ascii="Arial" w:hAnsi="Arial"/>
          <w:i/>
        </w:rPr>
        <w:t>Thorner v Major</w:t>
      </w:r>
      <w:r>
        <w:rPr/>
        <w:t>, </w:t>
      </w:r>
      <w:r>
        <w:rPr>
          <w:color w:val="005DA1"/>
          <w:u w:val="single" w:color="005DA1"/>
          <w:vertAlign w:val="superscript"/>
        </w:rPr>
        <w:t>965</w:t>
      </w:r>
      <w:r>
        <w:rPr>
          <w:color w:val="005DA1"/>
          <w:vertAlign w:val="baseline"/>
        </w:rPr>
        <w:t> </w:t>
      </w:r>
      <w:r>
        <w:rPr>
          <w:vertAlign w:val="baseline"/>
        </w:rPr>
        <w:t>Lord Walker referred to the view </w:t>
      </w:r>
      <w:bookmarkStart w:name="_bookmark1785" w:id="1787"/>
      <w:bookmarkEnd w:id="1787"/>
      <w:r>
        <w:rPr>
          <w:vertAlign w:val="baseline"/>
        </w:rPr>
        <w:t>that,</w:t>
      </w:r>
      <w:r>
        <w:rPr>
          <w:vertAlign w:val="baseline"/>
        </w:rPr>
        <w:t> in cases of such an estoppel, there was no requirement of any “clear and unequivocal” </w:t>
      </w:r>
      <w:bookmarkStart w:name="_bookmark1786" w:id="1788"/>
      <w:bookmarkEnd w:id="1788"/>
      <w:r>
        <w:rPr>
          <w:vertAlign w:val="baseline"/>
        </w:rPr>
        <w:t>representation</w:t>
      </w:r>
      <w:r>
        <w:rPr>
          <w:vertAlign w:val="baseline"/>
        </w:rPr>
        <w:t> </w:t>
      </w:r>
      <w:r>
        <w:rPr>
          <w:color w:val="005DA1"/>
          <w:u w:val="single" w:color="005DA1"/>
          <w:vertAlign w:val="superscript"/>
        </w:rPr>
        <w:t>966</w:t>
      </w:r>
      <w:r>
        <w:rPr>
          <w:vertAlign w:val="baseline"/>
        </w:rPr>
        <w:t>; and that, indeed, where such an estoppel was based on mere “acquiescence”, </w:t>
      </w:r>
      <w:r>
        <w:rPr>
          <w:color w:val="005DA1"/>
          <w:u w:val="single" w:color="005DA1"/>
          <w:vertAlign w:val="superscript"/>
        </w:rPr>
        <w:t>967</w:t>
      </w:r>
      <w:r>
        <w:rPr>
          <w:color w:val="005DA1"/>
          <w:vertAlign w:val="baseline"/>
        </w:rPr>
        <w:t> </w:t>
      </w:r>
      <w:r>
        <w:rPr>
          <w:vertAlign w:val="baseline"/>
        </w:rPr>
        <w:t>there</w:t>
      </w:r>
      <w:r>
        <w:rPr>
          <w:spacing w:val="-3"/>
          <w:vertAlign w:val="baseline"/>
        </w:rPr>
        <w:t> </w:t>
      </w:r>
      <w:r>
        <w:rPr>
          <w:vertAlign w:val="baseline"/>
        </w:rPr>
        <w:t>was</w:t>
      </w:r>
      <w:r>
        <w:rPr>
          <w:spacing w:val="-3"/>
          <w:vertAlign w:val="baseline"/>
        </w:rPr>
        <w:t> </w:t>
      </w:r>
      <w:r>
        <w:rPr>
          <w:vertAlign w:val="baseline"/>
        </w:rPr>
        <w:t>no</w:t>
      </w:r>
      <w:r>
        <w:rPr>
          <w:spacing w:val="-3"/>
          <w:vertAlign w:val="baseline"/>
        </w:rPr>
        <w:t> </w:t>
      </w:r>
      <w:r>
        <w:rPr>
          <w:vertAlign w:val="baseline"/>
        </w:rPr>
        <w:t>requirement</w:t>
      </w:r>
      <w:r>
        <w:rPr>
          <w:spacing w:val="-3"/>
          <w:vertAlign w:val="baseline"/>
        </w:rPr>
        <w:t> </w:t>
      </w:r>
      <w:r>
        <w:rPr>
          <w:vertAlign w:val="baseline"/>
        </w:rPr>
        <w:t>of</w:t>
      </w:r>
      <w:r>
        <w:rPr>
          <w:spacing w:val="-3"/>
          <w:vertAlign w:val="baseline"/>
        </w:rPr>
        <w:t> </w:t>
      </w:r>
      <w:r>
        <w:rPr>
          <w:vertAlign w:val="baseline"/>
        </w:rPr>
        <w:t>any</w:t>
      </w:r>
      <w:r>
        <w:rPr>
          <w:spacing w:val="-3"/>
          <w:vertAlign w:val="baseline"/>
        </w:rPr>
        <w:t> </w:t>
      </w:r>
      <w:r>
        <w:rPr>
          <w:vertAlign w:val="baseline"/>
        </w:rPr>
        <w:t>representation</w:t>
      </w:r>
      <w:r>
        <w:rPr>
          <w:spacing w:val="-3"/>
          <w:vertAlign w:val="baseline"/>
        </w:rPr>
        <w:t> </w:t>
      </w:r>
      <w:r>
        <w:rPr>
          <w:vertAlign w:val="baseline"/>
        </w:rPr>
        <w:t>at</w:t>
      </w:r>
      <w:r>
        <w:rPr>
          <w:spacing w:val="-3"/>
          <w:vertAlign w:val="baseline"/>
        </w:rPr>
        <w:t> </w:t>
      </w:r>
      <w:r>
        <w:rPr>
          <w:vertAlign w:val="baseline"/>
        </w:rPr>
        <w:t>all.</w:t>
      </w:r>
      <w:r>
        <w:rPr>
          <w:spacing w:val="-4"/>
          <w:vertAlign w:val="baseline"/>
        </w:rPr>
        <w:t> </w:t>
      </w:r>
      <w:r>
        <w:rPr>
          <w:color w:val="005DA1"/>
          <w:u w:val="single" w:color="005DA1"/>
          <w:vertAlign w:val="superscript"/>
        </w:rPr>
        <w:t>968</w:t>
      </w:r>
      <w:r>
        <w:rPr>
          <w:color w:val="005DA1"/>
          <w:spacing w:val="-3"/>
          <w:vertAlign w:val="baseline"/>
        </w:rPr>
        <w:t> </w:t>
      </w:r>
      <w:r>
        <w:rPr>
          <w:vertAlign w:val="baseline"/>
        </w:rPr>
        <w:t>The</w:t>
      </w:r>
      <w:r>
        <w:rPr>
          <w:spacing w:val="-3"/>
          <w:vertAlign w:val="baseline"/>
        </w:rPr>
        <w:t> </w:t>
      </w:r>
      <w:r>
        <w:rPr>
          <w:vertAlign w:val="baseline"/>
        </w:rPr>
        <w:t>latter</w:t>
      </w:r>
      <w:r>
        <w:rPr>
          <w:spacing w:val="-3"/>
          <w:vertAlign w:val="baseline"/>
        </w:rPr>
        <w:t> </w:t>
      </w:r>
      <w:r>
        <w:rPr>
          <w:vertAlign w:val="baseline"/>
        </w:rPr>
        <w:t>point</w:t>
      </w:r>
      <w:r>
        <w:rPr>
          <w:spacing w:val="-3"/>
          <w:vertAlign w:val="baseline"/>
        </w:rPr>
        <w:t> </w:t>
      </w:r>
      <w:r>
        <w:rPr>
          <w:vertAlign w:val="baseline"/>
        </w:rPr>
        <w:t>was</w:t>
      </w:r>
      <w:r>
        <w:rPr>
          <w:spacing w:val="-3"/>
          <w:vertAlign w:val="baseline"/>
        </w:rPr>
        <w:t> </w:t>
      </w:r>
      <w:r>
        <w:rPr>
          <w:vertAlign w:val="baseline"/>
        </w:rPr>
        <w:t>not</w:t>
      </w:r>
      <w:r>
        <w:rPr>
          <w:spacing w:val="-3"/>
          <w:vertAlign w:val="baseline"/>
        </w:rPr>
        <w:t> </w:t>
      </w:r>
      <w:r>
        <w:rPr>
          <w:vertAlign w:val="baseline"/>
        </w:rPr>
        <w:t>strictly</w:t>
      </w:r>
      <w:r>
        <w:rPr>
          <w:spacing w:val="-3"/>
          <w:vertAlign w:val="baseline"/>
        </w:rPr>
        <w:t> </w:t>
      </w:r>
      <w:r>
        <w:rPr>
          <w:vertAlign w:val="baseline"/>
        </w:rPr>
        <w:t>necessary</w:t>
      </w:r>
      <w:r>
        <w:rPr>
          <w:spacing w:val="-3"/>
          <w:vertAlign w:val="baseline"/>
        </w:rPr>
        <w:t> </w:t>
      </w:r>
      <w:r>
        <w:rPr>
          <w:vertAlign w:val="baseline"/>
        </w:rPr>
        <w:t>for the decision, since </w:t>
      </w:r>
      <w:r>
        <w:rPr>
          <w:rFonts w:ascii="Arial" w:hAnsi="Arial"/>
          <w:i/>
          <w:vertAlign w:val="baseline"/>
        </w:rPr>
        <w:t>Thorner v Major </w:t>
      </w:r>
      <w:r>
        <w:rPr>
          <w:vertAlign w:val="baseline"/>
        </w:rPr>
        <w:t>itself was “not a case of acquiescence or standing by” </w:t>
      </w:r>
      <w:r>
        <w:rPr>
          <w:color w:val="005DA1"/>
          <w:u w:val="single" w:color="005DA1"/>
          <w:vertAlign w:val="superscript"/>
        </w:rPr>
        <w:t>969</w:t>
      </w:r>
      <w:r>
        <w:rPr>
          <w:color w:val="005DA1"/>
          <w:vertAlign w:val="baseline"/>
        </w:rPr>
        <w:t> </w:t>
      </w:r>
      <w:r>
        <w:rPr>
          <w:vertAlign w:val="baseline"/>
        </w:rPr>
        <w:t>but one in which the estoppel was based, not on mere inactivity, but on a positive representation </w:t>
      </w:r>
      <w:r>
        <w:rPr>
          <w:vertAlign w:val="baseline"/>
        </w:rPr>
        <w:t>or</w:t>
      </w:r>
      <w:r>
        <w:rPr>
          <w:spacing w:val="40"/>
          <w:vertAlign w:val="baseline"/>
        </w:rPr>
        <w:t> </w:t>
      </w:r>
      <w:r>
        <w:rPr>
          <w:vertAlign w:val="baseline"/>
        </w:rPr>
        <w:t>assurance. </w:t>
      </w:r>
      <w:r>
        <w:rPr>
          <w:color w:val="005DA1"/>
          <w:u w:val="single" w:color="005DA1"/>
          <w:vertAlign w:val="superscript"/>
        </w:rPr>
        <w:t>970</w:t>
      </w:r>
      <w:r>
        <w:rPr>
          <w:color w:val="005DA1"/>
          <w:vertAlign w:val="baseline"/>
        </w:rPr>
        <w:t> </w:t>
      </w:r>
      <w:r>
        <w:rPr>
          <w:vertAlign w:val="baseline"/>
        </w:rPr>
        <w:t>With regard, apparently, to such cases, Lord Walker said that he would “prefer to say (while conscious that it is a thoroughly question-begging formulation) that to establish a proprietary estoppel</w:t>
      </w:r>
      <w:r>
        <w:rPr>
          <w:spacing w:val="-2"/>
          <w:vertAlign w:val="baseline"/>
        </w:rPr>
        <w:t> </w:t>
      </w:r>
      <w:r>
        <w:rPr>
          <w:vertAlign w:val="baseline"/>
        </w:rPr>
        <w:t>the</w:t>
      </w:r>
      <w:r>
        <w:rPr>
          <w:spacing w:val="1"/>
          <w:vertAlign w:val="baseline"/>
        </w:rPr>
        <w:t> </w:t>
      </w:r>
      <w:r>
        <w:rPr>
          <w:vertAlign w:val="baseline"/>
        </w:rPr>
        <w:t>relevant</w:t>
      </w:r>
      <w:r>
        <w:rPr>
          <w:spacing w:val="1"/>
          <w:vertAlign w:val="baseline"/>
        </w:rPr>
        <w:t> </w:t>
      </w:r>
      <w:r>
        <w:rPr>
          <w:vertAlign w:val="baseline"/>
        </w:rPr>
        <w:t>assurance</w:t>
      </w:r>
      <w:r>
        <w:rPr>
          <w:spacing w:val="1"/>
          <w:vertAlign w:val="baseline"/>
        </w:rPr>
        <w:t> </w:t>
      </w:r>
      <w:r>
        <w:rPr>
          <w:vertAlign w:val="baseline"/>
        </w:rPr>
        <w:t>must</w:t>
      </w:r>
      <w:r>
        <w:rPr>
          <w:spacing w:val="1"/>
          <w:vertAlign w:val="baseline"/>
        </w:rPr>
        <w:t> </w:t>
      </w:r>
      <w:r>
        <w:rPr>
          <w:vertAlign w:val="baseline"/>
        </w:rPr>
        <w:t>be </w:t>
      </w:r>
      <w:r>
        <w:rPr>
          <w:rFonts w:ascii="Arial" w:hAnsi="Arial"/>
          <w:i/>
          <w:vertAlign w:val="baseline"/>
        </w:rPr>
        <w:t>clear</w:t>
      </w:r>
      <w:r>
        <w:rPr>
          <w:rFonts w:ascii="Arial" w:hAnsi="Arial"/>
          <w:i/>
          <w:spacing w:val="1"/>
          <w:vertAlign w:val="baseline"/>
        </w:rPr>
        <w:t> </w:t>
      </w:r>
      <w:r>
        <w:rPr>
          <w:rFonts w:ascii="Arial" w:hAnsi="Arial"/>
          <w:i/>
          <w:vertAlign w:val="baseline"/>
        </w:rPr>
        <w:t>enough</w:t>
      </w:r>
      <w:r>
        <w:rPr>
          <w:vertAlign w:val="baseline"/>
        </w:rPr>
        <w:t>.</w:t>
      </w:r>
      <w:r>
        <w:rPr>
          <w:spacing w:val="1"/>
          <w:vertAlign w:val="baseline"/>
        </w:rPr>
        <w:t> </w:t>
      </w:r>
      <w:r>
        <w:rPr>
          <w:vertAlign w:val="baseline"/>
        </w:rPr>
        <w:t>What</w:t>
      </w:r>
      <w:r>
        <w:rPr>
          <w:spacing w:val="1"/>
          <w:vertAlign w:val="baseline"/>
        </w:rPr>
        <w:t> </w:t>
      </w:r>
      <w:r>
        <w:rPr>
          <w:vertAlign w:val="baseline"/>
        </w:rPr>
        <w:t>amounts</w:t>
      </w:r>
      <w:r>
        <w:rPr>
          <w:spacing w:val="1"/>
          <w:vertAlign w:val="baseline"/>
        </w:rPr>
        <w:t> </w:t>
      </w:r>
      <w:r>
        <w:rPr>
          <w:vertAlign w:val="baseline"/>
        </w:rPr>
        <w:t>to</w:t>
      </w:r>
      <w:r>
        <w:rPr>
          <w:spacing w:val="1"/>
          <w:vertAlign w:val="baseline"/>
        </w:rPr>
        <w:t> </w:t>
      </w:r>
      <w:r>
        <w:rPr>
          <w:vertAlign w:val="baseline"/>
        </w:rPr>
        <w:t>sufficient</w:t>
      </w:r>
      <w:r>
        <w:rPr>
          <w:spacing w:val="1"/>
          <w:vertAlign w:val="baseline"/>
        </w:rPr>
        <w:t> </w:t>
      </w:r>
      <w:r>
        <w:rPr>
          <w:vertAlign w:val="baseline"/>
        </w:rPr>
        <w:t>clarity,</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case</w:t>
      </w:r>
      <w:r>
        <w:rPr>
          <w:spacing w:val="1"/>
          <w:vertAlign w:val="baseline"/>
        </w:rPr>
        <w:t> </w:t>
      </w:r>
      <w:r>
        <w:rPr>
          <w:spacing w:val="-5"/>
          <w:vertAlign w:val="baseline"/>
        </w:rPr>
        <w:t>of</w:t>
      </w:r>
    </w:p>
    <w:p>
      <w:pPr>
        <w:pStyle w:val="BodyText"/>
        <w:spacing w:line="235" w:lineRule="auto" w:before="117"/>
        <w:ind w:left="165" w:right="167"/>
        <w:jc w:val="both"/>
      </w:pPr>
      <w:r>
        <w:rPr/>
        <w:t>this sort, is hugely dependent on context.” </w:t>
      </w:r>
      <w:r>
        <w:rPr>
          <w:color w:val="005DA1"/>
          <w:u w:val="single" w:color="005DA1"/>
          <w:vertAlign w:val="superscript"/>
        </w:rPr>
        <w:t>971</w:t>
      </w:r>
      <w:r>
        <w:rPr>
          <w:color w:val="005DA1"/>
          <w:spacing w:val="80"/>
          <w:vertAlign w:val="baseline"/>
        </w:rPr>
        <w:t> </w:t>
      </w:r>
      <w:r>
        <w:rPr>
          <w:color w:val="005DA1"/>
          <w:spacing w:val="3"/>
          <w:position w:val="-2"/>
          <w:vertAlign w:val="baseline"/>
        </w:rPr>
        <w:drawing>
          <wp:inline distT="0" distB="0" distL="0" distR="0">
            <wp:extent cx="107988" cy="107988"/>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hAnsi="Times New Roman"/>
          <w:color w:val="005DA1"/>
          <w:spacing w:val="3"/>
          <w:vertAlign w:val="baseline"/>
        </w:rPr>
        <w:t> </w:t>
      </w:r>
      <w:r>
        <w:rPr>
          <w:vertAlign w:val="baseline"/>
        </w:rPr>
        <w:t>The words here italicised were approved by Lord Rodger</w:t>
      </w:r>
      <w:r>
        <w:rPr>
          <w:spacing w:val="-3"/>
          <w:vertAlign w:val="baseline"/>
        </w:rPr>
        <w:t> </w:t>
      </w:r>
      <w:r>
        <w:rPr>
          <w:vertAlign w:val="baseline"/>
        </w:rPr>
        <w:t>who</w:t>
      </w:r>
      <w:r>
        <w:rPr>
          <w:spacing w:val="-3"/>
          <w:vertAlign w:val="baseline"/>
        </w:rPr>
        <w:t> </w:t>
      </w:r>
      <w:r>
        <w:rPr>
          <w:vertAlign w:val="baseline"/>
        </w:rPr>
        <w:t>pointed</w:t>
      </w:r>
      <w:r>
        <w:rPr>
          <w:spacing w:val="-3"/>
          <w:vertAlign w:val="baseline"/>
        </w:rPr>
        <w:t> </w:t>
      </w:r>
      <w:r>
        <w:rPr>
          <w:vertAlign w:val="baseline"/>
        </w:rPr>
        <w:t>out</w:t>
      </w:r>
      <w:r>
        <w:rPr>
          <w:spacing w:val="-3"/>
          <w:vertAlign w:val="baseline"/>
        </w:rPr>
        <w:t> </w:t>
      </w:r>
      <w:r>
        <w:rPr>
          <w:vertAlign w:val="baseline"/>
        </w:rPr>
        <w:t>that</w:t>
      </w:r>
      <w:r>
        <w:rPr>
          <w:spacing w:val="-3"/>
          <w:vertAlign w:val="baseline"/>
        </w:rPr>
        <w:t> </w:t>
      </w:r>
      <w:r>
        <w:rPr>
          <w:vertAlign w:val="baseline"/>
        </w:rPr>
        <w:t>they</w:t>
      </w:r>
      <w:r>
        <w:rPr>
          <w:spacing w:val="-3"/>
          <w:vertAlign w:val="baseline"/>
        </w:rPr>
        <w:t> </w:t>
      </w:r>
      <w:r>
        <w:rPr>
          <w:vertAlign w:val="baseline"/>
        </w:rPr>
        <w:t>gave</w:t>
      </w:r>
      <w:r>
        <w:rPr>
          <w:spacing w:val="-3"/>
          <w:vertAlign w:val="baseline"/>
        </w:rPr>
        <w:t> </w:t>
      </w:r>
      <w:r>
        <w:rPr>
          <w:vertAlign w:val="baseline"/>
        </w:rPr>
        <w:t>rise</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further</w:t>
      </w:r>
      <w:r>
        <w:rPr>
          <w:spacing w:val="-3"/>
          <w:vertAlign w:val="baseline"/>
        </w:rPr>
        <w:t> </w:t>
      </w:r>
      <w:r>
        <w:rPr>
          <w:vertAlign w:val="baseline"/>
        </w:rPr>
        <w:t>question:</w:t>
      </w:r>
      <w:r>
        <w:rPr>
          <w:spacing w:val="-3"/>
          <w:vertAlign w:val="baseline"/>
        </w:rPr>
        <w:t> </w:t>
      </w:r>
      <w:r>
        <w:rPr>
          <w:vertAlign w:val="baseline"/>
        </w:rPr>
        <w:t>clear</w:t>
      </w:r>
      <w:r>
        <w:rPr>
          <w:spacing w:val="-3"/>
          <w:vertAlign w:val="baseline"/>
        </w:rPr>
        <w:t> </w:t>
      </w:r>
      <w:r>
        <w:rPr>
          <w:vertAlign w:val="baseline"/>
        </w:rPr>
        <w:t>enough</w:t>
      </w:r>
      <w:r>
        <w:rPr>
          <w:spacing w:val="-3"/>
          <w:vertAlign w:val="baseline"/>
        </w:rPr>
        <w:t> </w:t>
      </w:r>
      <w:r>
        <w:rPr>
          <w:vertAlign w:val="baseline"/>
        </w:rPr>
        <w:t>“To</w:t>
      </w:r>
      <w:r>
        <w:rPr>
          <w:spacing w:val="-3"/>
          <w:vertAlign w:val="baseline"/>
        </w:rPr>
        <w:t> </w:t>
      </w:r>
      <w:r>
        <w:rPr>
          <w:vertAlign w:val="baseline"/>
        </w:rPr>
        <w:t>whom”</w:t>
      </w:r>
      <w:r>
        <w:rPr>
          <w:spacing w:val="-4"/>
          <w:vertAlign w:val="baseline"/>
        </w:rPr>
        <w:t> </w:t>
      </w:r>
      <w:r>
        <w:rPr>
          <w:color w:val="005DA1"/>
          <w:u w:val="single" w:color="005DA1"/>
          <w:vertAlign w:val="superscript"/>
        </w:rPr>
        <w:t>972</w:t>
      </w:r>
      <w:r>
        <w:rPr>
          <w:vertAlign w:val="baseline"/>
        </w:rPr>
        <w:t>;</w:t>
      </w:r>
      <w:r>
        <w:rPr>
          <w:spacing w:val="-3"/>
          <w:vertAlign w:val="baseline"/>
        </w:rPr>
        <w:t> </w:t>
      </w:r>
      <w:r>
        <w:rPr>
          <w:vertAlign w:val="baseline"/>
        </w:rPr>
        <w:t>and,</w:t>
      </w:r>
      <w:r>
        <w:rPr>
          <w:spacing w:val="-3"/>
          <w:vertAlign w:val="baseline"/>
        </w:rPr>
        <w:t> </w:t>
      </w:r>
      <w:r>
        <w:rPr>
          <w:vertAlign w:val="baseline"/>
        </w:rPr>
        <w:t>it may be added, for what purpose? Both these questions were answered by Lord Walker’s adoption</w:t>
      </w:r>
      <w:r>
        <w:rPr>
          <w:spacing w:val="-1"/>
          <w:vertAlign w:val="baseline"/>
        </w:rPr>
        <w:t> </w:t>
      </w:r>
      <w:r>
        <w:rPr>
          <w:color w:val="005DA1"/>
          <w:u w:val="single" w:color="005DA1"/>
          <w:vertAlign w:val="superscript"/>
        </w:rPr>
        <w:t>973</w:t>
      </w:r>
      <w:r>
        <w:rPr>
          <w:color w:val="005DA1"/>
          <w:vertAlign w:val="baseline"/>
        </w:rPr>
        <w:t> </w:t>
      </w:r>
      <w:r>
        <w:rPr>
          <w:vertAlign w:val="baseline"/>
        </w:rPr>
        <w:t>of a passage from the judgment of Hoffmann L.J. in the unreported case of </w:t>
      </w:r>
      <w:r>
        <w:rPr>
          <w:rFonts w:ascii="Arial" w:hAnsi="Arial"/>
          <w:i/>
          <w:vertAlign w:val="baseline"/>
        </w:rPr>
        <w:t>Walton v Walton </w:t>
      </w:r>
      <w:r>
        <w:rPr>
          <w:color w:val="005DA1"/>
          <w:u w:val="single" w:color="005DA1"/>
          <w:vertAlign w:val="superscript"/>
        </w:rPr>
        <w:t>974</w:t>
      </w:r>
      <w:r>
        <w:rPr>
          <w:vertAlign w:val="baseline"/>
        </w:rPr>
        <w:t>: “The promise must be unambiguous and must appear to have been intended to be taken seriously. Taken in its context, it must have been a promise which one might reasonably expect to be relied upon by the person to whom it was made.” </w:t>
      </w:r>
      <w:r>
        <w:rPr>
          <w:color w:val="005DA1"/>
          <w:u w:val="single" w:color="005DA1"/>
          <w:vertAlign w:val="superscript"/>
        </w:rPr>
        <w:t>975</w:t>
      </w:r>
      <w:r>
        <w:rPr>
          <w:color w:val="005DA1"/>
          <w:vertAlign w:val="baseline"/>
        </w:rPr>
        <w:t> </w:t>
      </w:r>
      <w:r>
        <w:rPr>
          <w:vertAlign w:val="baseline"/>
        </w:rPr>
        <w:t>The second of these sentences is reflected in Lord Hoffmann’s speech in </w:t>
      </w:r>
      <w:r>
        <w:rPr>
          <w:rFonts w:ascii="Arial" w:hAnsi="Arial"/>
          <w:i/>
          <w:vertAlign w:val="baseline"/>
        </w:rPr>
        <w:t>Thorner v Major </w:t>
      </w:r>
      <w:r>
        <w:rPr>
          <w:vertAlign w:val="baseline"/>
        </w:rPr>
        <w:t>itself where he said that the trial judge had found “not only that it was reasonable for David to have understood Peter’s words and acts to mean that ‘he would be Peter’s successor to [the farm]’ but that it was reasonable for him to rely upon them. These findings of fact were in my opinion sufficient to support the judge’s decision.” </w:t>
      </w:r>
      <w:r>
        <w:rPr>
          <w:color w:val="005DA1"/>
          <w:u w:val="single" w:color="005DA1"/>
          <w:vertAlign w:val="superscript"/>
        </w:rPr>
        <w:t>976</w:t>
      </w:r>
      <w:r>
        <w:rPr>
          <w:color w:val="005DA1"/>
          <w:vertAlign w:val="baseline"/>
        </w:rPr>
        <w:t> </w:t>
      </w:r>
      <w:r>
        <w:rPr>
          <w:vertAlign w:val="baseline"/>
        </w:rPr>
        <w:t>Lord Hoffmann’s further statement that it would be “unrealistic” to try to “pin point the date at which the assurance became unequivocal” </w:t>
      </w:r>
      <w:r>
        <w:rPr>
          <w:color w:val="005DA1"/>
          <w:u w:val="single" w:color="005DA1"/>
          <w:vertAlign w:val="superscript"/>
        </w:rPr>
        <w:t>977</w:t>
      </w:r>
      <w:r>
        <w:rPr>
          <w:color w:val="005DA1"/>
          <w:vertAlign w:val="baseline"/>
        </w:rPr>
        <w:t> </w:t>
      </w:r>
      <w:r>
        <w:rPr>
          <w:vertAlign w:val="baseline"/>
        </w:rPr>
        <w:t>may seem by implication to accept the requirement of an “unequivocal” assurance in the “encouragement” cases, but his earlier and later remarks </w:t>
      </w:r>
      <w:r>
        <w:rPr>
          <w:color w:val="005DA1"/>
          <w:u w:val="single" w:color="005DA1"/>
          <w:vertAlign w:val="superscript"/>
        </w:rPr>
        <w:t>978</w:t>
      </w:r>
      <w:r>
        <w:rPr>
          <w:color w:val="005DA1"/>
          <w:vertAlign w:val="baseline"/>
        </w:rPr>
        <w:t> </w:t>
      </w:r>
      <w:r>
        <w:rPr>
          <w:vertAlign w:val="baseline"/>
        </w:rPr>
        <w:t>indicate a preference for the more</w:t>
      </w:r>
      <w:r>
        <w:rPr>
          <w:spacing w:val="40"/>
          <w:vertAlign w:val="baseline"/>
        </w:rPr>
        <w:t> </w:t>
      </w:r>
      <w:r>
        <w:rPr>
          <w:vertAlign w:val="baseline"/>
        </w:rPr>
        <w:t>flexible requirement that the assurance must be one on which it was reasonable for the person to whom it was given to rely.</w:t>
      </w:r>
    </w:p>
    <w:p>
      <w:pPr>
        <w:pStyle w:val="BodyText"/>
      </w:pPr>
    </w:p>
    <w:p>
      <w:pPr>
        <w:pStyle w:val="BodyText"/>
        <w:spacing w:before="32"/>
      </w:pPr>
    </w:p>
    <w:p>
      <w:pPr>
        <w:spacing w:before="0"/>
        <w:ind w:left="165" w:right="0" w:firstLine="0"/>
        <w:jc w:val="both"/>
        <w:rPr>
          <w:rFonts w:ascii="Arial" w:hAnsi="Arial"/>
          <w:b/>
          <w:sz w:val="18"/>
        </w:rPr>
      </w:pPr>
      <w:r>
        <w:rPr>
          <w:rFonts w:ascii="Arial" w:hAnsi="Arial"/>
          <w:b/>
          <w:sz w:val="18"/>
        </w:rPr>
        <w:t>Three qualifications of “clear and unequivocal” </w:t>
      </w:r>
      <w:r>
        <w:rPr>
          <w:rFonts w:ascii="Arial" w:hAnsi="Arial"/>
          <w:b/>
          <w:spacing w:val="-2"/>
          <w:sz w:val="18"/>
        </w:rPr>
        <w:t>requirement</w:t>
      </w:r>
    </w:p>
    <w:p>
      <w:pPr>
        <w:pStyle w:val="BodyText"/>
        <w:spacing w:before="41"/>
        <w:rPr>
          <w:rFonts w:ascii="Arial"/>
          <w:b/>
          <w:sz w:val="18"/>
        </w:rPr>
      </w:pPr>
    </w:p>
    <w:p>
      <w:pPr>
        <w:pStyle w:val="Heading2"/>
        <w:spacing w:before="1"/>
      </w:pPr>
      <w:r>
        <w:rPr/>
        <w:t>4-</w:t>
      </w:r>
      <w:r>
        <w:rPr>
          <w:spacing w:val="-5"/>
        </w:rPr>
        <w:t>151</w:t>
      </w:r>
    </w:p>
    <w:p>
      <w:pPr>
        <w:pStyle w:val="BodyText"/>
        <w:spacing w:line="235" w:lineRule="auto" w:before="202"/>
        <w:ind w:left="165" w:right="167"/>
        <w:jc w:val="both"/>
      </w:pPr>
      <w:r>
        <w:rPr/>
        <w:t>Lord Neuberger in </w:t>
      </w:r>
      <w:r>
        <w:rPr>
          <w:rFonts w:ascii="Arial" w:hAnsi="Arial"/>
          <w:i/>
        </w:rPr>
        <w:t>Thorner v Major </w:t>
      </w:r>
      <w:r>
        <w:rPr/>
        <w:t>accepts the proposition “that there must be some sort of </w:t>
      </w:r>
      <w:r>
        <w:rPr/>
        <w:t>an assurance which is ‘clear and unequivocal’ before it can be relied on to found an estoppel” </w:t>
      </w:r>
      <w:r>
        <w:rPr>
          <w:color w:val="005DA1"/>
          <w:u w:val="single" w:color="005DA1"/>
          <w:vertAlign w:val="superscript"/>
        </w:rPr>
        <w:t>979</w:t>
      </w:r>
      <w:r>
        <w:rPr>
          <w:vertAlign w:val="baseline"/>
        </w:rPr>
        <w:t>; but he subjects that proposition to three qualifications. First, he expresses his agreement with Lord Walker’s emphasis on the principle that “the effect of words must be assessed in their context”, adding that “a sentence, which would be ambiguous and unclear in one context, [can] be a clear and unambiguous assurance in another context” and that this point was underlined by the fact that “perhaps the classic case</w:t>
      </w:r>
      <w:r>
        <w:rPr>
          <w:spacing w:val="40"/>
          <w:vertAlign w:val="baseline"/>
        </w:rPr>
        <w:t> </w:t>
      </w:r>
      <w:r>
        <w:rPr>
          <w:vertAlign w:val="baseline"/>
        </w:rPr>
        <w:t>of</w:t>
      </w:r>
      <w:r>
        <w:rPr>
          <w:spacing w:val="40"/>
          <w:vertAlign w:val="baseline"/>
        </w:rPr>
        <w:t> </w:t>
      </w:r>
      <w:r>
        <w:rPr>
          <w:vertAlign w:val="baseline"/>
        </w:rPr>
        <w:t>proprietary</w:t>
      </w:r>
      <w:r>
        <w:rPr>
          <w:spacing w:val="40"/>
          <w:vertAlign w:val="baseline"/>
        </w:rPr>
        <w:t> </w:t>
      </w:r>
      <w:r>
        <w:rPr>
          <w:vertAlign w:val="baseline"/>
        </w:rPr>
        <w:t>estoppel</w:t>
      </w:r>
      <w:r>
        <w:rPr>
          <w:spacing w:val="40"/>
          <w:vertAlign w:val="baseline"/>
        </w:rPr>
        <w:t> </w:t>
      </w:r>
      <w:r>
        <w:rPr>
          <w:vertAlign w:val="baseline"/>
        </w:rPr>
        <w:t>is</w:t>
      </w:r>
      <w:r>
        <w:rPr>
          <w:spacing w:val="40"/>
          <w:vertAlign w:val="baseline"/>
        </w:rPr>
        <w:t> </w:t>
      </w:r>
      <w:r>
        <w:rPr>
          <w:vertAlign w:val="baseline"/>
        </w:rPr>
        <w:t>based</w:t>
      </w:r>
      <w:r>
        <w:rPr>
          <w:spacing w:val="40"/>
          <w:vertAlign w:val="baseline"/>
        </w:rPr>
        <w:t> </w:t>
      </w:r>
      <w:r>
        <w:rPr>
          <w:vertAlign w:val="baseline"/>
        </w:rPr>
        <w:t>on</w:t>
      </w:r>
      <w:r>
        <w:rPr>
          <w:spacing w:val="40"/>
          <w:vertAlign w:val="baseline"/>
        </w:rPr>
        <w:t> </w:t>
      </w:r>
      <w:r>
        <w:rPr>
          <w:vertAlign w:val="baseline"/>
        </w:rPr>
        <w:t>silence</w:t>
      </w:r>
      <w:r>
        <w:rPr>
          <w:spacing w:val="40"/>
          <w:vertAlign w:val="baseline"/>
        </w:rPr>
        <w:t> </w:t>
      </w:r>
      <w:r>
        <w:rPr>
          <w:vertAlign w:val="baseline"/>
        </w:rPr>
        <w:t>or</w:t>
      </w:r>
      <w:r>
        <w:rPr>
          <w:spacing w:val="40"/>
          <w:vertAlign w:val="baseline"/>
        </w:rPr>
        <w:t> </w:t>
      </w:r>
      <w:r>
        <w:rPr>
          <w:vertAlign w:val="baseline"/>
        </w:rPr>
        <w:t>inaction,</w:t>
      </w:r>
      <w:r>
        <w:rPr>
          <w:spacing w:val="40"/>
          <w:vertAlign w:val="baseline"/>
        </w:rPr>
        <w:t> </w:t>
      </w:r>
      <w:r>
        <w:rPr>
          <w:vertAlign w:val="baseline"/>
        </w:rPr>
        <w:t>rather</w:t>
      </w:r>
      <w:r>
        <w:rPr>
          <w:spacing w:val="40"/>
          <w:vertAlign w:val="baseline"/>
        </w:rPr>
        <w:t> </w:t>
      </w:r>
      <w:r>
        <w:rPr>
          <w:vertAlign w:val="baseline"/>
        </w:rPr>
        <w:t>than</w:t>
      </w:r>
      <w:r>
        <w:rPr>
          <w:spacing w:val="40"/>
          <w:vertAlign w:val="baseline"/>
        </w:rPr>
        <w:t> </w:t>
      </w:r>
      <w:r>
        <w:rPr>
          <w:vertAlign w:val="baseline"/>
        </w:rPr>
        <w:t>statement</w:t>
      </w:r>
      <w:r>
        <w:rPr>
          <w:spacing w:val="40"/>
          <w:vertAlign w:val="baseline"/>
        </w:rPr>
        <w:t> </w:t>
      </w:r>
      <w:r>
        <w:rPr>
          <w:vertAlign w:val="baseline"/>
        </w:rPr>
        <w:t>or</w:t>
      </w:r>
      <w:r>
        <w:rPr>
          <w:spacing w:val="40"/>
          <w:vertAlign w:val="baseline"/>
        </w:rPr>
        <w:t> </w:t>
      </w:r>
      <w:r>
        <w:rPr>
          <w:vertAlign w:val="baseline"/>
        </w:rPr>
        <w:t>action”</w:t>
      </w:r>
      <w:r>
        <w:rPr>
          <w:spacing w:val="39"/>
          <w:vertAlign w:val="baseline"/>
        </w:rPr>
        <w:t> </w:t>
      </w:r>
      <w:r>
        <w:rPr>
          <w:color w:val="005DA1"/>
          <w:u w:val="single" w:color="005DA1"/>
          <w:vertAlign w:val="superscript"/>
        </w:rPr>
        <w:t>980</w:t>
      </w:r>
    </w:p>
    <w:p>
      <w:pPr>
        <w:pStyle w:val="BodyText"/>
        <w:spacing w:line="235" w:lineRule="auto"/>
        <w:ind w:left="165" w:right="167"/>
        <w:jc w:val="both"/>
      </w:pPr>
      <w:r>
        <w:rPr/>
        <w:t>—factors that (for reasons given in para.4-093 above) would not normally give rise to </w:t>
      </w:r>
      <w:r>
        <w:rPr/>
        <w:t>promissory estoppel or estoppel by representation. </w:t>
      </w:r>
      <w:r>
        <w:rPr>
          <w:color w:val="005DA1"/>
          <w:u w:val="single" w:color="005DA1"/>
          <w:vertAlign w:val="superscript"/>
        </w:rPr>
        <w:t>981</w:t>
      </w:r>
      <w:r>
        <w:rPr>
          <w:color w:val="005DA1"/>
          <w:vertAlign w:val="baseline"/>
        </w:rPr>
        <w:t> </w:t>
      </w:r>
      <w:r>
        <w:rPr>
          <w:vertAlign w:val="baseline"/>
        </w:rPr>
        <w:t>Secondly, “it would be quite wrong to be unrealistically rigorous</w:t>
      </w:r>
      <w:r>
        <w:rPr>
          <w:spacing w:val="3"/>
          <w:vertAlign w:val="baseline"/>
        </w:rPr>
        <w:t> </w:t>
      </w:r>
      <w:r>
        <w:rPr>
          <w:vertAlign w:val="baseline"/>
        </w:rPr>
        <w:t>when</w:t>
      </w:r>
      <w:r>
        <w:rPr>
          <w:spacing w:val="4"/>
          <w:vertAlign w:val="baseline"/>
        </w:rPr>
        <w:t> </w:t>
      </w:r>
      <w:r>
        <w:rPr>
          <w:vertAlign w:val="baseline"/>
        </w:rPr>
        <w:t>applying</w:t>
      </w:r>
      <w:r>
        <w:rPr>
          <w:spacing w:val="4"/>
          <w:vertAlign w:val="baseline"/>
        </w:rPr>
        <w:t> </w:t>
      </w:r>
      <w:r>
        <w:rPr>
          <w:vertAlign w:val="baseline"/>
        </w:rPr>
        <w:t>the</w:t>
      </w:r>
      <w:r>
        <w:rPr>
          <w:spacing w:val="4"/>
          <w:vertAlign w:val="baseline"/>
        </w:rPr>
        <w:t> </w:t>
      </w:r>
      <w:r>
        <w:rPr>
          <w:vertAlign w:val="baseline"/>
        </w:rPr>
        <w:t>‘clear</w:t>
      </w:r>
      <w:r>
        <w:rPr>
          <w:spacing w:val="4"/>
          <w:vertAlign w:val="baseline"/>
        </w:rPr>
        <w:t> </w:t>
      </w:r>
      <w:r>
        <w:rPr>
          <w:vertAlign w:val="baseline"/>
        </w:rPr>
        <w:t>and</w:t>
      </w:r>
      <w:r>
        <w:rPr>
          <w:spacing w:val="4"/>
          <w:vertAlign w:val="baseline"/>
        </w:rPr>
        <w:t> </w:t>
      </w:r>
      <w:r>
        <w:rPr>
          <w:vertAlign w:val="baseline"/>
        </w:rPr>
        <w:t>unambiguous’</w:t>
      </w:r>
      <w:r>
        <w:rPr>
          <w:spacing w:val="3"/>
          <w:vertAlign w:val="baseline"/>
        </w:rPr>
        <w:t> </w:t>
      </w:r>
      <w:r>
        <w:rPr>
          <w:vertAlign w:val="baseline"/>
        </w:rPr>
        <w:t>test.”</w:t>
      </w:r>
      <w:r>
        <w:rPr>
          <w:spacing w:val="3"/>
          <w:vertAlign w:val="baseline"/>
        </w:rPr>
        <w:t> </w:t>
      </w:r>
      <w:r>
        <w:rPr>
          <w:color w:val="005DA1"/>
          <w:u w:val="single" w:color="005DA1"/>
          <w:vertAlign w:val="superscript"/>
        </w:rPr>
        <w:t>982</w:t>
      </w:r>
      <w:r>
        <w:rPr>
          <w:color w:val="005DA1"/>
          <w:spacing w:val="4"/>
          <w:vertAlign w:val="baseline"/>
        </w:rPr>
        <w:t> </w:t>
      </w:r>
      <w:r>
        <w:rPr>
          <w:vertAlign w:val="baseline"/>
        </w:rPr>
        <w:t>This</w:t>
      </w:r>
      <w:r>
        <w:rPr>
          <w:spacing w:val="4"/>
          <w:vertAlign w:val="baseline"/>
        </w:rPr>
        <w:t> </w:t>
      </w:r>
      <w:r>
        <w:rPr>
          <w:vertAlign w:val="baseline"/>
        </w:rPr>
        <w:t>test</w:t>
      </w:r>
      <w:r>
        <w:rPr>
          <w:spacing w:val="4"/>
          <w:vertAlign w:val="baseline"/>
        </w:rPr>
        <w:t> </w:t>
      </w:r>
      <w:r>
        <w:rPr>
          <w:vertAlign w:val="baseline"/>
        </w:rPr>
        <w:t>is</w:t>
      </w:r>
      <w:r>
        <w:rPr>
          <w:spacing w:val="4"/>
          <w:vertAlign w:val="baseline"/>
        </w:rPr>
        <w:t> </w:t>
      </w:r>
      <w:r>
        <w:rPr>
          <w:vertAlign w:val="baseline"/>
        </w:rPr>
        <w:t>then,</w:t>
      </w:r>
      <w:r>
        <w:rPr>
          <w:spacing w:val="3"/>
          <w:vertAlign w:val="baseline"/>
        </w:rPr>
        <w:t> </w:t>
      </w:r>
      <w:r>
        <w:rPr>
          <w:vertAlign w:val="baseline"/>
        </w:rPr>
        <w:t>in</w:t>
      </w:r>
      <w:r>
        <w:rPr>
          <w:spacing w:val="4"/>
          <w:vertAlign w:val="baseline"/>
        </w:rPr>
        <w:t> </w:t>
      </w:r>
      <w:r>
        <w:rPr>
          <w:vertAlign w:val="baseline"/>
        </w:rPr>
        <w:t>effect,</w:t>
      </w:r>
      <w:r>
        <w:rPr>
          <w:spacing w:val="4"/>
          <w:vertAlign w:val="baseline"/>
        </w:rPr>
        <w:t> </w:t>
      </w:r>
      <w:r>
        <w:rPr>
          <w:spacing w:val="-2"/>
          <w:vertAlign w:val="baseline"/>
        </w:rPr>
        <w:t>reformulated:</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r>
        <w:rPr/>
        <w:t>“at least normally, it is sufficient for the person invoking the estoppel to establish that he </w:t>
      </w:r>
      <w:r>
        <w:rPr/>
        <w:t>reasonably understood the statement or action to be an assurance on which he could rely.” </w:t>
      </w:r>
      <w:r>
        <w:rPr>
          <w:color w:val="005DA1"/>
          <w:u w:val="single" w:color="005DA1"/>
          <w:vertAlign w:val="superscript"/>
        </w:rPr>
        <w:t>983</w:t>
      </w:r>
      <w:r>
        <w:rPr>
          <w:color w:val="005DA1"/>
          <w:vertAlign w:val="baseline"/>
        </w:rPr>
        <w:t> </w:t>
      </w:r>
      <w:r>
        <w:rPr>
          <w:vertAlign w:val="baseline"/>
        </w:rPr>
        <w:t>Thirdly, there may be cases in which the assurance “could reasonably be understood as having more than one possible meaning” </w:t>
      </w:r>
      <w:r>
        <w:rPr>
          <w:color w:val="005DA1"/>
          <w:u w:val="single" w:color="005DA1"/>
          <w:vertAlign w:val="superscript"/>
        </w:rPr>
        <w:t>984</w:t>
      </w:r>
      <w:r>
        <w:rPr>
          <w:color w:val="005DA1"/>
          <w:vertAlign w:val="baseline"/>
        </w:rPr>
        <w:t> </w:t>
      </w:r>
      <w:r>
        <w:rPr>
          <w:vertAlign w:val="baseline"/>
        </w:rPr>
        <w:t>or, in other words, was ambiguous: in such cases Lord Neuberger, perhaps somewhat cautiously, </w:t>
      </w:r>
      <w:r>
        <w:rPr>
          <w:color w:val="005DA1"/>
          <w:u w:val="single" w:color="005DA1"/>
          <w:vertAlign w:val="superscript"/>
        </w:rPr>
        <w:t>985</w:t>
      </w:r>
      <w:r>
        <w:rPr>
          <w:color w:val="005DA1"/>
          <w:vertAlign w:val="baseline"/>
        </w:rPr>
        <w:t> </w:t>
      </w:r>
      <w:r>
        <w:rPr>
          <w:vertAlign w:val="baseline"/>
        </w:rPr>
        <w:t>suggests that “the ambiguity should not deprive the person who reasonably relied on the</w:t>
      </w:r>
      <w:r>
        <w:rPr>
          <w:spacing w:val="-2"/>
          <w:vertAlign w:val="baseline"/>
        </w:rPr>
        <w:t> </w:t>
      </w:r>
      <w:r>
        <w:rPr>
          <w:vertAlign w:val="baseline"/>
        </w:rPr>
        <w:t>assurance</w:t>
      </w:r>
      <w:r>
        <w:rPr>
          <w:spacing w:val="-2"/>
          <w:vertAlign w:val="baseline"/>
        </w:rPr>
        <w:t> </w:t>
      </w:r>
      <w:r>
        <w:rPr>
          <w:vertAlign w:val="baseline"/>
        </w:rPr>
        <w:t>of</w:t>
      </w:r>
      <w:r>
        <w:rPr>
          <w:spacing w:val="-2"/>
          <w:vertAlign w:val="baseline"/>
        </w:rPr>
        <w:t> </w:t>
      </w:r>
      <w:r>
        <w:rPr>
          <w:vertAlign w:val="baseline"/>
        </w:rPr>
        <w:t>all</w:t>
      </w:r>
      <w:r>
        <w:rPr>
          <w:spacing w:val="-2"/>
          <w:vertAlign w:val="baseline"/>
        </w:rPr>
        <w:t> </w:t>
      </w:r>
      <w:r>
        <w:rPr>
          <w:vertAlign w:val="baseline"/>
        </w:rPr>
        <w:t>relief:</w:t>
      </w:r>
      <w:r>
        <w:rPr>
          <w:spacing w:val="-2"/>
          <w:vertAlign w:val="baseline"/>
        </w:rPr>
        <w:t> </w:t>
      </w:r>
      <w:r>
        <w:rPr>
          <w:vertAlign w:val="baseline"/>
        </w:rPr>
        <w:t>it</w:t>
      </w:r>
      <w:r>
        <w:rPr>
          <w:spacing w:val="-2"/>
          <w:vertAlign w:val="baseline"/>
        </w:rPr>
        <w:t> </w:t>
      </w:r>
      <w:r>
        <w:rPr>
          <w:vertAlign w:val="baseline"/>
        </w:rPr>
        <w:t>may</w:t>
      </w:r>
      <w:r>
        <w:rPr>
          <w:spacing w:val="-2"/>
          <w:vertAlign w:val="baseline"/>
        </w:rPr>
        <w:t> </w:t>
      </w:r>
      <w:r>
        <w:rPr>
          <w:vertAlign w:val="baseline"/>
        </w:rPr>
        <w:t>well</w:t>
      </w:r>
      <w:r>
        <w:rPr>
          <w:spacing w:val="-2"/>
          <w:vertAlign w:val="baseline"/>
        </w:rPr>
        <w:t> </w:t>
      </w:r>
      <w:r>
        <w:rPr>
          <w:vertAlign w:val="baseline"/>
        </w:rPr>
        <w:t>be</w:t>
      </w:r>
      <w:r>
        <w:rPr>
          <w:spacing w:val="-2"/>
          <w:vertAlign w:val="baseline"/>
        </w:rPr>
        <w:t> </w:t>
      </w:r>
      <w:r>
        <w:rPr>
          <w:vertAlign w:val="baseline"/>
        </w:rPr>
        <w:t>right,</w:t>
      </w:r>
      <w:r>
        <w:rPr>
          <w:spacing w:val="-2"/>
          <w:vertAlign w:val="baseline"/>
        </w:rPr>
        <w:t> </w:t>
      </w:r>
      <w:r>
        <w:rPr>
          <w:vertAlign w:val="baseline"/>
        </w:rPr>
        <w:t>however,</w:t>
      </w:r>
      <w:r>
        <w:rPr>
          <w:spacing w:val="-2"/>
          <w:vertAlign w:val="baseline"/>
        </w:rPr>
        <w:t> </w:t>
      </w:r>
      <w:r>
        <w:rPr>
          <w:vertAlign w:val="baseline"/>
        </w:rPr>
        <w:t>that</w:t>
      </w:r>
      <w:r>
        <w:rPr>
          <w:spacing w:val="-2"/>
          <w:vertAlign w:val="baseline"/>
        </w:rPr>
        <w:t> </w:t>
      </w:r>
      <w:r>
        <w:rPr>
          <w:vertAlign w:val="baseline"/>
        </w:rPr>
        <w:t>he</w:t>
      </w:r>
      <w:r>
        <w:rPr>
          <w:spacing w:val="-2"/>
          <w:vertAlign w:val="baseline"/>
        </w:rPr>
        <w:t> </w:t>
      </w:r>
      <w:r>
        <w:rPr>
          <w:vertAlign w:val="baseline"/>
        </w:rPr>
        <w:t>should</w:t>
      </w:r>
      <w:r>
        <w:rPr>
          <w:spacing w:val="-2"/>
          <w:vertAlign w:val="baseline"/>
        </w:rPr>
        <w:t> </w:t>
      </w:r>
      <w:r>
        <w:rPr>
          <w:vertAlign w:val="baseline"/>
        </w:rPr>
        <w:t>be</w:t>
      </w:r>
      <w:r>
        <w:rPr>
          <w:spacing w:val="-2"/>
          <w:vertAlign w:val="baseline"/>
        </w:rPr>
        <w:t> </w:t>
      </w:r>
      <w:r>
        <w:rPr>
          <w:vertAlign w:val="baseline"/>
        </w:rPr>
        <w:t>accorded</w:t>
      </w:r>
      <w:r>
        <w:rPr>
          <w:spacing w:val="-2"/>
          <w:vertAlign w:val="baseline"/>
        </w:rPr>
        <w:t> </w:t>
      </w:r>
      <w:r>
        <w:rPr>
          <w:vertAlign w:val="baseline"/>
        </w:rPr>
        <w:t>relief</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basis of the interpretation least beneficial to him.” </w:t>
      </w:r>
      <w:r>
        <w:rPr>
          <w:color w:val="005DA1"/>
          <w:u w:val="single" w:color="005DA1"/>
          <w:vertAlign w:val="superscript"/>
        </w:rPr>
        <w:t>986</w:t>
      </w:r>
      <w:r>
        <w:rPr>
          <w:color w:val="005DA1"/>
          <w:vertAlign w:val="baseline"/>
        </w:rPr>
        <w:t> </w:t>
      </w:r>
      <w:r>
        <w:rPr>
          <w:vertAlign w:val="baseline"/>
        </w:rPr>
        <w:t>This interesting suggestion is not in terms or in substance repeated in any of the other speeches; but it can, with respect, be said to reflect the flexibility of the principled discretion which enables the courts to fashion the remedy in cases of proprietary estoppel. </w:t>
      </w:r>
      <w:r>
        <w:rPr>
          <w:color w:val="005DA1"/>
          <w:u w:val="single" w:color="005DA1"/>
          <w:vertAlign w:val="superscript"/>
        </w:rPr>
        <w:t>987</w:t>
      </w:r>
      <w:r>
        <w:rPr>
          <w:color w:val="005DA1"/>
          <w:vertAlign w:val="baseline"/>
        </w:rPr>
        <w:t> </w:t>
      </w:r>
      <w:r>
        <w:rPr>
          <w:vertAlign w:val="baseline"/>
        </w:rPr>
        <w:t>The suggestion also derives some support from the similar rule (discussed in para. 26-075 below) governing the assessment of damages for breach of alternative obligations.</w:t>
      </w:r>
    </w:p>
    <w:p>
      <w:pPr>
        <w:pStyle w:val="BodyText"/>
      </w:pPr>
    </w:p>
    <w:p>
      <w:pPr>
        <w:pStyle w:val="BodyText"/>
        <w:spacing w:before="34"/>
      </w:pPr>
    </w:p>
    <w:p>
      <w:pPr>
        <w:spacing w:before="0"/>
        <w:ind w:left="164" w:right="0" w:firstLine="0"/>
        <w:jc w:val="left"/>
        <w:rPr>
          <w:rFonts w:ascii="Arial" w:hAnsi="Arial"/>
          <w:b/>
          <w:sz w:val="18"/>
        </w:rPr>
      </w:pPr>
      <w:r>
        <w:rPr>
          <w:rFonts w:ascii="Arial" w:hAnsi="Arial"/>
          <w:b/>
          <w:sz w:val="18"/>
        </w:rPr>
        <w:t>Conclusion on “character or quality” </w:t>
      </w:r>
      <w:r>
        <w:rPr>
          <w:rFonts w:ascii="Arial" w:hAnsi="Arial"/>
          <w:b/>
          <w:color w:val="005DA1"/>
          <w:spacing w:val="-5"/>
          <w:sz w:val="18"/>
          <w:u w:val="single" w:color="005DA1"/>
          <w:vertAlign w:val="superscript"/>
        </w:rPr>
        <w:t>988</w:t>
      </w:r>
    </w:p>
    <w:p>
      <w:pPr>
        <w:pStyle w:val="BodyText"/>
        <w:spacing w:before="41"/>
        <w:rPr>
          <w:rFonts w:ascii="Arial"/>
          <w:b/>
          <w:sz w:val="18"/>
        </w:rPr>
      </w:pPr>
    </w:p>
    <w:p>
      <w:pPr>
        <w:pStyle w:val="Heading2"/>
        <w:spacing w:before="1"/>
      </w:pPr>
      <w:r>
        <w:rPr/>
        <w:t>4-</w:t>
      </w:r>
      <w:r>
        <w:rPr>
          <w:spacing w:val="-5"/>
        </w:rPr>
        <w:t>152</w:t>
      </w:r>
    </w:p>
    <w:p>
      <w:pPr>
        <w:pStyle w:val="BodyText"/>
        <w:spacing w:line="235" w:lineRule="auto" w:before="202"/>
        <w:ind w:left="164" w:right="167"/>
        <w:jc w:val="both"/>
      </w:pPr>
      <w:r>
        <w:rPr/>
        <w:t>The requirement of a “clear and unequivocal” assurance, representation or promise forms the </w:t>
      </w:r>
      <w:r>
        <w:rPr/>
        <w:t>starting point of the discussions in </w:t>
      </w:r>
      <w:r>
        <w:rPr>
          <w:rFonts w:ascii="Arial" w:hAnsi="Arial"/>
          <w:i/>
        </w:rPr>
        <w:t>Thorner v Major </w:t>
      </w:r>
      <w:r>
        <w:rPr>
          <w:color w:val="005DA1"/>
          <w:u w:val="single" w:color="005DA1"/>
          <w:vertAlign w:val="superscript"/>
        </w:rPr>
        <w:t>989</w:t>
      </w:r>
      <w:r>
        <w:rPr>
          <w:color w:val="005DA1"/>
          <w:vertAlign w:val="baseline"/>
        </w:rPr>
        <w:t> </w:t>
      </w:r>
      <w:r>
        <w:rPr>
          <w:vertAlign w:val="baseline"/>
        </w:rPr>
        <w:t>by Lords Walker and Neuberger of the question whether, in that case Peter’s conduct and statements were such as to give rise to a proprietary estoppel in favour of David. But, in giving an affirmative answer to that question, these speeches so much qualify the requirement (in ways described in paras 4-150 and 4-151 above) that it may respectfully be doubted whether the requirement will in future cases continue to be the best starting point for the discussion of the character or quality of the assurance necessary to give rise to a proprietary estoppel. The qualifications of the “clear and unequivocal” requirement all lead to the conclusion that the crucial questions in cases of proprietary estoppel by “encouragement” </w:t>
      </w:r>
      <w:r>
        <w:rPr>
          <w:color w:val="005DA1"/>
          <w:u w:val="single" w:color="005DA1"/>
          <w:vertAlign w:val="superscript"/>
        </w:rPr>
        <w:t>990</w:t>
      </w:r>
      <w:r>
        <w:rPr>
          <w:color w:val="005DA1"/>
          <w:vertAlign w:val="baseline"/>
        </w:rPr>
        <w:t> </w:t>
      </w:r>
      <w:r>
        <w:rPr>
          <w:vertAlign w:val="baseline"/>
        </w:rPr>
        <w:t>are whether the person invoking the estoppel can establish that (in Lord Neuberger’s words) “he reasonably understood the statement or action to be an assurance on which he could rely” </w:t>
      </w:r>
      <w:r>
        <w:rPr>
          <w:color w:val="005DA1"/>
          <w:u w:val="single" w:color="005DA1"/>
          <w:vertAlign w:val="superscript"/>
        </w:rPr>
        <w:t>991</w:t>
      </w:r>
      <w:r>
        <w:rPr>
          <w:color w:val="005DA1"/>
          <w:vertAlign w:val="baseline"/>
        </w:rPr>
        <w:t> </w:t>
      </w:r>
      <w:r>
        <w:rPr>
          <w:vertAlign w:val="baseline"/>
        </w:rPr>
        <w:t>and whether he did then reasonably rely on it to his detriment. Similar statements can be found in the speeches Lords Hoffmann, Scott, Rodger and Walker </w:t>
      </w:r>
      <w:r>
        <w:rPr>
          <w:color w:val="005DA1"/>
          <w:u w:val="single" w:color="005DA1"/>
          <w:vertAlign w:val="superscript"/>
        </w:rPr>
        <w:t>992</w:t>
      </w:r>
      <w:r>
        <w:rPr>
          <w:vertAlign w:val="baseline"/>
        </w:rPr>
        <w:t>; and it is of particular interest that Lord Hoffmann in his speech in </w:t>
      </w:r>
      <w:r>
        <w:rPr>
          <w:rFonts w:ascii="Arial" w:hAnsi="Arial"/>
          <w:i/>
          <w:vertAlign w:val="baseline"/>
        </w:rPr>
        <w:t>Thorner v Major </w:t>
      </w:r>
      <w:r>
        <w:rPr>
          <w:vertAlign w:val="baseline"/>
        </w:rPr>
        <w:t>treats this as the decisive question without expressly </w:t>
      </w:r>
      <w:r>
        <w:rPr>
          <w:color w:val="005DA1"/>
          <w:u w:val="single" w:color="005DA1"/>
          <w:vertAlign w:val="superscript"/>
        </w:rPr>
        <w:t>993</w:t>
      </w:r>
      <w:r>
        <w:rPr>
          <w:color w:val="005DA1"/>
          <w:vertAlign w:val="baseline"/>
        </w:rPr>
        <w:t> </w:t>
      </w:r>
      <w:r>
        <w:rPr>
          <w:vertAlign w:val="baseline"/>
        </w:rPr>
        <w:t>insisting on any further requirement that the assurance must be “clear and unequivocal.” It is respectfully submitted that, in any consideration of the “character and quality” of the representation, discussion of the “clear and unequivocal” point as a separate requirement amounts to an</w:t>
      </w:r>
      <w:r>
        <w:rPr>
          <w:spacing w:val="80"/>
          <w:vertAlign w:val="baseline"/>
        </w:rPr>
        <w:t> </w:t>
      </w:r>
      <w:r>
        <w:rPr>
          <w:vertAlign w:val="baseline"/>
        </w:rPr>
        <w:t>unnecessary intermediate stage in deciding whether an assurance or promise is such as to be capable of giving rise to a proprietary estoppel. If the nature of the assurance or promise is such as to give the promisee reasonable grounds for thinking that he could rely on it, and if he did reasonably rely on it, then there is no point in insisting on any </w:t>
      </w:r>
      <w:r>
        <w:rPr>
          <w:rFonts w:ascii="Arial" w:hAnsi="Arial"/>
          <w:i/>
          <w:vertAlign w:val="baseline"/>
        </w:rPr>
        <w:t>further </w:t>
      </w:r>
      <w:r>
        <w:rPr>
          <w:vertAlign w:val="baseline"/>
        </w:rPr>
        <w:t>requirement that the assurance must be “clear</w:t>
      </w:r>
      <w:r>
        <w:rPr>
          <w:spacing w:val="-2"/>
          <w:vertAlign w:val="baseline"/>
        </w:rPr>
        <w:t> </w:t>
      </w:r>
      <w:r>
        <w:rPr>
          <w:vertAlign w:val="baseline"/>
        </w:rPr>
        <w:t>and</w:t>
      </w:r>
      <w:r>
        <w:rPr>
          <w:spacing w:val="-2"/>
          <w:vertAlign w:val="baseline"/>
        </w:rPr>
        <w:t> </w:t>
      </w:r>
      <w:r>
        <w:rPr>
          <w:vertAlign w:val="baseline"/>
        </w:rPr>
        <w:t>unequivocal.”</w:t>
      </w:r>
      <w:r>
        <w:rPr>
          <w:spacing w:val="-2"/>
          <w:vertAlign w:val="baseline"/>
        </w:rPr>
        <w:t> </w:t>
      </w:r>
      <w:r>
        <w:rPr>
          <w:vertAlign w:val="baseline"/>
        </w:rPr>
        <w:t>Both</w:t>
      </w:r>
      <w:r>
        <w:rPr>
          <w:spacing w:val="-2"/>
          <w:vertAlign w:val="baseline"/>
        </w:rPr>
        <w:t> </w:t>
      </w:r>
      <w:r>
        <w:rPr>
          <w:vertAlign w:val="baseline"/>
        </w:rPr>
        <w:t>these</w:t>
      </w:r>
      <w:r>
        <w:rPr>
          <w:spacing w:val="-2"/>
          <w:vertAlign w:val="baseline"/>
        </w:rPr>
        <w:t> </w:t>
      </w:r>
      <w:r>
        <w:rPr>
          <w:vertAlign w:val="baseline"/>
        </w:rPr>
        <w:t>requirements</w:t>
      </w:r>
      <w:r>
        <w:rPr>
          <w:spacing w:val="-2"/>
          <w:vertAlign w:val="baseline"/>
        </w:rPr>
        <w:t> </w:t>
      </w:r>
      <w:r>
        <w:rPr>
          <w:vertAlign w:val="baseline"/>
        </w:rPr>
        <w:t>pose</w:t>
      </w:r>
      <w:r>
        <w:rPr>
          <w:spacing w:val="-2"/>
          <w:vertAlign w:val="baseline"/>
        </w:rPr>
        <w:t> </w:t>
      </w:r>
      <w:r>
        <w:rPr>
          <w:vertAlign w:val="baseline"/>
        </w:rPr>
        <w:t>essentially</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question;</w:t>
      </w:r>
      <w:r>
        <w:rPr>
          <w:spacing w:val="-2"/>
          <w:vertAlign w:val="baseline"/>
        </w:rPr>
        <w:t> </w:t>
      </w:r>
      <w:r>
        <w:rPr>
          <w:vertAlign w:val="baseline"/>
        </w:rPr>
        <w:t>and</w:t>
      </w:r>
      <w:r>
        <w:rPr>
          <w:spacing w:val="-2"/>
          <w:vertAlign w:val="baseline"/>
        </w:rPr>
        <w:t> </w:t>
      </w:r>
      <w:r>
        <w:rPr>
          <w:vertAlign w:val="baseline"/>
        </w:rPr>
        <w:t>to</w:t>
      </w:r>
      <w:r>
        <w:rPr>
          <w:spacing w:val="-2"/>
          <w:vertAlign w:val="baseline"/>
        </w:rPr>
        <w:t> </w:t>
      </w:r>
      <w:r>
        <w:rPr>
          <w:vertAlign w:val="baseline"/>
        </w:rPr>
        <w:t>treat</w:t>
      </w:r>
      <w:r>
        <w:rPr>
          <w:spacing w:val="-2"/>
          <w:vertAlign w:val="baseline"/>
        </w:rPr>
        <w:t> </w:t>
      </w:r>
      <w:r>
        <w:rPr>
          <w:vertAlign w:val="baseline"/>
        </w:rPr>
        <w:t>the second as if it imposed a requirement additional to the first is not only unnecessary but also</w:t>
      </w:r>
      <w:r>
        <w:rPr>
          <w:spacing w:val="40"/>
          <w:vertAlign w:val="baseline"/>
        </w:rPr>
        <w:t> </w:t>
      </w:r>
      <w:r>
        <w:rPr>
          <w:vertAlign w:val="baseline"/>
        </w:rPr>
        <w:t>potentially misleading. It should be added that when Lord Scott accepts “the requirement that a representation, if it is to found a claim based on proprietary estoppel must be clear and unequivocal” </w:t>
      </w:r>
      <w:r>
        <w:rPr>
          <w:color w:val="005DA1"/>
          <w:u w:val="single" w:color="005DA1"/>
          <w:vertAlign w:val="superscript"/>
        </w:rPr>
        <w:t>994</w:t>
      </w:r>
      <w:r>
        <w:rPr>
          <w:color w:val="005DA1"/>
          <w:spacing w:val="-2"/>
          <w:vertAlign w:val="baseline"/>
        </w:rPr>
        <w:t> </w:t>
      </w:r>
      <w:r>
        <w:rPr>
          <w:vertAlign w:val="baseline"/>
        </w:rPr>
        <w:t>he</w:t>
      </w:r>
      <w:r>
        <w:rPr>
          <w:spacing w:val="-2"/>
          <w:vertAlign w:val="baseline"/>
        </w:rPr>
        <w:t> </w:t>
      </w:r>
      <w:r>
        <w:rPr>
          <w:vertAlign w:val="baseline"/>
        </w:rPr>
        <w:t>does</w:t>
      </w:r>
      <w:r>
        <w:rPr>
          <w:spacing w:val="-2"/>
          <w:vertAlign w:val="baseline"/>
        </w:rPr>
        <w:t> </w:t>
      </w:r>
      <w:r>
        <w:rPr>
          <w:vertAlign w:val="baseline"/>
        </w:rPr>
        <w:t>so</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context</w:t>
      </w:r>
      <w:r>
        <w:rPr>
          <w:spacing w:val="-2"/>
          <w:vertAlign w:val="baseline"/>
        </w:rPr>
        <w:t> </w:t>
      </w:r>
      <w:r>
        <w:rPr>
          <w:vertAlign w:val="baseline"/>
        </w:rPr>
        <w:t>of</w:t>
      </w:r>
      <w:r>
        <w:rPr>
          <w:spacing w:val="-2"/>
          <w:vertAlign w:val="baseline"/>
        </w:rPr>
        <w:t> </w:t>
      </w:r>
      <w:r>
        <w:rPr>
          <w:vertAlign w:val="baseline"/>
        </w:rPr>
        <w:t>other</w:t>
      </w:r>
      <w:r>
        <w:rPr>
          <w:spacing w:val="-2"/>
          <w:vertAlign w:val="baseline"/>
        </w:rPr>
        <w:t> </w:t>
      </w:r>
      <w:r>
        <w:rPr>
          <w:vertAlign w:val="baseline"/>
        </w:rPr>
        <w:t>questions</w:t>
      </w:r>
      <w:r>
        <w:rPr>
          <w:spacing w:val="-2"/>
          <w:vertAlign w:val="baseline"/>
        </w:rPr>
        <w:t> </w:t>
      </w:r>
      <w:r>
        <w:rPr>
          <w:vertAlign w:val="baseline"/>
        </w:rPr>
        <w:t>than</w:t>
      </w:r>
      <w:r>
        <w:rPr>
          <w:spacing w:val="-2"/>
          <w:vertAlign w:val="baseline"/>
        </w:rPr>
        <w:t> </w:t>
      </w:r>
      <w:r>
        <w:rPr>
          <w:vertAlign w:val="baseline"/>
        </w:rPr>
        <w:t>those</w:t>
      </w:r>
      <w:r>
        <w:rPr>
          <w:spacing w:val="-2"/>
          <w:vertAlign w:val="baseline"/>
        </w:rPr>
        <w:t> </w:t>
      </w:r>
      <w:r>
        <w:rPr>
          <w:vertAlign w:val="baseline"/>
        </w:rPr>
        <w:t>discussed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present</w:t>
      </w:r>
      <w:r>
        <w:rPr>
          <w:spacing w:val="-2"/>
          <w:vertAlign w:val="baseline"/>
        </w:rPr>
        <w:t> </w:t>
      </w:r>
      <w:r>
        <w:rPr>
          <w:vertAlign w:val="baseline"/>
        </w:rPr>
        <w:t>paragraph:</w:t>
      </w:r>
      <w:r>
        <w:rPr>
          <w:spacing w:val="-2"/>
          <w:vertAlign w:val="baseline"/>
        </w:rPr>
        <w:t> </w:t>
      </w:r>
      <w:r>
        <w:rPr>
          <w:vertAlign w:val="baseline"/>
        </w:rPr>
        <w:t>that</w:t>
      </w:r>
      <w:r>
        <w:rPr>
          <w:spacing w:val="-2"/>
          <w:vertAlign w:val="baseline"/>
        </w:rPr>
        <w:t> </w:t>
      </w:r>
      <w:r>
        <w:rPr>
          <w:vertAlign w:val="baseline"/>
        </w:rPr>
        <w:t>is, of the questions whether the representation adequately identifies the property alleged to be affected by the estoppel and whether the operation of any such estoppel may be affected by a supervening change of the representor’s circumstances. The effect of </w:t>
      </w:r>
      <w:r>
        <w:rPr>
          <w:rFonts w:ascii="Arial" w:hAnsi="Arial"/>
          <w:i/>
          <w:vertAlign w:val="baseline"/>
        </w:rPr>
        <w:t>Thorner v Major </w:t>
      </w:r>
      <w:r>
        <w:rPr>
          <w:vertAlign w:val="baseline"/>
        </w:rPr>
        <w:t>on these questions is discussed in paras 4-163 and 4-180 below.</w:t>
      </w:r>
    </w:p>
    <w:p>
      <w:pPr>
        <w:pStyle w:val="BodyText"/>
      </w:pPr>
    </w:p>
    <w:p>
      <w:pPr>
        <w:pStyle w:val="BodyText"/>
        <w:spacing w:before="27"/>
      </w:pPr>
    </w:p>
    <w:p>
      <w:pPr>
        <w:spacing w:before="0"/>
        <w:ind w:left="165" w:right="0" w:firstLine="0"/>
        <w:jc w:val="left"/>
        <w:rPr>
          <w:rFonts w:ascii="Arial"/>
          <w:b/>
          <w:sz w:val="18"/>
        </w:rPr>
      </w:pPr>
      <w:r>
        <w:rPr>
          <w:rFonts w:ascii="Arial"/>
          <w:b/>
          <w:sz w:val="18"/>
        </w:rPr>
        <w:t>Promise must be one to create rights in or over </w:t>
      </w:r>
      <w:r>
        <w:rPr>
          <w:rFonts w:ascii="Arial"/>
          <w:b/>
          <w:spacing w:val="-2"/>
          <w:sz w:val="18"/>
        </w:rPr>
        <w:t>property</w:t>
      </w:r>
    </w:p>
    <w:p>
      <w:pPr>
        <w:pStyle w:val="BodyText"/>
        <w:spacing w:before="42"/>
        <w:rPr>
          <w:rFonts w:ascii="Arial"/>
          <w:b/>
          <w:sz w:val="18"/>
        </w:rPr>
      </w:pPr>
    </w:p>
    <w:p>
      <w:pPr>
        <w:pStyle w:val="Heading2"/>
      </w:pPr>
      <w:r>
        <w:rPr/>
        <w:t>4-</w:t>
      </w:r>
      <w:r>
        <w:rPr>
          <w:spacing w:val="-5"/>
        </w:rPr>
        <w:t>153</w:t>
      </w:r>
    </w:p>
    <w:p>
      <w:pPr>
        <w:pStyle w:val="BodyText"/>
        <w:spacing w:line="235" w:lineRule="auto" w:before="202"/>
        <w:ind w:left="164" w:right="167"/>
        <w:jc w:val="both"/>
      </w:pPr>
      <w:r>
        <w:rPr/>
        <w:t>To give rise to a proprietary estoppel, the promise or representation must contain a statement to the effect that the promisee either has an interest in the property in question or that such an interest </w:t>
      </w:r>
      <w:r>
        <w:rPr/>
        <w:t>will be created in his favour. This requirement was not satisfied in </w:t>
      </w:r>
      <w:r>
        <w:rPr>
          <w:rFonts w:ascii="Arial" w:hAnsi="Arial"/>
          <w:i/>
        </w:rPr>
        <w:t>Newport City Council v Charles </w:t>
      </w:r>
      <w:r>
        <w:rPr>
          <w:color w:val="005DA1"/>
          <w:u w:val="single" w:color="005DA1"/>
          <w:vertAlign w:val="superscript"/>
        </w:rPr>
        <w:t>995</w:t>
      </w:r>
      <w:r>
        <w:rPr>
          <w:color w:val="005DA1"/>
          <w:vertAlign w:val="baseline"/>
        </w:rPr>
        <w:t> </w:t>
      </w:r>
      <w:r>
        <w:rPr>
          <w:vertAlign w:val="baseline"/>
        </w:rPr>
        <w:t>where the defendant had succeeded to his mother’s secure tenancy of premises owned by the claimant housing authority and had, after his mother’s death, by “deliberate dishonesty” </w:t>
      </w:r>
      <w:r>
        <w:rPr>
          <w:color w:val="005DA1"/>
          <w:u w:val="single" w:color="005DA1"/>
          <w:vertAlign w:val="superscript"/>
        </w:rPr>
        <w:t>996</w:t>
      </w:r>
      <w:r>
        <w:rPr>
          <w:color w:val="005DA1"/>
          <w:vertAlign w:val="baseline"/>
        </w:rPr>
        <w:t> </w:t>
      </w:r>
      <w:r>
        <w:rPr>
          <w:vertAlign w:val="baseline"/>
        </w:rPr>
        <w:t>induced the claimant to believe that she was still alive. The claimant in consequence acted to its detriment </w:t>
      </w:r>
      <w:r>
        <w:rPr>
          <w:color w:val="005DA1"/>
          <w:u w:val="single" w:color="005DA1"/>
          <w:vertAlign w:val="superscript"/>
        </w:rPr>
        <w:t>997</w:t>
      </w:r>
      <w:r>
        <w:rPr>
          <w:color w:val="005DA1"/>
          <w:vertAlign w:val="baseline"/>
        </w:rPr>
        <w:t> </w:t>
      </w:r>
      <w:r>
        <w:rPr>
          <w:vertAlign w:val="baseline"/>
        </w:rPr>
        <w:t>in failing to exercise its statutory right to obtain an order for possession of the premises within the period</w:t>
      </w:r>
      <w:r>
        <w:rPr>
          <w:spacing w:val="1"/>
          <w:vertAlign w:val="baseline"/>
        </w:rPr>
        <w:t> </w:t>
      </w:r>
      <w:r>
        <w:rPr>
          <w:vertAlign w:val="baseline"/>
        </w:rPr>
        <w:t>specified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statute.</w:t>
      </w:r>
      <w:r>
        <w:rPr>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doctrine</w:t>
      </w:r>
      <w:r>
        <w:rPr>
          <w:spacing w:val="1"/>
          <w:vertAlign w:val="baseline"/>
        </w:rPr>
        <w:t> </w:t>
      </w:r>
      <w:r>
        <w:rPr>
          <w:vertAlign w:val="baseline"/>
        </w:rPr>
        <w:t>of</w:t>
      </w:r>
      <w:r>
        <w:rPr>
          <w:spacing w:val="1"/>
          <w:vertAlign w:val="baseline"/>
        </w:rPr>
        <w:t> </w:t>
      </w:r>
      <w:r>
        <w:rPr>
          <w:vertAlign w:val="baseline"/>
        </w:rPr>
        <w:t>proprietary</w:t>
      </w:r>
      <w:r>
        <w:rPr>
          <w:spacing w:val="1"/>
          <w:vertAlign w:val="baseline"/>
        </w:rPr>
        <w:t> </w:t>
      </w:r>
      <w:r>
        <w:rPr>
          <w:vertAlign w:val="baseline"/>
        </w:rPr>
        <w:t>estoppel</w:t>
      </w:r>
      <w:r>
        <w:rPr>
          <w:spacing w:val="1"/>
          <w:vertAlign w:val="baseline"/>
        </w:rPr>
        <w:t> </w:t>
      </w:r>
      <w:r>
        <w:rPr>
          <w:vertAlign w:val="baseline"/>
        </w:rPr>
        <w:t>did</w:t>
      </w:r>
      <w:r>
        <w:rPr>
          <w:spacing w:val="1"/>
          <w:vertAlign w:val="baseline"/>
        </w:rPr>
        <w:t> </w:t>
      </w:r>
      <w:r>
        <w:rPr>
          <w:vertAlign w:val="baseline"/>
        </w:rPr>
        <w:t>not</w:t>
      </w:r>
      <w:r>
        <w:rPr>
          <w:spacing w:val="1"/>
          <w:vertAlign w:val="baseline"/>
        </w:rPr>
        <w:t> </w:t>
      </w:r>
      <w:r>
        <w:rPr>
          <w:vertAlign w:val="baseline"/>
        </w:rPr>
        <w:t>apply</w:t>
      </w:r>
      <w:r>
        <w:rPr>
          <w:spacing w:val="1"/>
          <w:vertAlign w:val="baseline"/>
        </w:rPr>
        <w:t> </w:t>
      </w:r>
      <w:r>
        <w:rPr>
          <w:vertAlign w:val="baseline"/>
        </w:rPr>
        <w:t>so</w:t>
      </w:r>
      <w:r>
        <w:rPr>
          <w:spacing w:val="1"/>
          <w:vertAlign w:val="baseline"/>
        </w:rPr>
        <w:t> </w:t>
      </w:r>
      <w:r>
        <w:rPr>
          <w:spacing w:val="-5"/>
          <w:vertAlign w:val="baseline"/>
        </w:rPr>
        <w:t>as</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r>
        <w:rPr/>
        <w:t>to enable the claimant to obtain such an order after the end of that period. Laws L.J. said </w:t>
      </w:r>
      <w:r>
        <w:rPr>
          <w:color w:val="005DA1"/>
          <w:u w:val="single" w:color="005DA1"/>
          <w:vertAlign w:val="superscript"/>
        </w:rPr>
        <w:t>998</w:t>
      </w:r>
      <w:r>
        <w:rPr>
          <w:vertAlign w:val="baseline"/>
        </w:rPr>
        <w:t>: </w:t>
      </w:r>
      <w:r>
        <w:rPr>
          <w:vertAlign w:val="baseline"/>
        </w:rPr>
        <w:t>“The housing authority is not claiming an interest in land. Its interest as landlord and as freeholder is not in question.” It sought merely “to raise a strictly statutory claim to possession in a strictly statutory context.</w:t>
      </w:r>
      <w:r>
        <w:rPr>
          <w:spacing w:val="-2"/>
          <w:vertAlign w:val="baseline"/>
        </w:rPr>
        <w:t> </w:t>
      </w:r>
      <w:r>
        <w:rPr>
          <w:vertAlign w:val="baseline"/>
        </w:rPr>
        <w:t>That</w:t>
      </w:r>
      <w:r>
        <w:rPr>
          <w:spacing w:val="-2"/>
          <w:vertAlign w:val="baseline"/>
        </w:rPr>
        <w:t> </w:t>
      </w:r>
      <w:r>
        <w:rPr>
          <w:vertAlign w:val="baseline"/>
        </w:rPr>
        <w:t>ambition</w:t>
      </w:r>
      <w:r>
        <w:rPr>
          <w:spacing w:val="-2"/>
          <w:vertAlign w:val="baseline"/>
        </w:rPr>
        <w:t> </w:t>
      </w:r>
      <w:r>
        <w:rPr>
          <w:vertAlign w:val="baseline"/>
        </w:rPr>
        <w:t>cannot</w:t>
      </w:r>
      <w:r>
        <w:rPr>
          <w:spacing w:val="-2"/>
          <w:vertAlign w:val="baseline"/>
        </w:rPr>
        <w:t> </w:t>
      </w:r>
      <w:r>
        <w:rPr>
          <w:vertAlign w:val="baseline"/>
        </w:rPr>
        <w:t>…</w:t>
      </w:r>
      <w:r>
        <w:rPr>
          <w:spacing w:val="-2"/>
          <w:vertAlign w:val="baseline"/>
        </w:rPr>
        <w:t> </w:t>
      </w:r>
      <w:r>
        <w:rPr>
          <w:vertAlign w:val="baseline"/>
        </w:rPr>
        <w:t>be</w:t>
      </w:r>
      <w:r>
        <w:rPr>
          <w:spacing w:val="-2"/>
          <w:vertAlign w:val="baseline"/>
        </w:rPr>
        <w:t> </w:t>
      </w:r>
      <w:r>
        <w:rPr>
          <w:vertAlign w:val="baseline"/>
        </w:rPr>
        <w:t>fulfilled</w:t>
      </w:r>
      <w:r>
        <w:rPr>
          <w:spacing w:val="-2"/>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fruit</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proprietary</w:t>
      </w:r>
      <w:r>
        <w:rPr>
          <w:spacing w:val="-2"/>
          <w:vertAlign w:val="baseline"/>
        </w:rPr>
        <w:t> </w:t>
      </w:r>
      <w:r>
        <w:rPr>
          <w:vertAlign w:val="baseline"/>
        </w:rPr>
        <w:t>estoppel.</w:t>
      </w:r>
      <w:r>
        <w:rPr>
          <w:spacing w:val="-2"/>
          <w:vertAlign w:val="baseline"/>
        </w:rPr>
        <w:t> </w:t>
      </w:r>
      <w:r>
        <w:rPr>
          <w:vertAlign w:val="baseline"/>
        </w:rPr>
        <w:t>The</w:t>
      </w:r>
      <w:r>
        <w:rPr>
          <w:spacing w:val="-2"/>
          <w:vertAlign w:val="baseline"/>
        </w:rPr>
        <w:t> </w:t>
      </w:r>
      <w:r>
        <w:rPr>
          <w:vertAlign w:val="baseline"/>
        </w:rPr>
        <w:t>appellant</w:t>
      </w:r>
      <w:r>
        <w:rPr>
          <w:spacing w:val="-3"/>
          <w:vertAlign w:val="baseline"/>
        </w:rPr>
        <w:t> </w:t>
      </w:r>
      <w:r>
        <w:rPr>
          <w:color w:val="005DA1"/>
          <w:u w:val="single" w:color="005DA1"/>
          <w:vertAlign w:val="superscript"/>
        </w:rPr>
        <w:t>999</w:t>
      </w:r>
      <w:r>
        <w:rPr>
          <w:color w:val="005DA1"/>
          <w:spacing w:val="-2"/>
          <w:vertAlign w:val="baseline"/>
        </w:rPr>
        <w:t> </w:t>
      </w:r>
      <w:r>
        <w:rPr>
          <w:vertAlign w:val="baseline"/>
        </w:rPr>
        <w:t>has not created any expectation that the appellant </w:t>
      </w:r>
      <w:r>
        <w:rPr>
          <w:color w:val="005DA1"/>
          <w:u w:val="single" w:color="005DA1"/>
          <w:vertAlign w:val="superscript"/>
        </w:rPr>
        <w:t>1000</w:t>
      </w:r>
      <w:r>
        <w:rPr>
          <w:color w:val="005DA1"/>
          <w:vertAlign w:val="baseline"/>
        </w:rPr>
        <w:t> </w:t>
      </w:r>
      <w:r>
        <w:rPr>
          <w:vertAlign w:val="baseline"/>
        </w:rPr>
        <w:t>will enjoy any kind of interest in land.” Laws L.J. accepted counsel’s submission “that a proprietary estoppel may require a tenant to surrender his interest” but added that “the present situation cannot be catalogued in such a manner.” </w:t>
      </w:r>
      <w:r>
        <w:rPr>
          <w:color w:val="005DA1"/>
          <w:u w:val="single" w:color="005DA1"/>
          <w:vertAlign w:val="superscript"/>
        </w:rPr>
        <w:t>1001</w:t>
      </w:r>
      <w:r>
        <w:rPr>
          <w:color w:val="005DA1"/>
          <w:vertAlign w:val="baseline"/>
        </w:rPr>
        <w:t> </w:t>
      </w:r>
      <w:r>
        <w:rPr>
          <w:vertAlign w:val="baseline"/>
        </w:rPr>
        <w:t>The reason why it could not be so catalogued appears to have been that no promise or representation to make such a surrender could be inferred from the defendant/appellant’s conduct described above.</w:t>
      </w:r>
      <w:r>
        <w:rPr>
          <w:spacing w:val="-2"/>
          <w:vertAlign w:val="baseline"/>
        </w:rPr>
        <w:t> </w:t>
      </w:r>
      <w:r>
        <w:rPr>
          <w:color w:val="005DA1"/>
          <w:spacing w:val="-4"/>
          <w:u w:val="single" w:color="005DA1"/>
          <w:vertAlign w:val="superscript"/>
        </w:rPr>
        <w:t>1002</w:t>
      </w:r>
    </w:p>
    <w:p>
      <w:pPr>
        <w:pStyle w:val="BodyText"/>
      </w:pPr>
    </w:p>
    <w:p>
      <w:pPr>
        <w:pStyle w:val="BodyText"/>
        <w:spacing w:before="35"/>
      </w:pPr>
    </w:p>
    <w:p>
      <w:pPr>
        <w:spacing w:before="0"/>
        <w:ind w:left="165" w:right="0" w:firstLine="0"/>
        <w:jc w:val="left"/>
        <w:rPr>
          <w:rFonts w:ascii="Arial"/>
          <w:b/>
          <w:sz w:val="18"/>
        </w:rPr>
      </w:pPr>
      <w:r>
        <w:rPr>
          <w:rFonts w:ascii="Arial"/>
          <w:b/>
          <w:sz w:val="18"/>
        </w:rPr>
        <w:t>The property in question must generally be that of the </w:t>
      </w:r>
      <w:r>
        <w:rPr>
          <w:rFonts w:ascii="Arial"/>
          <w:b/>
          <w:spacing w:val="-2"/>
          <w:sz w:val="18"/>
        </w:rPr>
        <w:t>promisor</w:t>
      </w:r>
    </w:p>
    <w:p>
      <w:pPr>
        <w:pStyle w:val="BodyText"/>
        <w:spacing w:before="41"/>
        <w:rPr>
          <w:rFonts w:ascii="Arial"/>
          <w:b/>
          <w:sz w:val="18"/>
        </w:rPr>
      </w:pPr>
    </w:p>
    <w:p>
      <w:pPr>
        <w:pStyle w:val="Heading2"/>
      </w:pPr>
      <w:r>
        <w:rPr/>
        <w:t>4-</w:t>
      </w:r>
      <w:r>
        <w:rPr>
          <w:spacing w:val="-5"/>
        </w:rPr>
        <w:t>154</w:t>
      </w:r>
    </w:p>
    <w:p>
      <w:pPr>
        <w:pStyle w:val="BodyText"/>
        <w:spacing w:line="235" w:lineRule="auto" w:before="203"/>
        <w:ind w:left="165" w:right="167"/>
        <w:jc w:val="both"/>
      </w:pPr>
      <w:r>
        <w:rPr/>
        <w:t>The rights which the promisee believes to have been created must, as a general rule, be rights in or over the property of the promisor. Thus a representation by a planning authority to the effect that a landowner does not need permission to carry out development on his </w:t>
      </w:r>
      <w:r>
        <w:rPr>
          <w:rFonts w:ascii="Arial"/>
          <w:i/>
        </w:rPr>
        <w:t>own </w:t>
      </w:r>
      <w:r>
        <w:rPr/>
        <w:t>land is not capable of giving rise to a proprietary estoppel. </w:t>
      </w:r>
      <w:r>
        <w:rPr>
          <w:color w:val="005DA1"/>
          <w:u w:val="single" w:color="005DA1"/>
          <w:vertAlign w:val="superscript"/>
        </w:rPr>
        <w:t>1003</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Exceptions</w:t>
      </w:r>
    </w:p>
    <w:p>
      <w:pPr>
        <w:pStyle w:val="BodyText"/>
        <w:spacing w:before="41"/>
        <w:rPr>
          <w:rFonts w:ascii="Arial"/>
          <w:b/>
          <w:sz w:val="18"/>
        </w:rPr>
      </w:pPr>
    </w:p>
    <w:p>
      <w:pPr>
        <w:pStyle w:val="Heading2"/>
      </w:pPr>
      <w:r>
        <w:rPr/>
        <w:t>4-</w:t>
      </w:r>
      <w:r>
        <w:rPr>
          <w:spacing w:val="-5"/>
        </w:rPr>
        <w:t>155</w:t>
      </w:r>
    </w:p>
    <w:p>
      <w:pPr>
        <w:pStyle w:val="BodyText"/>
        <w:spacing w:line="235" w:lineRule="auto" w:before="203"/>
        <w:ind w:left="165" w:right="167"/>
        <w:jc w:val="both"/>
      </w:pPr>
      <w:r>
        <w:rPr/>
        <w:t>There are, however, a number of exceptions, or apparent exceptions, to the general rule stated </w:t>
      </w:r>
      <w:r>
        <w:rPr/>
        <w:t>in para.4-154 above. One such exception may apply where the promisor makes two promises, of which the first relates to his own land while the second relates to that of the promisee; and the two promises may be so closely linked as to form in substance a single transaction. If the doctrine of proprietary estoppel applies to that transaction as a whole, then it can provide the promisee with a remedy in respect of the second promise even though that promise, standing alone, could not have given rise to proprietary estoppel because it related only to the promisee’s land. In one case, </w:t>
      </w:r>
      <w:r>
        <w:rPr>
          <w:color w:val="005DA1"/>
          <w:u w:val="single" w:color="005DA1"/>
          <w:vertAlign w:val="superscript"/>
        </w:rPr>
        <w:t>1004</w:t>
      </w:r>
      <w:r>
        <w:rPr>
          <w:color w:val="005DA1"/>
          <w:vertAlign w:val="baseline"/>
        </w:rPr>
        <w:t> </w:t>
      </w:r>
      <w:r>
        <w:rPr>
          <w:vertAlign w:val="baseline"/>
        </w:rPr>
        <w:t>for example, A promised B (1) to sell Blackacre to B to enable B to build on it, and (2) to buy Whiteacre from B so</w:t>
      </w:r>
      <w:r>
        <w:rPr>
          <w:spacing w:val="40"/>
          <w:vertAlign w:val="baseline"/>
        </w:rPr>
        <w:t> </w:t>
      </w:r>
      <w:r>
        <w:rPr>
          <w:vertAlign w:val="baseline"/>
        </w:rPr>
        <w:t>that</w:t>
      </w:r>
      <w:r>
        <w:rPr>
          <w:spacing w:val="-1"/>
          <w:vertAlign w:val="baseline"/>
        </w:rPr>
        <w:t> </w:t>
      </w:r>
      <w:r>
        <w:rPr>
          <w:vertAlign w:val="baseline"/>
        </w:rPr>
        <w:t>B</w:t>
      </w:r>
      <w:r>
        <w:rPr>
          <w:spacing w:val="-1"/>
          <w:vertAlign w:val="baseline"/>
        </w:rPr>
        <w:t> </w:t>
      </w:r>
      <w:r>
        <w:rPr>
          <w:vertAlign w:val="baseline"/>
        </w:rPr>
        <w:t>could</w:t>
      </w:r>
      <w:r>
        <w:rPr>
          <w:spacing w:val="-1"/>
          <w:vertAlign w:val="baseline"/>
        </w:rPr>
        <w:t> </w:t>
      </w:r>
      <w:r>
        <w:rPr>
          <w:vertAlign w:val="baseline"/>
        </w:rPr>
        <w:t>pay</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building</w:t>
      </w:r>
      <w:r>
        <w:rPr>
          <w:spacing w:val="-1"/>
          <w:vertAlign w:val="baseline"/>
        </w:rPr>
        <w:t> </w:t>
      </w:r>
      <w:r>
        <w:rPr>
          <w:vertAlign w:val="baseline"/>
        </w:rPr>
        <w:t>operations</w:t>
      </w:r>
      <w:r>
        <w:rPr>
          <w:spacing w:val="-1"/>
          <w:vertAlign w:val="baseline"/>
        </w:rPr>
        <w:t> </w:t>
      </w:r>
      <w:r>
        <w:rPr>
          <w:vertAlign w:val="baseline"/>
        </w:rPr>
        <w:t>on</w:t>
      </w:r>
      <w:r>
        <w:rPr>
          <w:spacing w:val="-1"/>
          <w:vertAlign w:val="baseline"/>
        </w:rPr>
        <w:t> </w:t>
      </w:r>
      <w:r>
        <w:rPr>
          <w:vertAlign w:val="baseline"/>
        </w:rPr>
        <w:t>Blackacre.</w:t>
      </w:r>
      <w:r>
        <w:rPr>
          <w:spacing w:val="-1"/>
          <w:vertAlign w:val="baseline"/>
        </w:rPr>
        <w:t> </w:t>
      </w:r>
      <w:r>
        <w:rPr>
          <w:vertAlign w:val="baseline"/>
        </w:rPr>
        <w:t>B</w:t>
      </w:r>
      <w:r>
        <w:rPr>
          <w:spacing w:val="-1"/>
          <w:vertAlign w:val="baseline"/>
        </w:rPr>
        <w:t> </w:t>
      </w:r>
      <w:r>
        <w:rPr>
          <w:vertAlign w:val="baseline"/>
        </w:rPr>
        <w:t>carried</w:t>
      </w:r>
      <w:r>
        <w:rPr>
          <w:spacing w:val="-1"/>
          <w:vertAlign w:val="baseline"/>
        </w:rPr>
        <w:t> </w:t>
      </w:r>
      <w:r>
        <w:rPr>
          <w:vertAlign w:val="baseline"/>
        </w:rPr>
        <w:t>out</w:t>
      </w:r>
      <w:r>
        <w:rPr>
          <w:spacing w:val="-1"/>
          <w:vertAlign w:val="baseline"/>
        </w:rPr>
        <w:t> </w:t>
      </w:r>
      <w:r>
        <w:rPr>
          <w:vertAlign w:val="baseline"/>
        </w:rPr>
        <w:t>the</w:t>
      </w:r>
      <w:r>
        <w:rPr>
          <w:spacing w:val="-1"/>
          <w:vertAlign w:val="baseline"/>
        </w:rPr>
        <w:t> </w:t>
      </w:r>
      <w:r>
        <w:rPr>
          <w:vertAlign w:val="baseline"/>
        </w:rPr>
        <w:t>building</w:t>
      </w:r>
      <w:r>
        <w:rPr>
          <w:spacing w:val="-1"/>
          <w:vertAlign w:val="baseline"/>
        </w:rPr>
        <w:t> </w:t>
      </w:r>
      <w:r>
        <w:rPr>
          <w:vertAlign w:val="baseline"/>
        </w:rPr>
        <w:t>work</w:t>
      </w:r>
      <w:r>
        <w:rPr>
          <w:spacing w:val="-1"/>
          <w:vertAlign w:val="baseline"/>
        </w:rPr>
        <w:t> </w:t>
      </w:r>
      <w:r>
        <w:rPr>
          <w:vertAlign w:val="baseline"/>
        </w:rPr>
        <w:t>envisaged</w:t>
      </w:r>
      <w:r>
        <w:rPr>
          <w:spacing w:val="-1"/>
          <w:vertAlign w:val="baseline"/>
        </w:rPr>
        <w:t> </w:t>
      </w:r>
      <w:r>
        <w:rPr>
          <w:vertAlign w:val="baseline"/>
        </w:rPr>
        <w:t>in the first of A’s promises and it was held that the doctrine of proprietary estoppel provided B with a remedy in respect of the second promise (which had no contractual force), even though that promise related only to B’s land. But it was recognised that the doctrine could not have applied to the second promise if it had stood alone and not formed part of a transaction also relating to A’s land. </w:t>
      </w:r>
      <w:r>
        <w:rPr>
          <w:color w:val="005DA1"/>
          <w:u w:val="single" w:color="005DA1"/>
          <w:vertAlign w:val="superscript"/>
        </w:rPr>
        <w:t>1005</w:t>
      </w:r>
      <w:r>
        <w:rPr>
          <w:color w:val="005DA1"/>
          <w:vertAlign w:val="baseline"/>
        </w:rPr>
        <w:t> </w:t>
      </w:r>
      <w:r>
        <w:rPr>
          <w:vertAlign w:val="baseline"/>
        </w:rPr>
        <w:t>It could not, for example, have applied if A had simply made a non-contractual promise to B to buy Whiteacre from B, knowing that B intended to use the proceeds of the sale to buy shares from C, and if B had then entered into a contract to that effect with C. Normally, the doctrine applies to promises to </w:t>
      </w:r>
      <w:r>
        <w:rPr>
          <w:rFonts w:ascii="Arial" w:hAnsi="Arial"/>
          <w:i/>
          <w:vertAlign w:val="baseline"/>
        </w:rPr>
        <w:t>grant </w:t>
      </w:r>
      <w:r>
        <w:rPr>
          <w:vertAlign w:val="baseline"/>
        </w:rPr>
        <w:t>rights in property </w:t>
      </w:r>
      <w:r>
        <w:rPr>
          <w:rFonts w:ascii="Arial" w:hAnsi="Arial"/>
          <w:i/>
          <w:vertAlign w:val="baseline"/>
        </w:rPr>
        <w:t>to </w:t>
      </w:r>
      <w:r>
        <w:rPr>
          <w:vertAlign w:val="baseline"/>
        </w:rPr>
        <w:t>the promisee; it only applies to promises to </w:t>
      </w:r>
      <w:r>
        <w:rPr>
          <w:rFonts w:ascii="Arial" w:hAnsi="Arial"/>
          <w:i/>
          <w:vertAlign w:val="baseline"/>
        </w:rPr>
        <w:t>acquire </w:t>
      </w:r>
      <w:r>
        <w:rPr>
          <w:vertAlign w:val="baseline"/>
        </w:rPr>
        <w:t>such rights </w:t>
      </w:r>
      <w:r>
        <w:rPr>
          <w:rFonts w:ascii="Arial" w:hAnsi="Arial"/>
          <w:i/>
          <w:vertAlign w:val="baseline"/>
        </w:rPr>
        <w:t>from </w:t>
      </w:r>
      <w:r>
        <w:rPr>
          <w:vertAlign w:val="baseline"/>
        </w:rPr>
        <w:t>him where such promises are inextricably linked with promises of the former kind. The doctrine has also been invoked to prevent the promisor from asserting rights against the promisee in land which the latter</w:t>
      </w:r>
      <w:r>
        <w:rPr>
          <w:spacing w:val="80"/>
          <w:vertAlign w:val="baseline"/>
        </w:rPr>
        <w:t> </w:t>
      </w:r>
      <w:r>
        <w:rPr>
          <w:vertAlign w:val="baseline"/>
        </w:rPr>
        <w:t>had acquired from a third party </w:t>
      </w:r>
      <w:r>
        <w:rPr>
          <w:color w:val="005DA1"/>
          <w:u w:val="single" w:color="005DA1"/>
          <w:vertAlign w:val="superscript"/>
        </w:rPr>
        <w:t>1006</w:t>
      </w:r>
      <w:r>
        <w:rPr>
          <w:vertAlign w:val="baseline"/>
        </w:rPr>
        <w:t>; and from enforcing a charge which had been created in the promisor’s favour over the promisee’s land. </w:t>
      </w:r>
      <w:r>
        <w:rPr>
          <w:color w:val="005DA1"/>
          <w:u w:val="single" w:color="005DA1"/>
          <w:vertAlign w:val="superscript"/>
        </w:rPr>
        <w:t>1007</w:t>
      </w:r>
    </w:p>
    <w:p>
      <w:pPr>
        <w:pStyle w:val="BodyText"/>
      </w:pPr>
    </w:p>
    <w:p>
      <w:pPr>
        <w:pStyle w:val="BodyText"/>
        <w:spacing w:before="30"/>
      </w:pPr>
    </w:p>
    <w:p>
      <w:pPr>
        <w:spacing w:before="1"/>
        <w:ind w:left="165" w:right="0" w:firstLine="0"/>
        <w:jc w:val="left"/>
        <w:rPr>
          <w:rFonts w:ascii="Arial" w:hAnsi="Arial"/>
          <w:b/>
          <w:sz w:val="18"/>
        </w:rPr>
      </w:pPr>
      <w:r>
        <w:rPr>
          <w:rFonts w:ascii="Arial" w:hAnsi="Arial"/>
          <w:b/>
          <w:sz w:val="18"/>
        </w:rPr>
        <w:t>Promise not to enforce easement over promisee’s </w:t>
      </w:r>
      <w:r>
        <w:rPr>
          <w:rFonts w:ascii="Arial" w:hAnsi="Arial"/>
          <w:b/>
          <w:spacing w:val="-4"/>
          <w:sz w:val="18"/>
        </w:rPr>
        <w:t>land</w:t>
      </w:r>
    </w:p>
    <w:p>
      <w:pPr>
        <w:pStyle w:val="BodyText"/>
        <w:spacing w:before="41"/>
        <w:rPr>
          <w:rFonts w:ascii="Arial"/>
          <w:b/>
          <w:sz w:val="18"/>
        </w:rPr>
      </w:pPr>
    </w:p>
    <w:p>
      <w:pPr>
        <w:pStyle w:val="Heading2"/>
      </w:pPr>
      <w:r>
        <w:rPr/>
        <w:t>4-</w:t>
      </w:r>
      <w:r>
        <w:rPr>
          <w:spacing w:val="-5"/>
        </w:rPr>
        <w:t>156</w:t>
      </w:r>
    </w:p>
    <w:p>
      <w:pPr>
        <w:pStyle w:val="BodyText"/>
        <w:spacing w:line="235" w:lineRule="auto" w:before="203"/>
        <w:ind w:left="165" w:right="167"/>
        <w:jc w:val="both"/>
      </w:pPr>
      <w:r>
        <w:rPr/>
        <w:t>Another situation in which a representation or assurance can give rise to a proprietary estoppel, although its subject-matter might at first sight seem to be the land of the promisee, is illustrated by </w:t>
      </w:r>
      <w:r>
        <w:rPr>
          <w:rFonts w:ascii="Arial" w:hAnsi="Arial"/>
          <w:i/>
        </w:rPr>
        <w:t>Lester v Woodgate</w:t>
      </w:r>
      <w:r>
        <w:rPr/>
        <w:t>, </w:t>
      </w:r>
      <w:r>
        <w:rPr>
          <w:color w:val="005DA1"/>
          <w:u w:val="single" w:color="005DA1"/>
          <w:vertAlign w:val="superscript"/>
        </w:rPr>
        <w:t>1008</w:t>
      </w:r>
      <w:r>
        <w:rPr>
          <w:color w:val="005DA1"/>
          <w:vertAlign w:val="baseline"/>
        </w:rPr>
        <w:t> </w:t>
      </w:r>
      <w:r>
        <w:rPr>
          <w:vertAlign w:val="baseline"/>
        </w:rPr>
        <w:t>where A owned a right of way over B’s land and had by words or conduct represented to B that he (A) had no objection to B’s interfering with that right by erecting a structure which had the effect of blocking the right of way. It was held that B’s reliance on A’s (implied) assurance made it unconscionable for A to assert the right of way and that proprietary estoppel operated</w:t>
      </w:r>
      <w:r>
        <w:rPr>
          <w:spacing w:val="-2"/>
          <w:vertAlign w:val="baseline"/>
        </w:rPr>
        <w:t> </w:t>
      </w:r>
      <w:r>
        <w:rPr>
          <w:vertAlign w:val="baseline"/>
        </w:rPr>
        <w:t>so</w:t>
      </w:r>
      <w:r>
        <w:rPr>
          <w:spacing w:val="-2"/>
          <w:vertAlign w:val="baseline"/>
        </w:rPr>
        <w:t> </w:t>
      </w:r>
      <w:r>
        <w:rPr>
          <w:vertAlign w:val="baseline"/>
        </w:rPr>
        <w:t>as</w:t>
      </w:r>
      <w:r>
        <w:rPr>
          <w:spacing w:val="-2"/>
          <w:vertAlign w:val="baseline"/>
        </w:rPr>
        <w:t> </w:t>
      </w:r>
      <w:r>
        <w:rPr>
          <w:vertAlign w:val="baseline"/>
        </w:rPr>
        <w:t>to</w:t>
      </w:r>
      <w:r>
        <w:rPr>
          <w:spacing w:val="-2"/>
          <w:vertAlign w:val="baseline"/>
        </w:rPr>
        <w:t> </w:t>
      </w:r>
      <w:r>
        <w:rPr>
          <w:vertAlign w:val="baseline"/>
        </w:rPr>
        <w:t>prevent</w:t>
      </w:r>
      <w:r>
        <w:rPr>
          <w:spacing w:val="-2"/>
          <w:vertAlign w:val="baseline"/>
        </w:rPr>
        <w:t> </w:t>
      </w:r>
      <w:r>
        <w:rPr>
          <w:vertAlign w:val="baseline"/>
        </w:rPr>
        <w:t>A</w:t>
      </w:r>
      <w:r>
        <w:rPr>
          <w:spacing w:val="-2"/>
          <w:vertAlign w:val="baseline"/>
        </w:rPr>
        <w:t> </w:t>
      </w:r>
      <w:r>
        <w:rPr>
          <w:vertAlign w:val="baseline"/>
        </w:rPr>
        <w:t>(or</w:t>
      </w:r>
      <w:r>
        <w:rPr>
          <w:spacing w:val="-2"/>
          <w:vertAlign w:val="baseline"/>
        </w:rPr>
        <w:t> </w:t>
      </w:r>
      <w:r>
        <w:rPr>
          <w:vertAlign w:val="baseline"/>
        </w:rPr>
        <w:t>his</w:t>
      </w:r>
      <w:r>
        <w:rPr>
          <w:spacing w:val="-2"/>
          <w:vertAlign w:val="baseline"/>
        </w:rPr>
        <w:t> </w:t>
      </w:r>
      <w:r>
        <w:rPr>
          <w:vertAlign w:val="baseline"/>
        </w:rPr>
        <w:t>successor</w:t>
      </w:r>
      <w:r>
        <w:rPr>
          <w:spacing w:val="-2"/>
          <w:vertAlign w:val="baseline"/>
        </w:rPr>
        <w:t> </w:t>
      </w:r>
      <w:r>
        <w:rPr>
          <w:vertAlign w:val="baseline"/>
        </w:rPr>
        <w:t>in</w:t>
      </w:r>
      <w:r>
        <w:rPr>
          <w:spacing w:val="-2"/>
          <w:vertAlign w:val="baseline"/>
        </w:rPr>
        <w:t> </w:t>
      </w:r>
      <w:r>
        <w:rPr>
          <w:vertAlign w:val="baseline"/>
        </w:rPr>
        <w:t>title)</w:t>
      </w:r>
      <w:r>
        <w:rPr>
          <w:spacing w:val="-2"/>
          <w:vertAlign w:val="baseline"/>
        </w:rPr>
        <w:t> </w:t>
      </w:r>
      <w:r>
        <w:rPr>
          <w:vertAlign w:val="baseline"/>
        </w:rPr>
        <w:t>from</w:t>
      </w:r>
      <w:r>
        <w:rPr>
          <w:spacing w:val="-2"/>
          <w:vertAlign w:val="baseline"/>
        </w:rPr>
        <w:t> </w:t>
      </w:r>
      <w:r>
        <w:rPr>
          <w:vertAlign w:val="baseline"/>
        </w:rPr>
        <w:t>asserting</w:t>
      </w:r>
      <w:r>
        <w:rPr>
          <w:spacing w:val="-2"/>
          <w:vertAlign w:val="baseline"/>
        </w:rPr>
        <w:t> </w:t>
      </w:r>
      <w:r>
        <w:rPr>
          <w:vertAlign w:val="baseline"/>
        </w:rPr>
        <w:t>or</w:t>
      </w:r>
      <w:r>
        <w:rPr>
          <w:spacing w:val="-2"/>
          <w:vertAlign w:val="baseline"/>
        </w:rPr>
        <w:t> </w:t>
      </w:r>
      <w:r>
        <w:rPr>
          <w:vertAlign w:val="baseline"/>
        </w:rPr>
        <w:t>reasserting</w:t>
      </w:r>
      <w:r>
        <w:rPr>
          <w:spacing w:val="-2"/>
          <w:vertAlign w:val="baseline"/>
        </w:rPr>
        <w:t> </w:t>
      </w:r>
      <w:r>
        <w:rPr>
          <w:vertAlign w:val="baseline"/>
        </w:rPr>
        <w:t>that</w:t>
      </w:r>
      <w:r>
        <w:rPr>
          <w:spacing w:val="-2"/>
          <w:vertAlign w:val="baseline"/>
        </w:rPr>
        <w:t> </w:t>
      </w:r>
      <w:r>
        <w:rPr>
          <w:vertAlign w:val="baseline"/>
        </w:rPr>
        <w:t>right.</w:t>
      </w:r>
      <w:r>
        <w:rPr>
          <w:spacing w:val="-2"/>
          <w:vertAlign w:val="baseline"/>
        </w:rPr>
        <w:t> </w:t>
      </w:r>
      <w:r>
        <w:rPr>
          <w:vertAlign w:val="baseline"/>
        </w:rPr>
        <w:t>Although A’s</w:t>
      </w:r>
      <w:r>
        <w:rPr>
          <w:spacing w:val="42"/>
          <w:vertAlign w:val="baseline"/>
        </w:rPr>
        <w:t> </w:t>
      </w:r>
      <w:r>
        <w:rPr>
          <w:vertAlign w:val="baseline"/>
        </w:rPr>
        <w:t>representation</w:t>
      </w:r>
      <w:r>
        <w:rPr>
          <w:spacing w:val="42"/>
          <w:vertAlign w:val="baseline"/>
        </w:rPr>
        <w:t> </w:t>
      </w:r>
      <w:r>
        <w:rPr>
          <w:vertAlign w:val="baseline"/>
        </w:rPr>
        <w:t>or</w:t>
      </w:r>
      <w:r>
        <w:rPr>
          <w:spacing w:val="42"/>
          <w:vertAlign w:val="baseline"/>
        </w:rPr>
        <w:t> </w:t>
      </w:r>
      <w:r>
        <w:rPr>
          <w:vertAlign w:val="baseline"/>
        </w:rPr>
        <w:t>assurance</w:t>
      </w:r>
      <w:r>
        <w:rPr>
          <w:spacing w:val="42"/>
          <w:vertAlign w:val="baseline"/>
        </w:rPr>
        <w:t> </w:t>
      </w:r>
      <w:r>
        <w:rPr>
          <w:vertAlign w:val="baseline"/>
        </w:rPr>
        <w:t>could,</w:t>
      </w:r>
      <w:r>
        <w:rPr>
          <w:spacing w:val="42"/>
          <w:vertAlign w:val="baseline"/>
        </w:rPr>
        <w:t> </w:t>
      </w:r>
      <w:r>
        <w:rPr>
          <w:vertAlign w:val="baseline"/>
        </w:rPr>
        <w:t>in</w:t>
      </w:r>
      <w:r>
        <w:rPr>
          <w:spacing w:val="42"/>
          <w:vertAlign w:val="baseline"/>
        </w:rPr>
        <w:t> </w:t>
      </w:r>
      <w:r>
        <w:rPr>
          <w:vertAlign w:val="baseline"/>
        </w:rPr>
        <w:t>one</w:t>
      </w:r>
      <w:r>
        <w:rPr>
          <w:spacing w:val="42"/>
          <w:vertAlign w:val="baseline"/>
        </w:rPr>
        <w:t> </w:t>
      </w:r>
      <w:r>
        <w:rPr>
          <w:vertAlign w:val="baseline"/>
        </w:rPr>
        <w:t>sense,</w:t>
      </w:r>
      <w:r>
        <w:rPr>
          <w:spacing w:val="42"/>
          <w:vertAlign w:val="baseline"/>
        </w:rPr>
        <w:t> </w:t>
      </w:r>
      <w:r>
        <w:rPr>
          <w:vertAlign w:val="baseline"/>
        </w:rPr>
        <w:t>be</w:t>
      </w:r>
      <w:r>
        <w:rPr>
          <w:spacing w:val="42"/>
          <w:vertAlign w:val="baseline"/>
        </w:rPr>
        <w:t> </w:t>
      </w:r>
      <w:r>
        <w:rPr>
          <w:vertAlign w:val="baseline"/>
        </w:rPr>
        <w:t>said</w:t>
      </w:r>
      <w:r>
        <w:rPr>
          <w:spacing w:val="42"/>
          <w:vertAlign w:val="baseline"/>
        </w:rPr>
        <w:t> </w:t>
      </w:r>
      <w:r>
        <w:rPr>
          <w:vertAlign w:val="baseline"/>
        </w:rPr>
        <w:t>to</w:t>
      </w:r>
      <w:r>
        <w:rPr>
          <w:spacing w:val="42"/>
          <w:vertAlign w:val="baseline"/>
        </w:rPr>
        <w:t> </w:t>
      </w:r>
      <w:r>
        <w:rPr>
          <w:vertAlign w:val="baseline"/>
        </w:rPr>
        <w:t>have</w:t>
      </w:r>
      <w:r>
        <w:rPr>
          <w:spacing w:val="42"/>
          <w:vertAlign w:val="baseline"/>
        </w:rPr>
        <w:t> </w:t>
      </w:r>
      <w:r>
        <w:rPr>
          <w:vertAlign w:val="baseline"/>
        </w:rPr>
        <w:t>related</w:t>
      </w:r>
      <w:r>
        <w:rPr>
          <w:spacing w:val="42"/>
          <w:vertAlign w:val="baseline"/>
        </w:rPr>
        <w:t> </w:t>
      </w:r>
      <w:r>
        <w:rPr>
          <w:vertAlign w:val="baseline"/>
        </w:rPr>
        <w:t>to</w:t>
      </w:r>
      <w:r>
        <w:rPr>
          <w:spacing w:val="42"/>
          <w:vertAlign w:val="baseline"/>
        </w:rPr>
        <w:t> </w:t>
      </w:r>
      <w:r>
        <w:rPr>
          <w:vertAlign w:val="baseline"/>
        </w:rPr>
        <w:t>the</w:t>
      </w:r>
      <w:r>
        <w:rPr>
          <w:spacing w:val="42"/>
          <w:vertAlign w:val="baseline"/>
        </w:rPr>
        <w:t> </w:t>
      </w:r>
      <w:r>
        <w:rPr>
          <w:vertAlign w:val="baseline"/>
        </w:rPr>
        <w:t>land</w:t>
      </w:r>
      <w:r>
        <w:rPr>
          <w:spacing w:val="42"/>
          <w:vertAlign w:val="baseline"/>
        </w:rPr>
        <w:t> </w:t>
      </w:r>
      <w:r>
        <w:rPr>
          <w:vertAlign w:val="baseline"/>
        </w:rPr>
        <w:t>of</w:t>
      </w:r>
      <w:r>
        <w:rPr>
          <w:spacing w:val="42"/>
          <w:vertAlign w:val="baseline"/>
        </w:rPr>
        <w:t> </w:t>
      </w:r>
      <w:r>
        <w:rPr>
          <w:spacing w:val="-5"/>
          <w:vertAlign w:val="baseline"/>
        </w:rPr>
        <w:t>the</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promisee (B), it was equally plausible to regard it as affecting A’s own proprietary interest as owner </w:t>
      </w:r>
      <w:r>
        <w:rPr/>
        <w:t>of an easement in or over that land. As Patten L.J. said in that case: “Although proprietary estoppel … is largely concerned with cases in which the defendant acquires some right over the claimant’s property as</w:t>
      </w:r>
      <w:r>
        <w:rPr>
          <w:spacing w:val="-1"/>
        </w:rPr>
        <w:t> </w:t>
      </w:r>
      <w:r>
        <w:rPr/>
        <w:t>a</w:t>
      </w:r>
      <w:r>
        <w:rPr>
          <w:spacing w:val="-1"/>
        </w:rPr>
        <w:t> </w:t>
      </w:r>
      <w:r>
        <w:rPr/>
        <w:t>result</w:t>
      </w:r>
      <w:r>
        <w:rPr>
          <w:spacing w:val="-1"/>
        </w:rPr>
        <w:t> </w:t>
      </w:r>
      <w:r>
        <w:rPr/>
        <w:t>of</w:t>
      </w:r>
      <w:r>
        <w:rPr>
          <w:spacing w:val="-1"/>
        </w:rPr>
        <w:t> </w:t>
      </w:r>
      <w:r>
        <w:rPr/>
        <w:t>the</w:t>
      </w:r>
      <w:r>
        <w:rPr>
          <w:spacing w:val="-1"/>
        </w:rPr>
        <w:t> </w:t>
      </w:r>
      <w:r>
        <w:rPr/>
        <w:t>latter’s</w:t>
      </w:r>
      <w:r>
        <w:rPr>
          <w:spacing w:val="-1"/>
        </w:rPr>
        <w:t> </w:t>
      </w:r>
      <w:r>
        <w:rPr/>
        <w:t>conduct</w:t>
      </w:r>
      <w:r>
        <w:rPr>
          <w:spacing w:val="-1"/>
        </w:rPr>
        <w:t> </w:t>
      </w:r>
      <w:r>
        <w:rPr/>
        <w:t>towards</w:t>
      </w:r>
      <w:r>
        <w:rPr>
          <w:spacing w:val="-1"/>
        </w:rPr>
        <w:t> </w:t>
      </w:r>
      <w:r>
        <w:rPr/>
        <w:t>him,</w:t>
      </w:r>
      <w:r>
        <w:rPr>
          <w:spacing w:val="-1"/>
        </w:rPr>
        <w:t> </w:t>
      </w:r>
      <w:r>
        <w:rPr/>
        <w:t>I</w:t>
      </w:r>
      <w:r>
        <w:rPr>
          <w:spacing w:val="-1"/>
        </w:rPr>
        <w:t> </w:t>
      </w:r>
      <w:r>
        <w:rPr/>
        <w:t>can</w:t>
      </w:r>
      <w:r>
        <w:rPr>
          <w:spacing w:val="-1"/>
        </w:rPr>
        <w:t> </w:t>
      </w:r>
      <w:r>
        <w:rPr/>
        <w:t>see</w:t>
      </w:r>
      <w:r>
        <w:rPr>
          <w:spacing w:val="-1"/>
        </w:rPr>
        <w:t> </w:t>
      </w:r>
      <w:r>
        <w:rPr/>
        <w:t>no</w:t>
      </w:r>
      <w:r>
        <w:rPr>
          <w:spacing w:val="-1"/>
        </w:rPr>
        <w:t> </w:t>
      </w:r>
      <w:r>
        <w:rPr/>
        <w:t>reason</w:t>
      </w:r>
      <w:r>
        <w:rPr>
          <w:spacing w:val="-1"/>
        </w:rPr>
        <w:t> </w:t>
      </w:r>
      <w:r>
        <w:rPr/>
        <w:t>why</w:t>
      </w:r>
      <w:r>
        <w:rPr>
          <w:spacing w:val="-1"/>
        </w:rPr>
        <w:t> </w:t>
      </w:r>
      <w:r>
        <w:rPr/>
        <w:t>the</w:t>
      </w:r>
      <w:r>
        <w:rPr>
          <w:spacing w:val="-1"/>
        </w:rPr>
        <w:t> </w:t>
      </w:r>
      <w:r>
        <w:rPr/>
        <w:t>principles</w:t>
      </w:r>
      <w:r>
        <w:rPr>
          <w:spacing w:val="-1"/>
        </w:rPr>
        <w:t> </w:t>
      </w:r>
      <w:r>
        <w:rPr/>
        <w:t>involved</w:t>
      </w:r>
      <w:r>
        <w:rPr>
          <w:spacing w:val="-1"/>
        </w:rPr>
        <w:t> </w:t>
      </w:r>
      <w:r>
        <w:rPr/>
        <w:t>are</w:t>
      </w:r>
      <w:r>
        <w:rPr>
          <w:spacing w:val="-1"/>
        </w:rPr>
        <w:t> </w:t>
      </w:r>
      <w:r>
        <w:rPr/>
        <w:t>not of equal application to cases in which the defendant is alleged to have committed an act of nuisance by interfering with an easement over his own land. In both cases, the claimant’s conduct</w:t>
      </w:r>
      <w:r>
        <w:rPr>
          <w:spacing w:val="-1"/>
        </w:rPr>
        <w:t> </w:t>
      </w:r>
      <w:r>
        <w:rPr>
          <w:rFonts w:ascii="Arial" w:hAnsi="Arial"/>
          <w:i/>
        </w:rPr>
        <w:t>relates to his property rights </w:t>
      </w:r>
      <w:r>
        <w:rPr/>
        <w:t>and the estoppel bars the enforcement of the claimant’s legal rights.” </w:t>
      </w:r>
      <w:r>
        <w:rPr>
          <w:color w:val="005DA1"/>
          <w:u w:val="single" w:color="005DA1"/>
          <w:vertAlign w:val="superscript"/>
        </w:rPr>
        <w:t>1009</w:t>
      </w:r>
      <w:r>
        <w:rPr>
          <w:color w:val="005DA1"/>
          <w:vertAlign w:val="baseline"/>
        </w:rPr>
        <w:t> </w:t>
      </w:r>
      <w:r>
        <w:rPr>
          <w:vertAlign w:val="baseline"/>
        </w:rPr>
        <w:t>Although usually the doctrine may have the effect of creating a new right in B’s favour, in or over A’s land, it may thus equally extinguish a right which had previously (i.e. before the occurrence of the circumstances giving rise to the estoppel) been vested in A and have fettered B’s unrestricted ownership of the land.</w:t>
      </w:r>
    </w:p>
    <w:p>
      <w:pPr>
        <w:pStyle w:val="BodyText"/>
      </w:pPr>
    </w:p>
    <w:p>
      <w:pPr>
        <w:pStyle w:val="BodyText"/>
        <w:spacing w:before="34"/>
      </w:pPr>
    </w:p>
    <w:p>
      <w:pPr>
        <w:spacing w:before="0"/>
        <w:ind w:left="165" w:right="0" w:firstLine="0"/>
        <w:jc w:val="left"/>
        <w:rPr>
          <w:rFonts w:ascii="Arial"/>
          <w:b/>
          <w:sz w:val="18"/>
        </w:rPr>
      </w:pPr>
      <w:r>
        <w:rPr>
          <w:rFonts w:ascii="Arial"/>
          <w:b/>
          <w:sz w:val="18"/>
        </w:rPr>
        <w:t>Subject-matter of the </w:t>
      </w:r>
      <w:r>
        <w:rPr>
          <w:rFonts w:ascii="Arial"/>
          <w:b/>
          <w:spacing w:val="-2"/>
          <w:sz w:val="18"/>
        </w:rPr>
        <w:t>promise</w:t>
      </w:r>
    </w:p>
    <w:p>
      <w:pPr>
        <w:pStyle w:val="BodyText"/>
        <w:spacing w:before="41"/>
        <w:rPr>
          <w:rFonts w:ascii="Arial"/>
          <w:b/>
          <w:sz w:val="18"/>
        </w:rPr>
      </w:pPr>
    </w:p>
    <w:p>
      <w:pPr>
        <w:pStyle w:val="Heading2"/>
        <w:spacing w:before="1"/>
      </w:pPr>
      <w:r>
        <w:rPr/>
        <w:t>4-</w:t>
      </w:r>
      <w:r>
        <w:rPr>
          <w:spacing w:val="-5"/>
        </w:rPr>
        <w:t>157</w:t>
      </w:r>
    </w:p>
    <w:p>
      <w:pPr>
        <w:pStyle w:val="BodyText"/>
        <w:spacing w:line="235" w:lineRule="auto" w:before="202"/>
        <w:ind w:left="164" w:right="167"/>
        <w:jc w:val="both"/>
      </w:pPr>
      <w:r>
        <w:rPr/>
        <w:t>In the cases to which the doctrine has so far been applied, the subject-matter of the promise has almost always been </w:t>
      </w:r>
      <w:r>
        <w:rPr>
          <w:color w:val="005DA1"/>
          <w:u w:val="single" w:color="005DA1"/>
          <w:vertAlign w:val="superscript"/>
        </w:rPr>
        <w:t>1010</w:t>
      </w:r>
      <w:r>
        <w:rPr>
          <w:color w:val="005DA1"/>
          <w:vertAlign w:val="baseline"/>
        </w:rPr>
        <w:t> </w:t>
      </w:r>
      <w:r>
        <w:rPr>
          <w:vertAlign w:val="baseline"/>
        </w:rPr>
        <w:t>(or at least included </w:t>
      </w:r>
      <w:r>
        <w:rPr>
          <w:color w:val="005DA1"/>
          <w:u w:val="single" w:color="005DA1"/>
          <w:vertAlign w:val="superscript"/>
        </w:rPr>
        <w:t>1011</w:t>
      </w:r>
      <w:r>
        <w:rPr>
          <w:vertAlign w:val="baseline"/>
        </w:rPr>
        <w:t>) land, but the prevailing view is that the doctrine can also</w:t>
      </w:r>
      <w:r>
        <w:rPr>
          <w:spacing w:val="-2"/>
          <w:vertAlign w:val="baseline"/>
        </w:rPr>
        <w:t> </w:t>
      </w:r>
      <w:r>
        <w:rPr>
          <w:vertAlign w:val="baseline"/>
        </w:rPr>
        <w:t>apply</w:t>
      </w:r>
      <w:r>
        <w:rPr>
          <w:spacing w:val="-2"/>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subject-matter</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promise</w:t>
      </w:r>
      <w:r>
        <w:rPr>
          <w:spacing w:val="-2"/>
          <w:vertAlign w:val="baseline"/>
        </w:rPr>
        <w:t> </w:t>
      </w:r>
      <w:r>
        <w:rPr>
          <w:vertAlign w:val="baseline"/>
        </w:rPr>
        <w:t>is</w:t>
      </w:r>
      <w:r>
        <w:rPr>
          <w:spacing w:val="-2"/>
          <w:vertAlign w:val="baseline"/>
        </w:rPr>
        <w:t> </w:t>
      </w:r>
      <w:r>
        <w:rPr>
          <w:vertAlign w:val="baseline"/>
        </w:rPr>
        <w:t>property</w:t>
      </w:r>
      <w:r>
        <w:rPr>
          <w:spacing w:val="-2"/>
          <w:vertAlign w:val="baseline"/>
        </w:rPr>
        <w:t> </w:t>
      </w:r>
      <w:r>
        <w:rPr>
          <w:vertAlign w:val="baseline"/>
        </w:rPr>
        <w:t>of</w:t>
      </w:r>
      <w:r>
        <w:rPr>
          <w:spacing w:val="-2"/>
          <w:vertAlign w:val="baseline"/>
        </w:rPr>
        <w:t> </w:t>
      </w:r>
      <w:r>
        <w:rPr>
          <w:vertAlign w:val="baseline"/>
        </w:rPr>
        <w:t>some</w:t>
      </w:r>
      <w:r>
        <w:rPr>
          <w:spacing w:val="-2"/>
          <w:vertAlign w:val="baseline"/>
        </w:rPr>
        <w:t> </w:t>
      </w:r>
      <w:r>
        <w:rPr>
          <w:vertAlign w:val="baseline"/>
        </w:rPr>
        <w:t>other</w:t>
      </w:r>
      <w:r>
        <w:rPr>
          <w:spacing w:val="-2"/>
          <w:vertAlign w:val="baseline"/>
        </w:rPr>
        <w:t> </w:t>
      </w:r>
      <w:r>
        <w:rPr>
          <w:vertAlign w:val="baseline"/>
        </w:rPr>
        <w:t>kind,</w:t>
      </w:r>
      <w:r>
        <w:rPr>
          <w:spacing w:val="-2"/>
          <w:vertAlign w:val="baseline"/>
        </w:rPr>
        <w:t> </w:t>
      </w:r>
      <w:r>
        <w:rPr>
          <w:color w:val="005DA1"/>
          <w:u w:val="single" w:color="005DA1"/>
          <w:vertAlign w:val="superscript"/>
        </w:rPr>
        <w:t>1012</w:t>
      </w:r>
      <w:r>
        <w:rPr>
          <w:color w:val="005DA1"/>
          <w:spacing w:val="-2"/>
          <w:vertAlign w:val="baseline"/>
        </w:rPr>
        <w:t> </w:t>
      </w:r>
      <w:r>
        <w:rPr>
          <w:vertAlign w:val="baseline"/>
        </w:rPr>
        <w:t>e.g.,</w:t>
      </w:r>
      <w:r>
        <w:rPr>
          <w:spacing w:val="-2"/>
          <w:vertAlign w:val="baseline"/>
        </w:rPr>
        <w:t> </w:t>
      </w:r>
      <w:r>
        <w:rPr>
          <w:vertAlign w:val="baseline"/>
        </w:rPr>
        <w:t>“in</w:t>
      </w:r>
      <w:r>
        <w:rPr>
          <w:spacing w:val="-2"/>
          <w:vertAlign w:val="baseline"/>
        </w:rPr>
        <w:t> </w:t>
      </w:r>
      <w:r>
        <w:rPr>
          <w:vertAlign w:val="baseline"/>
        </w:rPr>
        <w:t>relation to chattels or choses in action” </w:t>
      </w:r>
      <w:r>
        <w:rPr>
          <w:color w:val="005DA1"/>
          <w:u w:val="single" w:color="005DA1"/>
          <w:vertAlign w:val="superscript"/>
        </w:rPr>
        <w:t>1013</w:t>
      </w:r>
      <w:r>
        <w:rPr>
          <w:color w:val="005DA1"/>
          <w:vertAlign w:val="baseline"/>
        </w:rPr>
        <w:t> </w:t>
      </w:r>
      <w:r>
        <w:rPr>
          <w:vertAlign w:val="baseline"/>
        </w:rPr>
        <w:t>or to intellectual property: it has, for example, been held to be capable of applying to a promise relating to a licence to publish a magazine in a </w:t>
      </w:r>
      <w:r>
        <w:rPr>
          <w:vertAlign w:val="baseline"/>
        </w:rPr>
        <w:t>specified geographical region. </w:t>
      </w:r>
      <w:r>
        <w:rPr>
          <w:color w:val="005DA1"/>
          <w:u w:val="single" w:color="005DA1"/>
          <w:vertAlign w:val="superscript"/>
        </w:rPr>
        <w:t>1014</w:t>
      </w:r>
      <w:r>
        <w:rPr>
          <w:color w:val="005DA1"/>
          <w:vertAlign w:val="baseline"/>
        </w:rPr>
        <w:t> </w:t>
      </w:r>
      <w:r>
        <w:rPr>
          <w:vertAlign w:val="baseline"/>
        </w:rPr>
        <w:t>But, even where the doctrine applies to promises relating to such kinds of property, it will in one respect remain narrower than that of so-called promissory estoppel </w:t>
      </w:r>
      <w:r>
        <w:rPr>
          <w:color w:val="005DA1"/>
          <w:u w:val="single" w:color="005DA1"/>
          <w:vertAlign w:val="superscript"/>
        </w:rPr>
        <w:t>1015</w:t>
      </w:r>
      <w:r>
        <w:rPr>
          <w:vertAlign w:val="baseline"/>
        </w:rPr>
        <w:t>: the promise must relate to the acquisition of an interest in the property that is the subject-matter of the promise. It is not enough that the promise should merely (in some other way) relate to property: for example, the doctrine of proprietary estoppel would not apply on the facts of </w:t>
      </w:r>
      <w:r>
        <w:rPr>
          <w:rFonts w:ascii="Arial" w:hAnsi="Arial"/>
          <w:i/>
          <w:vertAlign w:val="baseline"/>
        </w:rPr>
        <w:t>Central London Property Trust Ltd v High Trees House Ltd</w:t>
      </w:r>
      <w:r>
        <w:rPr>
          <w:vertAlign w:val="baseline"/>
        </w:rPr>
        <w:t>. </w:t>
      </w:r>
      <w:r>
        <w:rPr>
          <w:color w:val="005DA1"/>
          <w:u w:val="single" w:color="005DA1"/>
          <w:vertAlign w:val="superscript"/>
        </w:rPr>
        <w:t>1016</w:t>
      </w:r>
    </w:p>
    <w:p>
      <w:pPr>
        <w:pStyle w:val="BodyText"/>
      </w:pPr>
    </w:p>
    <w:p>
      <w:pPr>
        <w:pStyle w:val="BodyText"/>
        <w:spacing w:before="34"/>
      </w:pPr>
    </w:p>
    <w:p>
      <w:pPr>
        <w:spacing w:before="1"/>
        <w:ind w:left="165" w:right="0" w:firstLine="0"/>
        <w:jc w:val="left"/>
        <w:rPr>
          <w:rFonts w:ascii="Arial"/>
          <w:b/>
          <w:sz w:val="18"/>
        </w:rPr>
      </w:pPr>
      <w:r>
        <w:rPr>
          <w:rFonts w:ascii="Arial"/>
          <w:b/>
          <w:sz w:val="18"/>
        </w:rPr>
        <w:t>Detrimental reliance by </w:t>
      </w:r>
      <w:r>
        <w:rPr>
          <w:rFonts w:ascii="Arial"/>
          <w:b/>
          <w:spacing w:val="-2"/>
          <w:sz w:val="18"/>
        </w:rPr>
        <w:t>promise</w:t>
      </w:r>
    </w:p>
    <w:p>
      <w:pPr>
        <w:pStyle w:val="BodyText"/>
        <w:spacing w:before="41"/>
        <w:rPr>
          <w:rFonts w:ascii="Arial"/>
          <w:b/>
          <w:sz w:val="18"/>
        </w:rPr>
      </w:pPr>
    </w:p>
    <w:p>
      <w:pPr>
        <w:pStyle w:val="Heading2"/>
      </w:pPr>
      <w:r>
        <w:rPr/>
        <w:t>4-</w:t>
      </w:r>
      <w:r>
        <w:rPr>
          <w:spacing w:val="-5"/>
        </w:rPr>
        <w:t>158</w:t>
      </w:r>
    </w:p>
    <w:p>
      <w:pPr>
        <w:pStyle w:val="BodyText"/>
        <w:spacing w:line="235" w:lineRule="auto" w:before="203"/>
        <w:ind w:left="165" w:right="167"/>
        <w:jc w:val="both"/>
      </w:pPr>
      <w:r>
        <w:rPr/>
        <w:t>The promisee must have relied on the promise or representation to his detriment. </w:t>
      </w:r>
      <w:r>
        <w:rPr>
          <w:color w:val="005DA1"/>
          <w:u w:val="single" w:color="005DA1"/>
          <w:vertAlign w:val="superscript"/>
        </w:rPr>
        <w:t>1017</w:t>
      </w:r>
      <w:r>
        <w:rPr>
          <w:color w:val="005DA1"/>
          <w:vertAlign w:val="baseline"/>
        </w:rPr>
        <w:t> </w:t>
      </w:r>
      <w:r>
        <w:rPr>
          <w:vertAlign w:val="baseline"/>
        </w:rPr>
        <w:t>Although “reliance and detriment may in the abstract be regarded as different concepts, in applying the principles of proprietary estoppel, they are often intertwined”, </w:t>
      </w:r>
      <w:r>
        <w:rPr>
          <w:color w:val="005DA1"/>
          <w:u w:val="single" w:color="005DA1"/>
          <w:vertAlign w:val="superscript"/>
        </w:rPr>
        <w:t>1018</w:t>
      </w:r>
      <w:r>
        <w:rPr>
          <w:color w:val="005DA1"/>
          <w:vertAlign w:val="baseline"/>
        </w:rPr>
        <w:t> </w:t>
      </w:r>
      <w:r>
        <w:rPr>
          <w:vertAlign w:val="baseline"/>
        </w:rPr>
        <w:t>so much so that they will here </w:t>
      </w:r>
      <w:r>
        <w:rPr>
          <w:vertAlign w:val="baseline"/>
        </w:rPr>
        <w:t>be treated as a single requirement. This requirement has been doubted </w:t>
      </w:r>
      <w:r>
        <w:rPr>
          <w:color w:val="005DA1"/>
          <w:u w:val="single" w:color="005DA1"/>
          <w:vertAlign w:val="superscript"/>
        </w:rPr>
        <w:t>1019</w:t>
      </w:r>
      <w:r>
        <w:rPr>
          <w:vertAlign w:val="baseline"/>
        </w:rPr>
        <w:t>; but in the absence of any such reliance it is hard to see why failure to perform a merely gratuitous promise should be regarded as giving rise to any legal liability. The element of detrimental reliance is necessary to satisfy “the essential test of unconscionability” </w:t>
      </w:r>
      <w:r>
        <w:rPr>
          <w:color w:val="005DA1"/>
          <w:u w:val="single" w:color="005DA1"/>
          <w:vertAlign w:val="superscript"/>
        </w:rPr>
        <w:t>1020</w:t>
      </w:r>
      <w:r>
        <w:rPr>
          <w:color w:val="005DA1"/>
          <w:vertAlign w:val="baseline"/>
        </w:rPr>
        <w:t> </w:t>
      </w:r>
      <w:r>
        <w:rPr>
          <w:vertAlign w:val="baseline"/>
        </w:rPr>
        <w:t>which is a necessary condition for the operation of proprietary estoppel; and the existence of the requirement is further supported by the rules (to be discussed in para.4-168 below) as to the revocability of the promise. The detriment must be “substantial,” i.e. such as to make it “unjust or inequitable to allow the assurance to be disregarded” </w:t>
      </w:r>
      <w:r>
        <w:rPr>
          <w:color w:val="005DA1"/>
          <w:u w:val="single" w:color="005DA1"/>
          <w:vertAlign w:val="superscript"/>
        </w:rPr>
        <w:t>1021</w:t>
      </w:r>
      <w:r>
        <w:rPr>
          <w:vertAlign w:val="baseline"/>
        </w:rPr>
        <w:t>; and the question whether it has this character is to be judged “as at the moment when the person who has given the assurance seeks to go back on it.” </w:t>
      </w:r>
      <w:r>
        <w:rPr>
          <w:color w:val="005DA1"/>
          <w:u w:val="single" w:color="005DA1"/>
          <w:vertAlign w:val="superscript"/>
        </w:rPr>
        <w:t>1022</w:t>
      </w:r>
      <w:r>
        <w:rPr>
          <w:color w:val="005DA1"/>
          <w:vertAlign w:val="baseline"/>
        </w:rPr>
        <w:t> </w:t>
      </w:r>
      <w:r>
        <w:rPr>
          <w:vertAlign w:val="baseline"/>
        </w:rPr>
        <w:t>Where a promise has been made which is capable of inducing detrimental reliance, and which is in fact followed by such reliance, the question may arise whether the reliance was actually induced by the promise. The burden on this issue is on the promisor: that is, it is up to the promisor, in order to escape liability, to show that the promisee would have done the acts in question anyway (even if the promise had not been made). </w:t>
      </w:r>
      <w:r>
        <w:rPr>
          <w:color w:val="005DA1"/>
          <w:u w:val="single" w:color="005DA1"/>
          <w:vertAlign w:val="superscript"/>
        </w:rPr>
        <w:t>1023</w:t>
      </w:r>
      <w:r>
        <w:rPr>
          <w:color w:val="005DA1"/>
          <w:vertAlign w:val="baseline"/>
        </w:rPr>
        <w:t> </w:t>
      </w:r>
      <w:r>
        <w:rPr>
          <w:vertAlign w:val="baseline"/>
        </w:rPr>
        <w:t>The position appears to be different where a proprietary estoppel arises because both parties have acted under a mistake as to their rights in the land. </w:t>
      </w:r>
      <w:r>
        <w:rPr>
          <w:color w:val="005DA1"/>
          <w:u w:val="single" w:color="005DA1"/>
          <w:vertAlign w:val="superscript"/>
        </w:rPr>
        <w:t>1024</w:t>
      </w:r>
      <w:r>
        <w:rPr>
          <w:color w:val="005DA1"/>
          <w:vertAlign w:val="baseline"/>
        </w:rPr>
        <w:t> </w:t>
      </w:r>
      <w:r>
        <w:rPr>
          <w:vertAlign w:val="baseline"/>
        </w:rPr>
        <w:t>Here it seems to be up to the party relying on the proprietary estoppel to show that his conduct in relation to the property was in fact induced by his belief that he had an interest in it. </w:t>
      </w:r>
      <w:r>
        <w:rPr>
          <w:color w:val="005DA1"/>
          <w:u w:val="single" w:color="005DA1"/>
          <w:vertAlign w:val="superscript"/>
        </w:rPr>
        <w:t>1025</w:t>
      </w:r>
    </w:p>
    <w:p>
      <w:pPr>
        <w:pStyle w:val="BodyText"/>
      </w:pPr>
    </w:p>
    <w:p>
      <w:pPr>
        <w:pStyle w:val="BodyText"/>
        <w:spacing w:before="30"/>
      </w:pPr>
    </w:p>
    <w:p>
      <w:pPr>
        <w:spacing w:before="1"/>
        <w:ind w:left="165" w:right="0" w:firstLine="0"/>
        <w:jc w:val="left"/>
        <w:rPr>
          <w:rFonts w:ascii="Arial"/>
          <w:b/>
          <w:sz w:val="18"/>
        </w:rPr>
      </w:pPr>
      <w:r>
        <w:rPr>
          <w:rFonts w:ascii="Arial"/>
          <w:b/>
          <w:sz w:val="18"/>
        </w:rPr>
        <w:t>Balance of detriment and </w:t>
      </w:r>
      <w:r>
        <w:rPr>
          <w:rFonts w:ascii="Arial"/>
          <w:b/>
          <w:spacing w:val="-2"/>
          <w:sz w:val="18"/>
        </w:rPr>
        <w:t>benefit</w:t>
      </w:r>
    </w:p>
    <w:p>
      <w:pPr>
        <w:pStyle w:val="BodyText"/>
        <w:spacing w:before="41"/>
        <w:rPr>
          <w:rFonts w:ascii="Arial"/>
          <w:b/>
          <w:sz w:val="18"/>
        </w:rPr>
      </w:pPr>
    </w:p>
    <w:p>
      <w:pPr>
        <w:pStyle w:val="Heading2"/>
      </w:pPr>
      <w:r>
        <w:rPr/>
        <w:t>4-</w:t>
      </w:r>
      <w:r>
        <w:rPr>
          <w:spacing w:val="-5"/>
        </w:rPr>
        <w:t>159</w:t>
      </w:r>
    </w:p>
    <w:p>
      <w:pPr>
        <w:pStyle w:val="Heading2"/>
        <w:spacing w:after="0"/>
        <w:sectPr>
          <w:pgSz w:w="11900" w:h="16840"/>
          <w:pgMar w:header="971" w:footer="0" w:top="1160" w:bottom="280" w:left="1275" w:right="1275"/>
        </w:sectPr>
      </w:pPr>
    </w:p>
    <w:p>
      <w:pPr>
        <w:pStyle w:val="BodyText"/>
        <w:spacing w:before="124"/>
        <w:rPr>
          <w:rFonts w:ascii="Arial"/>
          <w:b/>
        </w:rPr>
      </w:pPr>
    </w:p>
    <w:p>
      <w:pPr>
        <w:pStyle w:val="BodyText"/>
        <w:spacing w:line="235" w:lineRule="auto" w:before="1"/>
        <w:ind w:left="164" w:right="167"/>
        <w:jc w:val="both"/>
      </w:pPr>
      <w:r>
        <w:rPr/>
        <w:t>The promisee’s conduct in reliance on the promise may result in his both suffering a detriment and gaining a benefit. This was the position in </w:t>
      </w:r>
      <w:r>
        <w:rPr>
          <w:rFonts w:ascii="Arial" w:hAnsi="Arial"/>
          <w:i/>
        </w:rPr>
        <w:t>Henry v Henry</w:t>
      </w:r>
      <w:r>
        <w:rPr/>
        <w:t>, </w:t>
      </w:r>
      <w:r>
        <w:rPr>
          <w:color w:val="005DA1"/>
          <w:u w:val="single" w:color="005DA1"/>
          <w:vertAlign w:val="superscript"/>
        </w:rPr>
        <w:t>1026</w:t>
      </w:r>
      <w:r>
        <w:rPr>
          <w:color w:val="005DA1"/>
          <w:vertAlign w:val="baseline"/>
        </w:rPr>
        <w:t> </w:t>
      </w:r>
      <w:r>
        <w:rPr>
          <w:vertAlign w:val="baseline"/>
        </w:rPr>
        <w:t>where the owner of a share in </w:t>
      </w:r>
      <w:r>
        <w:rPr>
          <w:vertAlign w:val="baseline"/>
        </w:rPr>
        <w:t>the relevant land promised one of her younger relations that the share would be his if he cultivated the land and cared for her (the promisor) until her death. The promisee had complied with these requirements; and by doing so he had not only suffered a detriment in that he “deprived himself of the opportunity of a better life elsewhere”</w:t>
      </w:r>
      <w:r>
        <w:rPr>
          <w:spacing w:val="-1"/>
          <w:vertAlign w:val="baseline"/>
        </w:rPr>
        <w:t> </w:t>
      </w:r>
      <w:r>
        <w:rPr>
          <w:color w:val="005DA1"/>
          <w:u w:val="single" w:color="005DA1"/>
          <w:vertAlign w:val="superscript"/>
        </w:rPr>
        <w:t>1027</w:t>
      </w:r>
      <w:r>
        <w:rPr>
          <w:color w:val="005DA1"/>
          <w:vertAlign w:val="baseline"/>
        </w:rPr>
        <w:t> </w:t>
      </w:r>
      <w:r>
        <w:rPr>
          <w:vertAlign w:val="baseline"/>
        </w:rPr>
        <w:t>but also gained the benefit of living rent free on the land “for decades” </w:t>
      </w:r>
      <w:r>
        <w:rPr>
          <w:color w:val="005DA1"/>
          <w:u w:val="single" w:color="005DA1"/>
          <w:vertAlign w:val="superscript"/>
        </w:rPr>
        <w:t>1028</w:t>
      </w:r>
      <w:r>
        <w:rPr>
          <w:color w:val="005DA1"/>
          <w:vertAlign w:val="baseline"/>
        </w:rPr>
        <w:t> </w:t>
      </w:r>
      <w:r>
        <w:rPr>
          <w:vertAlign w:val="baseline"/>
        </w:rPr>
        <w:t>and taking part of the produce for his own benefit. The Privy Council held that the detriment</w:t>
      </w:r>
      <w:r>
        <w:rPr>
          <w:spacing w:val="-1"/>
          <w:vertAlign w:val="baseline"/>
        </w:rPr>
        <w:t> </w:t>
      </w:r>
      <w:r>
        <w:rPr>
          <w:vertAlign w:val="baseline"/>
        </w:rPr>
        <w:t>suffered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promisee</w:t>
      </w:r>
      <w:r>
        <w:rPr>
          <w:spacing w:val="-1"/>
          <w:vertAlign w:val="baseline"/>
        </w:rPr>
        <w:t> </w:t>
      </w:r>
      <w:r>
        <w:rPr>
          <w:vertAlign w:val="baseline"/>
        </w:rPr>
        <w:t>must</w:t>
      </w:r>
      <w:r>
        <w:rPr>
          <w:spacing w:val="-1"/>
          <w:vertAlign w:val="baseline"/>
        </w:rPr>
        <w:t> </w:t>
      </w:r>
      <w:r>
        <w:rPr>
          <w:vertAlign w:val="baseline"/>
        </w:rPr>
        <w:t>be</w:t>
      </w:r>
      <w:r>
        <w:rPr>
          <w:spacing w:val="-1"/>
          <w:vertAlign w:val="baseline"/>
        </w:rPr>
        <w:t> </w:t>
      </w:r>
      <w:r>
        <w:rPr>
          <w:vertAlign w:val="baseline"/>
        </w:rPr>
        <w:t>weighed</w:t>
      </w:r>
      <w:r>
        <w:rPr>
          <w:spacing w:val="-1"/>
          <w:vertAlign w:val="baseline"/>
        </w:rPr>
        <w:t> </w:t>
      </w:r>
      <w:r>
        <w:rPr>
          <w:vertAlign w:val="baseline"/>
        </w:rPr>
        <w:t>against</w:t>
      </w:r>
      <w:r>
        <w:rPr>
          <w:spacing w:val="-1"/>
          <w:vertAlign w:val="baseline"/>
        </w:rPr>
        <w:t> </w:t>
      </w:r>
      <w:r>
        <w:rPr>
          <w:vertAlign w:val="baseline"/>
        </w:rPr>
        <w:t>the</w:t>
      </w:r>
      <w:r>
        <w:rPr>
          <w:spacing w:val="-1"/>
          <w:vertAlign w:val="baseline"/>
        </w:rPr>
        <w:t> </w:t>
      </w:r>
      <w:r>
        <w:rPr>
          <w:vertAlign w:val="baseline"/>
        </w:rPr>
        <w:t>“countervailing</w:t>
      </w:r>
      <w:r>
        <w:rPr>
          <w:spacing w:val="-1"/>
          <w:vertAlign w:val="baseline"/>
        </w:rPr>
        <w:t> </w:t>
      </w:r>
      <w:r>
        <w:rPr>
          <w:vertAlign w:val="baseline"/>
        </w:rPr>
        <w:t>advantages</w:t>
      </w:r>
      <w:r>
        <w:rPr>
          <w:spacing w:val="-1"/>
          <w:vertAlign w:val="baseline"/>
        </w:rPr>
        <w:t> </w:t>
      </w:r>
      <w:r>
        <w:rPr>
          <w:vertAlign w:val="baseline"/>
        </w:rPr>
        <w:t>which</w:t>
      </w:r>
      <w:r>
        <w:rPr>
          <w:spacing w:val="-1"/>
          <w:vertAlign w:val="baseline"/>
        </w:rPr>
        <w:t> </w:t>
      </w:r>
      <w:r>
        <w:rPr>
          <w:vertAlign w:val="baseline"/>
        </w:rPr>
        <w:t>he enjoyed as a consequence of [his] reliance” </w:t>
      </w:r>
      <w:r>
        <w:rPr>
          <w:color w:val="005DA1"/>
          <w:u w:val="single" w:color="005DA1"/>
          <w:vertAlign w:val="superscript"/>
        </w:rPr>
        <w:t>1029</w:t>
      </w:r>
      <w:r>
        <w:rPr>
          <w:color w:val="005DA1"/>
          <w:vertAlign w:val="baseline"/>
        </w:rPr>
        <w:t> </w:t>
      </w:r>
      <w:r>
        <w:rPr>
          <w:vertAlign w:val="baseline"/>
        </w:rPr>
        <w:t>and that, as the detriment was “not outweighed” </w:t>
      </w:r>
      <w:r>
        <w:rPr>
          <w:color w:val="005DA1"/>
          <w:u w:val="single" w:color="005DA1"/>
          <w:vertAlign w:val="superscript"/>
        </w:rPr>
        <w:t>1030</w:t>
      </w:r>
      <w:r>
        <w:rPr>
          <w:color w:val="005DA1"/>
          <w:vertAlign w:val="baseline"/>
        </w:rPr>
        <w:t> </w:t>
      </w:r>
      <w:r>
        <w:rPr>
          <w:vertAlign w:val="baseline"/>
        </w:rPr>
        <w:t>by those advantages, a proprietary estoppel arose in his favour. </w:t>
      </w:r>
      <w:r>
        <w:rPr>
          <w:color w:val="005DA1"/>
          <w:u w:val="single" w:color="005DA1"/>
          <w:vertAlign w:val="superscript"/>
        </w:rPr>
        <w:t>1031</w:t>
      </w:r>
    </w:p>
    <w:p>
      <w:pPr>
        <w:pStyle w:val="BodyText"/>
      </w:pPr>
    </w:p>
    <w:p>
      <w:pPr>
        <w:pStyle w:val="BodyText"/>
        <w:spacing w:before="34"/>
      </w:pPr>
    </w:p>
    <w:p>
      <w:pPr>
        <w:spacing w:before="1"/>
        <w:ind w:left="165" w:right="0" w:firstLine="0"/>
        <w:jc w:val="both"/>
        <w:rPr>
          <w:rFonts w:ascii="Arial"/>
          <w:b/>
          <w:sz w:val="18"/>
        </w:rPr>
      </w:pPr>
      <w:r>
        <w:rPr>
          <w:rFonts w:ascii="Arial"/>
          <w:b/>
          <w:sz w:val="18"/>
        </w:rPr>
        <w:t>Whether promise or reliance must relate to specific </w:t>
      </w:r>
      <w:r>
        <w:rPr>
          <w:rFonts w:ascii="Arial"/>
          <w:b/>
          <w:spacing w:val="-2"/>
          <w:sz w:val="18"/>
        </w:rPr>
        <w:t>property</w:t>
      </w:r>
    </w:p>
    <w:p>
      <w:pPr>
        <w:pStyle w:val="BodyText"/>
        <w:spacing w:before="41"/>
        <w:rPr>
          <w:rFonts w:ascii="Arial"/>
          <w:b/>
          <w:sz w:val="18"/>
        </w:rPr>
      </w:pPr>
    </w:p>
    <w:p>
      <w:pPr>
        <w:pStyle w:val="Heading2"/>
      </w:pPr>
      <w:r>
        <w:rPr/>
        <w:t>4-</w:t>
      </w:r>
      <w:r>
        <w:rPr>
          <w:spacing w:val="-5"/>
        </w:rPr>
        <w:t>160</w:t>
      </w:r>
    </w:p>
    <w:p>
      <w:pPr>
        <w:pStyle w:val="BodyText"/>
        <w:spacing w:line="235" w:lineRule="auto" w:before="202"/>
        <w:ind w:left="164" w:right="167"/>
        <w:jc w:val="both"/>
      </w:pPr>
      <w:r>
        <w:rPr/>
        <w:t>The authorities are divided on the further question whether, to give rise to a proprietary estoppel, the promise or reliance must relate to identifiable property. According to one case, the promisee’s</w:t>
      </w:r>
      <w:r>
        <w:rPr>
          <w:spacing w:val="40"/>
        </w:rPr>
        <w:t> </w:t>
      </w:r>
      <w:r>
        <w:rPr/>
        <w:t>conduct must relate to “some specific asset” in which an interest is claimed; so that proprietary estoppel did not arise merely because B rendered services to A in the expectation of receiving some indeterminate</w:t>
      </w:r>
      <w:r>
        <w:rPr>
          <w:spacing w:val="-3"/>
        </w:rPr>
        <w:t> </w:t>
      </w:r>
      <w:r>
        <w:rPr/>
        <w:t>benefit</w:t>
      </w:r>
      <w:r>
        <w:rPr>
          <w:spacing w:val="-3"/>
        </w:rPr>
        <w:t> </w:t>
      </w:r>
      <w:r>
        <w:rPr/>
        <w:t>under</w:t>
      </w:r>
      <w:r>
        <w:rPr>
          <w:spacing w:val="-3"/>
        </w:rPr>
        <w:t> </w:t>
      </w:r>
      <w:r>
        <w:rPr/>
        <w:t>A’s</w:t>
      </w:r>
      <w:r>
        <w:rPr>
          <w:spacing w:val="-3"/>
        </w:rPr>
        <w:t> </w:t>
      </w:r>
      <w:r>
        <w:rPr/>
        <w:t>will.</w:t>
      </w:r>
      <w:r>
        <w:rPr>
          <w:spacing w:val="-4"/>
        </w:rPr>
        <w:t> </w:t>
      </w:r>
      <w:r>
        <w:rPr>
          <w:color w:val="005DA1"/>
          <w:u w:val="single" w:color="005DA1"/>
          <w:vertAlign w:val="superscript"/>
        </w:rPr>
        <w:t>1032</w:t>
      </w:r>
      <w:r>
        <w:rPr>
          <w:color w:val="005DA1"/>
          <w:spacing w:val="-3"/>
          <w:vertAlign w:val="baseline"/>
        </w:rPr>
        <w:t> </w:t>
      </w:r>
      <w:r>
        <w:rPr>
          <w:vertAlign w:val="baseline"/>
        </w:rPr>
        <w:t>But</w:t>
      </w:r>
      <w:r>
        <w:rPr>
          <w:spacing w:val="-3"/>
          <w:vertAlign w:val="baseline"/>
        </w:rPr>
        <w:t> </w:t>
      </w:r>
      <w:r>
        <w:rPr>
          <w:vertAlign w:val="baseline"/>
        </w:rPr>
        <w:t>in</w:t>
      </w:r>
      <w:r>
        <w:rPr>
          <w:spacing w:val="-3"/>
          <w:vertAlign w:val="baseline"/>
        </w:rPr>
        <w:t> </w:t>
      </w:r>
      <w:r>
        <w:rPr>
          <w:vertAlign w:val="baseline"/>
        </w:rPr>
        <w:t>another</w:t>
      </w:r>
      <w:r>
        <w:rPr>
          <w:spacing w:val="-3"/>
          <w:vertAlign w:val="baseline"/>
        </w:rPr>
        <w:t> </w:t>
      </w:r>
      <w:r>
        <w:rPr>
          <w:vertAlign w:val="baseline"/>
        </w:rPr>
        <w:t>case</w:t>
      </w:r>
      <w:r>
        <w:rPr>
          <w:spacing w:val="-3"/>
          <w:vertAlign w:val="baseline"/>
        </w:rPr>
        <w:t> </w:t>
      </w:r>
      <w:r>
        <w:rPr>
          <w:vertAlign w:val="baseline"/>
        </w:rPr>
        <w:t>reliance</w:t>
      </w:r>
      <w:r>
        <w:rPr>
          <w:spacing w:val="-3"/>
          <w:vertAlign w:val="baseline"/>
        </w:rPr>
        <w:t> </w:t>
      </w:r>
      <w:r>
        <w:rPr>
          <w:vertAlign w:val="baseline"/>
        </w:rPr>
        <w:t>on</w:t>
      </w:r>
      <w:r>
        <w:rPr>
          <w:spacing w:val="-3"/>
          <w:vertAlign w:val="baseline"/>
        </w:rPr>
        <w:t> </w:t>
      </w:r>
      <w:r>
        <w:rPr>
          <w:vertAlign w:val="baseline"/>
        </w:rPr>
        <w:t>a</w:t>
      </w:r>
      <w:r>
        <w:rPr>
          <w:spacing w:val="-3"/>
          <w:vertAlign w:val="baseline"/>
        </w:rPr>
        <w:t> </w:t>
      </w:r>
      <w:r>
        <w:rPr>
          <w:vertAlign w:val="baseline"/>
        </w:rPr>
        <w:t>similar</w:t>
      </w:r>
      <w:r>
        <w:rPr>
          <w:spacing w:val="-3"/>
          <w:vertAlign w:val="baseline"/>
        </w:rPr>
        <w:t> </w:t>
      </w:r>
      <w:r>
        <w:rPr>
          <w:vertAlign w:val="baseline"/>
        </w:rPr>
        <w:t>expectation</w:t>
      </w:r>
      <w:r>
        <w:rPr>
          <w:spacing w:val="-3"/>
          <w:vertAlign w:val="baseline"/>
        </w:rPr>
        <w:t> </w:t>
      </w:r>
      <w:r>
        <w:rPr>
          <w:vertAlign w:val="baseline"/>
        </w:rPr>
        <w:t>(induced by A’s promise) was held to be sufficient even though it did not relate to any “particular property.” </w:t>
      </w:r>
      <w:r>
        <w:rPr>
          <w:color w:val="005DA1"/>
          <w:u w:val="single" w:color="005DA1"/>
          <w:vertAlign w:val="superscript"/>
        </w:rPr>
        <w:t>1033</w:t>
      </w:r>
      <w:r>
        <w:rPr>
          <w:color w:val="005DA1"/>
          <w:vertAlign w:val="baseline"/>
        </w:rPr>
        <w:t> </w:t>
      </w:r>
      <w:r>
        <w:rPr>
          <w:vertAlign w:val="baseline"/>
        </w:rPr>
        <w:t>The latter case can perhaps be explained on the ground that the promise did to some extent identify the property. </w:t>
      </w:r>
      <w:r>
        <w:rPr>
          <w:color w:val="005DA1"/>
          <w:u w:val="single" w:color="005DA1"/>
          <w:vertAlign w:val="superscript"/>
        </w:rPr>
        <w:t>1034</w:t>
      </w:r>
      <w:r>
        <w:rPr>
          <w:color w:val="005DA1"/>
          <w:vertAlign w:val="baseline"/>
        </w:rPr>
        <w:t> </w:t>
      </w:r>
      <w:r>
        <w:rPr>
          <w:vertAlign w:val="baseline"/>
        </w:rPr>
        <w:t>It is submitted that the view that the promise must relate to identified or identifiable property </w:t>
      </w:r>
      <w:r>
        <w:rPr>
          <w:color w:val="005DA1"/>
          <w:u w:val="single" w:color="005DA1"/>
          <w:vertAlign w:val="superscript"/>
        </w:rPr>
        <w:t>1035</w:t>
      </w:r>
      <w:r>
        <w:rPr>
          <w:color w:val="005DA1"/>
          <w:vertAlign w:val="baseline"/>
        </w:rPr>
        <w:t> </w:t>
      </w:r>
      <w:r>
        <w:rPr>
          <w:vertAlign w:val="baseline"/>
        </w:rPr>
        <w:t>is to be preferred </w:t>
      </w:r>
      <w:r>
        <w:rPr>
          <w:color w:val="005DA1"/>
          <w:u w:val="single" w:color="005DA1"/>
          <w:vertAlign w:val="superscript"/>
        </w:rPr>
        <w:t>1036</w:t>
      </w:r>
      <w:r>
        <w:rPr>
          <w:vertAlign w:val="baseline"/>
        </w:rPr>
        <w:t>; for without some such limitation on the scope of proprietary estoppel the doctrine could extend to any gift promise on which the promisee had relied to his detriment. Such a very broad doctrine would be fundamentally inconsistent with the doctrine of consideration </w:t>
      </w:r>
      <w:r>
        <w:rPr>
          <w:color w:val="005DA1"/>
          <w:u w:val="single" w:color="005DA1"/>
          <w:vertAlign w:val="superscript"/>
        </w:rPr>
        <w:t>1037</w:t>
      </w:r>
      <w:r>
        <w:rPr>
          <w:color w:val="005DA1"/>
          <w:vertAlign w:val="baseline"/>
        </w:rPr>
        <w:t> </w:t>
      </w:r>
      <w:r>
        <w:rPr>
          <w:vertAlign w:val="baseline"/>
        </w:rPr>
        <w:t>and, indeed, with the rule that the doctrine of promissory estoppel gives rise to no new rights. </w:t>
      </w:r>
      <w:r>
        <w:rPr>
          <w:color w:val="005DA1"/>
          <w:u w:val="single" w:color="005DA1"/>
          <w:vertAlign w:val="superscript"/>
        </w:rPr>
        <w:t>1038</w:t>
      </w:r>
    </w:p>
    <w:p>
      <w:pPr>
        <w:pStyle w:val="BodyText"/>
      </w:pPr>
    </w:p>
    <w:p>
      <w:pPr>
        <w:pStyle w:val="BodyText"/>
        <w:spacing w:before="34"/>
      </w:pPr>
    </w:p>
    <w:p>
      <w:pPr>
        <w:spacing w:before="0"/>
        <w:ind w:left="165" w:right="0" w:firstLine="0"/>
        <w:jc w:val="left"/>
        <w:rPr>
          <w:rFonts w:ascii="Arial"/>
          <w:b/>
          <w:sz w:val="18"/>
        </w:rPr>
      </w:pPr>
      <w:r>
        <w:rPr>
          <w:rFonts w:ascii="Arial"/>
          <w:b/>
          <w:sz w:val="18"/>
        </w:rPr>
        <w:t>Unconscionable conduct by </w:t>
      </w:r>
      <w:r>
        <w:rPr>
          <w:rFonts w:ascii="Arial"/>
          <w:b/>
          <w:spacing w:val="-2"/>
          <w:sz w:val="18"/>
        </w:rPr>
        <w:t>promisor</w:t>
      </w:r>
    </w:p>
    <w:p>
      <w:pPr>
        <w:pStyle w:val="BodyText"/>
        <w:spacing w:before="41"/>
        <w:rPr>
          <w:rFonts w:ascii="Arial"/>
          <w:b/>
          <w:sz w:val="18"/>
        </w:rPr>
      </w:pPr>
    </w:p>
    <w:p>
      <w:pPr>
        <w:pStyle w:val="Heading2"/>
        <w:spacing w:before="1"/>
      </w:pPr>
      <w:r>
        <w:rPr/>
        <w:t>4-</w:t>
      </w:r>
      <w:r>
        <w:rPr>
          <w:spacing w:val="-5"/>
        </w:rPr>
        <w:t>161</w:t>
      </w:r>
    </w:p>
    <w:p>
      <w:pPr>
        <w:pStyle w:val="BodyText"/>
        <w:spacing w:line="235" w:lineRule="auto" w:before="202"/>
        <w:ind w:left="165" w:right="167"/>
        <w:jc w:val="both"/>
      </w:pPr>
      <w:r>
        <w:rPr/>
        <w:t>Reference has been made in para. 4-158 above to the point that the “essential test </w:t>
      </w:r>
      <w:r>
        <w:rPr/>
        <w:t>of unconscionability” </w:t>
      </w:r>
      <w:r>
        <w:rPr>
          <w:color w:val="005DA1"/>
          <w:u w:val="single" w:color="005DA1"/>
          <w:vertAlign w:val="superscript"/>
        </w:rPr>
        <w:t>1039</w:t>
      </w:r>
      <w:r>
        <w:rPr>
          <w:color w:val="005DA1"/>
          <w:vertAlign w:val="baseline"/>
        </w:rPr>
        <w:t> </w:t>
      </w:r>
      <w:r>
        <w:rPr>
          <w:vertAlign w:val="baseline"/>
        </w:rPr>
        <w:t>is a necessary condition for the operation of proprietary estoppel; and the function of this requirement calls for further consideration in the light of the decision of the House of Lords in </w:t>
      </w:r>
      <w:r>
        <w:rPr>
          <w:rFonts w:ascii="Arial" w:hAnsi="Arial"/>
          <w:i/>
          <w:vertAlign w:val="baseline"/>
        </w:rPr>
        <w:t>Cobbe v Yeoman’s Row Management Ltd</w:t>
      </w:r>
      <w:r>
        <w:rPr>
          <w:vertAlign w:val="baseline"/>
        </w:rPr>
        <w:t>. </w:t>
      </w:r>
      <w:r>
        <w:rPr>
          <w:color w:val="005DA1"/>
          <w:u w:val="single" w:color="005DA1"/>
          <w:vertAlign w:val="superscript"/>
        </w:rPr>
        <w:t>1040</w:t>
      </w:r>
      <w:r>
        <w:rPr>
          <w:color w:val="005DA1"/>
          <w:vertAlign w:val="baseline"/>
        </w:rPr>
        <w:t> </w:t>
      </w:r>
      <w:r>
        <w:rPr>
          <w:vertAlign w:val="baseline"/>
        </w:rPr>
        <w:t>In that case an oral agreement “in principle” had been reached between a landowner (D) and a property developer (C). The purpose of the agreement was to secure the redevelopment and disposal of residential property owned by D, but the agreement lacked contractual force as it left significant aspects of the scheme to be settled by further negotiation, </w:t>
      </w:r>
      <w:r>
        <w:rPr>
          <w:color w:val="005DA1"/>
          <w:u w:val="single" w:color="005DA1"/>
          <w:vertAlign w:val="superscript"/>
        </w:rPr>
        <w:t>1041</w:t>
      </w:r>
      <w:r>
        <w:rPr>
          <w:color w:val="005DA1"/>
          <w:vertAlign w:val="baseline"/>
        </w:rPr>
        <w:t> </w:t>
      </w:r>
      <w:r>
        <w:rPr>
          <w:vertAlign w:val="baseline"/>
        </w:rPr>
        <w:t>and then to be embodied in a formal agreement, between the parties, each of whom regarded the agreement at this stage as binding in honour only. C made considerable efforts and incurred considerable expense in securing the necessary planning permission; but on the day when the planning authority resolved to grant the permission D withdrew from the agreement. In the lower courts, </w:t>
      </w:r>
      <w:r>
        <w:rPr>
          <w:color w:val="005DA1"/>
          <w:u w:val="single" w:color="005DA1"/>
          <w:vertAlign w:val="superscript"/>
        </w:rPr>
        <w:t>1042</w:t>
      </w:r>
      <w:r>
        <w:rPr>
          <w:color w:val="005DA1"/>
          <w:vertAlign w:val="baseline"/>
        </w:rPr>
        <w:t> </w:t>
      </w:r>
      <w:r>
        <w:rPr>
          <w:vertAlign w:val="baseline"/>
        </w:rPr>
        <w:t>this conduct on D’s part was, by reason of its unconscionableness, regarded as “sufficient to justify the creation of a ‘proprietary estoppel equity’ ” </w:t>
      </w:r>
      <w:r>
        <w:rPr>
          <w:color w:val="005DA1"/>
          <w:u w:val="single" w:color="005DA1"/>
          <w:vertAlign w:val="superscript"/>
        </w:rPr>
        <w:t>1043</w:t>
      </w:r>
      <w:r>
        <w:rPr>
          <w:color w:val="005DA1"/>
          <w:vertAlign w:val="baseline"/>
        </w:rPr>
        <w:t> </w:t>
      </w:r>
      <w:r>
        <w:rPr>
          <w:vertAlign w:val="baseline"/>
        </w:rPr>
        <w:t>in favour of C. Their decision was</w:t>
      </w:r>
      <w:r>
        <w:rPr>
          <w:spacing w:val="40"/>
          <w:vertAlign w:val="baseline"/>
        </w:rPr>
        <w:t> </w:t>
      </w:r>
      <w:r>
        <w:rPr>
          <w:vertAlign w:val="baseline"/>
        </w:rPr>
        <w:t>reversed by the House of Lords which unanimously held that C had no such proprietary claim.</w:t>
      </w:r>
    </w:p>
    <w:p>
      <w:pPr>
        <w:pStyle w:val="BodyText"/>
        <w:spacing w:before="76"/>
      </w:pPr>
    </w:p>
    <w:p>
      <w:pPr>
        <w:pStyle w:val="Heading2"/>
      </w:pPr>
      <w:r>
        <w:rPr/>
        <w:t>4-</w:t>
      </w:r>
      <w:r>
        <w:rPr>
          <w:spacing w:val="-5"/>
        </w:rPr>
        <w:t>162</w:t>
      </w:r>
    </w:p>
    <w:p>
      <w:pPr>
        <w:pStyle w:val="BodyText"/>
        <w:spacing w:line="235" w:lineRule="auto" w:before="203"/>
        <w:ind w:left="165" w:right="168"/>
        <w:jc w:val="both"/>
      </w:pPr>
      <w:r>
        <w:rPr/>
        <w:t>In rejecting the proprietary estoppel claim, Lord Scott </w:t>
      </w:r>
      <w:r>
        <w:rPr>
          <w:color w:val="005DA1"/>
          <w:u w:val="single" w:color="005DA1"/>
          <w:vertAlign w:val="superscript"/>
        </w:rPr>
        <w:t>1044</w:t>
      </w:r>
      <w:r>
        <w:rPr>
          <w:color w:val="005DA1"/>
          <w:vertAlign w:val="baseline"/>
        </w:rPr>
        <w:t> </w:t>
      </w:r>
      <w:r>
        <w:rPr>
          <w:vertAlign w:val="baseline"/>
        </w:rPr>
        <w:t>said that “to treat a ‘proprietary estoppel equity’ as requiring … simply unconscionable behaviour” was a “recipe for confusion” </w:t>
      </w:r>
      <w:r>
        <w:rPr>
          <w:color w:val="005DA1"/>
          <w:u w:val="single" w:color="005DA1"/>
          <w:vertAlign w:val="superscript"/>
        </w:rPr>
        <w:t>1045</w:t>
      </w:r>
      <w:r>
        <w:rPr>
          <w:color w:val="005DA1"/>
          <w:vertAlign w:val="baseline"/>
        </w:rPr>
        <w:t> </w:t>
      </w:r>
      <w:r>
        <w:rPr>
          <w:vertAlign w:val="baseline"/>
        </w:rPr>
        <w:t>and he</w:t>
      </w:r>
      <w:r>
        <w:rPr>
          <w:spacing w:val="40"/>
          <w:vertAlign w:val="baseline"/>
        </w:rPr>
        <w:t> </w:t>
      </w:r>
      <w:r>
        <w:rPr>
          <w:vertAlign w:val="baseline"/>
        </w:rPr>
        <w:t>listed two further</w:t>
      </w:r>
    </w:p>
    <w:p>
      <w:pPr>
        <w:pStyle w:val="BodyText"/>
      </w:pPr>
    </w:p>
    <w:p>
      <w:pPr>
        <w:pStyle w:val="BodyText"/>
        <w:spacing w:before="125"/>
      </w:pPr>
    </w:p>
    <w:p>
      <w:pPr>
        <w:pStyle w:val="BodyText"/>
        <w:spacing w:line="235" w:lineRule="auto"/>
        <w:ind w:left="1245"/>
      </w:pPr>
      <w:r>
        <w:rPr/>
        <w:t>“ingredients for a proprietary estoppel … These ingredients should include, in principle, </w:t>
      </w:r>
      <w:r>
        <w:rPr/>
        <w:t>a proprietary</w:t>
      </w:r>
      <w:r>
        <w:rPr>
          <w:spacing w:val="4"/>
        </w:rPr>
        <w:t> </w:t>
      </w:r>
      <w:r>
        <w:rPr/>
        <w:t>claim</w:t>
      </w:r>
      <w:r>
        <w:rPr>
          <w:spacing w:val="4"/>
        </w:rPr>
        <w:t> </w:t>
      </w:r>
      <w:r>
        <w:rPr/>
        <w:t>made</w:t>
      </w:r>
      <w:r>
        <w:rPr>
          <w:spacing w:val="4"/>
        </w:rPr>
        <w:t> </w:t>
      </w:r>
      <w:r>
        <w:rPr/>
        <w:t>by</w:t>
      </w:r>
      <w:r>
        <w:rPr>
          <w:spacing w:val="4"/>
        </w:rPr>
        <w:t> </w:t>
      </w:r>
      <w:r>
        <w:rPr/>
        <w:t>a</w:t>
      </w:r>
      <w:r>
        <w:rPr>
          <w:spacing w:val="4"/>
        </w:rPr>
        <w:t> </w:t>
      </w:r>
      <w:r>
        <w:rPr/>
        <w:t>claimant</w:t>
      </w:r>
      <w:r>
        <w:rPr>
          <w:spacing w:val="4"/>
        </w:rPr>
        <w:t> </w:t>
      </w:r>
      <w:r>
        <w:rPr/>
        <w:t>and</w:t>
      </w:r>
      <w:r>
        <w:rPr>
          <w:spacing w:val="4"/>
        </w:rPr>
        <w:t> </w:t>
      </w:r>
      <w:r>
        <w:rPr/>
        <w:t>an</w:t>
      </w:r>
      <w:r>
        <w:rPr>
          <w:spacing w:val="4"/>
        </w:rPr>
        <w:t> </w:t>
      </w:r>
      <w:r>
        <w:rPr/>
        <w:t>answer</w:t>
      </w:r>
      <w:r>
        <w:rPr>
          <w:spacing w:val="4"/>
        </w:rPr>
        <w:t> </w:t>
      </w:r>
      <w:r>
        <w:rPr/>
        <w:t>to</w:t>
      </w:r>
      <w:r>
        <w:rPr>
          <w:spacing w:val="4"/>
        </w:rPr>
        <w:t> </w:t>
      </w:r>
      <w:r>
        <w:rPr/>
        <w:t>that</w:t>
      </w:r>
      <w:r>
        <w:rPr>
          <w:spacing w:val="4"/>
        </w:rPr>
        <w:t> </w:t>
      </w:r>
      <w:r>
        <w:rPr/>
        <w:t>claim</w:t>
      </w:r>
      <w:r>
        <w:rPr>
          <w:spacing w:val="4"/>
        </w:rPr>
        <w:t> </w:t>
      </w:r>
      <w:r>
        <w:rPr/>
        <w:t>based</w:t>
      </w:r>
      <w:r>
        <w:rPr>
          <w:spacing w:val="4"/>
        </w:rPr>
        <w:t> </w:t>
      </w:r>
      <w:r>
        <w:rPr/>
        <w:t>on</w:t>
      </w:r>
      <w:r>
        <w:rPr>
          <w:spacing w:val="4"/>
        </w:rPr>
        <w:t> </w:t>
      </w:r>
      <w:r>
        <w:rPr/>
        <w:t>some</w:t>
      </w:r>
      <w:r>
        <w:rPr>
          <w:spacing w:val="4"/>
        </w:rPr>
        <w:t> </w:t>
      </w:r>
      <w:r>
        <w:rPr/>
        <w:t>fact,</w:t>
      </w:r>
      <w:r>
        <w:rPr>
          <w:spacing w:val="4"/>
        </w:rPr>
        <w:t> </w:t>
      </w:r>
      <w:r>
        <w:rPr>
          <w:spacing w:val="-5"/>
        </w:rPr>
        <w:t>or</w:t>
      </w:r>
    </w:p>
    <w:p>
      <w:pPr>
        <w:pStyle w:val="BodyText"/>
        <w:spacing w:after="0" w:line="235" w:lineRule="auto"/>
        <w:sectPr>
          <w:pgSz w:w="11900" w:h="16840"/>
          <w:pgMar w:header="971" w:footer="0" w:top="1160" w:bottom="280" w:left="1275" w:right="1275"/>
        </w:sectPr>
      </w:pPr>
    </w:p>
    <w:p>
      <w:pPr>
        <w:pStyle w:val="BodyText"/>
      </w:pPr>
    </w:p>
    <w:p>
      <w:pPr>
        <w:pStyle w:val="BodyText"/>
        <w:spacing w:before="81"/>
      </w:pPr>
    </w:p>
    <w:p>
      <w:pPr>
        <w:pStyle w:val="BodyText"/>
        <w:spacing w:line="235" w:lineRule="auto"/>
        <w:ind w:left="1245" w:right="167"/>
        <w:jc w:val="both"/>
      </w:pPr>
      <w:r>
        <w:rPr/>
        <w:t>some</w:t>
      </w:r>
      <w:r>
        <w:rPr>
          <w:spacing w:val="-2"/>
        </w:rPr>
        <w:t> </w:t>
      </w:r>
      <w:r>
        <w:rPr/>
        <w:t>point</w:t>
      </w:r>
      <w:r>
        <w:rPr>
          <w:spacing w:val="-2"/>
        </w:rPr>
        <w:t> </w:t>
      </w:r>
      <w:r>
        <w:rPr/>
        <w:t>of</w:t>
      </w:r>
      <w:r>
        <w:rPr>
          <w:spacing w:val="-2"/>
        </w:rPr>
        <w:t> </w:t>
      </w:r>
      <w:r>
        <w:rPr/>
        <w:t>mixed</w:t>
      </w:r>
      <w:r>
        <w:rPr>
          <w:spacing w:val="-2"/>
        </w:rPr>
        <w:t> </w:t>
      </w:r>
      <w:r>
        <w:rPr/>
        <w:t>fact</w:t>
      </w:r>
      <w:r>
        <w:rPr>
          <w:spacing w:val="-2"/>
        </w:rPr>
        <w:t> </w:t>
      </w:r>
      <w:r>
        <w:rPr/>
        <w:t>and</w:t>
      </w:r>
      <w:r>
        <w:rPr>
          <w:spacing w:val="-2"/>
        </w:rPr>
        <w:t> </w:t>
      </w:r>
      <w:r>
        <w:rPr/>
        <w:t>law,</w:t>
      </w:r>
      <w:r>
        <w:rPr>
          <w:spacing w:val="-2"/>
        </w:rPr>
        <w:t> </w:t>
      </w:r>
      <w:r>
        <w:rPr/>
        <w:t>that</w:t>
      </w:r>
      <w:r>
        <w:rPr>
          <w:spacing w:val="-2"/>
        </w:rPr>
        <w:t> </w:t>
      </w:r>
      <w:r>
        <w:rPr/>
        <w:t>the</w:t>
      </w:r>
      <w:r>
        <w:rPr>
          <w:spacing w:val="-2"/>
        </w:rPr>
        <w:t> </w:t>
      </w:r>
      <w:r>
        <w:rPr/>
        <w:t>person</w:t>
      </w:r>
      <w:r>
        <w:rPr>
          <w:spacing w:val="-2"/>
        </w:rPr>
        <w:t> </w:t>
      </w:r>
      <w:r>
        <w:rPr/>
        <w:t>against</w:t>
      </w:r>
      <w:r>
        <w:rPr>
          <w:spacing w:val="-2"/>
        </w:rPr>
        <w:t> </w:t>
      </w:r>
      <w:r>
        <w:rPr/>
        <w:t>whom</w:t>
      </w:r>
      <w:r>
        <w:rPr>
          <w:spacing w:val="-2"/>
        </w:rPr>
        <w:t> </w:t>
      </w:r>
      <w:r>
        <w:rPr/>
        <w:t>the</w:t>
      </w:r>
      <w:r>
        <w:rPr>
          <w:spacing w:val="-2"/>
        </w:rPr>
        <w:t> </w:t>
      </w:r>
      <w:r>
        <w:rPr/>
        <w:t>claim</w:t>
      </w:r>
      <w:r>
        <w:rPr>
          <w:spacing w:val="-2"/>
        </w:rPr>
        <w:t> </w:t>
      </w:r>
      <w:r>
        <w:rPr/>
        <w:t>is</w:t>
      </w:r>
      <w:r>
        <w:rPr>
          <w:spacing w:val="-2"/>
        </w:rPr>
        <w:t> </w:t>
      </w:r>
      <w:r>
        <w:rPr/>
        <w:t>made</w:t>
      </w:r>
      <w:r>
        <w:rPr>
          <w:spacing w:val="-2"/>
        </w:rPr>
        <w:t> </w:t>
      </w:r>
      <w:r>
        <w:rPr/>
        <w:t>can</w:t>
      </w:r>
      <w:r>
        <w:rPr>
          <w:spacing w:val="-2"/>
        </w:rPr>
        <w:t> </w:t>
      </w:r>
      <w:r>
        <w:rPr/>
        <w:t>be estopped from asserting.” </w:t>
      </w:r>
      <w:r>
        <w:rPr>
          <w:color w:val="005DA1"/>
          <w:u w:val="single" w:color="005DA1"/>
          <w:vertAlign w:val="superscript"/>
        </w:rPr>
        <w:t>1046</w:t>
      </w:r>
    </w:p>
    <w:p>
      <w:pPr>
        <w:pStyle w:val="BodyText"/>
        <w:spacing w:before="113"/>
      </w:pPr>
    </w:p>
    <w:p>
      <w:pPr>
        <w:pStyle w:val="BodyText"/>
        <w:ind w:left="165"/>
        <w:jc w:val="both"/>
      </w:pPr>
      <w:r>
        <w:rPr/>
        <w:t>He in substance repeated these points in a later </w:t>
      </w:r>
      <w:r>
        <w:rPr>
          <w:spacing w:val="-2"/>
        </w:rPr>
        <w:t>passage:</w:t>
      </w:r>
    </w:p>
    <w:p>
      <w:pPr>
        <w:pStyle w:val="BodyText"/>
      </w:pPr>
    </w:p>
    <w:p>
      <w:pPr>
        <w:pStyle w:val="BodyText"/>
        <w:spacing w:before="125"/>
      </w:pPr>
    </w:p>
    <w:p>
      <w:pPr>
        <w:pStyle w:val="BodyText"/>
        <w:spacing w:line="235" w:lineRule="auto"/>
        <w:ind w:left="1244" w:right="167"/>
        <w:jc w:val="both"/>
      </w:pPr>
      <w:r>
        <w:rPr/>
        <w:t>“Proprietary</w:t>
      </w:r>
      <w:r>
        <w:rPr>
          <w:spacing w:val="-1"/>
        </w:rPr>
        <w:t> </w:t>
      </w:r>
      <w:r>
        <w:rPr/>
        <w:t>estoppel</w:t>
      </w:r>
      <w:r>
        <w:rPr>
          <w:spacing w:val="-1"/>
        </w:rPr>
        <w:t> </w:t>
      </w:r>
      <w:r>
        <w:rPr/>
        <w:t>requires</w:t>
      </w:r>
      <w:r>
        <w:rPr>
          <w:spacing w:val="-1"/>
        </w:rPr>
        <w:t> </w:t>
      </w:r>
      <w:r>
        <w:rPr/>
        <w:t>…</w:t>
      </w:r>
      <w:r>
        <w:rPr>
          <w:spacing w:val="-1"/>
        </w:rPr>
        <w:t> </w:t>
      </w:r>
      <w:r>
        <w:rPr/>
        <w:t>clarity</w:t>
      </w:r>
      <w:r>
        <w:rPr>
          <w:spacing w:val="-1"/>
        </w:rPr>
        <w:t> </w:t>
      </w:r>
      <w:r>
        <w:rPr/>
        <w:t>as</w:t>
      </w:r>
      <w:r>
        <w:rPr>
          <w:spacing w:val="-1"/>
        </w:rPr>
        <w:t> </w:t>
      </w:r>
      <w:r>
        <w:rPr/>
        <w:t>to</w:t>
      </w:r>
      <w:r>
        <w:rPr>
          <w:spacing w:val="-1"/>
        </w:rPr>
        <w:t> </w:t>
      </w:r>
      <w:r>
        <w:rPr/>
        <w:t>what</w:t>
      </w:r>
      <w:r>
        <w:rPr>
          <w:spacing w:val="-1"/>
        </w:rPr>
        <w:t> </w:t>
      </w:r>
      <w:r>
        <w:rPr/>
        <w:t>it</w:t>
      </w:r>
      <w:r>
        <w:rPr>
          <w:spacing w:val="-1"/>
        </w:rPr>
        <w:t> </w:t>
      </w:r>
      <w:r>
        <w:rPr/>
        <w:t>is</w:t>
      </w:r>
      <w:r>
        <w:rPr>
          <w:spacing w:val="-1"/>
        </w:rPr>
        <w:t> </w:t>
      </w:r>
      <w:r>
        <w:rPr/>
        <w:t>that</w:t>
      </w:r>
      <w:r>
        <w:rPr>
          <w:spacing w:val="-1"/>
        </w:rPr>
        <w:t> </w:t>
      </w:r>
      <w:r>
        <w:rPr/>
        <w:t>the</w:t>
      </w:r>
      <w:r>
        <w:rPr>
          <w:spacing w:val="-1"/>
        </w:rPr>
        <w:t> </w:t>
      </w:r>
      <w:r>
        <w:rPr/>
        <w:t>object</w:t>
      </w:r>
      <w:r>
        <w:rPr>
          <w:spacing w:val="-1"/>
        </w:rPr>
        <w:t> </w:t>
      </w:r>
      <w:r>
        <w:rPr/>
        <w:t>of</w:t>
      </w:r>
      <w:r>
        <w:rPr>
          <w:spacing w:val="-1"/>
        </w:rPr>
        <w:t> </w:t>
      </w:r>
      <w:r>
        <w:rPr/>
        <w:t>the</w:t>
      </w:r>
      <w:r>
        <w:rPr>
          <w:spacing w:val="-1"/>
        </w:rPr>
        <w:t> </w:t>
      </w:r>
      <w:r>
        <w:rPr/>
        <w:t>estoppel</w:t>
      </w:r>
      <w:r>
        <w:rPr>
          <w:spacing w:val="-1"/>
        </w:rPr>
        <w:t> </w:t>
      </w:r>
      <w:r>
        <w:rPr/>
        <w:t>[i.e., the defendant] is to be estopped from denying, or asserting, and clarity as to the </w:t>
      </w:r>
      <w:r>
        <w:rPr/>
        <w:t>interest in the property </w:t>
      </w:r>
      <w:r>
        <w:rPr>
          <w:color w:val="005DA1"/>
          <w:u w:val="single" w:color="005DA1"/>
          <w:vertAlign w:val="superscript"/>
        </w:rPr>
        <w:t>1047</w:t>
      </w:r>
      <w:r>
        <w:rPr>
          <w:color w:val="005DA1"/>
          <w:vertAlign w:val="baseline"/>
        </w:rPr>
        <w:t> </w:t>
      </w:r>
      <w:r>
        <w:rPr>
          <w:vertAlign w:val="baseline"/>
        </w:rPr>
        <w:t>in question that that denial, or assertion, would otherwise defeat. If these requirements are not recognised, proprietary estoppel will … risk becoming unprincipled and therefore unpredictable, if it has not already done so.” </w:t>
      </w:r>
      <w:r>
        <w:rPr>
          <w:color w:val="005DA1"/>
          <w:u w:val="single" w:color="005DA1"/>
          <w:vertAlign w:val="superscript"/>
        </w:rPr>
        <w:t>1048</w:t>
      </w:r>
    </w:p>
    <w:p>
      <w:pPr>
        <w:pStyle w:val="BodyText"/>
        <w:spacing w:before="115"/>
      </w:pPr>
    </w:p>
    <w:p>
      <w:pPr>
        <w:pStyle w:val="BodyText"/>
        <w:spacing w:line="235" w:lineRule="auto"/>
        <w:ind w:left="165" w:right="167"/>
        <w:jc w:val="both"/>
      </w:pPr>
      <w:r>
        <w:rPr/>
        <w:t>In the </w:t>
      </w:r>
      <w:r>
        <w:rPr>
          <w:rFonts w:ascii="Arial" w:hAnsi="Arial"/>
          <w:i/>
        </w:rPr>
        <w:t>Cobbe </w:t>
      </w:r>
      <w:r>
        <w:rPr/>
        <w:t>case, neither requirement was satisfied since the “agreement in principle”, was, as C knew, incomplete and binding in honour only, so that C could not allege that D was bound by it; and since, at the time of D’s withdrawal, C was not asserting any expectation that he would acquire </w:t>
      </w:r>
      <w:r>
        <w:rPr/>
        <w:t>a proprietary right. </w:t>
      </w:r>
      <w:r>
        <w:rPr>
          <w:color w:val="005DA1"/>
          <w:u w:val="single" w:color="005DA1"/>
          <w:vertAlign w:val="superscript"/>
        </w:rPr>
        <w:t>1049</w:t>
      </w:r>
      <w:r>
        <w:rPr>
          <w:color w:val="005DA1"/>
          <w:vertAlign w:val="baseline"/>
        </w:rPr>
        <w:t> </w:t>
      </w:r>
      <w:r>
        <w:rPr>
          <w:vertAlign w:val="baseline"/>
        </w:rPr>
        <w:t>His expectation was “the wrong sort of expectation” </w:t>
      </w:r>
      <w:r>
        <w:rPr>
          <w:color w:val="005DA1"/>
          <w:u w:val="single" w:color="005DA1"/>
          <w:vertAlign w:val="superscript"/>
        </w:rPr>
        <w:t>1050</w:t>
      </w:r>
      <w:r>
        <w:rPr>
          <w:vertAlign w:val="baseline"/>
        </w:rPr>
        <w:t>; namely one that further negotiations between him and D would fill the gaps in the “agreement in principle” and that the agreement, thus completed, would be embodied in a formal written agreement and so become a binding contract. He was expecting to get a contractual, rather than a proprietary, right. </w:t>
      </w:r>
      <w:r>
        <w:rPr>
          <w:color w:val="005DA1"/>
          <w:u w:val="single" w:color="005DA1"/>
          <w:vertAlign w:val="superscript"/>
        </w:rPr>
        <w:t>1051</w:t>
      </w:r>
    </w:p>
    <w:p>
      <w:pPr>
        <w:pStyle w:val="BodyText"/>
        <w:spacing w:before="79"/>
      </w:pPr>
    </w:p>
    <w:p>
      <w:pPr>
        <w:pStyle w:val="Heading2"/>
      </w:pPr>
      <w:r>
        <w:rPr/>
        <w:t>4-</w:t>
      </w:r>
      <w:r>
        <w:rPr>
          <w:spacing w:val="-5"/>
        </w:rPr>
        <w:t>163</w:t>
      </w:r>
    </w:p>
    <w:p>
      <w:pPr>
        <w:pStyle w:val="BodyText"/>
        <w:spacing w:line="235" w:lineRule="auto" w:before="203"/>
        <w:ind w:left="164" w:right="167"/>
        <w:jc w:val="both"/>
      </w:pPr>
      <w:r>
        <w:rPr/>
        <w:t>The question whether there was sufficient “clarity as to the interest in the property in question” </w:t>
      </w:r>
      <w:r>
        <w:rPr>
          <w:color w:val="005DA1"/>
          <w:u w:val="single" w:color="005DA1"/>
          <w:vertAlign w:val="superscript"/>
        </w:rPr>
        <w:t>1052</w:t>
      </w:r>
      <w:r>
        <w:rPr>
          <w:color w:val="005DA1"/>
          <w:vertAlign w:val="baseline"/>
        </w:rPr>
        <w:t> </w:t>
      </w:r>
      <w:r>
        <w:rPr>
          <w:vertAlign w:val="baseline"/>
        </w:rPr>
        <w:t>arose again in </w:t>
      </w:r>
      <w:r>
        <w:rPr>
          <w:rFonts w:ascii="Arial" w:hAnsi="Arial"/>
          <w:i/>
          <w:vertAlign w:val="baseline"/>
        </w:rPr>
        <w:t>Thorner v Major</w:t>
      </w:r>
      <w:r>
        <w:rPr>
          <w:vertAlign w:val="baseline"/>
        </w:rPr>
        <w:t>, </w:t>
      </w:r>
      <w:r>
        <w:rPr>
          <w:color w:val="005DA1"/>
          <w:u w:val="single" w:color="005DA1"/>
          <w:vertAlign w:val="superscript"/>
        </w:rPr>
        <w:t>1053</w:t>
      </w:r>
      <w:r>
        <w:rPr>
          <w:color w:val="005DA1"/>
          <w:vertAlign w:val="baseline"/>
        </w:rPr>
        <w:t> </w:t>
      </w:r>
      <w:r>
        <w:rPr>
          <w:vertAlign w:val="baseline"/>
        </w:rPr>
        <w:t>where Peter’s assurances (the nature of which is discussed </w:t>
      </w:r>
      <w:r>
        <w:rPr>
          <w:vertAlign w:val="baseline"/>
        </w:rPr>
        <w:t>in paras 4-150 to 4-152 above) were to the effect that David would inherit “the farm” (i.e. Steart Farm); and where the area to which that expression referred changed, as a result of disposals and acquisitions during the years in which that assurance had repeatedly been made. This fact was held not to be an obstacle to David’s proprietary estoppel claim since (in Lord Walker’s words) the parties’ “common understanding was that Peter’s assurance related to whatever the farm consisted of at Peter’s death … This fits in with the retrospective operation of proprietary estoppel noted in </w:t>
      </w:r>
      <w:r>
        <w:rPr>
          <w:rFonts w:ascii="Arial" w:hAnsi="Arial"/>
          <w:i/>
          <w:vertAlign w:val="baseline"/>
        </w:rPr>
        <w:t>Walton v Walton</w:t>
      </w:r>
      <w:r>
        <w:rPr>
          <w:rFonts w:ascii="Arial" w:hAnsi="Arial"/>
          <w:i/>
          <w:spacing w:val="-14"/>
          <w:vertAlign w:val="baseline"/>
        </w:rPr>
        <w:t> </w:t>
      </w:r>
      <w:r>
        <w:rPr>
          <w:vertAlign w:val="baseline"/>
        </w:rPr>
        <w:t>”, </w:t>
      </w:r>
      <w:r>
        <w:rPr>
          <w:color w:val="005DA1"/>
          <w:u w:val="single" w:color="005DA1"/>
          <w:vertAlign w:val="superscript"/>
        </w:rPr>
        <w:t>1054</w:t>
      </w:r>
      <w:r>
        <w:rPr>
          <w:color w:val="005DA1"/>
          <w:vertAlign w:val="baseline"/>
        </w:rPr>
        <w:t> </w:t>
      </w:r>
      <w:r>
        <w:rPr>
          <w:vertAlign w:val="baseline"/>
        </w:rPr>
        <w:t>an unreported decision of the Court of Appeal referred to with approval in </w:t>
      </w:r>
      <w:r>
        <w:rPr>
          <w:rFonts w:ascii="Arial" w:hAnsi="Arial"/>
          <w:i/>
          <w:vertAlign w:val="baseline"/>
        </w:rPr>
        <w:t>Thorner v Major</w:t>
      </w:r>
      <w:r>
        <w:rPr>
          <w:vertAlign w:val="baseline"/>
        </w:rPr>
        <w:t>. </w:t>
      </w:r>
      <w:r>
        <w:rPr>
          <w:color w:val="005DA1"/>
          <w:u w:val="single" w:color="005DA1"/>
          <w:vertAlign w:val="superscript"/>
        </w:rPr>
        <w:t>1055</w:t>
      </w:r>
      <w:r>
        <w:rPr>
          <w:color w:val="005DA1"/>
          <w:vertAlign w:val="baseline"/>
        </w:rPr>
        <w:t> </w:t>
      </w:r>
      <w:r>
        <w:rPr>
          <w:vertAlign w:val="baseline"/>
        </w:rPr>
        <w:t>Hoffmann L.J. had there (in a passage already quoted in para.4-145 above) said that “equitable estoppel” (an apparent reference to proprietary estoppel) “looks backwards from the moment when the promise falls due to be performed and asks whether, in the circumstances which have</w:t>
      </w:r>
      <w:r>
        <w:rPr>
          <w:spacing w:val="-1"/>
          <w:vertAlign w:val="baseline"/>
        </w:rPr>
        <w:t> </w:t>
      </w:r>
      <w:r>
        <w:rPr>
          <w:vertAlign w:val="baseline"/>
        </w:rPr>
        <w:t>happened,</w:t>
      </w:r>
      <w:r>
        <w:rPr>
          <w:spacing w:val="-1"/>
          <w:vertAlign w:val="baseline"/>
        </w:rPr>
        <w:t> </w:t>
      </w:r>
      <w:r>
        <w:rPr>
          <w:vertAlign w:val="baseline"/>
        </w:rPr>
        <w:t>it</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unconscionable</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promise</w:t>
      </w:r>
      <w:r>
        <w:rPr>
          <w:spacing w:val="-1"/>
          <w:vertAlign w:val="baseline"/>
        </w:rPr>
        <w:t> </w:t>
      </w:r>
      <w:r>
        <w:rPr>
          <w:vertAlign w:val="baseline"/>
        </w:rPr>
        <w:t>not</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kept.”</w:t>
      </w:r>
      <w:r>
        <w:rPr>
          <w:spacing w:val="-2"/>
          <w:vertAlign w:val="baseline"/>
        </w:rPr>
        <w:t> </w:t>
      </w:r>
      <w:r>
        <w:rPr>
          <w:color w:val="005DA1"/>
          <w:u w:val="single" w:color="005DA1"/>
          <w:vertAlign w:val="superscript"/>
        </w:rPr>
        <w:t>1056</w:t>
      </w:r>
      <w:r>
        <w:rPr>
          <w:color w:val="005DA1"/>
          <w:spacing w:val="-1"/>
          <w:vertAlign w:val="baseline"/>
        </w:rPr>
        <w:t> </w:t>
      </w:r>
      <w:r>
        <w:rPr>
          <w:vertAlign w:val="baseline"/>
        </w:rPr>
        <w:t>Such</w:t>
      </w:r>
      <w:r>
        <w:rPr>
          <w:spacing w:val="-1"/>
          <w:vertAlign w:val="baseline"/>
        </w:rPr>
        <w:t> </w:t>
      </w:r>
      <w:r>
        <w:rPr>
          <w:vertAlign w:val="baseline"/>
        </w:rPr>
        <w:t>“circumstances” could,</w:t>
      </w:r>
      <w:r>
        <w:rPr>
          <w:spacing w:val="-1"/>
          <w:vertAlign w:val="baseline"/>
        </w:rPr>
        <w:t> </w:t>
      </w:r>
      <w:r>
        <w:rPr>
          <w:vertAlign w:val="baseline"/>
        </w:rPr>
        <w:t>therefore,</w:t>
      </w:r>
      <w:r>
        <w:rPr>
          <w:spacing w:val="-1"/>
          <w:vertAlign w:val="baseline"/>
        </w:rPr>
        <w:t> </w:t>
      </w:r>
      <w:r>
        <w:rPr>
          <w:vertAlign w:val="baseline"/>
        </w:rPr>
        <w:t>either</w:t>
      </w:r>
      <w:r>
        <w:rPr>
          <w:spacing w:val="-1"/>
          <w:vertAlign w:val="baseline"/>
        </w:rPr>
        <w:t> </w:t>
      </w:r>
      <w:r>
        <w:rPr>
          <w:vertAlign w:val="baseline"/>
        </w:rPr>
        <w:t>reduce</w:t>
      </w:r>
      <w:r>
        <w:rPr>
          <w:spacing w:val="-1"/>
          <w:vertAlign w:val="baseline"/>
        </w:rPr>
        <w:t> </w:t>
      </w:r>
      <w:r>
        <w:rPr>
          <w:vertAlign w:val="baseline"/>
        </w:rPr>
        <w:t>or</w:t>
      </w:r>
      <w:r>
        <w:rPr>
          <w:spacing w:val="-1"/>
          <w:vertAlign w:val="baseline"/>
        </w:rPr>
        <w:t> </w:t>
      </w:r>
      <w:r>
        <w:rPr>
          <w:vertAlign w:val="baseline"/>
        </w:rPr>
        <w:t>increase</w:t>
      </w:r>
      <w:r>
        <w:rPr>
          <w:spacing w:val="-1"/>
          <w:vertAlign w:val="baseline"/>
        </w:rPr>
        <w:t> </w:t>
      </w:r>
      <w:r>
        <w:rPr>
          <w:vertAlign w:val="baseline"/>
        </w:rPr>
        <w:t>the</w:t>
      </w:r>
      <w:r>
        <w:rPr>
          <w:spacing w:val="-1"/>
          <w:vertAlign w:val="baseline"/>
        </w:rPr>
        <w:t> </w:t>
      </w:r>
      <w:r>
        <w:rPr>
          <w:vertAlign w:val="baseline"/>
        </w:rPr>
        <w:t>extent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property</w:t>
      </w:r>
      <w:r>
        <w:rPr>
          <w:spacing w:val="-1"/>
          <w:vertAlign w:val="baseline"/>
        </w:rPr>
        <w:t> </w:t>
      </w:r>
      <w:r>
        <w:rPr>
          <w:vertAlign w:val="baseline"/>
        </w:rPr>
        <w:t>known</w:t>
      </w:r>
      <w:r>
        <w:rPr>
          <w:spacing w:val="-1"/>
          <w:vertAlign w:val="baseline"/>
        </w:rPr>
        <w:t> </w:t>
      </w:r>
      <w:r>
        <w:rPr>
          <w:vertAlign w:val="baseline"/>
        </w:rPr>
        <w:t>as</w:t>
      </w:r>
      <w:r>
        <w:rPr>
          <w:spacing w:val="-1"/>
          <w:vertAlign w:val="baseline"/>
        </w:rPr>
        <w:t> </w:t>
      </w:r>
      <w:r>
        <w:rPr>
          <w:vertAlign w:val="baseline"/>
        </w:rPr>
        <w:t>“Steart</w:t>
      </w:r>
      <w:r>
        <w:rPr>
          <w:spacing w:val="-1"/>
          <w:vertAlign w:val="baseline"/>
        </w:rPr>
        <w:t> </w:t>
      </w:r>
      <w:r>
        <w:rPr>
          <w:vertAlign w:val="baseline"/>
        </w:rPr>
        <w:t>Farm”,</w:t>
      </w:r>
      <w:r>
        <w:rPr>
          <w:spacing w:val="-1"/>
          <w:vertAlign w:val="baseline"/>
        </w:rPr>
        <w:t> </w:t>
      </w:r>
      <w:r>
        <w:rPr>
          <w:vertAlign w:val="baseline"/>
        </w:rPr>
        <w:t>to</w:t>
      </w:r>
      <w:r>
        <w:rPr>
          <w:spacing w:val="-1"/>
          <w:vertAlign w:val="baseline"/>
        </w:rPr>
        <w:t> </w:t>
      </w:r>
      <w:r>
        <w:rPr>
          <w:vertAlign w:val="baseline"/>
        </w:rPr>
        <w:t>which the proprietary estoppel related. Lord Neuberger similarly said that “the extent of the farm might change,</w:t>
      </w:r>
      <w:r>
        <w:rPr>
          <w:spacing w:val="-2"/>
          <w:vertAlign w:val="baseline"/>
        </w:rPr>
        <w:t> </w:t>
      </w:r>
      <w:r>
        <w:rPr>
          <w:vertAlign w:val="baseline"/>
        </w:rPr>
        <w:t>but</w:t>
      </w:r>
      <w:r>
        <w:rPr>
          <w:spacing w:val="-2"/>
          <w:vertAlign w:val="baseline"/>
        </w:rPr>
        <w:t> </w:t>
      </w:r>
      <w:r>
        <w:rPr>
          <w:vertAlign w:val="baseline"/>
        </w:rPr>
        <w:t>…</w:t>
      </w:r>
      <w:r>
        <w:rPr>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w:t>
      </w:r>
      <w:r>
        <w:rPr>
          <w:spacing w:val="-2"/>
          <w:vertAlign w:val="baseline"/>
        </w:rPr>
        <w:t> </w:t>
      </w:r>
      <w:r>
        <w:rPr>
          <w:vertAlign w:val="baseline"/>
        </w:rPr>
        <w:t>no</w:t>
      </w:r>
      <w:r>
        <w:rPr>
          <w:spacing w:val="-2"/>
          <w:vertAlign w:val="baseline"/>
        </w:rPr>
        <w:t> </w:t>
      </w:r>
      <w:r>
        <w:rPr>
          <w:vertAlign w:val="baseline"/>
        </w:rPr>
        <w:t>doubt</w:t>
      </w:r>
      <w:r>
        <w:rPr>
          <w:spacing w:val="-2"/>
          <w:vertAlign w:val="baseline"/>
        </w:rPr>
        <w:t> </w:t>
      </w:r>
      <w:r>
        <w:rPr>
          <w:vertAlign w:val="baseline"/>
        </w:rPr>
        <w:t>as</w:t>
      </w:r>
      <w:r>
        <w:rPr>
          <w:spacing w:val="-2"/>
          <w:vertAlign w:val="baseline"/>
        </w:rPr>
        <w:t> </w:t>
      </w:r>
      <w:r>
        <w:rPr>
          <w:vertAlign w:val="baseline"/>
        </w:rPr>
        <w:t>to</w:t>
      </w:r>
      <w:r>
        <w:rPr>
          <w:spacing w:val="-2"/>
          <w:vertAlign w:val="baseline"/>
        </w:rPr>
        <w:t> </w:t>
      </w:r>
      <w:r>
        <w:rPr>
          <w:vertAlign w:val="baseline"/>
        </w:rPr>
        <w:t>what</w:t>
      </w:r>
      <w:r>
        <w:rPr>
          <w:spacing w:val="-2"/>
          <w:vertAlign w:val="baseline"/>
        </w:rPr>
        <w:t> </w:t>
      </w:r>
      <w:r>
        <w:rPr>
          <w:vertAlign w:val="baseline"/>
        </w:rPr>
        <w:t>was</w:t>
      </w:r>
      <w:r>
        <w:rPr>
          <w:spacing w:val="-2"/>
          <w:vertAlign w:val="baseline"/>
        </w:rPr>
        <w:t> </w:t>
      </w:r>
      <w:r>
        <w:rPr>
          <w:vertAlign w:val="baseline"/>
        </w:rPr>
        <w:t>the</w:t>
      </w:r>
      <w:r>
        <w:rPr>
          <w:spacing w:val="-2"/>
          <w:vertAlign w:val="baseline"/>
        </w:rPr>
        <w:t> </w:t>
      </w:r>
      <w:r>
        <w:rPr>
          <w:vertAlign w:val="baseline"/>
        </w:rPr>
        <w:t>subject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assurance,</w:t>
      </w:r>
      <w:r>
        <w:rPr>
          <w:spacing w:val="-2"/>
          <w:vertAlign w:val="baseline"/>
        </w:rPr>
        <w:t> </w:t>
      </w:r>
      <w:r>
        <w:rPr>
          <w:vertAlign w:val="baseline"/>
        </w:rPr>
        <w:t>namely</w:t>
      </w:r>
      <w:r>
        <w:rPr>
          <w:spacing w:val="-2"/>
          <w:vertAlign w:val="baseline"/>
        </w:rPr>
        <w:t> </w:t>
      </w:r>
      <w:r>
        <w:rPr>
          <w:vertAlign w:val="baseline"/>
        </w:rPr>
        <w:t>the</w:t>
      </w:r>
      <w:r>
        <w:rPr>
          <w:spacing w:val="-2"/>
          <w:vertAlign w:val="baseline"/>
        </w:rPr>
        <w:t> </w:t>
      </w:r>
      <w:r>
        <w:rPr>
          <w:vertAlign w:val="baseline"/>
        </w:rPr>
        <w:t>farm</w:t>
      </w:r>
      <w:r>
        <w:rPr>
          <w:spacing w:val="-2"/>
          <w:vertAlign w:val="baseline"/>
        </w:rPr>
        <w:t> </w:t>
      </w:r>
      <w:r>
        <w:rPr>
          <w:vertAlign w:val="baseline"/>
        </w:rPr>
        <w:t>as</w:t>
      </w:r>
      <w:r>
        <w:rPr>
          <w:spacing w:val="-2"/>
          <w:vertAlign w:val="baseline"/>
        </w:rPr>
        <w:t> </w:t>
      </w:r>
      <w:r>
        <w:rPr>
          <w:vertAlign w:val="baseline"/>
        </w:rPr>
        <w:t>it existed from time to time. Accordingly, the nature of the interest to be received by David was clear: it was the farm as it existed on Peter’s death.” </w:t>
      </w:r>
      <w:r>
        <w:rPr>
          <w:color w:val="005DA1"/>
          <w:u w:val="single" w:color="005DA1"/>
          <w:vertAlign w:val="superscript"/>
        </w:rPr>
        <w:t>1057</w:t>
      </w:r>
      <w:r>
        <w:rPr>
          <w:color w:val="005DA1"/>
          <w:vertAlign w:val="baseline"/>
        </w:rPr>
        <w:t> </w:t>
      </w:r>
      <w:r>
        <w:rPr>
          <w:vertAlign w:val="baseline"/>
        </w:rPr>
        <w:t>That was also the view of Lord Scott: “Peter’s representation that David would inherit Steart Farm speaks, at least where Peter remained the owner of an agricultural entity known as Steart Farm, as from his death and if, at that time, evidence were available to identify Steart Farm with certainty, David’s claim in equity cannot … be rejected for want of certainty of subject-matter.” </w:t>
      </w:r>
      <w:r>
        <w:rPr>
          <w:color w:val="005DA1"/>
          <w:u w:val="single" w:color="005DA1"/>
          <w:vertAlign w:val="superscript"/>
        </w:rPr>
        <w:t>1058</w:t>
      </w:r>
      <w:r>
        <w:rPr>
          <w:color w:val="005DA1"/>
          <w:vertAlign w:val="baseline"/>
        </w:rPr>
        <w:t> </w:t>
      </w:r>
      <w:r>
        <w:rPr>
          <w:vertAlign w:val="baseline"/>
        </w:rPr>
        <w:t>The fact that Lord Scott took this view is of particular significance</w:t>
      </w:r>
      <w:r>
        <w:rPr>
          <w:spacing w:val="40"/>
          <w:vertAlign w:val="baseline"/>
        </w:rPr>
        <w:t> </w:t>
      </w:r>
      <w:r>
        <w:rPr>
          <w:vertAlign w:val="baseline"/>
        </w:rPr>
        <w:t>as he evidently saw no inconsistency between it and his rejection of the proprietary estoppel claim in the </w:t>
      </w:r>
      <w:r>
        <w:rPr>
          <w:rFonts w:ascii="Arial" w:hAnsi="Arial"/>
          <w:i/>
          <w:vertAlign w:val="baseline"/>
        </w:rPr>
        <w:t>Cobbe </w:t>
      </w:r>
      <w:r>
        <w:rPr>
          <w:vertAlign w:val="baseline"/>
        </w:rPr>
        <w:t>case on the ground of lack of “clarity as to the interest in the property in question.” </w:t>
      </w:r>
      <w:r>
        <w:rPr>
          <w:color w:val="005DA1"/>
          <w:u w:val="single" w:color="005DA1"/>
          <w:vertAlign w:val="superscript"/>
        </w:rPr>
        <w:t>1059</w:t>
      </w:r>
    </w:p>
    <w:p>
      <w:pPr>
        <w:pStyle w:val="BodyText"/>
        <w:spacing w:before="72"/>
      </w:pPr>
    </w:p>
    <w:p>
      <w:pPr>
        <w:pStyle w:val="Heading2"/>
      </w:pPr>
      <w:r>
        <w:rPr/>
        <w:t>4-</w:t>
      </w:r>
      <w:r>
        <w:rPr>
          <w:spacing w:val="-5"/>
        </w:rPr>
        <w:t>164</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8"/>
        </w:rPr>
        <w:t> </w:t>
      </w:r>
      <w:r>
        <w:rPr/>
        <w:t>In the </w:t>
      </w:r>
      <w:r>
        <w:rPr>
          <w:rFonts w:ascii="Arial" w:hAnsi="Arial"/>
          <w:i/>
        </w:rPr>
        <w:t>Cobbe </w:t>
      </w:r>
      <w:r>
        <w:rPr/>
        <w:t>case, Lord Walker </w:t>
      </w:r>
      <w:r>
        <w:rPr>
          <w:color w:val="005DA1"/>
          <w:u w:val="single" w:color="005DA1"/>
          <w:vertAlign w:val="superscript"/>
        </w:rPr>
        <w:t>1060</w:t>
      </w:r>
      <w:r>
        <w:rPr>
          <w:color w:val="005DA1"/>
          <w:vertAlign w:val="baseline"/>
        </w:rPr>
        <w:t> </w:t>
      </w:r>
      <w:r>
        <w:rPr>
          <w:vertAlign w:val="baseline"/>
        </w:rPr>
        <w:t>also rejected the claim based on proprietary estoppel </w:t>
      </w:r>
      <w:r>
        <w:rPr>
          <w:vertAlign w:val="baseline"/>
        </w:rPr>
        <w:t>(which</w:t>
      </w:r>
      <w:r>
        <w:rPr>
          <w:spacing w:val="40"/>
          <w:vertAlign w:val="baseline"/>
        </w:rPr>
        <w:t> </w:t>
      </w:r>
      <w:r>
        <w:rPr>
          <w:vertAlign w:val="baseline"/>
        </w:rPr>
        <w:t>he there called “equitable estoppel”). </w:t>
      </w:r>
      <w:r>
        <w:rPr>
          <w:color w:val="005DA1"/>
          <w:u w:val="single" w:color="005DA1"/>
          <w:vertAlign w:val="superscript"/>
        </w:rPr>
        <w:t>1061</w:t>
      </w:r>
      <w:r>
        <w:rPr>
          <w:color w:val="005DA1"/>
          <w:vertAlign w:val="baseline"/>
        </w:rPr>
        <w:t> </w:t>
      </w:r>
      <w:r>
        <w:rPr>
          <w:vertAlign w:val="baseline"/>
        </w:rPr>
        <w:t>His policy reasons for so doing seem to resemble (though they are not expressed in the same language as) Lord Scott’s. While accepting the flexibility of the doctrine, Lord Walker starts with the point that it is “not a sort of joker or wild card to be used whenever the Court disapproves of the conduct of a litigant who seems to have the law on his side” </w:t>
      </w:r>
      <w:r>
        <w:rPr>
          <w:color w:val="005DA1"/>
          <w:u w:val="single" w:color="005DA1"/>
          <w:vertAlign w:val="superscript"/>
        </w:rPr>
        <w:t>1062</w:t>
      </w:r>
      <w:r>
        <w:rPr>
          <w:color w:val="005DA1"/>
          <w:spacing w:val="-3"/>
          <w:vertAlign w:val="baseline"/>
        </w:rPr>
        <w:t> </w:t>
      </w:r>
      <w:r>
        <w:rPr>
          <w:vertAlign w:val="baseline"/>
        </w:rPr>
        <w:t>since,</w:t>
      </w:r>
      <w:r>
        <w:rPr>
          <w:spacing w:val="-3"/>
          <w:vertAlign w:val="baseline"/>
        </w:rPr>
        <w:t> </w:t>
      </w:r>
      <w:r>
        <w:rPr>
          <w:vertAlign w:val="baseline"/>
        </w:rPr>
        <w:t>if</w:t>
      </w:r>
      <w:r>
        <w:rPr>
          <w:spacing w:val="-3"/>
          <w:vertAlign w:val="baseline"/>
        </w:rPr>
        <w:t> </w:t>
      </w:r>
      <w:r>
        <w:rPr>
          <w:vertAlign w:val="baseline"/>
        </w:rPr>
        <w:t>it</w:t>
      </w:r>
      <w:r>
        <w:rPr>
          <w:spacing w:val="-3"/>
          <w:vertAlign w:val="baseline"/>
        </w:rPr>
        <w:t> </w:t>
      </w:r>
      <w:r>
        <w:rPr>
          <w:vertAlign w:val="baseline"/>
        </w:rPr>
        <w:t>were</w:t>
      </w:r>
      <w:r>
        <w:rPr>
          <w:spacing w:val="-3"/>
          <w:vertAlign w:val="baseline"/>
        </w:rPr>
        <w:t> </w:t>
      </w:r>
      <w:r>
        <w:rPr>
          <w:vertAlign w:val="baseline"/>
        </w:rPr>
        <w:t>so</w:t>
      </w:r>
      <w:r>
        <w:rPr>
          <w:spacing w:val="-3"/>
          <w:vertAlign w:val="baseline"/>
        </w:rPr>
        <w:t> </w:t>
      </w:r>
      <w:r>
        <w:rPr>
          <w:vertAlign w:val="baseline"/>
        </w:rPr>
        <w:t>used,</w:t>
      </w:r>
      <w:r>
        <w:rPr>
          <w:spacing w:val="-3"/>
          <w:vertAlign w:val="baseline"/>
        </w:rPr>
        <w:t> </w:t>
      </w:r>
      <w:r>
        <w:rPr>
          <w:vertAlign w:val="baseline"/>
        </w:rPr>
        <w:t>it</w:t>
      </w:r>
      <w:r>
        <w:rPr>
          <w:spacing w:val="-3"/>
          <w:vertAlign w:val="baseline"/>
        </w:rPr>
        <w:t> </w:t>
      </w:r>
      <w:r>
        <w:rPr>
          <w:vertAlign w:val="baseline"/>
        </w:rPr>
        <w:t>would</w:t>
      </w:r>
      <w:r>
        <w:rPr>
          <w:spacing w:val="-3"/>
          <w:vertAlign w:val="baseline"/>
        </w:rPr>
        <w:t> </w:t>
      </w:r>
      <w:r>
        <w:rPr>
          <w:vertAlign w:val="baseline"/>
        </w:rPr>
        <w:t>impair</w:t>
      </w:r>
      <w:r>
        <w:rPr>
          <w:spacing w:val="-3"/>
          <w:vertAlign w:val="baseline"/>
        </w:rPr>
        <w:t> </w:t>
      </w:r>
      <w:r>
        <w:rPr>
          <w:vertAlign w:val="baseline"/>
        </w:rPr>
        <w:t>the</w:t>
      </w:r>
      <w:r>
        <w:rPr>
          <w:spacing w:val="-3"/>
          <w:vertAlign w:val="baseline"/>
        </w:rPr>
        <w:t> </w:t>
      </w:r>
      <w:r>
        <w:rPr>
          <w:vertAlign w:val="baseline"/>
        </w:rPr>
        <w:t>certainty</w:t>
      </w:r>
      <w:r>
        <w:rPr>
          <w:spacing w:val="-3"/>
          <w:vertAlign w:val="baseline"/>
        </w:rPr>
        <w:t> </w:t>
      </w:r>
      <w:r>
        <w:rPr>
          <w:vertAlign w:val="baseline"/>
        </w:rPr>
        <w:t>which</w:t>
      </w:r>
      <w:r>
        <w:rPr>
          <w:spacing w:val="-3"/>
          <w:vertAlign w:val="baseline"/>
        </w:rPr>
        <w:t> </w:t>
      </w:r>
      <w:r>
        <w:rPr>
          <w:vertAlign w:val="baseline"/>
        </w:rPr>
        <w:t>was</w:t>
      </w:r>
      <w:r>
        <w:rPr>
          <w:spacing w:val="-3"/>
          <w:vertAlign w:val="baseline"/>
        </w:rPr>
        <w:t> </w:t>
      </w:r>
      <w:r>
        <w:rPr>
          <w:vertAlign w:val="baseline"/>
        </w:rPr>
        <w:t>important</w:t>
      </w:r>
      <w:r>
        <w:rPr>
          <w:spacing w:val="-3"/>
          <w:vertAlign w:val="baseline"/>
        </w:rPr>
        <w:t> </w:t>
      </w:r>
      <w:r>
        <w:rPr>
          <w:vertAlign w:val="baseline"/>
        </w:rPr>
        <w:t>in</w:t>
      </w:r>
      <w:r>
        <w:rPr>
          <w:spacing w:val="-3"/>
          <w:vertAlign w:val="baseline"/>
        </w:rPr>
        <w:t> </w:t>
      </w:r>
      <w:r>
        <w:rPr>
          <w:vertAlign w:val="baseline"/>
        </w:rPr>
        <w:t>property</w:t>
      </w:r>
      <w:r>
        <w:rPr>
          <w:spacing w:val="-3"/>
          <w:vertAlign w:val="baseline"/>
        </w:rPr>
        <w:t> </w:t>
      </w:r>
      <w:r>
        <w:rPr>
          <w:vertAlign w:val="baseline"/>
        </w:rPr>
        <w:t>transactions, especially in those of a commercial nature. </w:t>
      </w:r>
      <w:r>
        <w:rPr>
          <w:color w:val="005DA1"/>
          <w:u w:val="single" w:color="005DA1"/>
          <w:vertAlign w:val="superscript"/>
        </w:rPr>
        <w:t>1063</w:t>
      </w:r>
      <w:r>
        <w:rPr>
          <w:color w:val="005DA1"/>
          <w:vertAlign w:val="baseline"/>
        </w:rPr>
        <w:t> </w:t>
      </w:r>
      <w:r>
        <w:rPr>
          <w:vertAlign w:val="baseline"/>
        </w:rPr>
        <w:t>This reasoning can be said to resemble Lord Scott’s view</w:t>
      </w:r>
      <w:r>
        <w:rPr>
          <w:spacing w:val="16"/>
          <w:vertAlign w:val="baseline"/>
        </w:rPr>
        <w:t> </w:t>
      </w:r>
      <w:r>
        <w:rPr>
          <w:vertAlign w:val="baseline"/>
        </w:rPr>
        <w:t>that</w:t>
      </w:r>
      <w:r>
        <w:rPr>
          <w:spacing w:val="16"/>
          <w:vertAlign w:val="baseline"/>
        </w:rPr>
        <w:t> </w:t>
      </w:r>
      <w:r>
        <w:rPr>
          <w:vertAlign w:val="baseline"/>
        </w:rPr>
        <w:t>such</w:t>
      </w:r>
      <w:r>
        <w:rPr>
          <w:spacing w:val="17"/>
          <w:vertAlign w:val="baseline"/>
        </w:rPr>
        <w:t> </w:t>
      </w:r>
      <w:r>
        <w:rPr>
          <w:vertAlign w:val="baseline"/>
        </w:rPr>
        <w:t>a</w:t>
      </w:r>
      <w:r>
        <w:rPr>
          <w:spacing w:val="16"/>
          <w:vertAlign w:val="baseline"/>
        </w:rPr>
        <w:t> </w:t>
      </w:r>
      <w:r>
        <w:rPr>
          <w:vertAlign w:val="baseline"/>
        </w:rPr>
        <w:t>broad</w:t>
      </w:r>
      <w:r>
        <w:rPr>
          <w:spacing w:val="17"/>
          <w:vertAlign w:val="baseline"/>
        </w:rPr>
        <w:t> </w:t>
      </w:r>
      <w:r>
        <w:rPr>
          <w:vertAlign w:val="baseline"/>
        </w:rPr>
        <w:t>application</w:t>
      </w:r>
      <w:r>
        <w:rPr>
          <w:spacing w:val="16"/>
          <w:vertAlign w:val="baseline"/>
        </w:rPr>
        <w:t> </w:t>
      </w:r>
      <w:r>
        <w:rPr>
          <w:vertAlign w:val="baseline"/>
        </w:rPr>
        <w:t>of</w:t>
      </w:r>
      <w:r>
        <w:rPr>
          <w:spacing w:val="17"/>
          <w:vertAlign w:val="baseline"/>
        </w:rPr>
        <w:t> </w:t>
      </w:r>
      <w:r>
        <w:rPr>
          <w:vertAlign w:val="baseline"/>
        </w:rPr>
        <w:t>proprietary</w:t>
      </w:r>
      <w:r>
        <w:rPr>
          <w:spacing w:val="16"/>
          <w:vertAlign w:val="baseline"/>
        </w:rPr>
        <w:t> </w:t>
      </w:r>
      <w:r>
        <w:rPr>
          <w:vertAlign w:val="baseline"/>
        </w:rPr>
        <w:t>estoppel</w:t>
      </w:r>
      <w:r>
        <w:rPr>
          <w:spacing w:val="17"/>
          <w:vertAlign w:val="baseline"/>
        </w:rPr>
        <w:t> </w:t>
      </w:r>
      <w:r>
        <w:rPr>
          <w:vertAlign w:val="baseline"/>
        </w:rPr>
        <w:t>would</w:t>
      </w:r>
      <w:r>
        <w:rPr>
          <w:spacing w:val="16"/>
          <w:vertAlign w:val="baseline"/>
        </w:rPr>
        <w:t> </w:t>
      </w:r>
      <w:r>
        <w:rPr>
          <w:vertAlign w:val="baseline"/>
        </w:rPr>
        <w:t>be</w:t>
      </w:r>
      <w:r>
        <w:rPr>
          <w:spacing w:val="17"/>
          <w:vertAlign w:val="baseline"/>
        </w:rPr>
        <w:t> </w:t>
      </w:r>
      <w:r>
        <w:rPr>
          <w:vertAlign w:val="baseline"/>
        </w:rPr>
        <w:t>a</w:t>
      </w:r>
      <w:r>
        <w:rPr>
          <w:spacing w:val="16"/>
          <w:vertAlign w:val="baseline"/>
        </w:rPr>
        <w:t> </w:t>
      </w:r>
      <w:r>
        <w:rPr>
          <w:vertAlign w:val="baseline"/>
        </w:rPr>
        <w:t>“recipe</w:t>
      </w:r>
      <w:r>
        <w:rPr>
          <w:spacing w:val="17"/>
          <w:vertAlign w:val="baseline"/>
        </w:rPr>
        <w:t> </w:t>
      </w:r>
      <w:r>
        <w:rPr>
          <w:vertAlign w:val="baseline"/>
        </w:rPr>
        <w:t>for</w:t>
      </w:r>
      <w:r>
        <w:rPr>
          <w:spacing w:val="16"/>
          <w:vertAlign w:val="baseline"/>
        </w:rPr>
        <w:t> </w:t>
      </w:r>
      <w:r>
        <w:rPr>
          <w:vertAlign w:val="baseline"/>
        </w:rPr>
        <w:t>confusion”</w:t>
      </w:r>
      <w:r>
        <w:rPr>
          <w:spacing w:val="15"/>
          <w:vertAlign w:val="baseline"/>
        </w:rPr>
        <w:t> </w:t>
      </w:r>
      <w:r>
        <w:rPr>
          <w:color w:val="005DA1"/>
          <w:u w:val="single" w:color="005DA1"/>
          <w:vertAlign w:val="superscript"/>
        </w:rPr>
        <w:t>1064</w:t>
      </w:r>
      <w:r>
        <w:rPr>
          <w:vertAlign w:val="baseline"/>
        </w:rPr>
        <w:t>;</w:t>
      </w:r>
      <w:r>
        <w:rPr>
          <w:spacing w:val="16"/>
          <w:vertAlign w:val="baseline"/>
        </w:rPr>
        <w:t> </w:t>
      </w:r>
      <w:r>
        <w:rPr>
          <w:spacing w:val="-5"/>
          <w:vertAlign w:val="baseline"/>
        </w:rPr>
        <w:t>but</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rPr>
          <w:rFonts w:ascii="Arial" w:hAnsi="Arial"/>
          <w:i/>
        </w:rPr>
      </w:pPr>
      <w:r>
        <w:rPr/>
        <w:t>Lord Walker’s more specific reasons for rejecting the proprietary estoppel claim seem to differ in a number of important respects </w:t>
      </w:r>
      <w:r>
        <w:rPr>
          <w:color w:val="005DA1"/>
          <w:u w:val="single" w:color="005DA1"/>
          <w:vertAlign w:val="superscript"/>
        </w:rPr>
        <w:t>1065</w:t>
      </w:r>
      <w:r>
        <w:rPr>
          <w:color w:val="005DA1"/>
          <w:vertAlign w:val="baseline"/>
        </w:rPr>
        <w:t> </w:t>
      </w:r>
      <w:r>
        <w:rPr>
          <w:vertAlign w:val="baseline"/>
        </w:rPr>
        <w:t>from those given in support of the same conclusion by Lord Scott. First, Lord Scott’s two “ingredients for a proprietary estoppel” (discussed in para.4-162 above) have</w:t>
      </w:r>
      <w:r>
        <w:rPr>
          <w:spacing w:val="40"/>
          <w:vertAlign w:val="baseline"/>
        </w:rPr>
        <w:t> </w:t>
      </w:r>
      <w:r>
        <w:rPr>
          <w:vertAlign w:val="baseline"/>
        </w:rPr>
        <w:t>no counterpart in Lord Walker’s speech. Secondly (and conversely) Lord Walker’s main ground for dismissing the proprietary estoppel claim has no counterpart in Lord Scott’s speech. That ground was stated by Lord Walker to be that C’s proprietary estoppel claim “seems to me to fail on the simple but fundamental point that, as persons experienced in the property world, both parties knew that </w:t>
      </w:r>
      <w:r>
        <w:rPr>
          <w:vertAlign w:val="baseline"/>
        </w:rPr>
        <w:t>there was no legally binding contract, and that either was free to discontinue the negotiations without legal liability, that is liability in equity as well as at law. [C] was therefore running a risk … He ran a commercial risk with his eyes open,” </w:t>
      </w:r>
      <w:r>
        <w:rPr>
          <w:color w:val="005DA1"/>
          <w:u w:val="single" w:color="005DA1"/>
          <w:vertAlign w:val="superscript"/>
        </w:rPr>
        <w:t>1066</w:t>
      </w:r>
      <w:r>
        <w:rPr>
          <w:color w:val="005DA1"/>
          <w:vertAlign w:val="baseline"/>
        </w:rPr>
        <w:t> </w:t>
      </w:r>
      <w:r>
        <w:rPr>
          <w:vertAlign w:val="baseline"/>
        </w:rPr>
        <w:t>Lord Scott makes no express reference to </w:t>
      </w:r>
      <w:r>
        <w:rPr>
          <w:rFonts w:ascii="Arial" w:hAnsi="Arial"/>
          <w:i/>
          <w:vertAlign w:val="baseline"/>
        </w:rPr>
        <w:t>this </w:t>
      </w:r>
      <w:r>
        <w:rPr>
          <w:vertAlign w:val="baseline"/>
        </w:rPr>
        <w:t>risk, though it may be reflected in his discussion of the reasons why the first of the “ingredients” of proprietary estoppel (discussed in para.4-162 above) had not been established. The only “risks” to which Lord Scott expressly refers as having been taken by C were the different risks “that planning permission might be refused” and that the enterprise “might leave him with an inadequate profit or even none at all.” </w:t>
      </w:r>
      <w:r>
        <w:rPr>
          <w:color w:val="005DA1"/>
          <w:u w:val="single" w:color="005DA1"/>
          <w:vertAlign w:val="superscript"/>
        </w:rPr>
        <w:t>1067</w:t>
      </w:r>
      <w:r>
        <w:rPr>
          <w:color w:val="005DA1"/>
          <w:vertAlign w:val="baseline"/>
        </w:rPr>
        <w:t> </w:t>
      </w:r>
      <w:r>
        <w:rPr>
          <w:vertAlign w:val="baseline"/>
        </w:rPr>
        <w:t>Thirdly, Lord Scott rejects the proprietary estoppel claim in spite of the fact that D’s conduct </w:t>
      </w:r>
      <w:r>
        <w:rPr>
          <w:rFonts w:ascii="Arial" w:hAnsi="Arial"/>
          <w:i/>
          <w:vertAlign w:val="baseline"/>
        </w:rPr>
        <w:t>was </w:t>
      </w:r>
      <w:r>
        <w:rPr>
          <w:vertAlign w:val="baseline"/>
        </w:rPr>
        <w:t>“unconscionable”, regarding that circumstance as not “sufficient to justify the creation of a ‘proprietary estoppel equity’ ”. </w:t>
      </w:r>
      <w:r>
        <w:rPr>
          <w:color w:val="005DA1"/>
          <w:u w:val="single" w:color="005DA1"/>
          <w:vertAlign w:val="superscript"/>
        </w:rPr>
        <w:t>1068</w:t>
      </w:r>
      <w:r>
        <w:rPr>
          <w:color w:val="005DA1"/>
          <w:vertAlign w:val="baseline"/>
        </w:rPr>
        <w:t> </w:t>
      </w:r>
      <w:r>
        <w:rPr>
          <w:vertAlign w:val="baseline"/>
        </w:rPr>
        <w:t>Lord Walker, by contrast, rejects that claim, not only on the ground given above (i.e. that C “ran a commercial risk with his eyes open”) </w:t>
      </w:r>
      <w:r>
        <w:rPr>
          <w:color w:val="005DA1"/>
          <w:u w:val="single" w:color="005DA1"/>
          <w:vertAlign w:val="superscript"/>
        </w:rPr>
        <w:t>1069</w:t>
      </w:r>
      <w:r>
        <w:rPr>
          <w:color w:val="005DA1"/>
          <w:vertAlign w:val="baseline"/>
        </w:rPr>
        <w:t> </w:t>
      </w:r>
      <w:r>
        <w:rPr>
          <w:vertAlign w:val="baseline"/>
        </w:rPr>
        <w:t>but also on the further ground that C “knew that [D] was bound in honour only, and so in the eyes of equity her [D’s] conduct, although unattractive, </w:t>
      </w:r>
      <w:r>
        <w:rPr>
          <w:rFonts w:ascii="Arial" w:hAnsi="Arial"/>
          <w:i/>
          <w:vertAlign w:val="baseline"/>
        </w:rPr>
        <w:t>was not unconscionable</w:t>
      </w:r>
      <w:r>
        <w:rPr>
          <w:rFonts w:ascii="Arial" w:hAnsi="Arial"/>
          <w:i/>
          <w:spacing w:val="-6"/>
          <w:vertAlign w:val="baseline"/>
        </w:rPr>
        <w:t> </w:t>
      </w:r>
      <w:r>
        <w:rPr>
          <w:vertAlign w:val="baseline"/>
        </w:rPr>
        <w:t>”. </w:t>
      </w:r>
      <w:r>
        <w:rPr>
          <w:color w:val="005DA1"/>
          <w:u w:val="single" w:color="005DA1"/>
          <w:vertAlign w:val="superscript"/>
        </w:rPr>
        <w:t>1070</w:t>
      </w:r>
      <w:r>
        <w:rPr>
          <w:color w:val="005DA1"/>
          <w:vertAlign w:val="baseline"/>
        </w:rPr>
        <w:t> </w:t>
      </w:r>
      <w:r>
        <w:rPr>
          <w:vertAlign w:val="baseline"/>
        </w:rPr>
        <w:t>One possible explanation of this difference between the two speeches is that Lord Scott’s concern was to deny that unconscionable conduct, even if proved, was a </w:t>
      </w:r>
      <w:r>
        <w:rPr>
          <w:rFonts w:ascii="Arial" w:hAnsi="Arial"/>
          <w:i/>
          <w:vertAlign w:val="baseline"/>
        </w:rPr>
        <w:t>sufficient</w:t>
      </w:r>
      <w:r>
        <w:rPr>
          <w:vertAlign w:val="baseline"/>
        </w:rPr>
        <w:t>, while Lord Walker’s was to emphasise that such conduct was a </w:t>
      </w:r>
      <w:r>
        <w:rPr>
          <w:rFonts w:ascii="Arial" w:hAnsi="Arial"/>
          <w:i/>
          <w:vertAlign w:val="baseline"/>
        </w:rPr>
        <w:t>necessary</w:t>
      </w:r>
      <w:r>
        <w:rPr>
          <w:vertAlign w:val="baseline"/>
        </w:rPr>
        <w:t>, condition (which had not been satisfied) for the operation of proprietary estoppel. Another possibility is that while Lord Scott denied that even actually unconscionable conduct was sufficient for this purpose, Lord Walker was, more narrowly, concerned to deny the sufficiency of conduct that was not </w:t>
      </w:r>
      <w:r>
        <w:rPr>
          <w:rFonts w:ascii="Arial" w:hAnsi="Arial"/>
          <w:i/>
          <w:vertAlign w:val="baseline"/>
        </w:rPr>
        <w:t>actually </w:t>
      </w:r>
      <w:r>
        <w:rPr>
          <w:vertAlign w:val="baseline"/>
        </w:rPr>
        <w:t>unconscionable but only unconscionable “in the eyes of equity”, </w:t>
      </w:r>
      <w:r>
        <w:rPr>
          <w:color w:val="005DA1"/>
          <w:u w:val="single" w:color="005DA1"/>
          <w:vertAlign w:val="superscript"/>
        </w:rPr>
        <w:t>1071</w:t>
      </w:r>
      <w:r>
        <w:rPr>
          <w:color w:val="005DA1"/>
          <w:vertAlign w:val="baseline"/>
        </w:rPr>
        <w:t> </w:t>
      </w:r>
      <w:r>
        <w:rPr>
          <w:vertAlign w:val="baseline"/>
        </w:rPr>
        <w:t>or, in other words, by virtue of a legal fiction. On the first of these views, the question then arises what </w:t>
      </w:r>
      <w:r>
        <w:rPr>
          <w:rFonts w:ascii="Arial" w:hAnsi="Arial"/>
          <w:i/>
          <w:vertAlign w:val="baseline"/>
        </w:rPr>
        <w:t>further </w:t>
      </w:r>
      <w:r>
        <w:rPr>
          <w:vertAlign w:val="baseline"/>
        </w:rPr>
        <w:t>requirement, other than unconscionable conduct, must be satisfied as a necessary condition of the operation of proprietary estoppel. As the foregoing discussion in paras 4-161 and 4-162 shows, the answer to this question</w:t>
      </w:r>
      <w:r>
        <w:rPr>
          <w:spacing w:val="5"/>
          <w:vertAlign w:val="baseline"/>
        </w:rPr>
        <w:t> </w:t>
      </w:r>
      <w:r>
        <w:rPr>
          <w:vertAlign w:val="baseline"/>
        </w:rPr>
        <w:t>given</w:t>
      </w:r>
      <w:r>
        <w:rPr>
          <w:spacing w:val="5"/>
          <w:vertAlign w:val="baseline"/>
        </w:rPr>
        <w:t> </w:t>
      </w:r>
      <w:r>
        <w:rPr>
          <w:vertAlign w:val="baseline"/>
        </w:rPr>
        <w:t>by</w:t>
      </w:r>
      <w:r>
        <w:rPr>
          <w:spacing w:val="5"/>
          <w:vertAlign w:val="baseline"/>
        </w:rPr>
        <w:t> </w:t>
      </w:r>
      <w:r>
        <w:rPr>
          <w:vertAlign w:val="baseline"/>
        </w:rPr>
        <w:t>Lord</w:t>
      </w:r>
      <w:r>
        <w:rPr>
          <w:spacing w:val="5"/>
          <w:vertAlign w:val="baseline"/>
        </w:rPr>
        <w:t> </w:t>
      </w:r>
      <w:r>
        <w:rPr>
          <w:vertAlign w:val="baseline"/>
        </w:rPr>
        <w:t>Scott</w:t>
      </w:r>
      <w:r>
        <w:rPr>
          <w:spacing w:val="5"/>
          <w:vertAlign w:val="baseline"/>
        </w:rPr>
        <w:t> </w:t>
      </w:r>
      <w:r>
        <w:rPr>
          <w:vertAlign w:val="baseline"/>
        </w:rPr>
        <w:t>differs</w:t>
      </w:r>
      <w:r>
        <w:rPr>
          <w:spacing w:val="5"/>
          <w:vertAlign w:val="baseline"/>
        </w:rPr>
        <w:t> </w:t>
      </w:r>
      <w:r>
        <w:rPr>
          <w:vertAlign w:val="baseline"/>
        </w:rPr>
        <w:t>from</w:t>
      </w:r>
      <w:r>
        <w:rPr>
          <w:spacing w:val="5"/>
          <w:vertAlign w:val="baseline"/>
        </w:rPr>
        <w:t> </w:t>
      </w:r>
      <w:r>
        <w:rPr>
          <w:vertAlign w:val="baseline"/>
        </w:rPr>
        <w:t>that</w:t>
      </w:r>
      <w:r>
        <w:rPr>
          <w:spacing w:val="5"/>
          <w:vertAlign w:val="baseline"/>
        </w:rPr>
        <w:t> </w:t>
      </w:r>
      <w:r>
        <w:rPr>
          <w:vertAlign w:val="baseline"/>
        </w:rPr>
        <w:t>given</w:t>
      </w:r>
      <w:r>
        <w:rPr>
          <w:spacing w:val="5"/>
          <w:vertAlign w:val="baseline"/>
        </w:rPr>
        <w:t> </w:t>
      </w:r>
      <w:r>
        <w:rPr>
          <w:vertAlign w:val="baseline"/>
        </w:rPr>
        <w:t>by</w:t>
      </w:r>
      <w:r>
        <w:rPr>
          <w:spacing w:val="5"/>
          <w:vertAlign w:val="baseline"/>
        </w:rPr>
        <w:t> </w:t>
      </w:r>
      <w:r>
        <w:rPr>
          <w:vertAlign w:val="baseline"/>
        </w:rPr>
        <w:t>Lord</w:t>
      </w:r>
      <w:r>
        <w:rPr>
          <w:spacing w:val="5"/>
          <w:vertAlign w:val="baseline"/>
        </w:rPr>
        <w:t> </w:t>
      </w:r>
      <w:r>
        <w:rPr>
          <w:vertAlign w:val="baseline"/>
        </w:rPr>
        <w:t>Walker,</w:t>
      </w:r>
      <w:r>
        <w:rPr>
          <w:spacing w:val="5"/>
          <w:vertAlign w:val="baseline"/>
        </w:rPr>
        <w:t> </w:t>
      </w:r>
      <w:r>
        <w:rPr>
          <w:vertAlign w:val="baseline"/>
        </w:rPr>
        <w:t>though</w:t>
      </w:r>
      <w:r>
        <w:rPr>
          <w:spacing w:val="5"/>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facts</w:t>
      </w:r>
      <w:r>
        <w:rPr>
          <w:spacing w:val="5"/>
          <w:vertAlign w:val="baseline"/>
        </w:rPr>
        <w:t> </w:t>
      </w:r>
      <w:r>
        <w:rPr>
          <w:vertAlign w:val="baseline"/>
        </w:rPr>
        <w:t>of</w:t>
      </w:r>
      <w:r>
        <w:rPr>
          <w:spacing w:val="5"/>
          <w:vertAlign w:val="baseline"/>
        </w:rPr>
        <w:t> </w:t>
      </w:r>
      <w:r>
        <w:rPr>
          <w:vertAlign w:val="baseline"/>
        </w:rPr>
        <w:t>the</w:t>
      </w:r>
      <w:r>
        <w:rPr>
          <w:spacing w:val="4"/>
          <w:vertAlign w:val="baseline"/>
        </w:rPr>
        <w:t> </w:t>
      </w:r>
      <w:r>
        <w:rPr>
          <w:rFonts w:ascii="Arial" w:hAnsi="Arial"/>
          <w:i/>
          <w:spacing w:val="-2"/>
          <w:vertAlign w:val="baseline"/>
        </w:rPr>
        <w:t>Cobbe</w:t>
      </w:r>
    </w:p>
    <w:p>
      <w:pPr>
        <w:pStyle w:val="BodyText"/>
        <w:spacing w:before="105"/>
        <w:ind w:left="165"/>
        <w:jc w:val="both"/>
        <w:rPr>
          <w:position w:val="-2"/>
        </w:rPr>
      </w:pPr>
      <w:r>
        <w:rPr/>
        <w:t>case both answers led to the same result. </w:t>
      </w:r>
      <w:r>
        <w:rPr>
          <w:color w:val="005DA1"/>
          <w:u w:val="single" w:color="005DA1"/>
          <w:vertAlign w:val="superscript"/>
        </w:rPr>
        <w:t>1072</w:t>
      </w:r>
      <w:r>
        <w:rPr>
          <w:color w:val="005DA1"/>
          <w:spacing w:val="80"/>
          <w:w w:val="150"/>
          <w:vertAlign w:val="baseline"/>
        </w:rPr>
        <w:t> </w:t>
      </w:r>
      <w:r>
        <w:rPr>
          <w:color w:val="005DA1"/>
          <w:position w:val="-2"/>
          <w:vertAlign w:val="baseline"/>
        </w:rPr>
        <w:drawing>
          <wp:inline distT="0" distB="0" distL="0" distR="0">
            <wp:extent cx="107988" cy="107988"/>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Relationship between the Cobbe and Thorner </w:t>
      </w:r>
      <w:r>
        <w:rPr>
          <w:rFonts w:ascii="Arial"/>
          <w:b/>
          <w:spacing w:val="-2"/>
          <w:sz w:val="18"/>
        </w:rPr>
        <w:t>cases</w:t>
      </w:r>
    </w:p>
    <w:p>
      <w:pPr>
        <w:pStyle w:val="BodyText"/>
        <w:spacing w:before="41"/>
        <w:rPr>
          <w:rFonts w:ascii="Arial"/>
          <w:b/>
          <w:sz w:val="18"/>
        </w:rPr>
      </w:pPr>
    </w:p>
    <w:p>
      <w:pPr>
        <w:pStyle w:val="Heading2"/>
      </w:pPr>
      <w:r>
        <w:rPr/>
        <w:t>4-</w:t>
      </w:r>
      <w:r>
        <w:rPr>
          <w:spacing w:val="-5"/>
        </w:rPr>
        <w:t>165</w:t>
      </w:r>
    </w:p>
    <w:p>
      <w:pPr>
        <w:pStyle w:val="BodyText"/>
        <w:spacing w:line="235" w:lineRule="auto" w:before="203"/>
        <w:ind w:left="164" w:right="167"/>
        <w:jc w:val="both"/>
      </w:pPr>
      <w:r>
        <w:rPr/>
        <w:t>On the issue of proprietary estoppel, the outcome of the </w:t>
      </w:r>
      <w:r>
        <w:rPr>
          <w:rFonts w:ascii="Arial" w:hAnsi="Arial"/>
          <w:i/>
        </w:rPr>
        <w:t>Cobbe </w:t>
      </w:r>
      <w:r>
        <w:rPr/>
        <w:t>case </w:t>
      </w:r>
      <w:r>
        <w:rPr>
          <w:color w:val="005DA1"/>
          <w:u w:val="single" w:color="005DA1"/>
          <w:vertAlign w:val="superscript"/>
        </w:rPr>
        <w:t>1073</w:t>
      </w:r>
      <w:r>
        <w:rPr>
          <w:color w:val="005DA1"/>
          <w:vertAlign w:val="baseline"/>
        </w:rPr>
        <w:t> </w:t>
      </w:r>
      <w:r>
        <w:rPr>
          <w:vertAlign w:val="baseline"/>
        </w:rPr>
        <w:t>differed from that of </w:t>
      </w:r>
      <w:r>
        <w:rPr>
          <w:rFonts w:ascii="Arial" w:hAnsi="Arial"/>
          <w:i/>
          <w:vertAlign w:val="baseline"/>
        </w:rPr>
        <w:t>Thorner v Major </w:t>
      </w:r>
      <w:r>
        <w:rPr>
          <w:color w:val="005DA1"/>
          <w:u w:val="single" w:color="005DA1"/>
          <w:vertAlign w:val="superscript"/>
        </w:rPr>
        <w:t>1074</w:t>
      </w:r>
      <w:r>
        <w:rPr>
          <w:color w:val="005DA1"/>
          <w:vertAlign w:val="baseline"/>
        </w:rPr>
        <w:t> </w:t>
      </w:r>
      <w:r>
        <w:rPr>
          <w:vertAlign w:val="baseline"/>
        </w:rPr>
        <w:t>and the question arises whether this difference in outcome reflects a difference in legal principle between the two cases. In discussing this question, a number of preliminary points must be made. First, of the five members of the Appellate Committee of the House of Lords in the </w:t>
      </w:r>
      <w:r>
        <w:rPr>
          <w:rFonts w:ascii="Arial" w:hAnsi="Arial"/>
          <w:i/>
          <w:vertAlign w:val="baseline"/>
        </w:rPr>
        <w:t>Cobbe</w:t>
      </w:r>
      <w:r>
        <w:rPr>
          <w:rFonts w:ascii="Arial" w:hAnsi="Arial"/>
          <w:i/>
          <w:spacing w:val="40"/>
          <w:vertAlign w:val="baseline"/>
        </w:rPr>
        <w:t> </w:t>
      </w:r>
      <w:r>
        <w:rPr>
          <w:vertAlign w:val="baseline"/>
        </w:rPr>
        <w:t>case, three (Lords Hoffmann, Scott and Walker) were also members of that Committee in </w:t>
      </w:r>
      <w:r>
        <w:rPr>
          <w:rFonts w:ascii="Arial" w:hAnsi="Arial"/>
          <w:i/>
          <w:vertAlign w:val="baseline"/>
        </w:rPr>
        <w:t>Thorner v Major</w:t>
      </w:r>
      <w:r>
        <w:rPr>
          <w:vertAlign w:val="baseline"/>
        </w:rPr>
        <w:t>. Of those three, only one (Lord Walker) commented on the former decision in his speech in the latter, the most detailed discussion of the relationship between the two cases being contained in Lord Neuberger’s speech in </w:t>
      </w:r>
      <w:r>
        <w:rPr>
          <w:rFonts w:ascii="Arial" w:hAnsi="Arial"/>
          <w:i/>
          <w:vertAlign w:val="baseline"/>
        </w:rPr>
        <w:t>Thorner v Major</w:t>
      </w:r>
      <w:r>
        <w:rPr>
          <w:vertAlign w:val="baseline"/>
        </w:rPr>
        <w:t>. Secondly the respondents (i.e., the defendants) in </w:t>
      </w:r>
      <w:r>
        <w:rPr>
          <w:rFonts w:ascii="Arial" w:hAnsi="Arial"/>
          <w:i/>
          <w:vertAlign w:val="baseline"/>
        </w:rPr>
        <w:t>Thorner v Major </w:t>
      </w:r>
      <w:r>
        <w:rPr>
          <w:vertAlign w:val="baseline"/>
        </w:rPr>
        <w:t>“did not contend that this House’s decision in </w:t>
      </w:r>
      <w:r>
        <w:rPr>
          <w:rFonts w:ascii="Arial" w:hAnsi="Arial"/>
          <w:i/>
          <w:vertAlign w:val="baseline"/>
        </w:rPr>
        <w:t>Cobbe v Yeoman’s Row Management </w:t>
      </w:r>
      <w:r>
        <w:rPr>
          <w:vertAlign w:val="baseline"/>
        </w:rPr>
        <w:t>… has severely curtailed, or even virtually extinguished, the doctrine of proprietary estoppel.” </w:t>
      </w:r>
      <w:r>
        <w:rPr>
          <w:color w:val="005DA1"/>
          <w:u w:val="single" w:color="005DA1"/>
          <w:vertAlign w:val="superscript"/>
        </w:rPr>
        <w:t>1075</w:t>
      </w:r>
      <w:r>
        <w:rPr>
          <w:color w:val="005DA1"/>
          <w:vertAlign w:val="baseline"/>
        </w:rPr>
        <w:t> </w:t>
      </w:r>
      <w:r>
        <w:rPr>
          <w:vertAlign w:val="baseline"/>
        </w:rPr>
        <w:t>In </w:t>
      </w:r>
      <w:r>
        <w:rPr>
          <w:rFonts w:ascii="Arial" w:hAnsi="Arial"/>
          <w:i/>
          <w:vertAlign w:val="baseline"/>
        </w:rPr>
        <w:t>Thorner</w:t>
      </w:r>
      <w:r>
        <w:rPr>
          <w:rFonts w:ascii="Arial" w:hAnsi="Arial"/>
          <w:i/>
          <w:spacing w:val="40"/>
          <w:vertAlign w:val="baseline"/>
        </w:rPr>
        <w:t> </w:t>
      </w:r>
      <w:r>
        <w:rPr>
          <w:rFonts w:ascii="Arial" w:hAnsi="Arial"/>
          <w:i/>
          <w:vertAlign w:val="baseline"/>
        </w:rPr>
        <w:t>v Major </w:t>
      </w:r>
      <w:r>
        <w:rPr>
          <w:vertAlign w:val="baseline"/>
        </w:rPr>
        <w:t>Lord Walker described the view that this was the effect of the </w:t>
      </w:r>
      <w:r>
        <w:rPr>
          <w:rFonts w:ascii="Arial" w:hAnsi="Arial"/>
          <w:i/>
          <w:vertAlign w:val="baseline"/>
        </w:rPr>
        <w:t>Cobbe </w:t>
      </w:r>
      <w:r>
        <w:rPr>
          <w:vertAlign w:val="baseline"/>
        </w:rPr>
        <w:t>case as a “rather apocalyptic one” </w:t>
      </w:r>
      <w:r>
        <w:rPr>
          <w:color w:val="005DA1"/>
          <w:u w:val="single" w:color="005DA1"/>
          <w:vertAlign w:val="superscript"/>
        </w:rPr>
        <w:t>1076</w:t>
      </w:r>
      <w:r>
        <w:rPr>
          <w:color w:val="005DA1"/>
          <w:vertAlign w:val="baseline"/>
        </w:rPr>
        <w:t> </w:t>
      </w:r>
      <w:r>
        <w:rPr>
          <w:vertAlign w:val="baseline"/>
        </w:rPr>
        <w:t>though he accepted that the </w:t>
      </w:r>
      <w:r>
        <w:rPr>
          <w:rFonts w:ascii="Arial" w:hAnsi="Arial"/>
          <w:i/>
          <w:vertAlign w:val="baseline"/>
        </w:rPr>
        <w:t>Cobbe </w:t>
      </w:r>
      <w:r>
        <w:rPr>
          <w:vertAlign w:val="baseline"/>
        </w:rPr>
        <w:t>case was “certainly relevant to the second issue” </w:t>
      </w:r>
      <w:r>
        <w:rPr>
          <w:color w:val="005DA1"/>
          <w:u w:val="single" w:color="005DA1"/>
          <w:vertAlign w:val="superscript"/>
        </w:rPr>
        <w:t>1077</w:t>
      </w:r>
      <w:r>
        <w:rPr>
          <w:color w:val="005DA1"/>
          <w:vertAlign w:val="baseline"/>
        </w:rPr>
        <w:t> </w:t>
      </w:r>
      <w:r>
        <w:rPr>
          <w:vertAlign w:val="baseline"/>
        </w:rPr>
        <w:t>in the </w:t>
      </w:r>
      <w:r>
        <w:rPr>
          <w:rFonts w:ascii="Arial" w:hAnsi="Arial"/>
          <w:i/>
          <w:vertAlign w:val="baseline"/>
        </w:rPr>
        <w:t>Thorner </w:t>
      </w:r>
      <w:r>
        <w:rPr>
          <w:vertAlign w:val="baseline"/>
        </w:rPr>
        <w:t>case; but on that issue the two cases were distinguished on their facts and not considered to give rise to any conflict of legal principle. </w:t>
      </w:r>
      <w:r>
        <w:rPr>
          <w:color w:val="005DA1"/>
          <w:u w:val="single" w:color="005DA1"/>
          <w:vertAlign w:val="superscript"/>
        </w:rPr>
        <w:t>1078</w:t>
      </w:r>
      <w:r>
        <w:rPr>
          <w:color w:val="005DA1"/>
          <w:vertAlign w:val="baseline"/>
        </w:rPr>
        <w:t> </w:t>
      </w:r>
      <w:r>
        <w:rPr>
          <w:vertAlign w:val="baseline"/>
        </w:rPr>
        <w:t>Thirdly, Lord Neuberger in </w:t>
      </w:r>
      <w:r>
        <w:rPr>
          <w:rFonts w:ascii="Arial" w:hAnsi="Arial"/>
          <w:i/>
          <w:vertAlign w:val="baseline"/>
        </w:rPr>
        <w:t>Thornton v Major </w:t>
      </w:r>
      <w:r>
        <w:rPr>
          <w:vertAlign w:val="baseline"/>
        </w:rPr>
        <w:t>said that “Concentrating on the perceived morality of the parties’ behaviour can lead to an unacceptable degree of uncertainty of outcome, and hence I welcome the decision in </w:t>
      </w:r>
      <w:r>
        <w:rPr>
          <w:rFonts w:ascii="Arial" w:hAnsi="Arial"/>
          <w:i/>
          <w:vertAlign w:val="baseline"/>
        </w:rPr>
        <w:t>Cobbe </w:t>
      </w:r>
      <w:r>
        <w:rPr>
          <w:vertAlign w:val="baseline"/>
        </w:rPr>
        <w:t>…” </w:t>
      </w:r>
      <w:r>
        <w:rPr>
          <w:color w:val="005DA1"/>
          <w:u w:val="single" w:color="005DA1"/>
          <w:vertAlign w:val="superscript"/>
        </w:rPr>
        <w:t>1079</w:t>
      </w:r>
      <w:r>
        <w:rPr>
          <w:color w:val="005DA1"/>
          <w:vertAlign w:val="baseline"/>
        </w:rPr>
        <w:t> </w:t>
      </w:r>
      <w:r>
        <w:rPr>
          <w:vertAlign w:val="baseline"/>
        </w:rPr>
        <w:t>This statement of the underlying policy is in substance the same as that contained in passages from the speeches of Lords Scott and Walker in the </w:t>
      </w:r>
      <w:r>
        <w:rPr>
          <w:rFonts w:ascii="Arial" w:hAnsi="Arial"/>
          <w:i/>
          <w:vertAlign w:val="baseline"/>
        </w:rPr>
        <w:t>Cobbe </w:t>
      </w:r>
      <w:r>
        <w:rPr>
          <w:vertAlign w:val="baseline"/>
        </w:rPr>
        <w:t>case which are cited in paras 4-162 and 4-164 above, so that, on this point at least, there is no conflict of policy between the two cases. But in the same paragraph of his speech Lord Neuberger also said that “it would represent a regrettable and substantial emasculation of the beneficial principle of proprietary estoppel if it were artificially fettered so as to require the precise extent of the property the subject of the alleged estoppel to be strictly defined in every case.” </w:t>
      </w:r>
      <w:r>
        <w:rPr>
          <w:color w:val="005DA1"/>
          <w:u w:val="single" w:color="005DA1"/>
          <w:vertAlign w:val="superscript"/>
        </w:rPr>
        <w:t>1080</w:t>
      </w:r>
      <w:r>
        <w:rPr>
          <w:color w:val="005DA1"/>
          <w:vertAlign w:val="baseline"/>
        </w:rPr>
        <w:t> </w:t>
      </w:r>
      <w:r>
        <w:rPr>
          <w:vertAlign w:val="baseline"/>
        </w:rPr>
        <w:t>It is accordingly under the heading of the alleged “Uncertainty as to the extent</w:t>
      </w:r>
      <w:r>
        <w:rPr>
          <w:spacing w:val="35"/>
          <w:vertAlign w:val="baseline"/>
        </w:rPr>
        <w:t> </w:t>
      </w:r>
      <w:r>
        <w:rPr>
          <w:vertAlign w:val="baseline"/>
        </w:rPr>
        <w:t>of</w:t>
      </w:r>
      <w:r>
        <w:rPr>
          <w:spacing w:val="35"/>
          <w:vertAlign w:val="baseline"/>
        </w:rPr>
        <w:t> </w:t>
      </w:r>
      <w:r>
        <w:rPr>
          <w:vertAlign w:val="baseline"/>
        </w:rPr>
        <w:t>the</w:t>
      </w:r>
      <w:r>
        <w:rPr>
          <w:spacing w:val="36"/>
          <w:vertAlign w:val="baseline"/>
        </w:rPr>
        <w:t> </w:t>
      </w:r>
      <w:r>
        <w:rPr>
          <w:vertAlign w:val="baseline"/>
        </w:rPr>
        <w:t>property”</w:t>
      </w:r>
      <w:r>
        <w:rPr>
          <w:spacing w:val="35"/>
          <w:vertAlign w:val="baseline"/>
        </w:rPr>
        <w:t> </w:t>
      </w:r>
      <w:r>
        <w:rPr>
          <w:color w:val="005DA1"/>
          <w:u w:val="single" w:color="005DA1"/>
          <w:vertAlign w:val="superscript"/>
        </w:rPr>
        <w:t>1081</w:t>
      </w:r>
      <w:r>
        <w:rPr>
          <w:color w:val="005DA1"/>
          <w:spacing w:val="35"/>
          <w:vertAlign w:val="baseline"/>
        </w:rPr>
        <w:t> </w:t>
      </w:r>
      <w:r>
        <w:rPr>
          <w:vertAlign w:val="baseline"/>
        </w:rPr>
        <w:t>that</w:t>
      </w:r>
      <w:r>
        <w:rPr>
          <w:spacing w:val="36"/>
          <w:vertAlign w:val="baseline"/>
        </w:rPr>
        <w:t> </w:t>
      </w:r>
      <w:r>
        <w:rPr>
          <w:vertAlign w:val="baseline"/>
        </w:rPr>
        <w:t>Lord</w:t>
      </w:r>
      <w:r>
        <w:rPr>
          <w:spacing w:val="35"/>
          <w:vertAlign w:val="baseline"/>
        </w:rPr>
        <w:t> </w:t>
      </w:r>
      <w:r>
        <w:rPr>
          <w:vertAlign w:val="baseline"/>
        </w:rPr>
        <w:t>Neuberger</w:t>
      </w:r>
      <w:r>
        <w:rPr>
          <w:spacing w:val="35"/>
          <w:vertAlign w:val="baseline"/>
        </w:rPr>
        <w:t> </w:t>
      </w:r>
      <w:r>
        <w:rPr>
          <w:vertAlign w:val="baseline"/>
        </w:rPr>
        <w:t>discusses</w:t>
      </w:r>
      <w:r>
        <w:rPr>
          <w:spacing w:val="36"/>
          <w:vertAlign w:val="baseline"/>
        </w:rPr>
        <w:t> </w:t>
      </w:r>
      <w:r>
        <w:rPr>
          <w:vertAlign w:val="baseline"/>
        </w:rPr>
        <w:t>the</w:t>
      </w:r>
      <w:r>
        <w:rPr>
          <w:spacing w:val="35"/>
          <w:vertAlign w:val="baseline"/>
        </w:rPr>
        <w:t> </w:t>
      </w:r>
      <w:r>
        <w:rPr>
          <w:vertAlign w:val="baseline"/>
        </w:rPr>
        <w:t>distinction</w:t>
      </w:r>
      <w:r>
        <w:rPr>
          <w:spacing w:val="35"/>
          <w:vertAlign w:val="baseline"/>
        </w:rPr>
        <w:t> </w:t>
      </w:r>
      <w:r>
        <w:rPr>
          <w:vertAlign w:val="baseline"/>
        </w:rPr>
        <w:t>between</w:t>
      </w:r>
      <w:r>
        <w:rPr>
          <w:spacing w:val="36"/>
          <w:vertAlign w:val="baseline"/>
        </w:rPr>
        <w:t> </w:t>
      </w:r>
      <w:r>
        <w:rPr>
          <w:vertAlign w:val="baseline"/>
        </w:rPr>
        <w:t>the</w:t>
      </w:r>
      <w:r>
        <w:rPr>
          <w:spacing w:val="35"/>
          <w:vertAlign w:val="baseline"/>
        </w:rPr>
        <w:t> </w:t>
      </w:r>
      <w:r>
        <w:rPr>
          <w:vertAlign w:val="baseline"/>
        </w:rPr>
        <w:t>two</w:t>
      </w:r>
      <w:r>
        <w:rPr>
          <w:spacing w:val="35"/>
          <w:vertAlign w:val="baseline"/>
        </w:rPr>
        <w:t> </w:t>
      </w:r>
      <w:r>
        <w:rPr>
          <w:spacing w:val="-2"/>
          <w:vertAlign w:val="baseline"/>
        </w:rPr>
        <w:t>cases.</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There is no such discussion under his heading of “Reasonable reliance” </w:t>
      </w:r>
      <w:r>
        <w:rPr>
          <w:color w:val="005DA1"/>
          <w:u w:val="single" w:color="005DA1"/>
          <w:vertAlign w:val="superscript"/>
        </w:rPr>
        <w:t>1082</w:t>
      </w:r>
      <w:r>
        <w:rPr>
          <w:color w:val="005DA1"/>
          <w:vertAlign w:val="baseline"/>
        </w:rPr>
        <w:t> </w:t>
      </w:r>
      <w:r>
        <w:rPr>
          <w:vertAlign w:val="baseline"/>
        </w:rPr>
        <w:t>where he deals with the question (described by Lord Walker as “The main issue before the House”) </w:t>
      </w:r>
      <w:r>
        <w:rPr>
          <w:color w:val="005DA1"/>
          <w:u w:val="single" w:color="005DA1"/>
          <w:vertAlign w:val="superscript"/>
        </w:rPr>
        <w:t>1083</w:t>
      </w:r>
      <w:r>
        <w:rPr>
          <w:color w:val="005DA1"/>
          <w:vertAlign w:val="baseline"/>
        </w:rPr>
        <w:t> </w:t>
      </w:r>
      <w:r>
        <w:rPr>
          <w:vertAlign w:val="baseline"/>
        </w:rPr>
        <w:t>whether Peter’s assurance had been sufficiently clear to make it reasonable for David to act in reliance on it. It may</w:t>
      </w:r>
      <w:r>
        <w:rPr>
          <w:spacing w:val="40"/>
          <w:vertAlign w:val="baseline"/>
        </w:rPr>
        <w:t> </w:t>
      </w:r>
      <w:r>
        <w:rPr>
          <w:vertAlign w:val="baseline"/>
        </w:rPr>
        <w:t>not always be easy to distinguish between these two issues, but the distinction is, with respect, </w:t>
      </w:r>
      <w:r>
        <w:rPr>
          <w:vertAlign w:val="baseline"/>
        </w:rPr>
        <w:t>at least helpful for purposes of exposition.</w:t>
      </w:r>
    </w:p>
    <w:p>
      <w:pPr>
        <w:pStyle w:val="BodyText"/>
        <w:spacing w:before="79"/>
      </w:pPr>
    </w:p>
    <w:p>
      <w:pPr>
        <w:pStyle w:val="Heading2"/>
      </w:pPr>
      <w:r>
        <w:rPr/>
        <w:t>4-</w:t>
      </w:r>
      <w:r>
        <w:rPr>
          <w:spacing w:val="-5"/>
        </w:rPr>
        <w:t>166</w:t>
      </w:r>
    </w:p>
    <w:p>
      <w:pPr>
        <w:pStyle w:val="BodyText"/>
        <w:spacing w:line="235" w:lineRule="auto" w:before="203"/>
        <w:ind w:left="165" w:right="167"/>
        <w:jc w:val="both"/>
      </w:pPr>
      <w:r>
        <w:rPr/>
        <w:t>A useful starting point for concluding this discussion of the distinction between the two cases </w:t>
      </w:r>
      <w:r>
        <w:rPr/>
        <w:t>is perhaps that the facts of each of them were said by Lord Neuberger to be “unusual”, </w:t>
      </w:r>
      <w:r>
        <w:rPr>
          <w:color w:val="005DA1"/>
          <w:u w:val="single" w:color="005DA1"/>
          <w:vertAlign w:val="superscript"/>
        </w:rPr>
        <w:t>1084</w:t>
      </w:r>
      <w:r>
        <w:rPr>
          <w:color w:val="005DA1"/>
          <w:vertAlign w:val="baseline"/>
        </w:rPr>
        <w:t> </w:t>
      </w:r>
      <w:r>
        <w:rPr>
          <w:vertAlign w:val="baseline"/>
        </w:rPr>
        <w:t>though, as might be expected where this was the case, they were unusual in different ways. The unusual feature of </w:t>
      </w:r>
      <w:r>
        <w:rPr>
          <w:rFonts w:ascii="Arial" w:hAnsi="Arial"/>
          <w:i/>
          <w:vertAlign w:val="baseline"/>
        </w:rPr>
        <w:t>Thorner v Major </w:t>
      </w:r>
      <w:r>
        <w:rPr>
          <w:vertAlign w:val="baseline"/>
        </w:rPr>
        <w:t>lay in the oblique, indirect nature of the utterances by which Peter induced David</w:t>
      </w:r>
      <w:r>
        <w:rPr>
          <w:spacing w:val="40"/>
          <w:vertAlign w:val="baseline"/>
        </w:rPr>
        <w:t> </w:t>
      </w:r>
      <w:r>
        <w:rPr>
          <w:vertAlign w:val="baseline"/>
        </w:rPr>
        <w:t>to believe that David would inherit Steart Farm </w:t>
      </w:r>
      <w:r>
        <w:rPr>
          <w:color w:val="005DA1"/>
          <w:u w:val="single" w:color="005DA1"/>
          <w:vertAlign w:val="superscript"/>
        </w:rPr>
        <w:t>1085</w:t>
      </w:r>
      <w:r>
        <w:rPr>
          <w:vertAlign w:val="baseline"/>
        </w:rPr>
        <w:t>; the unusual feature of the </w:t>
      </w:r>
      <w:r>
        <w:rPr>
          <w:rFonts w:ascii="Arial" w:hAnsi="Arial"/>
          <w:i/>
          <w:vertAlign w:val="baseline"/>
        </w:rPr>
        <w:t>Cobbe </w:t>
      </w:r>
      <w:r>
        <w:rPr>
          <w:vertAlign w:val="baseline"/>
        </w:rPr>
        <w:t>case lay in “the total uncertainty as to the nature or terms of any benefit (property interest, contractual right or money) and, if a property interest, as to the nature of that interest (freehold, leasehold or charge) to be accorded to Mr Cobbe.” </w:t>
      </w:r>
      <w:r>
        <w:rPr>
          <w:color w:val="005DA1"/>
          <w:u w:val="single" w:color="005DA1"/>
          <w:vertAlign w:val="superscript"/>
        </w:rPr>
        <w:t>1086</w:t>
      </w:r>
      <w:r>
        <w:rPr>
          <w:color w:val="005DA1"/>
          <w:vertAlign w:val="baseline"/>
        </w:rPr>
        <w:t> </w:t>
      </w:r>
      <w:r>
        <w:rPr>
          <w:vertAlign w:val="baseline"/>
        </w:rPr>
        <w:t>There was “no doubt about the physical identity of the property”, </w:t>
      </w:r>
      <w:r>
        <w:rPr>
          <w:color w:val="005DA1"/>
          <w:u w:val="single" w:color="005DA1"/>
          <w:vertAlign w:val="superscript"/>
        </w:rPr>
        <w:t>1087</w:t>
      </w:r>
      <w:r>
        <w:rPr>
          <w:color w:val="005DA1"/>
          <w:vertAlign w:val="baseline"/>
        </w:rPr>
        <w:t> </w:t>
      </w:r>
      <w:r>
        <w:rPr>
          <w:vertAlign w:val="baseline"/>
        </w:rPr>
        <w:t>as there was in </w:t>
      </w:r>
      <w:r>
        <w:rPr>
          <w:rFonts w:ascii="Arial" w:hAnsi="Arial"/>
          <w:i/>
          <w:vertAlign w:val="baseline"/>
        </w:rPr>
        <w:t>Thorner v Major</w:t>
      </w:r>
      <w:r>
        <w:rPr>
          <w:vertAlign w:val="baseline"/>
        </w:rPr>
        <w:t>, where that doubt was resolved in the way explained in para.4-163 above. A second distinction between the two cases lay in the nature of the relationship between the parties. In the </w:t>
      </w:r>
      <w:r>
        <w:rPr>
          <w:rFonts w:ascii="Arial" w:hAnsi="Arial"/>
          <w:i/>
          <w:vertAlign w:val="baseline"/>
        </w:rPr>
        <w:t>Cobbe </w:t>
      </w:r>
      <w:r>
        <w:rPr>
          <w:vertAlign w:val="baseline"/>
        </w:rPr>
        <w:t>case, that relationship was an “entirely at arm’s length and commercial” one, in which “the parties could well have been expected to enter into a contract” but had “consciously</w:t>
      </w:r>
      <w:r>
        <w:rPr>
          <w:spacing w:val="40"/>
          <w:vertAlign w:val="baseline"/>
        </w:rPr>
        <w:t> </w:t>
      </w:r>
      <w:r>
        <w:rPr>
          <w:vertAlign w:val="baseline"/>
        </w:rPr>
        <w:t>chosen not to do so”. </w:t>
      </w:r>
      <w:r>
        <w:rPr>
          <w:color w:val="005DA1"/>
          <w:u w:val="single" w:color="005DA1"/>
          <w:vertAlign w:val="superscript"/>
        </w:rPr>
        <w:t>1088</w:t>
      </w:r>
      <w:r>
        <w:rPr>
          <w:color w:val="005DA1"/>
          <w:vertAlign w:val="baseline"/>
        </w:rPr>
        <w:t> </w:t>
      </w:r>
      <w:r>
        <w:rPr>
          <w:vertAlign w:val="baseline"/>
        </w:rPr>
        <w:t>In those circumstances it would have been wrong to allow estoppel to be used as, in effect, a mechanism to enforce an agreement which had deliberately been left incomplete </w:t>
      </w:r>
      <w:r>
        <w:rPr>
          <w:color w:val="005DA1"/>
          <w:u w:val="single" w:color="005DA1"/>
          <w:vertAlign w:val="superscript"/>
        </w:rPr>
        <w:t>1089</w:t>
      </w:r>
      <w:r>
        <w:rPr>
          <w:color w:val="005DA1"/>
          <w:vertAlign w:val="baseline"/>
        </w:rPr>
        <w:t> </w:t>
      </w:r>
      <w:r>
        <w:rPr>
          <w:vertAlign w:val="baseline"/>
        </w:rPr>
        <w:t>and which also failed to comply with the formal requirements for contracts for the disposition in land. In </w:t>
      </w:r>
      <w:r>
        <w:rPr>
          <w:rFonts w:ascii="Arial" w:hAnsi="Arial"/>
          <w:i/>
          <w:vertAlign w:val="baseline"/>
        </w:rPr>
        <w:t>Thorner v Major</w:t>
      </w:r>
      <w:r>
        <w:rPr>
          <w:vertAlign w:val="baseline"/>
        </w:rPr>
        <w:t>, by contrast, the relationship between the parties “was familial and personal” and “at no time had either of them even started to contemplate entering into a formal contract as to</w:t>
      </w:r>
      <w:r>
        <w:rPr>
          <w:spacing w:val="40"/>
          <w:vertAlign w:val="baseline"/>
        </w:rPr>
        <w:t> </w:t>
      </w:r>
      <w:r>
        <w:rPr>
          <w:vertAlign w:val="baseline"/>
        </w:rPr>
        <w:t>the</w:t>
      </w:r>
      <w:r>
        <w:rPr>
          <w:spacing w:val="36"/>
          <w:vertAlign w:val="baseline"/>
        </w:rPr>
        <w:t> </w:t>
      </w:r>
      <w:r>
        <w:rPr>
          <w:vertAlign w:val="baseline"/>
        </w:rPr>
        <w:t>ownership</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farm</w:t>
      </w:r>
      <w:r>
        <w:rPr>
          <w:spacing w:val="36"/>
          <w:vertAlign w:val="baseline"/>
        </w:rPr>
        <w:t> </w:t>
      </w:r>
      <w:r>
        <w:rPr>
          <w:vertAlign w:val="baseline"/>
        </w:rPr>
        <w:t>after</w:t>
      </w:r>
      <w:r>
        <w:rPr>
          <w:spacing w:val="36"/>
          <w:vertAlign w:val="baseline"/>
        </w:rPr>
        <w:t> </w:t>
      </w:r>
      <w:r>
        <w:rPr>
          <w:vertAlign w:val="baseline"/>
        </w:rPr>
        <w:t>Peter’s</w:t>
      </w:r>
      <w:r>
        <w:rPr>
          <w:spacing w:val="36"/>
          <w:vertAlign w:val="baseline"/>
        </w:rPr>
        <w:t> </w:t>
      </w:r>
      <w:r>
        <w:rPr>
          <w:vertAlign w:val="baseline"/>
        </w:rPr>
        <w:t>death.”</w:t>
      </w:r>
      <w:r>
        <w:rPr>
          <w:spacing w:val="35"/>
          <w:vertAlign w:val="baseline"/>
        </w:rPr>
        <w:t> </w:t>
      </w:r>
      <w:r>
        <w:rPr>
          <w:color w:val="005DA1"/>
          <w:u w:val="single" w:color="005DA1"/>
          <w:vertAlign w:val="superscript"/>
        </w:rPr>
        <w:t>1090</w:t>
      </w:r>
      <w:r>
        <w:rPr>
          <w:color w:val="005DA1"/>
          <w:spacing w:val="36"/>
          <w:vertAlign w:val="baseline"/>
        </w:rPr>
        <w:t> </w:t>
      </w:r>
      <w:r>
        <w:rPr>
          <w:vertAlign w:val="baseline"/>
        </w:rPr>
        <w:t>It</w:t>
      </w:r>
      <w:r>
        <w:rPr>
          <w:spacing w:val="36"/>
          <w:vertAlign w:val="baseline"/>
        </w:rPr>
        <w:t> </w:t>
      </w:r>
      <w:r>
        <w:rPr>
          <w:vertAlign w:val="baseline"/>
        </w:rPr>
        <w:t>is</w:t>
      </w:r>
      <w:r>
        <w:rPr>
          <w:spacing w:val="36"/>
          <w:vertAlign w:val="baseline"/>
        </w:rPr>
        <w:t> </w:t>
      </w:r>
      <w:r>
        <w:rPr>
          <w:vertAlign w:val="baseline"/>
        </w:rPr>
        <w:t>true</w:t>
      </w:r>
      <w:r>
        <w:rPr>
          <w:spacing w:val="36"/>
          <w:vertAlign w:val="baseline"/>
        </w:rPr>
        <w:t> </w:t>
      </w:r>
      <w:r>
        <w:rPr>
          <w:vertAlign w:val="baseline"/>
        </w:rPr>
        <w:t>that,</w:t>
      </w:r>
      <w:r>
        <w:rPr>
          <w:spacing w:val="36"/>
          <w:vertAlign w:val="baseline"/>
        </w:rPr>
        <w:t> </w:t>
      </w:r>
      <w:r>
        <w:rPr>
          <w:vertAlign w:val="baseline"/>
        </w:rPr>
        <w:t>from</w:t>
      </w:r>
      <w:r>
        <w:rPr>
          <w:spacing w:val="36"/>
          <w:vertAlign w:val="baseline"/>
        </w:rPr>
        <w:t> </w:t>
      </w:r>
      <w:r>
        <w:rPr>
          <w:vertAlign w:val="baseline"/>
        </w:rPr>
        <w:t>a</w:t>
      </w:r>
      <w:r>
        <w:rPr>
          <w:spacing w:val="36"/>
          <w:vertAlign w:val="baseline"/>
        </w:rPr>
        <w:t> </w:t>
      </w:r>
      <w:r>
        <w:rPr>
          <w:vertAlign w:val="baseline"/>
        </w:rPr>
        <w:t>legal</w:t>
      </w:r>
      <w:r>
        <w:rPr>
          <w:spacing w:val="36"/>
          <w:vertAlign w:val="baseline"/>
        </w:rPr>
        <w:t> </w:t>
      </w:r>
      <w:r>
        <w:rPr>
          <w:vertAlign w:val="baseline"/>
        </w:rPr>
        <w:t>point</w:t>
      </w:r>
      <w:r>
        <w:rPr>
          <w:spacing w:val="36"/>
          <w:vertAlign w:val="baseline"/>
        </w:rPr>
        <w:t> </w:t>
      </w:r>
      <w:r>
        <w:rPr>
          <w:vertAlign w:val="baseline"/>
        </w:rPr>
        <w:t>of</w:t>
      </w:r>
      <w:r>
        <w:rPr>
          <w:spacing w:val="36"/>
          <w:vertAlign w:val="baseline"/>
        </w:rPr>
        <w:t> </w:t>
      </w:r>
      <w:r>
        <w:rPr>
          <w:vertAlign w:val="baseline"/>
        </w:rPr>
        <w:t>view,</w:t>
      </w:r>
      <w:r>
        <w:rPr>
          <w:spacing w:val="36"/>
          <w:vertAlign w:val="baseline"/>
        </w:rPr>
        <w:t> </w:t>
      </w:r>
      <w:r>
        <w:rPr>
          <w:vertAlign w:val="baseline"/>
        </w:rPr>
        <w:t>the non-contractual nature of Peter’s assurance could be said to result from lack of contractual intention and that the same explanation could be used to account, at least in part, for the non-contractual nature of the relationship of the parties in the </w:t>
      </w:r>
      <w:r>
        <w:rPr>
          <w:rFonts w:ascii="Arial" w:hAnsi="Arial"/>
          <w:i/>
          <w:vertAlign w:val="baseline"/>
        </w:rPr>
        <w:t>Cobbe </w:t>
      </w:r>
      <w:r>
        <w:rPr>
          <w:vertAlign w:val="baseline"/>
        </w:rPr>
        <w:t>case. But there this conclusion followed from a deliberate choice of the parties, while in </w:t>
      </w:r>
      <w:r>
        <w:rPr>
          <w:rFonts w:ascii="Arial" w:hAnsi="Arial"/>
          <w:i/>
          <w:vertAlign w:val="baseline"/>
        </w:rPr>
        <w:t>Thorner v Major </w:t>
      </w:r>
      <w:r>
        <w:rPr>
          <w:vertAlign w:val="baseline"/>
        </w:rPr>
        <w:t>it followed as a matter of course from the nature of the relationship between them. In such cases of “familial and personal” relationships, the</w:t>
      </w:r>
      <w:r>
        <w:rPr>
          <w:spacing w:val="40"/>
          <w:vertAlign w:val="baseline"/>
        </w:rPr>
        <w:t> </w:t>
      </w:r>
      <w:r>
        <w:rPr>
          <w:vertAlign w:val="baseline"/>
        </w:rPr>
        <w:t>fact that the relevant promise or assurance was not intended to be legally binding has never been regarded as an obstacle to giving effect to it by way of proprietary estoppel. On the contrary, in cases of this kind, the fact that the promise had no contractual force for want of contractual intention has traditionally and typically been the precise ground for equitable intervention by way of proprietary estoppel.</w:t>
      </w:r>
      <w:r>
        <w:rPr>
          <w:spacing w:val="-1"/>
          <w:vertAlign w:val="baseline"/>
        </w:rPr>
        <w:t> </w:t>
      </w:r>
      <w:r>
        <w:rPr>
          <w:color w:val="005DA1"/>
          <w:u w:val="single" w:color="005DA1"/>
          <w:vertAlign w:val="superscript"/>
        </w:rPr>
        <w:t>1091</w:t>
      </w:r>
      <w:r>
        <w:rPr>
          <w:color w:val="005DA1"/>
          <w:spacing w:val="-1"/>
          <w:vertAlign w:val="baseline"/>
        </w:rPr>
        <w:t> </w:t>
      </w:r>
      <w:r>
        <w:rPr>
          <w:vertAlign w:val="baseline"/>
        </w:rPr>
        <w:t>This</w:t>
      </w:r>
      <w:r>
        <w:rPr>
          <w:spacing w:val="-1"/>
          <w:vertAlign w:val="baseline"/>
        </w:rPr>
        <w:t> </w:t>
      </w:r>
      <w:r>
        <w:rPr>
          <w:vertAlign w:val="baseline"/>
        </w:rPr>
        <w:t>point</w:t>
      </w:r>
      <w:r>
        <w:rPr>
          <w:spacing w:val="-1"/>
          <w:vertAlign w:val="baseline"/>
        </w:rPr>
        <w:t> </w:t>
      </w:r>
      <w:r>
        <w:rPr>
          <w:vertAlign w:val="baseline"/>
        </w:rPr>
        <w:t>is</w:t>
      </w:r>
      <w:r>
        <w:rPr>
          <w:spacing w:val="-1"/>
          <w:vertAlign w:val="baseline"/>
        </w:rPr>
        <w:t> </w:t>
      </w:r>
      <w:r>
        <w:rPr>
          <w:vertAlign w:val="baseline"/>
        </w:rPr>
        <w:t>further</w:t>
      </w:r>
      <w:r>
        <w:rPr>
          <w:spacing w:val="-1"/>
          <w:vertAlign w:val="baseline"/>
        </w:rPr>
        <w:t> </w:t>
      </w:r>
      <w:r>
        <w:rPr>
          <w:vertAlign w:val="baseline"/>
        </w:rPr>
        <w:t>supported</w:t>
      </w:r>
      <w:r>
        <w:rPr>
          <w:spacing w:val="-1"/>
          <w:vertAlign w:val="baseline"/>
        </w:rPr>
        <w:t> </w:t>
      </w:r>
      <w:r>
        <w:rPr>
          <w:vertAlign w:val="baseline"/>
        </w:rPr>
        <w:t>by</w:t>
      </w:r>
      <w:r>
        <w:rPr>
          <w:spacing w:val="-1"/>
          <w:vertAlign w:val="baseline"/>
        </w:rPr>
        <w:t> </w:t>
      </w:r>
      <w:r>
        <w:rPr>
          <w:vertAlign w:val="baseline"/>
        </w:rPr>
        <w:t>Lord</w:t>
      </w:r>
      <w:r>
        <w:rPr>
          <w:spacing w:val="-1"/>
          <w:vertAlign w:val="baseline"/>
        </w:rPr>
        <w:t> </w:t>
      </w:r>
      <w:r>
        <w:rPr>
          <w:vertAlign w:val="baseline"/>
        </w:rPr>
        <w:t>Neuberger’s</w:t>
      </w:r>
      <w:r>
        <w:rPr>
          <w:spacing w:val="-1"/>
          <w:vertAlign w:val="baseline"/>
        </w:rPr>
        <w:t> </w:t>
      </w:r>
      <w:r>
        <w:rPr>
          <w:vertAlign w:val="baseline"/>
        </w:rPr>
        <w:t>explanation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reason</w:t>
      </w:r>
      <w:r>
        <w:rPr>
          <w:spacing w:val="-1"/>
          <w:vertAlign w:val="baseline"/>
        </w:rPr>
        <w:t> </w:t>
      </w:r>
      <w:r>
        <w:rPr>
          <w:vertAlign w:val="baseline"/>
        </w:rPr>
        <w:t>why</w:t>
      </w:r>
      <w:r>
        <w:rPr>
          <w:spacing w:val="-1"/>
          <w:vertAlign w:val="baseline"/>
        </w:rPr>
        <w:t> </w:t>
      </w:r>
      <w:r>
        <w:rPr>
          <w:vertAlign w:val="baseline"/>
        </w:rPr>
        <w:t>s.2</w:t>
      </w:r>
      <w:r>
        <w:rPr>
          <w:spacing w:val="-1"/>
          <w:vertAlign w:val="baseline"/>
        </w:rPr>
        <w:t> </w:t>
      </w:r>
      <w:r>
        <w:rPr>
          <w:vertAlign w:val="baseline"/>
        </w:rPr>
        <w:t>of the Law of Property (Miscellaneous Provisions) Act 1989 (which lays down the formal requirements</w:t>
      </w:r>
      <w:r>
        <w:rPr>
          <w:spacing w:val="40"/>
          <w:vertAlign w:val="baseline"/>
        </w:rPr>
        <w:t> </w:t>
      </w:r>
      <w:r>
        <w:rPr>
          <w:vertAlign w:val="baseline"/>
        </w:rPr>
        <w:t>for the making of a contract for the disposition of an interest in land) was regarded as relevant to the outcome in </w:t>
      </w:r>
      <w:r>
        <w:rPr>
          <w:rFonts w:ascii="Arial" w:hAnsi="Arial"/>
          <w:i/>
          <w:vertAlign w:val="baseline"/>
        </w:rPr>
        <w:t>Cobbe’s </w:t>
      </w:r>
      <w:r>
        <w:rPr>
          <w:vertAlign w:val="baseline"/>
        </w:rPr>
        <w:t>case </w:t>
      </w:r>
      <w:r>
        <w:rPr>
          <w:color w:val="005DA1"/>
          <w:u w:val="single" w:color="005DA1"/>
          <w:vertAlign w:val="superscript"/>
        </w:rPr>
        <w:t>1092</w:t>
      </w:r>
      <w:r>
        <w:rPr>
          <w:color w:val="005DA1"/>
          <w:vertAlign w:val="baseline"/>
        </w:rPr>
        <w:t> </w:t>
      </w:r>
      <w:r>
        <w:rPr>
          <w:vertAlign w:val="baseline"/>
        </w:rPr>
        <w:t>but was not relevant in </w:t>
      </w:r>
      <w:r>
        <w:rPr>
          <w:rFonts w:ascii="Arial" w:hAnsi="Arial"/>
          <w:i/>
          <w:vertAlign w:val="baseline"/>
        </w:rPr>
        <w:t>Thorner v Major</w:t>
      </w:r>
      <w:r>
        <w:rPr>
          <w:vertAlign w:val="baseline"/>
        </w:rPr>
        <w:t>, where the claim was “a straightforward estoppel claim without any contractual connection.” </w:t>
      </w:r>
      <w:r>
        <w:rPr>
          <w:color w:val="005DA1"/>
          <w:u w:val="single" w:color="005DA1"/>
          <w:vertAlign w:val="superscript"/>
        </w:rPr>
        <w:t>1093</w:t>
      </w:r>
    </w:p>
    <w:p>
      <w:pPr>
        <w:pStyle w:val="BodyText"/>
      </w:pPr>
    </w:p>
    <w:p>
      <w:pPr>
        <w:pStyle w:val="BodyText"/>
        <w:spacing w:before="26"/>
      </w:pPr>
    </w:p>
    <w:p>
      <w:pPr>
        <w:spacing w:before="0"/>
        <w:ind w:left="165" w:right="0" w:firstLine="0"/>
        <w:jc w:val="left"/>
        <w:rPr>
          <w:rFonts w:ascii="Arial"/>
          <w:b/>
          <w:sz w:val="18"/>
        </w:rPr>
      </w:pPr>
      <w:r>
        <w:rPr>
          <w:rFonts w:ascii="Arial"/>
          <w:b/>
          <w:sz w:val="18"/>
        </w:rPr>
        <w:t>Quantum </w:t>
      </w:r>
      <w:r>
        <w:rPr>
          <w:rFonts w:ascii="Arial"/>
          <w:b/>
          <w:spacing w:val="-2"/>
          <w:sz w:val="18"/>
        </w:rPr>
        <w:t>meruit</w:t>
      </w:r>
    </w:p>
    <w:p>
      <w:pPr>
        <w:pStyle w:val="BodyText"/>
        <w:spacing w:before="41"/>
        <w:rPr>
          <w:rFonts w:ascii="Arial"/>
          <w:b/>
          <w:sz w:val="18"/>
        </w:rPr>
      </w:pPr>
    </w:p>
    <w:p>
      <w:pPr>
        <w:pStyle w:val="Heading2"/>
        <w:spacing w:before="1"/>
      </w:pPr>
      <w:r>
        <w:rPr/>
        <w:t>4-</w:t>
      </w:r>
      <w:r>
        <w:rPr>
          <w:spacing w:val="-5"/>
        </w:rPr>
        <w:t>167</w:t>
      </w:r>
    </w:p>
    <w:p>
      <w:pPr>
        <w:pStyle w:val="BodyText"/>
        <w:spacing w:line="235" w:lineRule="auto" w:before="202"/>
        <w:ind w:left="164" w:right="166"/>
        <w:jc w:val="both"/>
      </w:pPr>
      <w:r>
        <w:rPr/>
        <w:t>Although in </w:t>
      </w:r>
      <w:r>
        <w:rPr>
          <w:rFonts w:ascii="Arial" w:hAnsi="Arial"/>
          <w:i/>
        </w:rPr>
        <w:t>Cobbe v Yeoman’s Row Management Ltd </w:t>
      </w:r>
      <w:r>
        <w:rPr>
          <w:color w:val="005DA1"/>
          <w:u w:val="single" w:color="005DA1"/>
          <w:vertAlign w:val="superscript"/>
        </w:rPr>
        <w:t>1094</w:t>
      </w:r>
      <w:r>
        <w:rPr>
          <w:color w:val="005DA1"/>
          <w:vertAlign w:val="baseline"/>
        </w:rPr>
        <w:t> </w:t>
      </w:r>
      <w:r>
        <w:rPr>
          <w:vertAlign w:val="baseline"/>
        </w:rPr>
        <w:t>C’s proprietary estoppel claim failed for the reasons given in paragraphs 4-162 and 4-164 above, C was not sent away empty handed. Such </w:t>
      </w:r>
      <w:r>
        <w:rPr>
          <w:vertAlign w:val="baseline"/>
        </w:rPr>
        <w:t>an outcome would have had the effect of leaving D with an enrichment in the form of the enhanced value of D’s property as a result of the planning permission; and this enrichment, having been obtained at the expense of C, would have been unjust. </w:t>
      </w:r>
      <w:r>
        <w:rPr>
          <w:color w:val="005DA1"/>
          <w:u w:val="single" w:color="005DA1"/>
          <w:vertAlign w:val="superscript"/>
        </w:rPr>
        <w:t>1095</w:t>
      </w:r>
      <w:r>
        <w:rPr>
          <w:color w:val="005DA1"/>
          <w:vertAlign w:val="baseline"/>
        </w:rPr>
        <w:t> </w:t>
      </w:r>
      <w:r>
        <w:rPr>
          <w:vertAlign w:val="baseline"/>
        </w:rPr>
        <w:t>C was therefore entitled to a quantum meruit on the basis of having rendered services in pursuance of a contract which was expected to materialise but never came into existence. </w:t>
      </w:r>
      <w:r>
        <w:rPr>
          <w:color w:val="005DA1"/>
          <w:u w:val="single" w:color="005DA1"/>
          <w:vertAlign w:val="superscript"/>
        </w:rPr>
        <w:t>1096</w:t>
      </w:r>
      <w:r>
        <w:rPr>
          <w:color w:val="005DA1"/>
          <w:vertAlign w:val="baseline"/>
        </w:rPr>
        <w:t> </w:t>
      </w:r>
      <w:r>
        <w:rPr>
          <w:vertAlign w:val="baseline"/>
        </w:rPr>
        <w:t>This quantum meruit was to cover, not only the value of C’s services, but also his expenses reasonably incurred in making and prosecuting the planning application (those expenses being necessary to secure the planning permission which had enhanced the value of the property); it was, on the other hand, subject to C’s making the architect’s plans used to secure that permission available to D. </w:t>
      </w:r>
      <w:r>
        <w:rPr>
          <w:color w:val="005DA1"/>
          <w:u w:val="single" w:color="005DA1"/>
          <w:vertAlign w:val="superscript"/>
        </w:rPr>
        <w:t>1097</w:t>
      </w:r>
      <w:r>
        <w:rPr>
          <w:color w:val="005DA1"/>
          <w:vertAlign w:val="baseline"/>
        </w:rPr>
        <w:t> </w:t>
      </w:r>
      <w:r>
        <w:rPr>
          <w:vertAlign w:val="baseline"/>
        </w:rPr>
        <w:t>Some care is, however, needed in defining the limits of such a remedy in cases of this kind. Such a quantum meruit might not be available where a party to an anticipated contract which failed to materialise had taken the risk of events that turned out to his disadvantage. In the </w:t>
      </w:r>
      <w:r>
        <w:rPr>
          <w:rFonts w:ascii="Arial" w:hAnsi="Arial"/>
          <w:i/>
          <w:vertAlign w:val="baseline"/>
        </w:rPr>
        <w:t>Cobbe </w:t>
      </w:r>
      <w:r>
        <w:rPr>
          <w:vertAlign w:val="baseline"/>
        </w:rPr>
        <w:t>case, C took two such risks: that planning permission might be refused </w:t>
      </w:r>
      <w:r>
        <w:rPr>
          <w:color w:val="005DA1"/>
          <w:u w:val="single" w:color="005DA1"/>
          <w:vertAlign w:val="superscript"/>
        </w:rPr>
        <w:t>1098</w:t>
      </w:r>
      <w:r>
        <w:rPr>
          <w:color w:val="005DA1"/>
          <w:vertAlign w:val="baseline"/>
        </w:rPr>
        <w:t> </w:t>
      </w:r>
      <w:r>
        <w:rPr>
          <w:vertAlign w:val="baseline"/>
        </w:rPr>
        <w:t>and that no binding</w:t>
      </w:r>
      <w:r>
        <w:rPr>
          <w:spacing w:val="48"/>
          <w:vertAlign w:val="baseline"/>
        </w:rPr>
        <w:t> </w:t>
      </w:r>
      <w:r>
        <w:rPr>
          <w:vertAlign w:val="baseline"/>
        </w:rPr>
        <w:t>contract</w:t>
      </w:r>
      <w:r>
        <w:rPr>
          <w:spacing w:val="49"/>
          <w:vertAlign w:val="baseline"/>
        </w:rPr>
        <w:t> </w:t>
      </w:r>
      <w:r>
        <w:rPr>
          <w:vertAlign w:val="baseline"/>
        </w:rPr>
        <w:t>might</w:t>
      </w:r>
      <w:r>
        <w:rPr>
          <w:spacing w:val="48"/>
          <w:vertAlign w:val="baseline"/>
        </w:rPr>
        <w:t> </w:t>
      </w:r>
      <w:r>
        <w:rPr>
          <w:vertAlign w:val="baseline"/>
        </w:rPr>
        <w:t>come</w:t>
      </w:r>
      <w:r>
        <w:rPr>
          <w:spacing w:val="49"/>
          <w:vertAlign w:val="baseline"/>
        </w:rPr>
        <w:t> </w:t>
      </w:r>
      <w:r>
        <w:rPr>
          <w:vertAlign w:val="baseline"/>
        </w:rPr>
        <w:t>into</w:t>
      </w:r>
      <w:r>
        <w:rPr>
          <w:spacing w:val="48"/>
          <w:vertAlign w:val="baseline"/>
        </w:rPr>
        <w:t> </w:t>
      </w:r>
      <w:r>
        <w:rPr>
          <w:vertAlign w:val="baseline"/>
        </w:rPr>
        <w:t>existence.</w:t>
      </w:r>
      <w:r>
        <w:rPr>
          <w:spacing w:val="48"/>
          <w:vertAlign w:val="baseline"/>
        </w:rPr>
        <w:t> </w:t>
      </w:r>
      <w:r>
        <w:rPr>
          <w:color w:val="005DA1"/>
          <w:u w:val="single" w:color="005DA1"/>
          <w:vertAlign w:val="superscript"/>
        </w:rPr>
        <w:t>1099</w:t>
      </w:r>
      <w:r>
        <w:rPr>
          <w:color w:val="005DA1"/>
          <w:spacing w:val="48"/>
          <w:vertAlign w:val="baseline"/>
        </w:rPr>
        <w:t> </w:t>
      </w:r>
      <w:r>
        <w:rPr>
          <w:vertAlign w:val="baseline"/>
        </w:rPr>
        <w:t>In</w:t>
      </w:r>
      <w:r>
        <w:rPr>
          <w:spacing w:val="49"/>
          <w:vertAlign w:val="baseline"/>
        </w:rPr>
        <w:t> </w:t>
      </w:r>
      <w:r>
        <w:rPr>
          <w:vertAlign w:val="baseline"/>
        </w:rPr>
        <w:t>the</w:t>
      </w:r>
      <w:r>
        <w:rPr>
          <w:spacing w:val="49"/>
          <w:vertAlign w:val="baseline"/>
        </w:rPr>
        <w:t> </w:t>
      </w:r>
      <w:r>
        <w:rPr>
          <w:vertAlign w:val="baseline"/>
        </w:rPr>
        <w:t>first</w:t>
      </w:r>
      <w:r>
        <w:rPr>
          <w:spacing w:val="48"/>
          <w:vertAlign w:val="baseline"/>
        </w:rPr>
        <w:t> </w:t>
      </w:r>
      <w:r>
        <w:rPr>
          <w:vertAlign w:val="baseline"/>
        </w:rPr>
        <w:t>of</w:t>
      </w:r>
      <w:r>
        <w:rPr>
          <w:spacing w:val="49"/>
          <w:vertAlign w:val="baseline"/>
        </w:rPr>
        <w:t> </w:t>
      </w:r>
      <w:r>
        <w:rPr>
          <w:vertAlign w:val="baseline"/>
        </w:rPr>
        <w:t>those</w:t>
      </w:r>
      <w:r>
        <w:rPr>
          <w:spacing w:val="48"/>
          <w:vertAlign w:val="baseline"/>
        </w:rPr>
        <w:t> </w:t>
      </w:r>
      <w:r>
        <w:rPr>
          <w:vertAlign w:val="baseline"/>
        </w:rPr>
        <w:t>situations,</w:t>
      </w:r>
      <w:r>
        <w:rPr>
          <w:spacing w:val="49"/>
          <w:vertAlign w:val="baseline"/>
        </w:rPr>
        <w:t> </w:t>
      </w:r>
      <w:r>
        <w:rPr>
          <w:vertAlign w:val="baseline"/>
        </w:rPr>
        <w:t>D</w:t>
      </w:r>
      <w:r>
        <w:rPr>
          <w:spacing w:val="48"/>
          <w:vertAlign w:val="baseline"/>
        </w:rPr>
        <w:t> </w:t>
      </w:r>
      <w:r>
        <w:rPr>
          <w:vertAlign w:val="baseline"/>
        </w:rPr>
        <w:t>would</w:t>
      </w:r>
      <w:r>
        <w:rPr>
          <w:spacing w:val="49"/>
          <w:vertAlign w:val="baseline"/>
        </w:rPr>
        <w:t> </w:t>
      </w:r>
      <w:r>
        <w:rPr>
          <w:vertAlign w:val="baseline"/>
        </w:rPr>
        <w:t>not</w:t>
      </w:r>
      <w:r>
        <w:rPr>
          <w:spacing w:val="48"/>
          <w:vertAlign w:val="baseline"/>
        </w:rPr>
        <w:t> </w:t>
      </w:r>
      <w:r>
        <w:rPr>
          <w:spacing w:val="-5"/>
          <w:vertAlign w:val="baseline"/>
        </w:rPr>
        <w:t>be</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r>
        <w:rPr/>
        <w:t>enriched so that there would seem to be no basis for the quantum meruit claim. In the second situation, there was such an enrichment and the enrichment was unjust on account of </w:t>
      </w:r>
      <w:r>
        <w:rPr/>
        <w:t>the unconscionable </w:t>
      </w:r>
      <w:r>
        <w:rPr>
          <w:color w:val="005DA1"/>
          <w:u w:val="single" w:color="005DA1"/>
          <w:vertAlign w:val="superscript"/>
        </w:rPr>
        <w:t>1100</w:t>
      </w:r>
      <w:r>
        <w:rPr>
          <w:color w:val="005DA1"/>
          <w:vertAlign w:val="baseline"/>
        </w:rPr>
        <w:t> </w:t>
      </w:r>
      <w:r>
        <w:rPr>
          <w:vertAlign w:val="baseline"/>
        </w:rPr>
        <w:t>or at least the unattractive </w:t>
      </w:r>
      <w:r>
        <w:rPr>
          <w:color w:val="005DA1"/>
          <w:u w:val="single" w:color="005DA1"/>
          <w:vertAlign w:val="superscript"/>
        </w:rPr>
        <w:t>1101</w:t>
      </w:r>
      <w:r>
        <w:rPr>
          <w:color w:val="005DA1"/>
          <w:vertAlign w:val="baseline"/>
        </w:rPr>
        <w:t> </w:t>
      </w:r>
      <w:r>
        <w:rPr>
          <w:vertAlign w:val="baseline"/>
        </w:rPr>
        <w:t>conduct of D. It was this combination of circumstances that justified the remedy by way of a quantum meruit in the </w:t>
      </w:r>
      <w:r>
        <w:rPr>
          <w:rFonts w:ascii="Arial" w:hAnsi="Arial"/>
          <w:i/>
          <w:vertAlign w:val="baseline"/>
        </w:rPr>
        <w:t>Cobbe </w:t>
      </w:r>
      <w:r>
        <w:rPr>
          <w:vertAlign w:val="baseline"/>
        </w:rPr>
        <w:t>case. There would, on the other hand, be no quantum meruit claim where C had “never intended to charge for her services” </w:t>
      </w:r>
      <w:r>
        <w:rPr>
          <w:color w:val="005DA1"/>
          <w:u w:val="single" w:color="005DA1"/>
          <w:vertAlign w:val="superscript"/>
        </w:rPr>
        <w:t>1102</w:t>
      </w:r>
      <w:r>
        <w:rPr>
          <w:color w:val="005DA1"/>
          <w:vertAlign w:val="baseline"/>
        </w:rPr>
        <w:t> </w:t>
      </w:r>
      <w:r>
        <w:rPr>
          <w:vertAlign w:val="baseline"/>
        </w:rPr>
        <w:t>since, in such a case, though D might be enriched, the enrichment would not be unjust; but in the </w:t>
      </w:r>
      <w:r>
        <w:rPr>
          <w:rFonts w:ascii="Arial" w:hAnsi="Arial"/>
          <w:i/>
          <w:vertAlign w:val="baseline"/>
        </w:rPr>
        <w:t>Cobbe </w:t>
      </w:r>
      <w:r>
        <w:rPr>
          <w:vertAlign w:val="baseline"/>
        </w:rPr>
        <w:t>case this was not the position </w:t>
      </w:r>
      <w:r>
        <w:rPr>
          <w:color w:val="005DA1"/>
          <w:u w:val="single" w:color="005DA1"/>
          <w:vertAlign w:val="superscript"/>
        </w:rPr>
        <w:t>1103</w:t>
      </w:r>
      <w:r>
        <w:rPr>
          <w:color w:val="005DA1"/>
          <w:vertAlign w:val="baseline"/>
        </w:rPr>
        <w:t> </w:t>
      </w:r>
      <w:r>
        <w:rPr>
          <w:vertAlign w:val="baseline"/>
        </w:rPr>
        <w:t>since there C “did not intend to act gratuitously, nor did [D] believe the contrary.” </w:t>
      </w:r>
      <w:r>
        <w:rPr>
          <w:color w:val="005DA1"/>
          <w:u w:val="single" w:color="005DA1"/>
          <w:vertAlign w:val="superscript"/>
        </w:rPr>
        <w:t>1104</w:t>
      </w:r>
    </w:p>
    <w:p>
      <w:pPr>
        <w:pStyle w:val="BodyText"/>
      </w:pPr>
    </w:p>
    <w:p>
      <w:pPr>
        <w:pStyle w:val="BodyText"/>
        <w:spacing w:before="36"/>
      </w:pPr>
      <w:r>
        <w:rPr/>
        <mc:AlternateContent>
          <mc:Choice Requires="wps">
            <w:drawing>
              <wp:anchor distT="0" distB="0" distL="0" distR="0" allowOverlap="1" layoutInCell="1" locked="0" behindDoc="1" simplePos="0" relativeHeight="487672320">
                <wp:simplePos x="0" y="0"/>
                <wp:positionH relativeFrom="page">
                  <wp:posOffset>914400</wp:posOffset>
                </wp:positionH>
                <wp:positionV relativeFrom="paragraph">
                  <wp:posOffset>184661</wp:posOffset>
                </wp:positionV>
                <wp:extent cx="5724525" cy="1270"/>
                <wp:effectExtent l="0" t="0" r="0" b="0"/>
                <wp:wrapTopAndBottom/>
                <wp:docPr id="345" name="Graphic 345"/>
                <wp:cNvGraphicFramePr>
                  <a:graphicFrameLocks/>
                </wp:cNvGraphicFramePr>
                <a:graphic>
                  <a:graphicData uri="http://schemas.microsoft.com/office/word/2010/wordprocessingShape">
                    <wps:wsp>
                      <wps:cNvPr id="345" name="Graphic 34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40297pt;width:450.75pt;height:.1pt;mso-position-horizontal-relative:page;mso-position-vertical-relative:paragraph;z-index:-15644160;mso-wrap-distance-left:0;mso-wrap-distance-right:0" id="docshape79"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2239488">
                <wp:simplePos x="0" y="0"/>
                <wp:positionH relativeFrom="page">
                  <wp:posOffset>914400</wp:posOffset>
                </wp:positionH>
                <wp:positionV relativeFrom="paragraph">
                  <wp:posOffset>97116</wp:posOffset>
                </wp:positionV>
                <wp:extent cx="49530" cy="127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76992" from="72pt,7.646976pt" to="75.892pt,7.646976pt" stroked="true" strokeweight=".5pt" strokecolor="#005da1">
                <v:stroke dashstyle="solid"/>
                <w10:wrap type="none"/>
              </v:line>
            </w:pict>
          </mc:Fallback>
        </mc:AlternateContent>
      </w:r>
      <w:hyperlink w:history="true" w:anchor="_bookmark1834">
        <w:r>
          <w:rPr>
            <w:color w:val="005DA1"/>
            <w:spacing w:val="-5"/>
            <w:position w:val="5"/>
            <w:sz w:val="14"/>
          </w:rPr>
          <w:t>1</w:t>
        </w:r>
      </w:hyperlink>
      <w:r>
        <w:rPr>
          <w:spacing w:val="-5"/>
          <w:position w:val="5"/>
          <w:sz w:val="14"/>
        </w:rPr>
        <w:t>.</w:t>
      </w:r>
      <w:r>
        <w:rPr>
          <w:position w:val="5"/>
          <w:sz w:val="14"/>
        </w:rPr>
        <w:tab/>
      </w:r>
      <w:r>
        <w:rPr>
          <w:sz w:val="20"/>
        </w:rPr>
        <w:t>Sutton,</w:t>
      </w:r>
      <w:r>
        <w:rPr>
          <w:spacing w:val="25"/>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BodyText"/>
        <w:spacing w:line="227" w:lineRule="exact"/>
        <w:ind w:left="705"/>
      </w:pPr>
      <w:r>
        <w:rPr/>
        <w:t>(2014); Shatwell (1955) 1 Sydney Law Review </w:t>
      </w:r>
      <w:r>
        <w:rPr>
          <w:spacing w:val="-4"/>
        </w:rPr>
        <w:t>289.</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bookmarkStart w:name="_bookmark1787" w:id="1789"/>
      <w:bookmarkEnd w:id="1789"/>
      <w:r>
        <w:rPr/>
      </w:r>
      <w:hyperlink w:history="true" w:anchor="_bookmark1751">
        <w:r>
          <w:rPr>
            <w:color w:val="005DA1"/>
            <w:spacing w:val="-4"/>
            <w:sz w:val="14"/>
            <w:u w:val="single" w:color="005DA1"/>
          </w:rPr>
          <w:t>931</w:t>
        </w:r>
      </w:hyperlink>
      <w:r>
        <w:rPr>
          <w:spacing w:val="-4"/>
          <w:sz w:val="14"/>
        </w:rPr>
        <w:t>.</w:t>
      </w:r>
    </w:p>
    <w:p>
      <w:pPr>
        <w:spacing w:line="227" w:lineRule="exact" w:before="208"/>
        <w:ind w:left="0" w:right="168" w:firstLine="0"/>
        <w:jc w:val="right"/>
        <w:rPr>
          <w:rFonts w:ascii="Arial"/>
          <w:i/>
          <w:sz w:val="20"/>
        </w:rPr>
      </w:pPr>
      <w:r>
        <w:rPr/>
        <w:br w:type="column"/>
      </w:r>
      <w:r>
        <w:rPr>
          <w:rFonts w:ascii="Arial"/>
          <w:i/>
          <w:sz w:val="20"/>
        </w:rPr>
        <w:t>Thorner</w:t>
      </w:r>
      <w:r>
        <w:rPr>
          <w:rFonts w:ascii="Arial"/>
          <w:i/>
          <w:spacing w:val="46"/>
          <w:sz w:val="20"/>
        </w:rPr>
        <w:t> </w:t>
      </w:r>
      <w:r>
        <w:rPr>
          <w:rFonts w:ascii="Arial"/>
          <w:i/>
          <w:sz w:val="20"/>
        </w:rPr>
        <w:t>v</w:t>
      </w:r>
      <w:r>
        <w:rPr>
          <w:rFonts w:ascii="Arial"/>
          <w:i/>
          <w:spacing w:val="46"/>
          <w:sz w:val="20"/>
        </w:rPr>
        <w:t> </w:t>
      </w:r>
      <w:r>
        <w:rPr>
          <w:rFonts w:ascii="Arial"/>
          <w:i/>
          <w:sz w:val="20"/>
        </w:rPr>
        <w:t>Major</w:t>
      </w:r>
      <w:r>
        <w:rPr>
          <w:rFonts w:ascii="Arial"/>
          <w:i/>
          <w:spacing w:val="46"/>
          <w:sz w:val="20"/>
        </w:rPr>
        <w:t> </w:t>
      </w:r>
      <w:r>
        <w:rPr>
          <w:rFonts w:ascii="Arial"/>
          <w:i/>
          <w:sz w:val="20"/>
        </w:rPr>
        <w:t>[2009]</w:t>
      </w:r>
      <w:r>
        <w:rPr>
          <w:rFonts w:ascii="Arial"/>
          <w:i/>
          <w:spacing w:val="46"/>
          <w:sz w:val="20"/>
        </w:rPr>
        <w:t> </w:t>
      </w:r>
      <w:r>
        <w:rPr>
          <w:rFonts w:ascii="Arial"/>
          <w:i/>
          <w:sz w:val="20"/>
        </w:rPr>
        <w:t>UKHL</w:t>
      </w:r>
      <w:r>
        <w:rPr>
          <w:rFonts w:ascii="Arial"/>
          <w:i/>
          <w:spacing w:val="46"/>
          <w:sz w:val="20"/>
        </w:rPr>
        <w:t> </w:t>
      </w:r>
      <w:r>
        <w:rPr>
          <w:rFonts w:ascii="Arial"/>
          <w:i/>
          <w:sz w:val="20"/>
        </w:rPr>
        <w:t>18,</w:t>
      </w:r>
      <w:r>
        <w:rPr>
          <w:rFonts w:ascii="Arial"/>
          <w:i/>
          <w:spacing w:val="46"/>
          <w:sz w:val="20"/>
        </w:rPr>
        <w:t> </w:t>
      </w:r>
      <w:r>
        <w:rPr>
          <w:rFonts w:ascii="Arial"/>
          <w:i/>
          <w:sz w:val="20"/>
        </w:rPr>
        <w:t>[2009]</w:t>
      </w:r>
      <w:r>
        <w:rPr>
          <w:rFonts w:ascii="Arial"/>
          <w:i/>
          <w:spacing w:val="46"/>
          <w:sz w:val="20"/>
        </w:rPr>
        <w:t> </w:t>
      </w:r>
      <w:r>
        <w:rPr>
          <w:rFonts w:ascii="Arial"/>
          <w:i/>
          <w:sz w:val="20"/>
        </w:rPr>
        <w:t>1</w:t>
      </w:r>
      <w:r>
        <w:rPr>
          <w:rFonts w:ascii="Arial"/>
          <w:i/>
          <w:spacing w:val="46"/>
          <w:sz w:val="20"/>
        </w:rPr>
        <w:t> </w:t>
      </w:r>
      <w:r>
        <w:rPr>
          <w:rFonts w:ascii="Arial"/>
          <w:i/>
          <w:sz w:val="20"/>
        </w:rPr>
        <w:t>W.L.R.</w:t>
      </w:r>
      <w:r>
        <w:rPr>
          <w:rFonts w:ascii="Arial"/>
          <w:i/>
          <w:spacing w:val="46"/>
          <w:sz w:val="20"/>
        </w:rPr>
        <w:t> </w:t>
      </w:r>
      <w:r>
        <w:rPr>
          <w:rFonts w:ascii="Arial"/>
          <w:i/>
          <w:sz w:val="20"/>
        </w:rPr>
        <w:t>776</w:t>
      </w:r>
      <w:r>
        <w:rPr>
          <w:rFonts w:ascii="Arial"/>
          <w:i/>
          <w:spacing w:val="45"/>
          <w:sz w:val="20"/>
        </w:rPr>
        <w:t> </w:t>
      </w:r>
      <w:r>
        <w:rPr>
          <w:sz w:val="20"/>
        </w:rPr>
        <w:t>at</w:t>
      </w:r>
      <w:r>
        <w:rPr>
          <w:spacing w:val="46"/>
          <w:sz w:val="20"/>
        </w:rPr>
        <w:t> </w:t>
      </w:r>
      <w:r>
        <w:rPr>
          <w:sz w:val="20"/>
        </w:rPr>
        <w:t>[15],</w:t>
      </w:r>
      <w:r>
        <w:rPr>
          <w:spacing w:val="46"/>
          <w:sz w:val="20"/>
        </w:rPr>
        <w:t> </w:t>
      </w:r>
      <w:r>
        <w:rPr>
          <w:sz w:val="20"/>
        </w:rPr>
        <w:t>[29],</w:t>
      </w:r>
      <w:r>
        <w:rPr>
          <w:spacing w:val="46"/>
          <w:sz w:val="20"/>
        </w:rPr>
        <w:t> </w:t>
      </w:r>
      <w:r>
        <w:rPr>
          <w:sz w:val="20"/>
        </w:rPr>
        <w:t>[42];</w:t>
      </w:r>
      <w:r>
        <w:rPr>
          <w:spacing w:val="46"/>
          <w:sz w:val="20"/>
        </w:rPr>
        <w:t> </w:t>
      </w:r>
      <w:r>
        <w:rPr>
          <w:rFonts w:ascii="Arial"/>
          <w:i/>
          <w:sz w:val="20"/>
        </w:rPr>
        <w:t>Crossco</w:t>
      </w:r>
      <w:r>
        <w:rPr>
          <w:rFonts w:ascii="Arial"/>
          <w:i/>
          <w:spacing w:val="46"/>
          <w:sz w:val="20"/>
        </w:rPr>
        <w:t> </w:t>
      </w:r>
      <w:r>
        <w:rPr>
          <w:rFonts w:ascii="Arial"/>
          <w:i/>
          <w:spacing w:val="-4"/>
          <w:sz w:val="20"/>
        </w:rPr>
        <w:t>No.4</w:t>
      </w:r>
    </w:p>
    <w:p>
      <w:pPr>
        <w:spacing w:line="225" w:lineRule="exact" w:before="0"/>
        <w:ind w:left="0" w:right="168" w:firstLine="0"/>
        <w:jc w:val="right"/>
        <w:rPr>
          <w:rFonts w:ascii="Arial"/>
          <w:i/>
          <w:sz w:val="20"/>
        </w:rPr>
      </w:pPr>
      <w:r>
        <w:rPr>
          <w:rFonts w:ascii="Arial"/>
          <w:i/>
          <w:sz w:val="20"/>
        </w:rPr>
        <w:drawing>
          <wp:anchor distT="0" distB="0" distL="0" distR="0" allowOverlap="1" layoutInCell="1" locked="0" behindDoc="0" simplePos="0" relativeHeight="15814144">
            <wp:simplePos x="0" y="0"/>
            <wp:positionH relativeFrom="page">
              <wp:posOffset>1257846</wp:posOffset>
            </wp:positionH>
            <wp:positionV relativeFrom="paragraph">
              <wp:posOffset>-116230</wp:posOffset>
            </wp:positionV>
            <wp:extent cx="107988" cy="107988"/>
            <wp:effectExtent l="0" t="0" r="0" b="0"/>
            <wp:wrapNone/>
            <wp:docPr id="347" name="Image 347"/>
            <wp:cNvGraphicFramePr>
              <a:graphicFrameLocks/>
            </wp:cNvGraphicFramePr>
            <a:graphic>
              <a:graphicData uri="http://schemas.openxmlformats.org/drawingml/2006/picture">
                <pic:pic>
                  <pic:nvPicPr>
                    <pic:cNvPr id="347" name="Image 347"/>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Unlimited</w:t>
      </w:r>
      <w:r>
        <w:rPr>
          <w:rFonts w:ascii="Arial"/>
          <w:i/>
          <w:spacing w:val="26"/>
          <w:sz w:val="20"/>
        </w:rPr>
        <w:t> </w:t>
      </w:r>
      <w:r>
        <w:rPr>
          <w:rFonts w:ascii="Arial"/>
          <w:i/>
          <w:sz w:val="20"/>
        </w:rPr>
        <w:t>v</w:t>
      </w:r>
      <w:r>
        <w:rPr>
          <w:rFonts w:ascii="Arial"/>
          <w:i/>
          <w:spacing w:val="26"/>
          <w:sz w:val="20"/>
        </w:rPr>
        <w:t> </w:t>
      </w:r>
      <w:r>
        <w:rPr>
          <w:rFonts w:ascii="Arial"/>
          <w:i/>
          <w:sz w:val="20"/>
        </w:rPr>
        <w:t>Jolan</w:t>
      </w:r>
      <w:r>
        <w:rPr>
          <w:rFonts w:ascii="Arial"/>
          <w:i/>
          <w:spacing w:val="26"/>
          <w:sz w:val="20"/>
        </w:rPr>
        <w:t> </w:t>
      </w:r>
      <w:r>
        <w:rPr>
          <w:rFonts w:ascii="Arial"/>
          <w:i/>
          <w:sz w:val="20"/>
        </w:rPr>
        <w:t>Ltd,</w:t>
      </w:r>
      <w:r>
        <w:rPr>
          <w:rFonts w:ascii="Arial"/>
          <w:i/>
          <w:spacing w:val="26"/>
          <w:sz w:val="20"/>
        </w:rPr>
        <w:t> </w:t>
      </w:r>
      <w:r>
        <w:rPr>
          <w:rFonts w:ascii="Arial"/>
          <w:i/>
          <w:sz w:val="20"/>
        </w:rPr>
        <w:t>Note</w:t>
      </w:r>
      <w:r>
        <w:rPr>
          <w:rFonts w:ascii="Arial"/>
          <w:i/>
          <w:spacing w:val="26"/>
          <w:sz w:val="20"/>
        </w:rPr>
        <w:t> </w:t>
      </w:r>
      <w:r>
        <w:rPr>
          <w:rFonts w:ascii="Arial"/>
          <w:i/>
          <w:sz w:val="20"/>
        </w:rPr>
        <w:t>[2011]</w:t>
      </w:r>
      <w:r>
        <w:rPr>
          <w:rFonts w:ascii="Arial"/>
          <w:i/>
          <w:spacing w:val="26"/>
          <w:sz w:val="20"/>
        </w:rPr>
        <w:t> </w:t>
      </w:r>
      <w:r>
        <w:rPr>
          <w:rFonts w:ascii="Arial"/>
          <w:i/>
          <w:sz w:val="20"/>
        </w:rPr>
        <w:t>EWCA</w:t>
      </w:r>
      <w:r>
        <w:rPr>
          <w:rFonts w:ascii="Arial"/>
          <w:i/>
          <w:spacing w:val="26"/>
          <w:sz w:val="20"/>
        </w:rPr>
        <w:t> </w:t>
      </w:r>
      <w:r>
        <w:rPr>
          <w:rFonts w:ascii="Arial"/>
          <w:i/>
          <w:sz w:val="20"/>
        </w:rPr>
        <w:t>Civ</w:t>
      </w:r>
      <w:r>
        <w:rPr>
          <w:rFonts w:ascii="Arial"/>
          <w:i/>
          <w:spacing w:val="26"/>
          <w:sz w:val="20"/>
        </w:rPr>
        <w:t> </w:t>
      </w:r>
      <w:r>
        <w:rPr>
          <w:rFonts w:ascii="Arial"/>
          <w:i/>
          <w:sz w:val="20"/>
        </w:rPr>
        <w:t>1629,</w:t>
      </w:r>
      <w:r>
        <w:rPr>
          <w:rFonts w:ascii="Arial"/>
          <w:i/>
          <w:spacing w:val="26"/>
          <w:sz w:val="20"/>
        </w:rPr>
        <w:t> </w:t>
      </w:r>
      <w:r>
        <w:rPr>
          <w:rFonts w:ascii="Arial"/>
          <w:i/>
          <w:sz w:val="20"/>
        </w:rPr>
        <w:t>[2012]</w:t>
      </w:r>
      <w:r>
        <w:rPr>
          <w:rFonts w:ascii="Arial"/>
          <w:i/>
          <w:spacing w:val="26"/>
          <w:sz w:val="20"/>
        </w:rPr>
        <w:t> </w:t>
      </w:r>
      <w:r>
        <w:rPr>
          <w:rFonts w:ascii="Arial"/>
          <w:i/>
          <w:sz w:val="20"/>
        </w:rPr>
        <w:t>2</w:t>
      </w:r>
      <w:r>
        <w:rPr>
          <w:rFonts w:ascii="Arial"/>
          <w:i/>
          <w:spacing w:val="26"/>
          <w:sz w:val="20"/>
        </w:rPr>
        <w:t> </w:t>
      </w:r>
      <w:r>
        <w:rPr>
          <w:rFonts w:ascii="Arial"/>
          <w:i/>
          <w:sz w:val="20"/>
        </w:rPr>
        <w:t>All</w:t>
      </w:r>
      <w:r>
        <w:rPr>
          <w:rFonts w:ascii="Arial"/>
          <w:i/>
          <w:spacing w:val="26"/>
          <w:sz w:val="20"/>
        </w:rPr>
        <w:t> </w:t>
      </w:r>
      <w:r>
        <w:rPr>
          <w:rFonts w:ascii="Arial"/>
          <w:i/>
          <w:sz w:val="20"/>
        </w:rPr>
        <w:t>E.R.</w:t>
      </w:r>
      <w:r>
        <w:rPr>
          <w:rFonts w:ascii="Arial"/>
          <w:i/>
          <w:spacing w:val="26"/>
          <w:sz w:val="20"/>
        </w:rPr>
        <w:t> </w:t>
      </w:r>
      <w:r>
        <w:rPr>
          <w:rFonts w:ascii="Arial"/>
          <w:i/>
          <w:sz w:val="20"/>
        </w:rPr>
        <w:t>754</w:t>
      </w:r>
      <w:r>
        <w:rPr>
          <w:rFonts w:ascii="Arial"/>
          <w:i/>
          <w:spacing w:val="25"/>
          <w:sz w:val="20"/>
        </w:rPr>
        <w:t> </w:t>
      </w:r>
      <w:r>
        <w:rPr>
          <w:sz w:val="20"/>
        </w:rPr>
        <w:t>at</w:t>
      </w:r>
      <w:r>
        <w:rPr>
          <w:spacing w:val="26"/>
          <w:sz w:val="20"/>
        </w:rPr>
        <w:t> </w:t>
      </w:r>
      <w:r>
        <w:rPr>
          <w:sz w:val="20"/>
        </w:rPr>
        <w:t>[114];</w:t>
      </w:r>
      <w:r>
        <w:rPr>
          <w:spacing w:val="26"/>
          <w:sz w:val="20"/>
        </w:rPr>
        <w:t> </w:t>
      </w:r>
      <w:r>
        <w:rPr>
          <w:rFonts w:ascii="Arial"/>
          <w:i/>
          <w:sz w:val="20"/>
        </w:rPr>
        <w:t>Burton</w:t>
      </w:r>
      <w:r>
        <w:rPr>
          <w:rFonts w:ascii="Arial"/>
          <w:i/>
          <w:spacing w:val="26"/>
          <w:sz w:val="20"/>
        </w:rPr>
        <w:t> </w:t>
      </w:r>
      <w:r>
        <w:rPr>
          <w:rFonts w:ascii="Arial"/>
          <w:i/>
          <w:spacing w:val="-10"/>
          <w:sz w:val="20"/>
        </w:rPr>
        <w:t>v</w:t>
      </w:r>
    </w:p>
    <w:p>
      <w:pPr>
        <w:spacing w:line="225" w:lineRule="exact" w:before="0"/>
        <w:ind w:left="0" w:right="168" w:firstLine="0"/>
        <w:jc w:val="right"/>
        <w:rPr>
          <w:rFonts w:ascii="Arial"/>
          <w:i/>
          <w:sz w:val="20"/>
        </w:rPr>
      </w:pPr>
      <w:r>
        <w:rPr>
          <w:rFonts w:ascii="Arial"/>
          <w:i/>
          <w:sz w:val="20"/>
        </w:rPr>
        <w:t>Liden [2016] EWCA Civ 275, [2017] 1 F.L.R. 310</w:t>
      </w:r>
      <w:r>
        <w:rPr>
          <w:rFonts w:ascii="Arial"/>
          <w:i/>
          <w:spacing w:val="-1"/>
          <w:sz w:val="20"/>
        </w:rPr>
        <w:t> </w:t>
      </w:r>
      <w:r>
        <w:rPr>
          <w:sz w:val="20"/>
        </w:rPr>
        <w:t>at [16]; </w:t>
      </w:r>
      <w:r>
        <w:rPr>
          <w:rFonts w:ascii="Arial"/>
          <w:i/>
          <w:sz w:val="20"/>
        </w:rPr>
        <w:t>Davies v Davies [2014] EWCA Civ </w:t>
      </w:r>
      <w:r>
        <w:rPr>
          <w:rFonts w:ascii="Arial"/>
          <w:i/>
          <w:spacing w:val="-5"/>
          <w:sz w:val="20"/>
        </w:rPr>
        <w:t>565</w:t>
      </w:r>
    </w:p>
    <w:p>
      <w:pPr>
        <w:pStyle w:val="BodyText"/>
        <w:spacing w:line="235" w:lineRule="auto" w:before="1"/>
        <w:ind w:left="165" w:right="167"/>
        <w:jc w:val="both"/>
      </w:pPr>
      <w:r>
        <w:rPr/>
        <w:t>at</w:t>
      </w:r>
      <w:r>
        <w:rPr>
          <w:spacing w:val="-2"/>
        </w:rPr>
        <w:t> </w:t>
      </w:r>
      <w:r>
        <w:rPr/>
        <w:t>[29],</w:t>
      </w:r>
      <w:r>
        <w:rPr>
          <w:spacing w:val="-2"/>
        </w:rPr>
        <w:t> </w:t>
      </w:r>
      <w:r>
        <w:rPr/>
        <w:t>also</w:t>
      </w:r>
      <w:r>
        <w:rPr>
          <w:spacing w:val="-2"/>
        </w:rPr>
        <w:t> </w:t>
      </w:r>
      <w:r>
        <w:rPr/>
        <w:t>making</w:t>
      </w:r>
      <w:r>
        <w:rPr>
          <w:spacing w:val="-2"/>
        </w:rPr>
        <w:t> </w:t>
      </w:r>
      <w:r>
        <w:rPr/>
        <w:t>the</w:t>
      </w:r>
      <w:r>
        <w:rPr>
          <w:spacing w:val="-2"/>
        </w:rPr>
        <w:t> </w:t>
      </w:r>
      <w:r>
        <w:rPr/>
        <w:t>point</w:t>
      </w:r>
      <w:r>
        <w:rPr>
          <w:spacing w:val="-2"/>
        </w:rPr>
        <w:t> </w:t>
      </w:r>
      <w:r>
        <w:rPr/>
        <w:t>that</w:t>
      </w:r>
      <w:r>
        <w:rPr>
          <w:spacing w:val="-2"/>
        </w:rPr>
        <w:t> </w:t>
      </w:r>
      <w:r>
        <w:rPr/>
        <w:t>such</w:t>
      </w:r>
      <w:r>
        <w:rPr>
          <w:spacing w:val="-2"/>
        </w:rPr>
        <w:t> </w:t>
      </w:r>
      <w:r>
        <w:rPr/>
        <w:t>“main</w:t>
      </w:r>
      <w:r>
        <w:rPr>
          <w:spacing w:val="-2"/>
        </w:rPr>
        <w:t> </w:t>
      </w:r>
      <w:r>
        <w:rPr/>
        <w:t>elements”</w:t>
      </w:r>
      <w:r>
        <w:rPr>
          <w:spacing w:val="-2"/>
        </w:rPr>
        <w:t> </w:t>
      </w:r>
      <w:r>
        <w:rPr/>
        <w:t>could</w:t>
      </w:r>
      <w:r>
        <w:rPr>
          <w:spacing w:val="-2"/>
        </w:rPr>
        <w:t> </w:t>
      </w:r>
      <w:r>
        <w:rPr/>
        <w:t>not</w:t>
      </w:r>
      <w:r>
        <w:rPr>
          <w:spacing w:val="-2"/>
        </w:rPr>
        <w:t> </w:t>
      </w:r>
      <w:r>
        <w:rPr/>
        <w:t>“be</w:t>
      </w:r>
      <w:r>
        <w:rPr>
          <w:spacing w:val="-2"/>
        </w:rPr>
        <w:t> </w:t>
      </w:r>
      <w:r>
        <w:rPr/>
        <w:t>treated</w:t>
      </w:r>
      <w:r>
        <w:rPr>
          <w:spacing w:val="-2"/>
        </w:rPr>
        <w:t> </w:t>
      </w:r>
      <w:r>
        <w:rPr/>
        <w:t>as</w:t>
      </w:r>
      <w:r>
        <w:rPr>
          <w:spacing w:val="-2"/>
        </w:rPr>
        <w:t> </w:t>
      </w:r>
      <w:r>
        <w:rPr/>
        <w:t>subdivided</w:t>
      </w:r>
      <w:r>
        <w:rPr>
          <w:spacing w:val="-2"/>
        </w:rPr>
        <w:t> </w:t>
      </w:r>
      <w:r>
        <w:rPr/>
        <w:t>into three or four watertight compartments” (at [30], quoting Walker L.J. in </w:t>
      </w:r>
      <w:r>
        <w:rPr>
          <w:rFonts w:ascii="Arial" w:hAnsi="Arial"/>
          <w:i/>
        </w:rPr>
        <w:t>Gillett v Holt [2001] Ch. 210 </w:t>
      </w:r>
      <w:r>
        <w:rPr/>
        <w:t>at 232) and illustrating ways in which these elements relate to or overlap with each </w:t>
      </w:r>
      <w:r>
        <w:rPr/>
        <w:t>other; see also </w:t>
      </w:r>
      <w:r>
        <w:rPr>
          <w:rFonts w:ascii="Arial" w:hAnsi="Arial"/>
          <w:i/>
        </w:rPr>
        <w:t>Davies v Davies [2016] EWCA Civ 463, [2016] 2 P. &amp; C.R. 10</w:t>
      </w:r>
      <w:r>
        <w:rPr/>
        <w:t>, restating the main elements of proprietary estoppel and repeating the point that they could not be divided into “watertight compartments” (at [38]); </w:t>
      </w:r>
      <w:r>
        <w:rPr>
          <w:rFonts w:ascii="Arial" w:hAnsi="Arial"/>
          <w:i/>
        </w:rPr>
        <w:t>Suggitt v Suggitt [2012] EWCA Civ 1140, [2012] W.T.L.R. 1607 </w:t>
      </w:r>
      <w:r>
        <w:rPr/>
        <w:t>at [19], where Arden L.J. states the above three requirements and adds a fourth: “the</w:t>
      </w:r>
      <w:r>
        <w:rPr>
          <w:spacing w:val="40"/>
        </w:rPr>
        <w:t> </w:t>
      </w:r>
      <w:r>
        <w:rPr/>
        <w:t>relief granted by the court”. As appears from these words, this fourth requirement is concerned with the legal effects of, or remedies for, proprietary estoppel, to be discussed in paras 4-168 to 4-180 below. The first three requirements, by contrast, are those which have to be satisfied before</w:t>
      </w:r>
      <w:r>
        <w:rPr>
          <w:spacing w:val="-1"/>
        </w:rPr>
        <w:t> </w:t>
      </w:r>
      <w:r>
        <w:rPr/>
        <w:t>a</w:t>
      </w:r>
      <w:r>
        <w:rPr>
          <w:spacing w:val="-1"/>
        </w:rPr>
        <w:t> </w:t>
      </w:r>
      <w:r>
        <w:rPr/>
        <w:t>proprietary</w:t>
      </w:r>
      <w:r>
        <w:rPr>
          <w:spacing w:val="-1"/>
        </w:rPr>
        <w:t> </w:t>
      </w:r>
      <w:r>
        <w:rPr/>
        <w:t>estoppel</w:t>
      </w:r>
      <w:r>
        <w:rPr>
          <w:spacing w:val="-1"/>
        </w:rPr>
        <w:t> </w:t>
      </w:r>
      <w:r>
        <w:rPr/>
        <w:t>can</w:t>
      </w:r>
      <w:r>
        <w:rPr>
          <w:spacing w:val="-1"/>
        </w:rPr>
        <w:t> </w:t>
      </w:r>
      <w:r>
        <w:rPr/>
        <w:t>arise.</w:t>
      </w:r>
      <w:r>
        <w:rPr>
          <w:spacing w:val="-1"/>
        </w:rPr>
        <w:t> </w:t>
      </w:r>
      <w:r>
        <w:rPr/>
        <w:t>In</w:t>
      </w:r>
      <w:r>
        <w:rPr>
          <w:spacing w:val="-1"/>
        </w:rPr>
        <w:t> </w:t>
      </w:r>
      <w:r>
        <w:rPr>
          <w:rFonts w:ascii="Arial" w:hAnsi="Arial"/>
          <w:i/>
        </w:rPr>
        <w:t>Davies</w:t>
      </w:r>
      <w:r>
        <w:rPr>
          <w:rFonts w:ascii="Arial" w:hAnsi="Arial"/>
          <w:i/>
          <w:spacing w:val="-1"/>
        </w:rPr>
        <w:t> </w:t>
      </w:r>
      <w:r>
        <w:rPr>
          <w:rFonts w:ascii="Arial" w:hAnsi="Arial"/>
          <w:i/>
        </w:rPr>
        <w:t>v</w:t>
      </w:r>
      <w:r>
        <w:rPr>
          <w:rFonts w:ascii="Arial" w:hAnsi="Arial"/>
          <w:i/>
          <w:spacing w:val="-1"/>
        </w:rPr>
        <w:t> </w:t>
      </w:r>
      <w:r>
        <w:rPr>
          <w:rFonts w:ascii="Arial" w:hAnsi="Arial"/>
          <w:i/>
        </w:rPr>
        <w:t>Davies</w:t>
      </w:r>
      <w:r>
        <w:rPr/>
        <w:t>,</w:t>
      </w:r>
      <w:r>
        <w:rPr>
          <w:spacing w:val="-1"/>
        </w:rPr>
        <w:t> </w:t>
      </w:r>
      <w:r>
        <w:rPr/>
        <w:t>above,</w:t>
      </w:r>
      <w:r>
        <w:rPr>
          <w:spacing w:val="-1"/>
        </w:rPr>
        <w:t> </w:t>
      </w:r>
      <w:r>
        <w:rPr/>
        <w:t>the</w:t>
      </w:r>
      <w:r>
        <w:rPr>
          <w:spacing w:val="-1"/>
        </w:rPr>
        <w:t> </w:t>
      </w:r>
      <w:r>
        <w:rPr/>
        <w:t>requirements</w:t>
      </w:r>
      <w:r>
        <w:rPr>
          <w:spacing w:val="-1"/>
        </w:rPr>
        <w:t> </w:t>
      </w:r>
      <w:r>
        <w:rPr/>
        <w:t>of</w:t>
      </w:r>
      <w:r>
        <w:rPr>
          <w:spacing w:val="-1"/>
        </w:rPr>
        <w:t> </w:t>
      </w:r>
      <w:r>
        <w:rPr/>
        <w:t>reliance and detriment were held to have been satisfied, but the scope of the remedy was left over to be determined in later proceedings (see at [57] and [26]). For a case in which a daughter’s claim against her mother’s estate, based on proprietary estoppel, was rejected because none of the three requirements stated in para.4-146 of Vol.I had been satisfied, see </w:t>
      </w:r>
      <w:r>
        <w:rPr>
          <w:rFonts w:ascii="Arial" w:hAnsi="Arial"/>
          <w:i/>
        </w:rPr>
        <w:t>Wright v Waters [2014] EWHC 3614, [2015] W.T.L.R. 353</w:t>
      </w:r>
      <w:r>
        <w:rPr/>
        <w:t>. See also </w:t>
      </w:r>
      <w:r>
        <w:rPr>
          <w:rFonts w:ascii="Arial" w:hAnsi="Arial"/>
          <w:i/>
        </w:rPr>
        <w:t>MWB Business Exchange Centres Ltd v Rock Advertising Ltd [2016] EWCA Civ 553, [2017] Q.B. 604</w:t>
      </w:r>
      <w:r>
        <w:rPr/>
        <w:t>, where the “three main elements” of proprietary estoppel are stated at [65] but it was held that no such estoppel arose because (1) the right claimed by the person relying on the estoppel was not “a proprietary right” and (2) that person had not “suffered any detriment.” For a further statement of the requirements of proprietary estoppel, see </w:t>
      </w:r>
      <w:r>
        <w:rPr>
          <w:rFonts w:ascii="Arial" w:hAnsi="Arial"/>
          <w:i/>
        </w:rPr>
        <w:t>Moore v Moore [2016] EWHC 2202 (Ch)</w:t>
      </w:r>
      <w:r>
        <w:rPr/>
        <w:t>, where the requirements were held to have been satisfied. At [16], this form of estoppel is referred to as “equitable” estoppel; but it is clear from the authorities cited that the reference is to proprietary estoppel; see</w:t>
      </w:r>
      <w:r>
        <w:rPr>
          <w:spacing w:val="-1"/>
        </w:rPr>
        <w:t> </w:t>
      </w:r>
      <w:r>
        <w:rPr/>
        <w:t>also</w:t>
      </w:r>
      <w:r>
        <w:rPr>
          <w:spacing w:val="-1"/>
        </w:rPr>
        <w:t> </w:t>
      </w:r>
      <w:r>
        <w:rPr/>
        <w:t>the</w:t>
      </w:r>
      <w:r>
        <w:rPr>
          <w:spacing w:val="-1"/>
        </w:rPr>
        <w:t> </w:t>
      </w:r>
      <w:r>
        <w:rPr/>
        <w:t>use</w:t>
      </w:r>
      <w:r>
        <w:rPr>
          <w:spacing w:val="-1"/>
        </w:rPr>
        <w:t> </w:t>
      </w:r>
      <w:r>
        <w:rPr/>
        <w:t>of</w:t>
      </w:r>
      <w:r>
        <w:rPr>
          <w:spacing w:val="-1"/>
        </w:rPr>
        <w:t> </w:t>
      </w:r>
      <w:r>
        <w:rPr/>
        <w:t>the</w:t>
      </w:r>
      <w:r>
        <w:rPr>
          <w:spacing w:val="-1"/>
        </w:rPr>
        <w:t> </w:t>
      </w:r>
      <w:r>
        <w:rPr/>
        <w:t>expression</w:t>
      </w:r>
      <w:r>
        <w:rPr>
          <w:spacing w:val="-1"/>
        </w:rPr>
        <w:t> </w:t>
      </w:r>
      <w:r>
        <w:rPr/>
        <w:t>“proprietary”</w:t>
      </w:r>
      <w:r>
        <w:rPr>
          <w:spacing w:val="-1"/>
        </w:rPr>
        <w:t> </w:t>
      </w:r>
      <w:r>
        <w:rPr/>
        <w:t>at</w:t>
      </w:r>
      <w:r>
        <w:rPr>
          <w:spacing w:val="-1"/>
        </w:rPr>
        <w:t> </w:t>
      </w:r>
      <w:r>
        <w:rPr/>
        <w:t>(e.g.)</w:t>
      </w:r>
      <w:r>
        <w:rPr>
          <w:spacing w:val="-1"/>
        </w:rPr>
        <w:t> </w:t>
      </w:r>
      <w:r>
        <w:rPr/>
        <w:t>[16],</w:t>
      </w:r>
      <w:r>
        <w:rPr>
          <w:spacing w:val="-1"/>
        </w:rPr>
        <w:t> </w:t>
      </w:r>
      <w:r>
        <w:rPr/>
        <w:t>[18],</w:t>
      </w:r>
      <w:r>
        <w:rPr>
          <w:spacing w:val="-1"/>
        </w:rPr>
        <w:t> </w:t>
      </w:r>
      <w:r>
        <w:rPr/>
        <w:t>[184],</w:t>
      </w:r>
      <w:r>
        <w:rPr>
          <w:spacing w:val="-1"/>
        </w:rPr>
        <w:t> </w:t>
      </w:r>
      <w:r>
        <w:rPr/>
        <w:t>[194].</w:t>
      </w:r>
      <w:r>
        <w:rPr>
          <w:spacing w:val="-1"/>
        </w:rPr>
        <w:t> </w:t>
      </w:r>
      <w:r>
        <w:rPr/>
        <w:t>The</w:t>
      </w:r>
      <w:r>
        <w:rPr>
          <w:spacing w:val="-1"/>
        </w:rPr>
        <w:t> </w:t>
      </w:r>
      <w:r>
        <w:rPr/>
        <w:t>reference</w:t>
      </w:r>
      <w:r>
        <w:rPr>
          <w:spacing w:val="-1"/>
        </w:rPr>
        <w:t> </w:t>
      </w:r>
      <w:r>
        <w:rPr/>
        <w:t>to “promissory” estoppel at [174] may be a misprint; in any event it is clear from the remedy granted by the Court in </w:t>
      </w:r>
      <w:r>
        <w:rPr>
          <w:rFonts w:ascii="Arial" w:hAnsi="Arial"/>
          <w:i/>
        </w:rPr>
        <w:t>Moore v Moore </w:t>
      </w:r>
      <w:r>
        <w:rPr/>
        <w:t>(see below, para.4-169) that the outcome was not affected</w:t>
      </w:r>
      <w:r>
        <w:rPr>
          <w:spacing w:val="40"/>
        </w:rPr>
        <w:t> </w:t>
      </w:r>
      <w:r>
        <w:rPr/>
        <w:t>by</w:t>
      </w:r>
      <w:r>
        <w:rPr>
          <w:spacing w:val="40"/>
        </w:rPr>
        <w:t> </w:t>
      </w:r>
      <w:r>
        <w:rPr/>
        <w:t>the</w:t>
      </w:r>
      <w:r>
        <w:rPr>
          <w:spacing w:val="40"/>
        </w:rPr>
        <w:t> </w:t>
      </w:r>
      <w:r>
        <w:rPr/>
        <w:t>restriction</w:t>
      </w:r>
      <w:r>
        <w:rPr>
          <w:spacing w:val="40"/>
        </w:rPr>
        <w:t> </w:t>
      </w:r>
      <w:r>
        <w:rPr/>
        <w:t>on</w:t>
      </w:r>
      <w:r>
        <w:rPr>
          <w:spacing w:val="40"/>
        </w:rPr>
        <w:t> </w:t>
      </w:r>
      <w:r>
        <w:rPr/>
        <w:t>the</w:t>
      </w:r>
      <w:r>
        <w:rPr>
          <w:spacing w:val="40"/>
        </w:rPr>
        <w:t> </w:t>
      </w:r>
      <w:r>
        <w:rPr/>
        <w:t>effect</w:t>
      </w:r>
      <w:r>
        <w:rPr>
          <w:spacing w:val="40"/>
        </w:rPr>
        <w:t> </w:t>
      </w:r>
      <w:r>
        <w:rPr/>
        <w:t>of</w:t>
      </w:r>
      <w:r>
        <w:rPr>
          <w:spacing w:val="40"/>
        </w:rPr>
        <w:t> </w:t>
      </w:r>
      <w:r>
        <w:rPr/>
        <w:t>the</w:t>
      </w:r>
      <w:r>
        <w:rPr>
          <w:spacing w:val="40"/>
        </w:rPr>
        <w:t> </w:t>
      </w:r>
      <w:r>
        <w:rPr/>
        <w:t>estoppel</w:t>
      </w:r>
      <w:r>
        <w:rPr>
          <w:spacing w:val="40"/>
        </w:rPr>
        <w:t> </w:t>
      </w:r>
      <w:r>
        <w:rPr/>
        <w:t>discussed</w:t>
      </w:r>
      <w:r>
        <w:rPr>
          <w:spacing w:val="40"/>
        </w:rPr>
        <w:t> </w:t>
      </w:r>
      <w:r>
        <w:rPr/>
        <w:t>in</w:t>
      </w:r>
      <w:r>
        <w:rPr>
          <w:spacing w:val="40"/>
        </w:rPr>
        <w:t> </w:t>
      </w:r>
      <w:r>
        <w:rPr/>
        <w:t>Main</w:t>
      </w:r>
      <w:r>
        <w:rPr>
          <w:spacing w:val="40"/>
        </w:rPr>
        <w:t> </w:t>
      </w:r>
      <w:r>
        <w:rPr/>
        <w:t>Work,</w:t>
      </w:r>
      <w:r>
        <w:rPr>
          <w:spacing w:val="40"/>
        </w:rPr>
        <w:t> </w:t>
      </w:r>
      <w:r>
        <w:rPr/>
        <w:t>Vol.I, </w:t>
      </w:r>
      <w:r>
        <w:rPr>
          <w:spacing w:val="-2"/>
        </w:rPr>
        <w:t>para.4-101.</w:t>
      </w:r>
    </w:p>
    <w:p>
      <w:pPr>
        <w:pStyle w:val="BodyText"/>
        <w:spacing w:after="0" w:line="235" w:lineRule="auto"/>
        <w:jc w:val="both"/>
        <w:sectPr>
          <w:type w:val="continuous"/>
          <w:pgSz w:w="11900" w:h="16840"/>
          <w:pgMar w:header="971" w:footer="0" w:top="3760" w:bottom="280" w:left="1275" w:right="1275"/>
          <w:cols w:num="2" w:equalWidth="0">
            <w:col w:w="478" w:space="63"/>
            <w:col w:w="8809"/>
          </w:cols>
        </w:sectPr>
      </w:pPr>
    </w:p>
    <w:p>
      <w:pPr>
        <w:tabs>
          <w:tab w:pos="705" w:val="left" w:leader="none"/>
        </w:tabs>
        <w:spacing w:before="226"/>
        <w:ind w:left="165" w:right="0" w:firstLine="0"/>
        <w:jc w:val="left"/>
        <w:rPr>
          <w:sz w:val="20"/>
        </w:rPr>
      </w:pPr>
      <w:bookmarkStart w:name="_bookmark1788" w:id="1790"/>
      <w:bookmarkEnd w:id="1790"/>
      <w:r>
        <w:rPr/>
      </w:r>
      <w:hyperlink w:history="true" w:anchor="_bookmark1752">
        <w:r>
          <w:rPr>
            <w:color w:val="005DA1"/>
            <w:spacing w:val="-4"/>
            <w:position w:val="5"/>
            <w:sz w:val="14"/>
            <w:u w:val="single" w:color="005DA1"/>
          </w:rPr>
          <w:t>932</w:t>
        </w:r>
      </w:hyperlink>
      <w:r>
        <w:rPr>
          <w:spacing w:val="-4"/>
          <w:position w:val="5"/>
          <w:sz w:val="14"/>
        </w:rPr>
        <w:t>.</w:t>
      </w:r>
      <w:r>
        <w:rPr>
          <w:position w:val="5"/>
          <w:sz w:val="14"/>
        </w:rPr>
        <w:tab/>
      </w:r>
      <w:r>
        <w:rPr>
          <w:sz w:val="20"/>
        </w:rPr>
        <w:t>See</w:t>
      </w:r>
      <w:r>
        <w:rPr>
          <w:spacing w:val="-1"/>
          <w:sz w:val="20"/>
        </w:rPr>
        <w:t> </w:t>
      </w:r>
      <w:r>
        <w:rPr>
          <w:rFonts w:ascii="Arial" w:hAnsi="Arial"/>
          <w:i/>
          <w:sz w:val="20"/>
        </w:rPr>
        <w:t>[2009] UKHL 18</w:t>
      </w:r>
      <w:r>
        <w:rPr>
          <w:rFonts w:ascii="Arial" w:hAnsi="Arial"/>
          <w:i/>
          <w:spacing w:val="-1"/>
          <w:sz w:val="20"/>
        </w:rPr>
        <w:t> </w:t>
      </w:r>
      <w:r>
        <w:rPr>
          <w:sz w:val="20"/>
        </w:rPr>
        <w:t>at [2] (“promise or </w:t>
      </w:r>
      <w:r>
        <w:rPr>
          <w:spacing w:val="-2"/>
          <w:sz w:val="20"/>
        </w:rPr>
        <w:t>assurance”).</w:t>
      </w:r>
    </w:p>
    <w:p>
      <w:pPr>
        <w:pStyle w:val="BodyText"/>
        <w:spacing w:before="9"/>
      </w:pPr>
    </w:p>
    <w:p>
      <w:pPr>
        <w:tabs>
          <w:tab w:pos="705" w:val="left" w:leader="none"/>
        </w:tabs>
        <w:spacing w:line="235" w:lineRule="auto" w:before="0"/>
        <w:ind w:left="705" w:right="168" w:hanging="541"/>
        <w:jc w:val="left"/>
        <w:rPr>
          <w:sz w:val="20"/>
        </w:rPr>
      </w:pPr>
      <w:bookmarkStart w:name="_bookmark1789" w:id="1791"/>
      <w:bookmarkEnd w:id="1791"/>
      <w:r>
        <w:rPr/>
      </w:r>
      <w:hyperlink w:history="true" w:anchor="_bookmark1753">
        <w:r>
          <w:rPr>
            <w:color w:val="005DA1"/>
            <w:spacing w:val="-4"/>
            <w:position w:val="5"/>
            <w:sz w:val="14"/>
            <w:u w:val="single" w:color="005DA1"/>
          </w:rPr>
          <w:t>933</w:t>
        </w:r>
      </w:hyperlink>
      <w:r>
        <w:rPr>
          <w:spacing w:val="-4"/>
          <w:position w:val="5"/>
          <w:sz w:val="14"/>
        </w:rPr>
        <w:t>.</w:t>
      </w:r>
      <w:r>
        <w:rPr>
          <w:position w:val="5"/>
          <w:sz w:val="14"/>
        </w:rPr>
        <w:tab/>
      </w:r>
      <w:r>
        <w:rPr>
          <w:rFonts w:ascii="Arial"/>
          <w:i/>
          <w:sz w:val="20"/>
        </w:rPr>
        <w:t>Kim v Chasewood Park Residents Ltd [2013] EWCA Civ 239, [2013] H.L.R. 24 </w:t>
      </w:r>
      <w:r>
        <w:rPr>
          <w:sz w:val="20"/>
        </w:rPr>
        <w:t>at [31] and [34]; for the facts of this case (so far as here relevant) see above, para.4-090 n.468.</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790" w:id="1792"/>
      <w:bookmarkEnd w:id="1792"/>
      <w:r>
        <w:rPr/>
      </w:r>
      <w:hyperlink w:history="true" w:anchor="_bookmark1754">
        <w:r>
          <w:rPr>
            <w:color w:val="005DA1"/>
            <w:spacing w:val="-4"/>
            <w:position w:val="5"/>
            <w:sz w:val="14"/>
            <w:u w:val="single" w:color="005DA1"/>
          </w:rPr>
          <w:t>934</w:t>
        </w:r>
      </w:hyperlink>
      <w:r>
        <w:rPr>
          <w:spacing w:val="-4"/>
          <w:position w:val="5"/>
          <w:sz w:val="14"/>
        </w:rPr>
        <w:t>.</w:t>
      </w:r>
      <w:r>
        <w:rPr>
          <w:position w:val="5"/>
          <w:sz w:val="14"/>
        </w:rPr>
        <w:tab/>
      </w:r>
      <w:r>
        <w:rPr>
          <w:sz w:val="20"/>
        </w:rPr>
        <w:t>e.g.</w:t>
      </w:r>
      <w:r>
        <w:rPr>
          <w:spacing w:val="9"/>
          <w:sz w:val="20"/>
        </w:rPr>
        <w:t> </w:t>
      </w:r>
      <w:r>
        <w:rPr>
          <w:rFonts w:ascii="Arial"/>
          <w:i/>
          <w:sz w:val="20"/>
        </w:rPr>
        <w:t>Re</w:t>
      </w:r>
      <w:r>
        <w:rPr>
          <w:rFonts w:ascii="Arial"/>
          <w:i/>
          <w:spacing w:val="10"/>
          <w:sz w:val="20"/>
        </w:rPr>
        <w:t> </w:t>
      </w:r>
      <w:r>
        <w:rPr>
          <w:rFonts w:ascii="Arial"/>
          <w:i/>
          <w:sz w:val="20"/>
        </w:rPr>
        <w:t>Sharpe</w:t>
      </w:r>
      <w:r>
        <w:rPr>
          <w:rFonts w:ascii="Arial"/>
          <w:i/>
          <w:spacing w:val="10"/>
          <w:sz w:val="20"/>
        </w:rPr>
        <w:t> </w:t>
      </w:r>
      <w:r>
        <w:rPr>
          <w:rFonts w:ascii="Arial"/>
          <w:i/>
          <w:sz w:val="20"/>
        </w:rPr>
        <w:t>[1980]</w:t>
      </w:r>
      <w:r>
        <w:rPr>
          <w:rFonts w:ascii="Arial"/>
          <w:i/>
          <w:spacing w:val="10"/>
          <w:sz w:val="20"/>
        </w:rPr>
        <w:t> </w:t>
      </w:r>
      <w:r>
        <w:rPr>
          <w:rFonts w:ascii="Arial"/>
          <w:i/>
          <w:sz w:val="20"/>
        </w:rPr>
        <w:t>1</w:t>
      </w:r>
      <w:r>
        <w:rPr>
          <w:rFonts w:ascii="Arial"/>
          <w:i/>
          <w:spacing w:val="10"/>
          <w:sz w:val="20"/>
        </w:rPr>
        <w:t> </w:t>
      </w:r>
      <w:r>
        <w:rPr>
          <w:rFonts w:ascii="Arial"/>
          <w:i/>
          <w:sz w:val="20"/>
        </w:rPr>
        <w:t>W.L.R.</w:t>
      </w:r>
      <w:r>
        <w:rPr>
          <w:rFonts w:ascii="Arial"/>
          <w:i/>
          <w:spacing w:val="10"/>
          <w:sz w:val="20"/>
        </w:rPr>
        <w:t> </w:t>
      </w:r>
      <w:r>
        <w:rPr>
          <w:rFonts w:ascii="Arial"/>
          <w:i/>
          <w:sz w:val="20"/>
        </w:rPr>
        <w:t>219</w:t>
      </w:r>
      <w:r>
        <w:rPr>
          <w:sz w:val="20"/>
        </w:rPr>
        <w:t>;</w:t>
      </w:r>
      <w:r>
        <w:rPr>
          <w:spacing w:val="10"/>
          <w:sz w:val="20"/>
        </w:rPr>
        <w:t> </w:t>
      </w:r>
      <w:r>
        <w:rPr>
          <w:rFonts w:ascii="Arial"/>
          <w:i/>
          <w:sz w:val="20"/>
        </w:rPr>
        <w:t>Ashby</w:t>
      </w:r>
      <w:r>
        <w:rPr>
          <w:rFonts w:ascii="Arial"/>
          <w:i/>
          <w:spacing w:val="10"/>
          <w:sz w:val="20"/>
        </w:rPr>
        <w:t> </w:t>
      </w:r>
      <w:r>
        <w:rPr>
          <w:rFonts w:ascii="Arial"/>
          <w:i/>
          <w:sz w:val="20"/>
        </w:rPr>
        <w:t>v</w:t>
      </w:r>
      <w:r>
        <w:rPr>
          <w:rFonts w:ascii="Arial"/>
          <w:i/>
          <w:spacing w:val="10"/>
          <w:sz w:val="20"/>
        </w:rPr>
        <w:t> </w:t>
      </w:r>
      <w:r>
        <w:rPr>
          <w:rFonts w:ascii="Arial"/>
          <w:i/>
          <w:sz w:val="20"/>
        </w:rPr>
        <w:t>Kilduff</w:t>
      </w:r>
      <w:r>
        <w:rPr>
          <w:rFonts w:ascii="Arial"/>
          <w:i/>
          <w:spacing w:val="10"/>
          <w:sz w:val="20"/>
        </w:rPr>
        <w:t> </w:t>
      </w:r>
      <w:r>
        <w:rPr>
          <w:rFonts w:ascii="Arial"/>
          <w:i/>
          <w:sz w:val="20"/>
        </w:rPr>
        <w:t>[2010]</w:t>
      </w:r>
      <w:r>
        <w:rPr>
          <w:rFonts w:ascii="Arial"/>
          <w:i/>
          <w:spacing w:val="10"/>
          <w:sz w:val="20"/>
        </w:rPr>
        <w:t> </w:t>
      </w:r>
      <w:r>
        <w:rPr>
          <w:rFonts w:ascii="Arial"/>
          <w:i/>
          <w:sz w:val="20"/>
        </w:rPr>
        <w:t>EWHC</w:t>
      </w:r>
      <w:r>
        <w:rPr>
          <w:rFonts w:ascii="Arial"/>
          <w:i/>
          <w:spacing w:val="10"/>
          <w:sz w:val="20"/>
        </w:rPr>
        <w:t> </w:t>
      </w:r>
      <w:r>
        <w:rPr>
          <w:rFonts w:ascii="Arial"/>
          <w:i/>
          <w:sz w:val="20"/>
        </w:rPr>
        <w:t>2034</w:t>
      </w:r>
      <w:r>
        <w:rPr>
          <w:rFonts w:ascii="Arial"/>
          <w:i/>
          <w:spacing w:val="10"/>
          <w:sz w:val="20"/>
        </w:rPr>
        <w:t> </w:t>
      </w:r>
      <w:r>
        <w:rPr>
          <w:rFonts w:ascii="Arial"/>
          <w:i/>
          <w:sz w:val="20"/>
        </w:rPr>
        <w:t>(Ch),</w:t>
      </w:r>
      <w:r>
        <w:rPr>
          <w:rFonts w:ascii="Arial"/>
          <w:i/>
          <w:spacing w:val="10"/>
          <w:sz w:val="20"/>
        </w:rPr>
        <w:t> </w:t>
      </w:r>
      <w:r>
        <w:rPr>
          <w:rFonts w:ascii="Arial"/>
          <w:i/>
          <w:sz w:val="20"/>
        </w:rPr>
        <w:t>[2010]</w:t>
      </w:r>
      <w:r>
        <w:rPr>
          <w:rFonts w:ascii="Arial"/>
          <w:i/>
          <w:spacing w:val="10"/>
          <w:sz w:val="20"/>
        </w:rPr>
        <w:t> </w:t>
      </w:r>
      <w:r>
        <w:rPr>
          <w:rFonts w:ascii="Arial"/>
          <w:i/>
          <w:sz w:val="20"/>
        </w:rPr>
        <w:t>3</w:t>
      </w:r>
      <w:r>
        <w:rPr>
          <w:rFonts w:ascii="Arial"/>
          <w:i/>
          <w:spacing w:val="10"/>
          <w:sz w:val="20"/>
        </w:rPr>
        <w:t> </w:t>
      </w:r>
      <w:r>
        <w:rPr>
          <w:rFonts w:ascii="Arial"/>
          <w:i/>
          <w:spacing w:val="-2"/>
          <w:sz w:val="20"/>
        </w:rPr>
        <w:t>F.C.R.</w:t>
      </w:r>
    </w:p>
    <w:p>
      <w:pPr>
        <w:spacing w:line="227" w:lineRule="exact" w:before="0"/>
        <w:ind w:left="705" w:right="0" w:firstLine="0"/>
        <w:jc w:val="left"/>
        <w:rPr>
          <w:sz w:val="20"/>
        </w:rPr>
      </w:pPr>
      <w:r>
        <w:rPr>
          <w:rFonts w:ascii="Arial"/>
          <w:i/>
          <w:sz w:val="20"/>
        </w:rPr>
        <w:t>80</w:t>
      </w:r>
      <w:r>
        <w:rPr>
          <w:rFonts w:ascii="Arial"/>
          <w:i/>
          <w:spacing w:val="-1"/>
          <w:sz w:val="20"/>
        </w:rPr>
        <w:t> </w:t>
      </w:r>
      <w:r>
        <w:rPr>
          <w:sz w:val="20"/>
        </w:rPr>
        <w:t>at </w:t>
      </w:r>
      <w:r>
        <w:rPr>
          <w:spacing w:val="-2"/>
          <w:sz w:val="20"/>
        </w:rPr>
        <w:t>[72].</w:t>
      </w:r>
    </w:p>
    <w:p>
      <w:pPr>
        <w:pStyle w:val="BodyText"/>
        <w:spacing w:before="5"/>
      </w:pPr>
    </w:p>
    <w:p>
      <w:pPr>
        <w:tabs>
          <w:tab w:pos="705" w:val="left" w:leader="none"/>
        </w:tabs>
        <w:spacing w:before="0"/>
        <w:ind w:left="165" w:right="0" w:firstLine="0"/>
        <w:jc w:val="left"/>
        <w:rPr>
          <w:sz w:val="20"/>
        </w:rPr>
      </w:pPr>
      <w:bookmarkStart w:name="_bookmark1791" w:id="1793"/>
      <w:bookmarkEnd w:id="1793"/>
      <w:r>
        <w:rPr/>
      </w:r>
      <w:hyperlink w:history="true" w:anchor="_bookmark1755">
        <w:r>
          <w:rPr>
            <w:color w:val="005DA1"/>
            <w:spacing w:val="-4"/>
            <w:position w:val="5"/>
            <w:sz w:val="14"/>
            <w:u w:val="single" w:color="005DA1"/>
          </w:rPr>
          <w:t>935</w:t>
        </w:r>
      </w:hyperlink>
      <w:r>
        <w:rPr>
          <w:spacing w:val="-4"/>
          <w:position w:val="5"/>
          <w:sz w:val="14"/>
        </w:rPr>
        <w:t>.</w:t>
      </w:r>
      <w:r>
        <w:rPr>
          <w:position w:val="5"/>
          <w:sz w:val="14"/>
        </w:rPr>
        <w:tab/>
      </w:r>
      <w:r>
        <w:rPr>
          <w:rFonts w:ascii="Arial"/>
          <w:i/>
          <w:sz w:val="20"/>
        </w:rPr>
        <w:t>Thorner v Major [2009] UKHL 18, [2009] 1 W.L.R. 776</w:t>
      </w:r>
      <w:r>
        <w:rPr>
          <w:rFonts w:ascii="Arial"/>
          <w:i/>
          <w:spacing w:val="-1"/>
          <w:sz w:val="20"/>
        </w:rPr>
        <w:t> </w:t>
      </w:r>
      <w:r>
        <w:rPr>
          <w:sz w:val="20"/>
        </w:rPr>
        <w:t>at </w:t>
      </w:r>
      <w:r>
        <w:rPr>
          <w:spacing w:val="-4"/>
          <w:sz w:val="20"/>
        </w:rPr>
        <w:t>[5].</w:t>
      </w:r>
    </w:p>
    <w:p>
      <w:pPr>
        <w:pStyle w:val="BodyText"/>
        <w:spacing w:before="5"/>
      </w:pPr>
    </w:p>
    <w:p>
      <w:pPr>
        <w:tabs>
          <w:tab w:pos="705" w:val="left" w:leader="none"/>
        </w:tabs>
        <w:spacing w:before="0"/>
        <w:ind w:left="165" w:right="0" w:firstLine="0"/>
        <w:jc w:val="left"/>
        <w:rPr>
          <w:sz w:val="20"/>
        </w:rPr>
      </w:pPr>
      <w:bookmarkStart w:name="_bookmark1792" w:id="1794"/>
      <w:bookmarkEnd w:id="1794"/>
      <w:r>
        <w:rPr/>
      </w:r>
      <w:hyperlink w:history="true" w:anchor="_bookmark1756">
        <w:r>
          <w:rPr>
            <w:color w:val="005DA1"/>
            <w:spacing w:val="-4"/>
            <w:position w:val="5"/>
            <w:sz w:val="14"/>
            <w:u w:val="single" w:color="005DA1"/>
          </w:rPr>
          <w:t>936</w:t>
        </w:r>
      </w:hyperlink>
      <w:r>
        <w:rPr>
          <w:spacing w:val="-4"/>
          <w:position w:val="5"/>
          <w:sz w:val="14"/>
        </w:rPr>
        <w:t>.</w:t>
      </w:r>
      <w:r>
        <w:rPr>
          <w:position w:val="5"/>
          <w:sz w:val="14"/>
        </w:rPr>
        <w:tab/>
      </w:r>
      <w:r>
        <w:rPr>
          <w:rFonts w:ascii="Arial"/>
          <w:i/>
          <w:sz w:val="20"/>
        </w:rPr>
        <w:t>Gillett v Holt [2001] Ch. 210, </w:t>
      </w:r>
      <w:r>
        <w:rPr>
          <w:rFonts w:ascii="Arial"/>
          <w:i/>
          <w:spacing w:val="-4"/>
          <w:sz w:val="20"/>
        </w:rPr>
        <w:t>229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793" w:id="1795"/>
      <w:bookmarkEnd w:id="1795"/>
      <w:r>
        <w:rPr/>
      </w:r>
      <w:hyperlink w:history="true" w:anchor="_bookmark1757">
        <w:r>
          <w:rPr>
            <w:color w:val="005DA1"/>
            <w:spacing w:val="-4"/>
            <w:position w:val="5"/>
            <w:sz w:val="14"/>
            <w:u w:val="single" w:color="005DA1"/>
          </w:rPr>
          <w:t>937</w:t>
        </w:r>
      </w:hyperlink>
      <w:r>
        <w:rPr>
          <w:spacing w:val="-4"/>
          <w:position w:val="5"/>
          <w:sz w:val="14"/>
        </w:rPr>
        <w:t>.</w:t>
      </w:r>
      <w:r>
        <w:rPr>
          <w:position w:val="5"/>
          <w:sz w:val="14"/>
        </w:rPr>
        <w:tab/>
      </w:r>
      <w:r>
        <w:rPr>
          <w:rFonts w:ascii="Arial"/>
          <w:i/>
          <w:sz w:val="20"/>
        </w:rPr>
        <w:t>Thorner v Major [2009] UKHL 18, [2009] 1 W.L.R. 776</w:t>
      </w:r>
      <w:r>
        <w:rPr>
          <w:rFonts w:ascii="Arial"/>
          <w:i/>
          <w:spacing w:val="-1"/>
          <w:sz w:val="20"/>
        </w:rPr>
        <w:t> </w:t>
      </w:r>
      <w:r>
        <w:rPr>
          <w:sz w:val="20"/>
        </w:rPr>
        <w:t>at [17]; cf. at </w:t>
      </w:r>
      <w:r>
        <w:rPr>
          <w:spacing w:val="-2"/>
          <w:sz w:val="20"/>
        </w:rPr>
        <w:t>[60].</w:t>
      </w:r>
    </w:p>
    <w:p>
      <w:pPr>
        <w:spacing w:after="0"/>
        <w:jc w:val="left"/>
        <w:rPr>
          <w:sz w:val="20"/>
        </w:rPr>
        <w:sectPr>
          <w:type w:val="continuous"/>
          <w:pgSz w:w="11900" w:h="16840"/>
          <w:pgMar w:header="971" w:footer="0" w:top="3760" w:bottom="280" w:left="1275" w:right="1275"/>
        </w:sectPr>
      </w:pPr>
    </w:p>
    <w:p>
      <w:pPr>
        <w:pStyle w:val="BodyText"/>
        <w:spacing w:before="84"/>
      </w:pPr>
    </w:p>
    <w:p>
      <w:pPr>
        <w:spacing w:line="235" w:lineRule="auto" w:before="1"/>
        <w:ind w:left="705" w:right="167" w:hanging="541"/>
        <w:jc w:val="both"/>
        <w:rPr>
          <w:sz w:val="20"/>
        </w:rPr>
      </w:pPr>
      <w:hyperlink w:history="true" w:anchor="_bookmark1758">
        <w:r>
          <w:rPr>
            <w:color w:val="005DA1"/>
            <w:position w:val="5"/>
            <w:sz w:val="14"/>
            <w:u w:val="single" w:color="005DA1"/>
          </w:rPr>
          <w:t>938</w:t>
        </w:r>
      </w:hyperlink>
      <w:r>
        <w:rPr>
          <w:position w:val="5"/>
          <w:sz w:val="14"/>
        </w:rPr>
        <w:t>.</w:t>
      </w:r>
      <w:r>
        <w:rPr>
          <w:spacing w:val="40"/>
          <w:position w:val="5"/>
          <w:sz w:val="14"/>
        </w:rPr>
        <w:t>  </w:t>
      </w:r>
      <w:r>
        <w:rPr>
          <w:sz w:val="20"/>
        </w:rPr>
        <w:t>ibid., at [5], [26]; </w:t>
      </w:r>
      <w:r>
        <w:rPr>
          <w:rFonts w:ascii="Arial" w:hAnsi="Arial"/>
          <w:i/>
          <w:sz w:val="20"/>
        </w:rPr>
        <w:t>Suggitt v Suggitt [2011] EWHC 903 (Ch), [2011] 2 F.L.R. 875 at [42]; affirmed [2012] EWCA Civ 1140, [2012] W.T.L.R. 1607</w:t>
      </w:r>
      <w:r>
        <w:rPr>
          <w:sz w:val="20"/>
        </w:rPr>
        <w:t>, where the trial judge’s finding that a </w:t>
      </w:r>
      <w:r>
        <w:rPr>
          <w:sz w:val="20"/>
        </w:rPr>
        <w:t>promise</w:t>
      </w:r>
      <w:r>
        <w:rPr>
          <w:spacing w:val="40"/>
          <w:sz w:val="20"/>
        </w:rPr>
        <w:t> </w:t>
      </w:r>
      <w:r>
        <w:rPr>
          <w:sz w:val="20"/>
        </w:rPr>
        <w:t>had been made was not challenged on appeal (see at [28]) and the Court of Appeal concluded that “there was sufficient reliance and detriment” (at [38]).</w:t>
      </w:r>
    </w:p>
    <w:p>
      <w:pPr>
        <w:pStyle w:val="BodyText"/>
        <w:spacing w:before="4"/>
      </w:pPr>
    </w:p>
    <w:p>
      <w:pPr>
        <w:tabs>
          <w:tab w:pos="705" w:val="left" w:leader="none"/>
        </w:tabs>
        <w:spacing w:before="0"/>
        <w:ind w:left="165" w:right="0" w:firstLine="0"/>
        <w:jc w:val="left"/>
        <w:rPr>
          <w:sz w:val="20"/>
        </w:rPr>
      </w:pPr>
      <w:bookmarkStart w:name="_bookmark1794" w:id="1796"/>
      <w:bookmarkEnd w:id="1796"/>
      <w:r>
        <w:rPr/>
      </w:r>
      <w:hyperlink w:history="true" w:anchor="_bookmark1759">
        <w:r>
          <w:rPr>
            <w:color w:val="005DA1"/>
            <w:spacing w:val="-4"/>
            <w:position w:val="5"/>
            <w:sz w:val="14"/>
            <w:u w:val="single" w:color="005DA1"/>
          </w:rPr>
          <w:t>939</w:t>
        </w:r>
      </w:hyperlink>
      <w:r>
        <w:rPr>
          <w:spacing w:val="-4"/>
          <w:position w:val="5"/>
          <w:sz w:val="14"/>
        </w:rPr>
        <w:t>.</w:t>
      </w:r>
      <w:r>
        <w:rPr>
          <w:position w:val="5"/>
          <w:sz w:val="14"/>
        </w:rPr>
        <w:tab/>
      </w:r>
      <w:r>
        <w:rPr>
          <w:rFonts w:ascii="Arial"/>
          <w:i/>
          <w:sz w:val="20"/>
        </w:rPr>
        <w:t>Thorner</w:t>
      </w:r>
      <w:r>
        <w:rPr>
          <w:rFonts w:ascii="Arial"/>
          <w:i/>
          <w:spacing w:val="-1"/>
          <w:sz w:val="20"/>
        </w:rPr>
        <w:t> </w:t>
      </w:r>
      <w:r>
        <w:rPr>
          <w:rFonts w:ascii="Arial"/>
          <w:i/>
          <w:sz w:val="20"/>
        </w:rPr>
        <w:t>v Major</w:t>
      </w:r>
      <w:r>
        <w:rPr>
          <w:sz w:val="20"/>
        </w:rPr>
        <w:t>, above n.884, at </w:t>
      </w:r>
      <w:r>
        <w:rPr>
          <w:spacing w:val="-2"/>
          <w:sz w:val="20"/>
        </w:rPr>
        <w:t>[78].</w:t>
      </w:r>
    </w:p>
    <w:p>
      <w:pPr>
        <w:pStyle w:val="BodyText"/>
        <w:spacing w:before="9"/>
      </w:pPr>
    </w:p>
    <w:p>
      <w:pPr>
        <w:tabs>
          <w:tab w:pos="705" w:val="left" w:leader="none"/>
        </w:tabs>
        <w:spacing w:line="235" w:lineRule="auto" w:before="0"/>
        <w:ind w:left="705" w:right="168" w:hanging="541"/>
        <w:jc w:val="left"/>
        <w:rPr>
          <w:sz w:val="20"/>
        </w:rPr>
      </w:pPr>
      <w:bookmarkStart w:name="_bookmark1795" w:id="1797"/>
      <w:bookmarkEnd w:id="1797"/>
      <w:r>
        <w:rPr/>
      </w:r>
      <w:hyperlink w:history="true" w:anchor="_bookmark1760">
        <w:r>
          <w:rPr>
            <w:color w:val="005DA1"/>
            <w:spacing w:val="-4"/>
            <w:position w:val="5"/>
            <w:sz w:val="14"/>
            <w:u w:val="single" w:color="005DA1"/>
          </w:rPr>
          <w:t>940</w:t>
        </w:r>
      </w:hyperlink>
      <w:r>
        <w:rPr>
          <w:spacing w:val="-4"/>
          <w:position w:val="5"/>
          <w:sz w:val="14"/>
        </w:rPr>
        <w:t>.</w:t>
      </w:r>
      <w:r>
        <w:rPr>
          <w:position w:val="5"/>
          <w:sz w:val="14"/>
        </w:rPr>
        <w:tab/>
      </w:r>
      <w:r>
        <w:rPr>
          <w:sz w:val="20"/>
        </w:rPr>
        <w:t>See </w:t>
      </w:r>
      <w:r>
        <w:rPr>
          <w:rFonts w:ascii="Arial" w:hAnsi="Arial"/>
          <w:i/>
          <w:sz w:val="20"/>
        </w:rPr>
        <w:t>Kinane v Mackie-Conteh [2005] EWCA Civ 45, [2005] W.T.L.R. 345 </w:t>
      </w:r>
      <w:r>
        <w:rPr>
          <w:sz w:val="20"/>
        </w:rPr>
        <w:t>at [29] (requirement </w:t>
      </w:r>
      <w:r>
        <w:rPr>
          <w:sz w:val="20"/>
        </w:rPr>
        <w:t>of a representation “that the agreement created an enforceable obligation”).</w:t>
      </w:r>
    </w:p>
    <w:p>
      <w:pPr>
        <w:pStyle w:val="BodyText"/>
        <w:spacing w:before="9"/>
      </w:pPr>
    </w:p>
    <w:p>
      <w:pPr>
        <w:spacing w:line="235" w:lineRule="auto" w:before="0"/>
        <w:ind w:left="705" w:right="167" w:hanging="541"/>
        <w:jc w:val="both"/>
        <w:rPr>
          <w:rFonts w:ascii="Arial" w:hAnsi="Arial"/>
          <w:i/>
          <w:sz w:val="20"/>
        </w:rPr>
      </w:pPr>
      <w:bookmarkStart w:name="_bookmark1796" w:id="1798"/>
      <w:bookmarkEnd w:id="1798"/>
      <w:r>
        <w:rPr/>
      </w:r>
      <w:hyperlink w:history="true" w:anchor="_bookmark1761">
        <w:r>
          <w:rPr>
            <w:color w:val="005DA1"/>
            <w:position w:val="5"/>
            <w:sz w:val="14"/>
            <w:u w:val="single" w:color="005DA1"/>
          </w:rPr>
          <w:t>941</w:t>
        </w:r>
      </w:hyperlink>
      <w:r>
        <w:rPr>
          <w:position w:val="5"/>
          <w:sz w:val="14"/>
        </w:rPr>
        <w:t>.</w:t>
      </w:r>
      <w:r>
        <w:rPr>
          <w:spacing w:val="80"/>
          <w:position w:val="5"/>
          <w:sz w:val="14"/>
        </w:rPr>
        <w:t>  </w:t>
      </w:r>
      <w:r>
        <w:rPr>
          <w:rFonts w:ascii="Arial" w:hAnsi="Arial"/>
          <w:i/>
          <w:sz w:val="20"/>
        </w:rPr>
        <w:t>Att.-Gen. of Hong Kong v Humphreys Estates (Queen’s Gardens) [1987] 1 A.C. 114</w:t>
      </w:r>
      <w:r>
        <w:rPr>
          <w:sz w:val="20"/>
        </w:rPr>
        <w:t>; the case was said in </w:t>
      </w:r>
      <w:r>
        <w:rPr>
          <w:rFonts w:ascii="Arial" w:hAnsi="Arial"/>
          <w:i/>
          <w:sz w:val="20"/>
        </w:rPr>
        <w:t>Waltons Stores (Interstate) Ltd v Maher (1988) 164 C.L.R. 387, 404 </w:t>
      </w:r>
      <w:r>
        <w:rPr>
          <w:sz w:val="20"/>
        </w:rPr>
        <w:t>to be “not </w:t>
      </w:r>
      <w:r>
        <w:rPr>
          <w:sz w:val="20"/>
        </w:rPr>
        <w:t>a case of proprietary estoppel” but (apparently) one of </w:t>
      </w:r>
      <w:r>
        <w:rPr>
          <w:rFonts w:ascii="Arial" w:hAnsi="Arial"/>
          <w:i/>
          <w:sz w:val="20"/>
        </w:rPr>
        <w:t>promissory </w:t>
      </w:r>
      <w:r>
        <w:rPr>
          <w:sz w:val="20"/>
        </w:rPr>
        <w:t>estoppel. But most of the authorities relied on in the </w:t>
      </w:r>
      <w:r>
        <w:rPr>
          <w:rFonts w:ascii="Arial" w:hAnsi="Arial"/>
          <w:i/>
          <w:sz w:val="20"/>
        </w:rPr>
        <w:t>Humphreys Estates </w:t>
      </w:r>
      <w:r>
        <w:rPr>
          <w:sz w:val="20"/>
        </w:rPr>
        <w:t>case were cases of proprietary estoppel; the leading</w:t>
      </w:r>
      <w:r>
        <w:rPr>
          <w:spacing w:val="-3"/>
          <w:sz w:val="20"/>
        </w:rPr>
        <w:t> </w:t>
      </w:r>
      <w:r>
        <w:rPr>
          <w:sz w:val="20"/>
        </w:rPr>
        <w:t>cases</w:t>
      </w:r>
      <w:r>
        <w:rPr>
          <w:spacing w:val="-3"/>
          <w:sz w:val="20"/>
        </w:rPr>
        <w:t> </w:t>
      </w:r>
      <w:r>
        <w:rPr>
          <w:sz w:val="20"/>
        </w:rPr>
        <w:t>on</w:t>
      </w:r>
      <w:r>
        <w:rPr>
          <w:spacing w:val="-3"/>
          <w:sz w:val="20"/>
        </w:rPr>
        <w:t> </w:t>
      </w:r>
      <w:r>
        <w:rPr>
          <w:sz w:val="20"/>
        </w:rPr>
        <w:t>promissory</w:t>
      </w:r>
      <w:r>
        <w:rPr>
          <w:spacing w:val="-3"/>
          <w:sz w:val="20"/>
        </w:rPr>
        <w:t> </w:t>
      </w:r>
      <w:r>
        <w:rPr>
          <w:sz w:val="20"/>
        </w:rPr>
        <w:t>estoppel</w:t>
      </w:r>
      <w:r>
        <w:rPr>
          <w:spacing w:val="-3"/>
          <w:sz w:val="20"/>
        </w:rPr>
        <w:t> </w:t>
      </w:r>
      <w:r>
        <w:rPr>
          <w:sz w:val="20"/>
        </w:rPr>
        <w:t>were</w:t>
      </w:r>
      <w:r>
        <w:rPr>
          <w:spacing w:val="-3"/>
          <w:sz w:val="20"/>
        </w:rPr>
        <w:t> </w:t>
      </w:r>
      <w:r>
        <w:rPr>
          <w:sz w:val="20"/>
        </w:rPr>
        <w:t>not</w:t>
      </w:r>
      <w:r>
        <w:rPr>
          <w:spacing w:val="-3"/>
          <w:sz w:val="20"/>
        </w:rPr>
        <w:t> </w:t>
      </w:r>
      <w:r>
        <w:rPr>
          <w:sz w:val="20"/>
        </w:rPr>
        <w:t>cited;</w:t>
      </w:r>
      <w:r>
        <w:rPr>
          <w:spacing w:val="-3"/>
          <w:sz w:val="20"/>
        </w:rPr>
        <w:t> </w:t>
      </w:r>
      <w:r>
        <w:rPr>
          <w:sz w:val="20"/>
        </w:rPr>
        <w:t>and</w:t>
      </w:r>
      <w:r>
        <w:rPr>
          <w:spacing w:val="-3"/>
          <w:sz w:val="20"/>
        </w:rPr>
        <w:t> </w:t>
      </w:r>
      <w:r>
        <w:rPr>
          <w:sz w:val="20"/>
        </w:rPr>
        <w:t>if</w:t>
      </w:r>
      <w:r>
        <w:rPr>
          <w:spacing w:val="-3"/>
          <w:sz w:val="20"/>
        </w:rPr>
        <w:t> </w:t>
      </w:r>
      <w:r>
        <w:rPr>
          <w:sz w:val="20"/>
        </w:rPr>
        <w:t>the</w:t>
      </w:r>
      <w:r>
        <w:rPr>
          <w:spacing w:val="-3"/>
          <w:sz w:val="20"/>
        </w:rPr>
        <w:t> </w:t>
      </w:r>
      <w:r>
        <w:rPr>
          <w:sz w:val="20"/>
        </w:rPr>
        <w:t>requirements</w:t>
      </w:r>
      <w:r>
        <w:rPr>
          <w:spacing w:val="-3"/>
          <w:sz w:val="20"/>
        </w:rPr>
        <w:t> </w:t>
      </w:r>
      <w:r>
        <w:rPr>
          <w:sz w:val="20"/>
        </w:rPr>
        <w:t>of</w:t>
      </w:r>
      <w:r>
        <w:rPr>
          <w:spacing w:val="-3"/>
          <w:sz w:val="20"/>
        </w:rPr>
        <w:t> </w:t>
      </w:r>
      <w:r>
        <w:rPr>
          <w:sz w:val="20"/>
        </w:rPr>
        <w:t>encouragement and reliance had been satisfied the estoppel would have created a new right, which in English law</w:t>
      </w:r>
      <w:r>
        <w:rPr>
          <w:spacing w:val="17"/>
          <w:sz w:val="20"/>
        </w:rPr>
        <w:t> </w:t>
      </w:r>
      <w:r>
        <w:rPr>
          <w:sz w:val="20"/>
        </w:rPr>
        <w:t>is</w:t>
      </w:r>
      <w:r>
        <w:rPr>
          <w:spacing w:val="17"/>
          <w:sz w:val="20"/>
        </w:rPr>
        <w:t> </w:t>
      </w:r>
      <w:r>
        <w:rPr>
          <w:sz w:val="20"/>
        </w:rPr>
        <w:t>not</w:t>
      </w:r>
      <w:r>
        <w:rPr>
          <w:spacing w:val="17"/>
          <w:sz w:val="20"/>
        </w:rPr>
        <w:t> </w:t>
      </w:r>
      <w:r>
        <w:rPr>
          <w:sz w:val="20"/>
        </w:rPr>
        <w:t>the</w:t>
      </w:r>
      <w:r>
        <w:rPr>
          <w:spacing w:val="17"/>
          <w:sz w:val="20"/>
        </w:rPr>
        <w:t> </w:t>
      </w:r>
      <w:r>
        <w:rPr>
          <w:sz w:val="20"/>
        </w:rPr>
        <w:t>effect</w:t>
      </w:r>
      <w:r>
        <w:rPr>
          <w:spacing w:val="17"/>
          <w:sz w:val="20"/>
        </w:rPr>
        <w:t> </w:t>
      </w:r>
      <w:r>
        <w:rPr>
          <w:sz w:val="20"/>
        </w:rPr>
        <w:t>of</w:t>
      </w:r>
      <w:r>
        <w:rPr>
          <w:spacing w:val="17"/>
          <w:sz w:val="20"/>
        </w:rPr>
        <w:t> </w:t>
      </w:r>
      <w:r>
        <w:rPr>
          <w:sz w:val="20"/>
        </w:rPr>
        <w:t>promissory</w:t>
      </w:r>
      <w:r>
        <w:rPr>
          <w:spacing w:val="17"/>
          <w:sz w:val="20"/>
        </w:rPr>
        <w:t> </w:t>
      </w:r>
      <w:r>
        <w:rPr>
          <w:sz w:val="20"/>
        </w:rPr>
        <w:t>estoppel:</w:t>
      </w:r>
      <w:r>
        <w:rPr>
          <w:spacing w:val="17"/>
          <w:sz w:val="20"/>
        </w:rPr>
        <w:t> </w:t>
      </w:r>
      <w:r>
        <w:rPr>
          <w:sz w:val="20"/>
        </w:rPr>
        <w:t>above</w:t>
      </w:r>
      <w:r>
        <w:rPr>
          <w:spacing w:val="17"/>
          <w:sz w:val="20"/>
        </w:rPr>
        <w:t> </w:t>
      </w:r>
      <w:r>
        <w:rPr>
          <w:sz w:val="20"/>
        </w:rPr>
        <w:t>para.4-101.</w:t>
      </w:r>
      <w:r>
        <w:rPr>
          <w:spacing w:val="17"/>
          <w:sz w:val="20"/>
        </w:rPr>
        <w:t> </w:t>
      </w:r>
      <w:r>
        <w:rPr>
          <w:sz w:val="20"/>
        </w:rPr>
        <w:t>cf.</w:t>
      </w:r>
      <w:r>
        <w:rPr>
          <w:spacing w:val="16"/>
          <w:sz w:val="20"/>
        </w:rPr>
        <w:t> </w:t>
      </w:r>
      <w:r>
        <w:rPr>
          <w:rFonts w:ascii="Arial" w:hAnsi="Arial"/>
          <w:i/>
          <w:sz w:val="20"/>
        </w:rPr>
        <w:t>Saloman</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Akiens</w:t>
      </w:r>
      <w:r>
        <w:rPr>
          <w:rFonts w:ascii="Arial" w:hAnsi="Arial"/>
          <w:i/>
          <w:spacing w:val="17"/>
          <w:sz w:val="20"/>
        </w:rPr>
        <w:t> </w:t>
      </w:r>
      <w:r>
        <w:rPr>
          <w:rFonts w:ascii="Arial" w:hAnsi="Arial"/>
          <w:i/>
          <w:sz w:val="20"/>
        </w:rPr>
        <w:t>[1993]</w:t>
      </w:r>
      <w:r>
        <w:rPr>
          <w:rFonts w:ascii="Arial" w:hAnsi="Arial"/>
          <w:i/>
          <w:spacing w:val="17"/>
          <w:sz w:val="20"/>
        </w:rPr>
        <w:t> </w:t>
      </w:r>
      <w:r>
        <w:rPr>
          <w:rFonts w:ascii="Arial" w:hAnsi="Arial"/>
          <w:i/>
          <w:spacing w:val="-10"/>
          <w:sz w:val="20"/>
        </w:rPr>
        <w:t>1</w:t>
      </w:r>
    </w:p>
    <w:p>
      <w:pPr>
        <w:spacing w:line="235" w:lineRule="auto" w:before="0"/>
        <w:ind w:left="705" w:right="167" w:firstLine="0"/>
        <w:jc w:val="both"/>
        <w:rPr>
          <w:sz w:val="20"/>
        </w:rPr>
      </w:pPr>
      <w:r>
        <w:rPr>
          <w:rFonts w:ascii="Arial" w:hAnsi="Arial"/>
          <w:i/>
          <w:sz w:val="20"/>
        </w:rPr>
        <w:t>E.G.L.R. 101 </w:t>
      </w:r>
      <w:r>
        <w:rPr>
          <w:sz w:val="20"/>
        </w:rPr>
        <w:t>(no proprietary estoppel arising from agreement “subject to lease”); </w:t>
      </w:r>
      <w:r>
        <w:rPr>
          <w:rFonts w:ascii="Arial" w:hAnsi="Arial"/>
          <w:i/>
          <w:sz w:val="20"/>
        </w:rPr>
        <w:t>Pridean Ltd v Forest Taverns (1998) 75 P. &amp; C.R. 447 </w:t>
      </w:r>
      <w:r>
        <w:rPr>
          <w:sz w:val="20"/>
        </w:rPr>
        <w:t>(no proprietary estoppel arising from work done during negotiations which failed to lead to a contract); </w:t>
      </w:r>
      <w:r>
        <w:rPr>
          <w:rFonts w:ascii="Arial" w:hAnsi="Arial"/>
          <w:i/>
          <w:sz w:val="20"/>
        </w:rPr>
        <w:t>Edwin Shirley Productions v Workspace Management Ltd [2001] 23 E.G. 158 </w:t>
      </w:r>
      <w:r>
        <w:rPr>
          <w:sz w:val="20"/>
        </w:rPr>
        <w:t>(negotiations “subject to contract” and “without </w:t>
      </w:r>
      <w:r>
        <w:rPr>
          <w:sz w:val="20"/>
        </w:rPr>
        <w:t>prejudice” held not to give rise to proprietary estoppel); </w:t>
      </w:r>
      <w:r>
        <w:rPr>
          <w:rFonts w:ascii="Arial" w:hAnsi="Arial"/>
          <w:i/>
          <w:sz w:val="20"/>
        </w:rPr>
        <w:t>London &amp; Regional Investments Ltd v TBI plc [2002] EWCA Civ 355, [2002] All E.R.(D) 360 (Mar) </w:t>
      </w:r>
      <w:r>
        <w:rPr>
          <w:sz w:val="20"/>
        </w:rPr>
        <w:t>(no estoppel or constructive trust </w:t>
      </w:r>
      <w:r>
        <w:rPr>
          <w:sz w:val="20"/>
        </w:rPr>
        <w:t>where agreement was “subject to contract”); for the same view, see </w:t>
      </w:r>
      <w:r>
        <w:rPr>
          <w:rFonts w:ascii="Arial" w:hAnsi="Arial"/>
          <w:i/>
          <w:sz w:val="20"/>
        </w:rPr>
        <w:t>Spring Finance Ltd v H S Real Co LLC [2011] EWHC 57 </w:t>
      </w:r>
      <w:r>
        <w:rPr>
          <w:sz w:val="20"/>
        </w:rPr>
        <w:t>at [40] and [70]; </w:t>
      </w:r>
      <w:r>
        <w:rPr>
          <w:rFonts w:ascii="Arial" w:hAnsi="Arial"/>
          <w:i/>
          <w:sz w:val="20"/>
        </w:rPr>
        <w:t>Secretary of State for Transport v Christos [2003] </w:t>
      </w:r>
      <w:r>
        <w:rPr>
          <w:rFonts w:ascii="Arial" w:hAnsi="Arial"/>
          <w:i/>
          <w:sz w:val="20"/>
        </w:rPr>
        <w:t>EWCA Civ 1073, [2004] 1 P. &amp; C.R. 17 </w:t>
      </w:r>
      <w:r>
        <w:rPr>
          <w:sz w:val="20"/>
        </w:rPr>
        <w:t>where “equitable estoppel” is used (e.g. at [42]) to refer </w:t>
      </w:r>
      <w:r>
        <w:rPr>
          <w:sz w:val="20"/>
        </w:rPr>
        <w:t>to proprietary estoppel; </w:t>
      </w:r>
      <w:r>
        <w:rPr>
          <w:rFonts w:ascii="Arial" w:hAnsi="Arial"/>
          <w:i/>
          <w:sz w:val="20"/>
        </w:rPr>
        <w:t>Haq v Island Homes Housing Association [2011] EWCA Civ 805, [2011] </w:t>
      </w:r>
      <w:r>
        <w:rPr>
          <w:rFonts w:ascii="Arial" w:hAnsi="Arial"/>
          <w:i/>
          <w:sz w:val="20"/>
        </w:rPr>
        <w:t>2 P &amp; C.R. 17 </w:t>
      </w:r>
      <w:r>
        <w:rPr>
          <w:sz w:val="20"/>
        </w:rPr>
        <w:t>(no proprietary estoppel held to arise from allowing prospective lessee to enter the premises to start work there while the agreement was still subject to contract (at [73])); </w:t>
      </w:r>
      <w:r>
        <w:rPr>
          <w:rFonts w:ascii="Arial" w:hAnsi="Arial"/>
          <w:i/>
          <w:sz w:val="20"/>
        </w:rPr>
        <w:t>Crossco No.4 Unlimited v Jolan Ltd, Note [2011] EWCA Civ 1619, [2012] 2 All E.R. 754 </w:t>
      </w:r>
      <w:r>
        <w:rPr>
          <w:sz w:val="20"/>
        </w:rPr>
        <w:t>at [133] (“where parties have been dealing on the basis that their negotiations are ‘subject to contract’, proprietary estoppel will not ordinarily be available”). Cf. the discussion of </w:t>
      </w:r>
      <w:r>
        <w:rPr>
          <w:rFonts w:ascii="Arial" w:hAnsi="Arial"/>
          <w:i/>
          <w:sz w:val="20"/>
        </w:rPr>
        <w:t>Cobbe v Yeoman’s Row Management Ltd [2008] UKHL 55, [2008] 1 W.L.R. 1752 </w:t>
      </w:r>
      <w:r>
        <w:rPr>
          <w:sz w:val="20"/>
        </w:rPr>
        <w:t>in paras 4-162 and 4-164 below.</w:t>
      </w:r>
    </w:p>
    <w:p>
      <w:pPr>
        <w:pStyle w:val="BodyText"/>
        <w:spacing w:before="2"/>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14656">
            <wp:simplePos x="0" y="0"/>
            <wp:positionH relativeFrom="page">
              <wp:posOffset>1257846</wp:posOffset>
            </wp:positionH>
            <wp:positionV relativeFrom="paragraph">
              <wp:posOffset>160196</wp:posOffset>
            </wp:positionV>
            <wp:extent cx="107988" cy="107988"/>
            <wp:effectExtent l="0" t="0" r="0" b="0"/>
            <wp:wrapNone/>
            <wp:docPr id="348" name="Image 348"/>
            <wp:cNvGraphicFramePr>
              <a:graphicFrameLocks/>
            </wp:cNvGraphicFramePr>
            <a:graphic>
              <a:graphicData uri="http://schemas.openxmlformats.org/drawingml/2006/picture">
                <pic:pic>
                  <pic:nvPicPr>
                    <pic:cNvPr id="348" name="Image 34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797" w:id="1799"/>
      <w:bookmarkEnd w:id="1799"/>
      <w:r>
        <w:rPr/>
      </w:r>
      <w:hyperlink w:history="true" w:anchor="_bookmark1762">
        <w:r>
          <w:rPr>
            <w:color w:val="005DA1"/>
            <w:spacing w:val="-4"/>
            <w:sz w:val="14"/>
            <w:u w:val="single" w:color="005DA1"/>
          </w:rPr>
          <w:t>942</w:t>
        </w:r>
      </w:hyperlink>
      <w:r>
        <w:rPr>
          <w:spacing w:val="-4"/>
          <w:sz w:val="14"/>
        </w:rPr>
        <w:t>.</w:t>
      </w:r>
    </w:p>
    <w:p>
      <w:pPr>
        <w:pStyle w:val="BodyText"/>
        <w:spacing w:line="235" w:lineRule="auto" w:before="212"/>
        <w:ind w:left="165" w:right="167" w:firstLine="170"/>
        <w:jc w:val="both"/>
      </w:pPr>
      <w:r>
        <w:rPr/>
        <w:br w:type="column"/>
      </w:r>
      <w:r>
        <w:rPr/>
        <w:t>Above, para.2-171. But where an oral agreement for the sale of land was intended to be legally binding by the parties to it as soon as it was made it was arguable that the </w:t>
      </w:r>
      <w:r>
        <w:rPr/>
        <w:t>agreement could give rise to a proprietary estoppel even though </w:t>
      </w:r>
      <w:r>
        <w:rPr>
          <w:rFonts w:ascii="Arial" w:hAnsi="Arial"/>
          <w:i/>
        </w:rPr>
        <w:t>later </w:t>
      </w:r>
      <w:r>
        <w:rPr/>
        <w:t>correspondence between solicitors instructed by the contracting parties “was headed ‘subject to contract’”. This was the position in </w:t>
      </w:r>
      <w:r>
        <w:rPr>
          <w:rFonts w:ascii="Arial" w:hAnsi="Arial"/>
          <w:i/>
        </w:rPr>
        <w:t>Matchmove Ltd v Dowding and Church [2016] EWCA Civ 1233, [2017] 1 W.L.R. 749 </w:t>
      </w:r>
      <w:r>
        <w:rPr/>
        <w:t>where relief was granted at first instance “on the basis of proprietary estoppel and constructive trust” (at [21]). On appeal, the decision below was affirmed (at [46]), though on the basis of constructive trust only: at [28], [48]; above, para.4-142 n.849.</w:t>
      </w:r>
    </w:p>
    <w:p>
      <w:pPr>
        <w:pStyle w:val="BodyText"/>
        <w:spacing w:after="0" w:line="235" w:lineRule="auto"/>
        <w:jc w:val="both"/>
        <w:sectPr>
          <w:type w:val="continuous"/>
          <w:pgSz w:w="11900" w:h="16840"/>
          <w:pgMar w:header="971" w:footer="0" w:top="3760" w:bottom="280" w:left="1275" w:right="1275"/>
          <w:cols w:num="2" w:equalWidth="0">
            <w:col w:w="478" w:space="63"/>
            <w:col w:w="8809"/>
          </w:cols>
        </w:sectPr>
      </w:pPr>
    </w:p>
    <w:p>
      <w:pPr>
        <w:pStyle w:val="BodyText"/>
        <w:spacing w:before="3"/>
      </w:pPr>
    </w:p>
    <w:p>
      <w:pPr>
        <w:tabs>
          <w:tab w:pos="705" w:val="left" w:leader="none"/>
        </w:tabs>
        <w:spacing w:before="0"/>
        <w:ind w:left="165" w:right="0" w:firstLine="0"/>
        <w:jc w:val="left"/>
        <w:rPr>
          <w:sz w:val="20"/>
        </w:rPr>
      </w:pPr>
      <w:bookmarkStart w:name="_bookmark1798" w:id="1800"/>
      <w:bookmarkEnd w:id="1800"/>
      <w:r>
        <w:rPr/>
      </w:r>
      <w:hyperlink w:history="true" w:anchor="_bookmark1763">
        <w:r>
          <w:rPr>
            <w:color w:val="005DA1"/>
            <w:spacing w:val="-4"/>
            <w:position w:val="5"/>
            <w:sz w:val="14"/>
            <w:u w:val="single" w:color="005DA1"/>
          </w:rPr>
          <w:t>943</w:t>
        </w:r>
      </w:hyperlink>
      <w:r>
        <w:rPr>
          <w:spacing w:val="-4"/>
          <w:position w:val="5"/>
          <w:sz w:val="14"/>
        </w:rPr>
        <w:t>.</w:t>
      </w:r>
      <w:r>
        <w:rPr>
          <w:position w:val="5"/>
          <w:sz w:val="14"/>
        </w:rPr>
        <w:tab/>
      </w:r>
      <w:r>
        <w:rPr>
          <w:rFonts w:ascii="Arial"/>
          <w:i/>
          <w:sz w:val="20"/>
        </w:rPr>
        <w:t>Humphreys Estates</w:t>
      </w:r>
      <w:r>
        <w:rPr>
          <w:rFonts w:ascii="Arial"/>
          <w:i/>
          <w:spacing w:val="-1"/>
          <w:sz w:val="20"/>
        </w:rPr>
        <w:t> </w:t>
      </w:r>
      <w:r>
        <w:rPr>
          <w:sz w:val="20"/>
        </w:rPr>
        <w:t>case, above n.890,</w:t>
      </w:r>
      <w:r>
        <w:rPr>
          <w:spacing w:val="-1"/>
          <w:sz w:val="20"/>
        </w:rPr>
        <w:t> </w:t>
      </w:r>
      <w:r>
        <w:rPr>
          <w:rFonts w:ascii="Arial"/>
          <w:i/>
          <w:sz w:val="20"/>
        </w:rPr>
        <w:t>[1987] 1 A.C. 114, </w:t>
      </w:r>
      <w:r>
        <w:rPr>
          <w:rFonts w:ascii="Arial"/>
          <w:i/>
          <w:spacing w:val="-4"/>
          <w:sz w:val="20"/>
        </w:rPr>
        <w:t>124</w:t>
      </w:r>
      <w:r>
        <w:rPr>
          <w:spacing w:val="-4"/>
          <w:sz w:val="20"/>
        </w:rPr>
        <w:t>.</w:t>
      </w:r>
    </w:p>
    <w:p>
      <w:pPr>
        <w:pStyle w:val="BodyText"/>
        <w:spacing w:before="9"/>
      </w:pPr>
    </w:p>
    <w:p>
      <w:pPr>
        <w:spacing w:line="235" w:lineRule="auto" w:before="0"/>
        <w:ind w:left="705" w:right="168" w:hanging="541"/>
        <w:jc w:val="both"/>
        <w:rPr>
          <w:sz w:val="20"/>
        </w:rPr>
      </w:pPr>
      <w:bookmarkStart w:name="_bookmark1799" w:id="1801"/>
      <w:bookmarkEnd w:id="1801"/>
      <w:r>
        <w:rPr/>
      </w:r>
      <w:hyperlink w:history="true" w:anchor="_bookmark1764">
        <w:r>
          <w:rPr>
            <w:color w:val="005DA1"/>
            <w:position w:val="5"/>
            <w:sz w:val="14"/>
            <w:u w:val="single" w:color="005DA1"/>
          </w:rPr>
          <w:t>944</w:t>
        </w:r>
      </w:hyperlink>
      <w:r>
        <w:rPr>
          <w:position w:val="5"/>
          <w:sz w:val="14"/>
        </w:rPr>
        <w:t>.</w:t>
      </w:r>
      <w:r>
        <w:rPr>
          <w:spacing w:val="80"/>
          <w:position w:val="5"/>
          <w:sz w:val="14"/>
        </w:rPr>
        <w:t>  </w:t>
      </w:r>
      <w:r>
        <w:rPr>
          <w:sz w:val="20"/>
        </w:rPr>
        <w:t>cf. above para.4-140; </w:t>
      </w:r>
      <w:r>
        <w:rPr>
          <w:rFonts w:ascii="Arial"/>
          <w:i/>
          <w:sz w:val="20"/>
        </w:rPr>
        <w:t>Brinnand v Ewens (1987) 19 H.L.R. 415</w:t>
      </w:r>
      <w:r>
        <w:rPr>
          <w:sz w:val="20"/>
        </w:rPr>
        <w:t>; and (in a different context) </w:t>
      </w:r>
      <w:r>
        <w:rPr>
          <w:rFonts w:ascii="Arial"/>
          <w:i/>
          <w:sz w:val="20"/>
        </w:rPr>
        <w:t>Kelly v Liverpool Maritime Terminals [1988] I.R.L.R. 310</w:t>
      </w:r>
      <w:r>
        <w:rPr>
          <w:sz w:val="20"/>
        </w:rPr>
        <w:t>, where authorities on proprietary estoppel are cited in a case unconnected with property.</w:t>
      </w:r>
    </w:p>
    <w:p>
      <w:pPr>
        <w:pStyle w:val="BodyText"/>
        <w:spacing w:before="8"/>
      </w:pPr>
    </w:p>
    <w:p>
      <w:pPr>
        <w:pStyle w:val="BodyText"/>
        <w:tabs>
          <w:tab w:pos="705" w:val="left" w:leader="none"/>
        </w:tabs>
        <w:spacing w:line="235" w:lineRule="auto" w:before="1"/>
        <w:ind w:left="705" w:right="168" w:hanging="541"/>
      </w:pPr>
      <w:bookmarkStart w:name="_bookmark1800" w:id="1802"/>
      <w:bookmarkEnd w:id="1802"/>
      <w:r>
        <w:rPr/>
      </w:r>
      <w:hyperlink w:history="true" w:anchor="_bookmark1765">
        <w:r>
          <w:rPr>
            <w:color w:val="005DA1"/>
            <w:spacing w:val="-4"/>
            <w:position w:val="5"/>
            <w:sz w:val="14"/>
            <w:u w:val="single" w:color="005DA1"/>
          </w:rPr>
          <w:t>945</w:t>
        </w:r>
      </w:hyperlink>
      <w:r>
        <w:rPr>
          <w:spacing w:val="-4"/>
          <w:position w:val="5"/>
          <w:sz w:val="14"/>
        </w:rPr>
        <w:t>.</w:t>
      </w:r>
      <w:r>
        <w:rPr>
          <w:position w:val="5"/>
          <w:sz w:val="14"/>
        </w:rPr>
        <w:tab/>
      </w:r>
      <w:r>
        <w:rPr/>
        <w:t>This is assumed in the </w:t>
      </w:r>
      <w:r>
        <w:rPr>
          <w:rFonts w:ascii="Arial"/>
          <w:i/>
        </w:rPr>
        <w:t>Humphreys Estates </w:t>
      </w:r>
      <w:r>
        <w:rPr/>
        <w:t>case, n.890, above, where the Privy Council at 124 stresses that there had been </w:t>
      </w:r>
      <w:r>
        <w:rPr>
          <w:rFonts w:ascii="Arial"/>
          <w:i/>
        </w:rPr>
        <w:t>no </w:t>
      </w:r>
      <w:r>
        <w:rPr/>
        <w:t>such encouragement.</w:t>
      </w:r>
    </w:p>
    <w:p>
      <w:pPr>
        <w:pStyle w:val="BodyText"/>
        <w:spacing w:before="5"/>
      </w:pPr>
    </w:p>
    <w:p>
      <w:pPr>
        <w:tabs>
          <w:tab w:pos="705" w:val="left" w:leader="none"/>
        </w:tabs>
        <w:spacing w:before="0"/>
        <w:ind w:left="165" w:right="0" w:firstLine="0"/>
        <w:jc w:val="left"/>
        <w:rPr>
          <w:sz w:val="20"/>
        </w:rPr>
      </w:pPr>
      <w:bookmarkStart w:name="_bookmark1801" w:id="1803"/>
      <w:bookmarkEnd w:id="1803"/>
      <w:r>
        <w:rPr/>
      </w:r>
      <w:hyperlink w:history="true" w:anchor="_bookmark1766">
        <w:r>
          <w:rPr>
            <w:color w:val="005DA1"/>
            <w:spacing w:val="-4"/>
            <w:position w:val="5"/>
            <w:sz w:val="14"/>
            <w:u w:val="single" w:color="005DA1"/>
          </w:rPr>
          <w:t>946</w:t>
        </w:r>
      </w:hyperlink>
      <w:r>
        <w:rPr>
          <w:spacing w:val="-4"/>
          <w:position w:val="5"/>
          <w:sz w:val="14"/>
        </w:rPr>
        <w:t>.</w:t>
      </w:r>
      <w:r>
        <w:rPr>
          <w:position w:val="5"/>
          <w:sz w:val="14"/>
        </w:rPr>
        <w:tab/>
      </w:r>
      <w:r>
        <w:rPr>
          <w:rFonts w:ascii="Arial"/>
          <w:i/>
          <w:sz w:val="20"/>
        </w:rPr>
        <w:t>Taylor</w:t>
      </w:r>
      <w:r>
        <w:rPr>
          <w:rFonts w:ascii="Arial"/>
          <w:i/>
          <w:spacing w:val="-1"/>
          <w:sz w:val="20"/>
        </w:rPr>
        <w:t> </w:t>
      </w:r>
      <w:r>
        <w:rPr>
          <w:rFonts w:ascii="Arial"/>
          <w:i/>
          <w:sz w:val="20"/>
        </w:rPr>
        <w:t>v Dickens [1998] F.L.R. 806</w:t>
      </w:r>
      <w:r>
        <w:rPr>
          <w:sz w:val="20"/>
        </w:rPr>
        <w:t>, as explained in</w:t>
      </w:r>
      <w:r>
        <w:rPr>
          <w:spacing w:val="-1"/>
          <w:sz w:val="20"/>
        </w:rPr>
        <w:t> </w:t>
      </w:r>
      <w:r>
        <w:rPr>
          <w:rFonts w:ascii="Arial"/>
          <w:i/>
          <w:sz w:val="20"/>
        </w:rPr>
        <w:t>Gillett v Holt [2001] Ch. 210</w:t>
      </w:r>
      <w:r>
        <w:rPr>
          <w:rFonts w:ascii="Arial"/>
          <w:i/>
          <w:spacing w:val="-1"/>
          <w:sz w:val="20"/>
        </w:rPr>
        <w:t> </w:t>
      </w:r>
      <w:r>
        <w:rPr>
          <w:sz w:val="20"/>
        </w:rPr>
        <w:t>at </w:t>
      </w:r>
      <w:r>
        <w:rPr>
          <w:spacing w:val="-4"/>
          <w:sz w:val="20"/>
        </w:rPr>
        <w:t>227.</w:t>
      </w:r>
    </w:p>
    <w:p>
      <w:pPr>
        <w:pStyle w:val="BodyText"/>
        <w:spacing w:before="5"/>
      </w:pPr>
    </w:p>
    <w:p>
      <w:pPr>
        <w:tabs>
          <w:tab w:pos="705" w:val="left" w:leader="none"/>
        </w:tabs>
        <w:spacing w:before="0"/>
        <w:ind w:left="165" w:right="0" w:firstLine="0"/>
        <w:jc w:val="left"/>
        <w:rPr>
          <w:sz w:val="20"/>
        </w:rPr>
      </w:pPr>
      <w:bookmarkStart w:name="_bookmark1802" w:id="1804"/>
      <w:bookmarkEnd w:id="1804"/>
      <w:r>
        <w:rPr/>
      </w:r>
      <w:hyperlink w:history="true" w:anchor="_bookmark1767">
        <w:r>
          <w:rPr>
            <w:color w:val="005DA1"/>
            <w:spacing w:val="-4"/>
            <w:position w:val="5"/>
            <w:sz w:val="14"/>
            <w:u w:val="single" w:color="005DA1"/>
          </w:rPr>
          <w:t>947</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Ch. </w:t>
      </w:r>
      <w:r>
        <w:rPr>
          <w:rFonts w:ascii="Arial"/>
          <w:i/>
          <w:spacing w:val="-4"/>
          <w:sz w:val="20"/>
        </w:rPr>
        <w:t>210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03" w:id="1805"/>
      <w:bookmarkEnd w:id="1805"/>
      <w:r>
        <w:rPr/>
      </w:r>
      <w:hyperlink w:history="true" w:anchor="_bookmark1768">
        <w:r>
          <w:rPr>
            <w:color w:val="005DA1"/>
            <w:spacing w:val="-4"/>
            <w:position w:val="5"/>
            <w:sz w:val="14"/>
            <w:u w:val="single" w:color="005DA1"/>
          </w:rPr>
          <w:t>948</w:t>
        </w:r>
      </w:hyperlink>
      <w:r>
        <w:rPr>
          <w:spacing w:val="-4"/>
          <w:position w:val="5"/>
          <w:sz w:val="14"/>
        </w:rPr>
        <w:t>.</w:t>
      </w:r>
      <w:r>
        <w:rPr>
          <w:position w:val="5"/>
          <w:sz w:val="14"/>
        </w:rPr>
        <w:tab/>
      </w:r>
      <w:r>
        <w:rPr>
          <w:sz w:val="20"/>
        </w:rPr>
        <w:t>ibid. </w:t>
      </w:r>
      <w:r>
        <w:rPr>
          <w:spacing w:val="-2"/>
          <w:sz w:val="20"/>
        </w:rPr>
        <w:t>p.228.</w:t>
      </w:r>
    </w:p>
    <w:p>
      <w:pPr>
        <w:pStyle w:val="BodyText"/>
        <w:spacing w:before="9"/>
        <w:rPr>
          <w:sz w:val="12"/>
        </w:rPr>
      </w:pPr>
    </w:p>
    <w:p>
      <w:pPr>
        <w:pStyle w:val="BodyText"/>
        <w:spacing w:after="0"/>
        <w:rPr>
          <w:sz w:val="12"/>
        </w:rPr>
        <w:sectPr>
          <w:type w:val="continuous"/>
          <w:pgSz w:w="11900" w:h="16840"/>
          <w:pgMar w:header="971" w:footer="0" w:top="37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15168">
            <wp:simplePos x="0" y="0"/>
            <wp:positionH relativeFrom="page">
              <wp:posOffset>1257846</wp:posOffset>
            </wp:positionH>
            <wp:positionV relativeFrom="paragraph">
              <wp:posOffset>160359</wp:posOffset>
            </wp:positionV>
            <wp:extent cx="107988" cy="107988"/>
            <wp:effectExtent l="0" t="0" r="0" b="0"/>
            <wp:wrapNone/>
            <wp:docPr id="349" name="Image 349"/>
            <wp:cNvGraphicFramePr>
              <a:graphicFrameLocks/>
            </wp:cNvGraphicFramePr>
            <a:graphic>
              <a:graphicData uri="http://schemas.openxmlformats.org/drawingml/2006/picture">
                <pic:pic>
                  <pic:nvPicPr>
                    <pic:cNvPr id="349" name="Image 34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804" w:id="1806"/>
      <w:bookmarkEnd w:id="1806"/>
      <w:r>
        <w:rPr/>
      </w:r>
      <w:hyperlink w:history="true" w:anchor="_bookmark1769">
        <w:r>
          <w:rPr>
            <w:color w:val="005DA1"/>
            <w:spacing w:val="-4"/>
            <w:sz w:val="14"/>
            <w:u w:val="single" w:color="005DA1"/>
          </w:rPr>
          <w:t>949</w:t>
        </w:r>
      </w:hyperlink>
      <w:r>
        <w:rPr>
          <w:spacing w:val="-4"/>
          <w:sz w:val="14"/>
        </w:rPr>
        <w:t>.</w:t>
      </w:r>
    </w:p>
    <w:p>
      <w:pPr>
        <w:spacing w:before="208"/>
        <w:ind w:left="335" w:right="0" w:firstLine="0"/>
        <w:jc w:val="left"/>
        <w:rPr>
          <w:sz w:val="20"/>
        </w:rPr>
      </w:pPr>
      <w:r>
        <w:rPr/>
        <w:br w:type="column"/>
      </w:r>
      <w:r>
        <w:rPr>
          <w:rFonts w:ascii="Arial"/>
          <w:i/>
          <w:sz w:val="20"/>
        </w:rPr>
        <w:t>Preedy</w:t>
      </w:r>
      <w:r>
        <w:rPr>
          <w:rFonts w:ascii="Arial"/>
          <w:i/>
          <w:spacing w:val="-2"/>
          <w:sz w:val="20"/>
        </w:rPr>
        <w:t> </w:t>
      </w:r>
      <w:r>
        <w:rPr>
          <w:rFonts w:ascii="Arial"/>
          <w:i/>
          <w:sz w:val="20"/>
        </w:rPr>
        <w:t>v Dunne [2015] EWHC 2713 (Ch), [2015] W.T.L.R. </w:t>
      </w:r>
      <w:r>
        <w:rPr>
          <w:rFonts w:ascii="Arial"/>
          <w:i/>
          <w:spacing w:val="-2"/>
          <w:sz w:val="20"/>
        </w:rPr>
        <w:t>1795</w:t>
      </w:r>
      <w:r>
        <w:rPr>
          <w:spacing w:val="-2"/>
          <w:sz w:val="20"/>
        </w:rPr>
        <w:t>.</w:t>
      </w:r>
    </w:p>
    <w:p>
      <w:pPr>
        <w:spacing w:after="0"/>
        <w:jc w:val="left"/>
        <w:rPr>
          <w:sz w:val="20"/>
        </w:rPr>
        <w:sectPr>
          <w:type w:val="continuous"/>
          <w:pgSz w:w="11900" w:h="16840"/>
          <w:pgMar w:header="971" w:footer="0" w:top="3760" w:bottom="280" w:left="1275" w:right="1275"/>
          <w:cols w:num="2" w:equalWidth="0">
            <w:col w:w="478" w:space="63"/>
            <w:col w:w="8809"/>
          </w:cols>
        </w:sectPr>
      </w:pPr>
    </w:p>
    <w:p>
      <w:pPr>
        <w:pStyle w:val="BodyText"/>
        <w:spacing w:before="4"/>
        <w:rPr>
          <w:sz w:val="19"/>
        </w:rPr>
      </w:pPr>
    </w:p>
    <w:p>
      <w:pPr>
        <w:pStyle w:val="BodyText"/>
        <w:spacing w:after="0"/>
        <w:rPr>
          <w:sz w:val="19"/>
        </w:rPr>
        <w:sectPr>
          <w:pgSz w:w="11900" w:h="16840"/>
          <w:pgMar w:header="971" w:footer="0" w:top="1160" w:bottom="280" w:left="1275" w:right="1275"/>
        </w:sectPr>
      </w:pPr>
    </w:p>
    <w:p>
      <w:pPr>
        <w:spacing w:before="96"/>
        <w:ind w:left="165" w:right="0" w:firstLine="0"/>
        <w:jc w:val="left"/>
        <w:rPr>
          <w:sz w:val="14"/>
        </w:rPr>
      </w:pPr>
      <w:hyperlink w:history="true" w:anchor="_bookmark1770">
        <w:r>
          <w:rPr>
            <w:color w:val="005DA1"/>
            <w:spacing w:val="-4"/>
            <w:sz w:val="14"/>
            <w:u w:val="single" w:color="005DA1"/>
          </w:rPr>
          <w:t>950</w:t>
        </w:r>
      </w:hyperlink>
      <w:r>
        <w:rPr>
          <w:spacing w:val="-4"/>
          <w:sz w:val="14"/>
        </w:rPr>
        <w:t>.</w:t>
      </w:r>
    </w:p>
    <w:p>
      <w:pPr>
        <w:spacing w:before="208"/>
        <w:ind w:left="335" w:right="0" w:firstLine="0"/>
        <w:jc w:val="left"/>
        <w:rPr>
          <w:sz w:val="20"/>
        </w:rPr>
      </w:pPr>
      <w:r>
        <w:rPr/>
        <w:br w:type="column"/>
      </w:r>
      <w:r>
        <w:rPr>
          <w:rFonts w:ascii="Arial"/>
          <w:i/>
          <w:sz w:val="20"/>
        </w:rPr>
        <w:t>[2016] EWCA Civ 805, [2016] C.P. Rep. 44</w:t>
      </w:r>
      <w:r>
        <w:rPr>
          <w:rFonts w:ascii="Arial"/>
          <w:i/>
          <w:spacing w:val="-1"/>
          <w:sz w:val="20"/>
        </w:rPr>
        <w:t> </w:t>
      </w:r>
      <w:r>
        <w:rPr>
          <w:sz w:val="20"/>
        </w:rPr>
        <w:t>at </w:t>
      </w:r>
      <w:r>
        <w:rPr>
          <w:spacing w:val="-2"/>
          <w:sz w:val="20"/>
        </w:rPr>
        <w:t>[61].</w:t>
      </w:r>
    </w:p>
    <w:p>
      <w:pPr>
        <w:spacing w:after="0"/>
        <w:jc w:val="left"/>
        <w:rPr>
          <w:sz w:val="20"/>
        </w:rPr>
        <w:sectPr>
          <w:type w:val="continuous"/>
          <w:pgSz w:w="11900" w:h="16840"/>
          <w:pgMar w:header="971" w:footer="0" w:top="3760" w:bottom="280" w:left="1275" w:right="1275"/>
          <w:cols w:num="2" w:equalWidth="0">
            <w:col w:w="478" w:space="63"/>
            <w:col w:w="8809"/>
          </w:cols>
        </w:sectPr>
      </w:pPr>
    </w:p>
    <w:p>
      <w:pPr>
        <w:pStyle w:val="BodyText"/>
        <w:spacing w:before="5"/>
      </w:pPr>
    </w:p>
    <w:p>
      <w:pPr>
        <w:pStyle w:val="BodyText"/>
        <w:tabs>
          <w:tab w:pos="705" w:val="left" w:leader="none"/>
        </w:tabs>
        <w:ind w:left="165"/>
      </w:pPr>
      <w:r>
        <w:rPr/>
        <w:drawing>
          <wp:anchor distT="0" distB="0" distL="0" distR="0" allowOverlap="1" layoutInCell="1" locked="0" behindDoc="0" simplePos="0" relativeHeight="15815680">
            <wp:simplePos x="0" y="0"/>
            <wp:positionH relativeFrom="page">
              <wp:posOffset>1257846</wp:posOffset>
            </wp:positionH>
            <wp:positionV relativeFrom="paragraph">
              <wp:posOffset>-266845</wp:posOffset>
            </wp:positionV>
            <wp:extent cx="107988" cy="107988"/>
            <wp:effectExtent l="0" t="0" r="0" b="0"/>
            <wp:wrapNone/>
            <wp:docPr id="350" name="Image 350"/>
            <wp:cNvGraphicFramePr>
              <a:graphicFrameLocks/>
            </wp:cNvGraphicFramePr>
            <a:graphic>
              <a:graphicData uri="http://schemas.openxmlformats.org/drawingml/2006/picture">
                <pic:pic>
                  <pic:nvPicPr>
                    <pic:cNvPr id="350" name="Image 35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805" w:id="1807"/>
      <w:bookmarkEnd w:id="1807"/>
      <w:r>
        <w:rPr/>
      </w:r>
      <w:hyperlink w:history="true" w:anchor="_bookmark1771">
        <w:r>
          <w:rPr>
            <w:color w:val="005DA1"/>
            <w:spacing w:val="-4"/>
            <w:position w:val="5"/>
            <w:sz w:val="14"/>
            <w:u w:val="single" w:color="005DA1"/>
          </w:rPr>
          <w:t>951</w:t>
        </w:r>
      </w:hyperlink>
      <w:r>
        <w:rPr>
          <w:spacing w:val="-4"/>
          <w:position w:val="5"/>
          <w:sz w:val="14"/>
        </w:rPr>
        <w:t>.</w:t>
      </w:r>
      <w:r>
        <w:rPr>
          <w:position w:val="5"/>
          <w:sz w:val="14"/>
        </w:rPr>
        <w:tab/>
      </w:r>
      <w:r>
        <w:rPr/>
        <w:t>For the distinction between these two types of proprietary estoppel, see above, para.4-</w:t>
      </w:r>
      <w:r>
        <w:rPr>
          <w:spacing w:val="-4"/>
        </w:rPr>
        <w:t>140.</w:t>
      </w:r>
    </w:p>
    <w:p>
      <w:pPr>
        <w:pStyle w:val="BodyText"/>
        <w:spacing w:before="9"/>
      </w:pPr>
    </w:p>
    <w:p>
      <w:pPr>
        <w:pStyle w:val="BodyText"/>
        <w:spacing w:line="235" w:lineRule="auto"/>
        <w:ind w:left="705" w:right="167" w:hanging="541"/>
        <w:jc w:val="both"/>
      </w:pPr>
      <w:bookmarkStart w:name="_bookmark1806" w:id="1808"/>
      <w:bookmarkEnd w:id="1808"/>
      <w:r>
        <w:rPr/>
      </w:r>
      <w:hyperlink w:history="true" w:anchor="_bookmark1772">
        <w:r>
          <w:rPr>
            <w:color w:val="005DA1"/>
            <w:position w:val="5"/>
            <w:sz w:val="14"/>
            <w:u w:val="single" w:color="005DA1"/>
          </w:rPr>
          <w:t>952</w:t>
        </w:r>
      </w:hyperlink>
      <w:r>
        <w:rPr>
          <w:position w:val="5"/>
          <w:sz w:val="14"/>
        </w:rPr>
        <w:t>.</w:t>
      </w:r>
      <w:r>
        <w:rPr>
          <w:spacing w:val="80"/>
          <w:position w:val="5"/>
          <w:sz w:val="14"/>
        </w:rPr>
        <w:t>  </w:t>
      </w:r>
      <w:r>
        <w:rPr>
          <w:rFonts w:ascii="Arial" w:hAnsi="Arial"/>
          <w:i/>
        </w:rPr>
        <w:t>[2009] UKHL 18, [2009] 1 W.L.R. 776 </w:t>
      </w:r>
      <w:r>
        <w:rPr/>
        <w:t>at [55]: “</w:t>
      </w:r>
      <w:r>
        <w:rPr>
          <w:spacing w:val="-14"/>
        </w:rPr>
        <w:t> </w:t>
      </w:r>
      <w:r>
        <w:rPr>
          <w:rFonts w:ascii="Arial" w:hAnsi="Arial"/>
          <w:i/>
        </w:rPr>
        <w:t>if </w:t>
      </w:r>
      <w:r>
        <w:rPr/>
        <w:t>all cases of proprietary estoppel (including cases of acquiescence or standing by) are to be analysed in terms of assurance, reliance and detriment, then the landowner’s </w:t>
      </w:r>
      <w:r>
        <w:rPr>
          <w:rFonts w:ascii="Arial" w:hAnsi="Arial"/>
          <w:i/>
        </w:rPr>
        <w:t>standing by in silence </w:t>
      </w:r>
      <w:r>
        <w:rPr/>
        <w:t>serves as the assurance” </w:t>
      </w:r>
      <w:r>
        <w:rPr/>
        <w:t>(italics supplied). This does not amount to a statement </w:t>
      </w:r>
      <w:r>
        <w:rPr>
          <w:rFonts w:ascii="Arial" w:hAnsi="Arial"/>
          <w:i/>
        </w:rPr>
        <w:t>that </w:t>
      </w:r>
      <w:r>
        <w:rPr/>
        <w:t>all cases of proprietary estoppel are to be so analysed.</w:t>
      </w:r>
    </w:p>
    <w:p>
      <w:pPr>
        <w:pStyle w:val="BodyText"/>
        <w:spacing w:before="4"/>
      </w:pPr>
    </w:p>
    <w:p>
      <w:pPr>
        <w:tabs>
          <w:tab w:pos="705" w:val="left" w:leader="none"/>
        </w:tabs>
        <w:spacing w:before="1"/>
        <w:ind w:left="165" w:right="0" w:firstLine="0"/>
        <w:jc w:val="left"/>
        <w:rPr>
          <w:sz w:val="20"/>
        </w:rPr>
      </w:pPr>
      <w:bookmarkStart w:name="_bookmark1807" w:id="1809"/>
      <w:bookmarkEnd w:id="1809"/>
      <w:r>
        <w:rPr/>
      </w:r>
      <w:hyperlink w:history="true" w:anchor="_bookmark1773">
        <w:r>
          <w:rPr>
            <w:color w:val="005DA1"/>
            <w:spacing w:val="-4"/>
            <w:position w:val="5"/>
            <w:sz w:val="14"/>
            <w:u w:val="single" w:color="005DA1"/>
          </w:rPr>
          <w:t>953</w:t>
        </w:r>
      </w:hyperlink>
      <w:r>
        <w:rPr>
          <w:spacing w:val="-4"/>
          <w:position w:val="5"/>
          <w:sz w:val="14"/>
        </w:rPr>
        <w:t>.</w:t>
      </w:r>
      <w:r>
        <w:rPr>
          <w:position w:val="5"/>
          <w:sz w:val="14"/>
        </w:rPr>
        <w:tab/>
      </w:r>
      <w:r>
        <w:rPr>
          <w:sz w:val="20"/>
        </w:rPr>
        <w:t>At </w:t>
      </w:r>
      <w:r>
        <w:rPr>
          <w:spacing w:val="-2"/>
          <w:sz w:val="20"/>
        </w:rPr>
        <w:t>[61].</w:t>
      </w:r>
    </w:p>
    <w:p>
      <w:pPr>
        <w:pStyle w:val="BodyText"/>
        <w:spacing w:before="4"/>
      </w:pPr>
    </w:p>
    <w:p>
      <w:pPr>
        <w:pStyle w:val="BodyText"/>
        <w:tabs>
          <w:tab w:pos="705" w:val="left" w:leader="none"/>
        </w:tabs>
        <w:spacing w:before="1"/>
        <w:ind w:left="165"/>
      </w:pPr>
      <w:bookmarkStart w:name="_bookmark1808" w:id="1810"/>
      <w:bookmarkEnd w:id="1810"/>
      <w:r>
        <w:rPr/>
      </w:r>
      <w:hyperlink w:history="true" w:anchor="_bookmark1774">
        <w:r>
          <w:rPr>
            <w:color w:val="005DA1"/>
            <w:spacing w:val="-4"/>
            <w:position w:val="5"/>
            <w:sz w:val="14"/>
            <w:u w:val="single" w:color="005DA1"/>
          </w:rPr>
          <w:t>954</w:t>
        </w:r>
      </w:hyperlink>
      <w:r>
        <w:rPr>
          <w:spacing w:val="-4"/>
          <w:position w:val="5"/>
          <w:sz w:val="14"/>
        </w:rPr>
        <w:t>.</w:t>
      </w:r>
      <w:r>
        <w:rPr>
          <w:position w:val="5"/>
          <w:sz w:val="14"/>
        </w:rPr>
        <w:tab/>
      </w:r>
      <w:r>
        <w:rPr/>
        <w:t>See</w:t>
      </w:r>
      <w:r>
        <w:rPr>
          <w:spacing w:val="-2"/>
        </w:rPr>
        <w:t> </w:t>
      </w:r>
      <w:r>
        <w:rPr/>
        <w:t>above, para.4-</w:t>
      </w:r>
      <w:r>
        <w:rPr>
          <w:spacing w:val="-4"/>
        </w:rPr>
        <w:t>147.</w:t>
      </w:r>
    </w:p>
    <w:p>
      <w:pPr>
        <w:pStyle w:val="BodyText"/>
        <w:spacing w:before="5"/>
      </w:pPr>
    </w:p>
    <w:p>
      <w:pPr>
        <w:tabs>
          <w:tab w:pos="705" w:val="left" w:leader="none"/>
        </w:tabs>
        <w:spacing w:before="0"/>
        <w:ind w:left="165" w:right="0" w:firstLine="0"/>
        <w:jc w:val="left"/>
        <w:rPr>
          <w:sz w:val="20"/>
        </w:rPr>
      </w:pPr>
      <w:bookmarkStart w:name="_bookmark1809" w:id="1811"/>
      <w:bookmarkEnd w:id="1811"/>
      <w:r>
        <w:rPr/>
      </w:r>
      <w:hyperlink w:history="true" w:anchor="_bookmark1775">
        <w:r>
          <w:rPr>
            <w:color w:val="005DA1"/>
            <w:spacing w:val="-4"/>
            <w:position w:val="5"/>
            <w:sz w:val="14"/>
            <w:u w:val="single" w:color="005DA1"/>
          </w:rPr>
          <w:t>955</w:t>
        </w:r>
      </w:hyperlink>
      <w:r>
        <w:rPr>
          <w:spacing w:val="-4"/>
          <w:position w:val="5"/>
          <w:sz w:val="14"/>
        </w:rPr>
        <w:t>.</w:t>
      </w:r>
      <w:r>
        <w:rPr>
          <w:position w:val="5"/>
          <w:sz w:val="14"/>
        </w:rPr>
        <w:tab/>
      </w:r>
      <w:r>
        <w:rPr>
          <w:sz w:val="20"/>
        </w:rPr>
        <w:t>At </w:t>
      </w:r>
      <w:r>
        <w:rPr>
          <w:spacing w:val="-2"/>
          <w:sz w:val="20"/>
        </w:rPr>
        <w:t>[84].</w:t>
      </w:r>
    </w:p>
    <w:p>
      <w:pPr>
        <w:pStyle w:val="BodyText"/>
        <w:spacing w:before="8"/>
      </w:pPr>
    </w:p>
    <w:p>
      <w:pPr>
        <w:pStyle w:val="BodyText"/>
        <w:tabs>
          <w:tab w:pos="705" w:val="left" w:leader="none"/>
        </w:tabs>
        <w:spacing w:line="235" w:lineRule="auto"/>
        <w:ind w:left="705" w:right="168" w:hanging="541"/>
      </w:pPr>
      <w:bookmarkStart w:name="_bookmark1810" w:id="1812"/>
      <w:bookmarkEnd w:id="1812"/>
      <w:r>
        <w:rPr/>
      </w:r>
      <w:hyperlink w:history="true" w:anchor="_bookmark1776">
        <w:r>
          <w:rPr>
            <w:color w:val="005DA1"/>
            <w:spacing w:val="-4"/>
            <w:position w:val="5"/>
            <w:sz w:val="14"/>
            <w:u w:val="single" w:color="005DA1"/>
          </w:rPr>
          <w:t>956</w:t>
        </w:r>
      </w:hyperlink>
      <w:r>
        <w:rPr>
          <w:spacing w:val="-4"/>
          <w:position w:val="5"/>
          <w:sz w:val="14"/>
        </w:rPr>
        <w:t>.</w:t>
      </w:r>
      <w:r>
        <w:rPr>
          <w:position w:val="5"/>
          <w:sz w:val="14"/>
        </w:rPr>
        <w:tab/>
      </w:r>
      <w:r>
        <w:rPr/>
        <w:t>Proprietary</w:t>
      </w:r>
      <w:r>
        <w:rPr>
          <w:spacing w:val="34"/>
        </w:rPr>
        <w:t> </w:t>
      </w:r>
      <w:r>
        <w:rPr/>
        <w:t>estoppel</w:t>
      </w:r>
      <w:r>
        <w:rPr>
          <w:spacing w:val="34"/>
        </w:rPr>
        <w:t> </w:t>
      </w:r>
      <w:r>
        <w:rPr/>
        <w:t>by</w:t>
      </w:r>
      <w:r>
        <w:rPr>
          <w:spacing w:val="34"/>
        </w:rPr>
        <w:t> </w:t>
      </w:r>
      <w:r>
        <w:rPr/>
        <w:t>encouragement</w:t>
      </w:r>
      <w:r>
        <w:rPr>
          <w:spacing w:val="34"/>
        </w:rPr>
        <w:t> </w:t>
      </w:r>
      <w:r>
        <w:rPr/>
        <w:t>can</w:t>
      </w:r>
      <w:r>
        <w:rPr>
          <w:spacing w:val="34"/>
        </w:rPr>
        <w:t> </w:t>
      </w:r>
      <w:r>
        <w:rPr/>
        <w:t>arise</w:t>
      </w:r>
      <w:r>
        <w:rPr>
          <w:spacing w:val="34"/>
        </w:rPr>
        <w:t> </w:t>
      </w:r>
      <w:r>
        <w:rPr/>
        <w:t>without</w:t>
      </w:r>
      <w:r>
        <w:rPr>
          <w:spacing w:val="34"/>
        </w:rPr>
        <w:t> </w:t>
      </w:r>
      <w:r>
        <w:rPr/>
        <w:t>any</w:t>
      </w:r>
      <w:r>
        <w:rPr>
          <w:spacing w:val="34"/>
        </w:rPr>
        <w:t> </w:t>
      </w:r>
      <w:r>
        <w:rPr/>
        <w:t>element</w:t>
      </w:r>
      <w:r>
        <w:rPr>
          <w:spacing w:val="34"/>
        </w:rPr>
        <w:t> </w:t>
      </w:r>
      <w:r>
        <w:rPr/>
        <w:t>of</w:t>
      </w:r>
      <w:r>
        <w:rPr>
          <w:spacing w:val="34"/>
        </w:rPr>
        <w:t> </w:t>
      </w:r>
      <w:r>
        <w:rPr/>
        <w:t>enrichment</w:t>
      </w:r>
      <w:r>
        <w:rPr>
          <w:spacing w:val="34"/>
        </w:rPr>
        <w:t> </w:t>
      </w:r>
      <w:r>
        <w:rPr/>
        <w:t>of</w:t>
      </w:r>
      <w:r>
        <w:rPr>
          <w:spacing w:val="34"/>
        </w:rPr>
        <w:t> </w:t>
      </w:r>
      <w:r>
        <w:rPr/>
        <w:t>the promisor: see above, para.4-143.</w:t>
      </w:r>
    </w:p>
    <w:p>
      <w:pPr>
        <w:pStyle w:val="BodyText"/>
        <w:spacing w:before="6"/>
      </w:pPr>
    </w:p>
    <w:p>
      <w:pPr>
        <w:tabs>
          <w:tab w:pos="705" w:val="left" w:leader="none"/>
        </w:tabs>
        <w:spacing w:before="0"/>
        <w:ind w:left="165" w:right="0" w:firstLine="0"/>
        <w:jc w:val="left"/>
        <w:rPr>
          <w:sz w:val="20"/>
        </w:rPr>
      </w:pPr>
      <w:bookmarkStart w:name="_bookmark1811" w:id="1813"/>
      <w:bookmarkEnd w:id="1813"/>
      <w:r>
        <w:rPr/>
      </w:r>
      <w:hyperlink w:history="true" w:anchor="_bookmark1777">
        <w:r>
          <w:rPr>
            <w:color w:val="005DA1"/>
            <w:spacing w:val="-4"/>
            <w:position w:val="5"/>
            <w:sz w:val="14"/>
            <w:u w:val="single" w:color="005DA1"/>
          </w:rPr>
          <w:t>957</w:t>
        </w:r>
      </w:hyperlink>
      <w:r>
        <w:rPr>
          <w:spacing w:val="-4"/>
          <w:position w:val="5"/>
          <w:sz w:val="14"/>
        </w:rPr>
        <w:t>.</w:t>
      </w:r>
      <w:r>
        <w:rPr>
          <w:position w:val="5"/>
          <w:sz w:val="14"/>
        </w:rPr>
        <w:tab/>
      </w:r>
      <w:r>
        <w:rPr>
          <w:rFonts w:ascii="Arial"/>
          <w:i/>
          <w:sz w:val="20"/>
        </w:rPr>
        <w:t>[2009] UKHL 18, [2009] 1 W.L.R. 776</w:t>
      </w:r>
      <w:r>
        <w:rPr>
          <w:rFonts w:ascii="Arial"/>
          <w:i/>
          <w:spacing w:val="-1"/>
          <w:sz w:val="20"/>
        </w:rPr>
        <w:t> </w:t>
      </w:r>
      <w:r>
        <w:rPr>
          <w:sz w:val="20"/>
        </w:rPr>
        <w:t>at </w:t>
      </w:r>
      <w:r>
        <w:rPr>
          <w:spacing w:val="-2"/>
          <w:sz w:val="20"/>
        </w:rPr>
        <w:t>[30].</w:t>
      </w:r>
    </w:p>
    <w:p>
      <w:pPr>
        <w:pStyle w:val="BodyText"/>
        <w:spacing w:before="5"/>
      </w:pPr>
    </w:p>
    <w:p>
      <w:pPr>
        <w:tabs>
          <w:tab w:pos="705" w:val="left" w:leader="none"/>
        </w:tabs>
        <w:spacing w:before="0"/>
        <w:ind w:left="165" w:right="0" w:firstLine="0"/>
        <w:jc w:val="left"/>
        <w:rPr>
          <w:sz w:val="20"/>
        </w:rPr>
      </w:pPr>
      <w:bookmarkStart w:name="_bookmark1812" w:id="1814"/>
      <w:bookmarkEnd w:id="1814"/>
      <w:r>
        <w:rPr/>
      </w:r>
      <w:hyperlink w:history="true" w:anchor="_bookmark1777">
        <w:r>
          <w:rPr>
            <w:color w:val="005DA1"/>
            <w:spacing w:val="-4"/>
            <w:position w:val="5"/>
            <w:sz w:val="14"/>
            <w:u w:val="single" w:color="005DA1"/>
          </w:rPr>
          <w:t>958</w:t>
        </w:r>
      </w:hyperlink>
      <w:r>
        <w:rPr>
          <w:spacing w:val="-4"/>
          <w:position w:val="5"/>
          <w:sz w:val="14"/>
        </w:rPr>
        <w:t>.</w:t>
      </w:r>
      <w:r>
        <w:rPr>
          <w:position w:val="5"/>
          <w:sz w:val="14"/>
        </w:rPr>
        <w:tab/>
      </w:r>
      <w:r>
        <w:rPr>
          <w:sz w:val="20"/>
        </w:rPr>
        <w:t>At </w:t>
      </w:r>
      <w:r>
        <w:rPr>
          <w:spacing w:val="-2"/>
          <w:sz w:val="20"/>
        </w:rPr>
        <w:t>[52].</w:t>
      </w:r>
    </w:p>
    <w:p>
      <w:pPr>
        <w:pStyle w:val="BodyText"/>
        <w:spacing w:before="5"/>
      </w:pPr>
    </w:p>
    <w:p>
      <w:pPr>
        <w:pStyle w:val="BodyText"/>
        <w:tabs>
          <w:tab w:pos="705" w:val="left" w:leader="none"/>
        </w:tabs>
        <w:ind w:left="165"/>
      </w:pPr>
      <w:bookmarkStart w:name="_bookmark1813" w:id="1815"/>
      <w:bookmarkEnd w:id="1815"/>
      <w:r>
        <w:rPr/>
      </w:r>
      <w:hyperlink w:history="true" w:anchor="_bookmark1778">
        <w:r>
          <w:rPr>
            <w:color w:val="005DA1"/>
            <w:spacing w:val="-4"/>
            <w:position w:val="5"/>
            <w:sz w:val="14"/>
            <w:u w:val="single" w:color="005DA1"/>
          </w:rPr>
          <w:t>959</w:t>
        </w:r>
      </w:hyperlink>
      <w:r>
        <w:rPr>
          <w:spacing w:val="-4"/>
          <w:position w:val="5"/>
          <w:sz w:val="14"/>
        </w:rPr>
        <w:t>.</w:t>
      </w:r>
      <w:r>
        <w:rPr>
          <w:position w:val="5"/>
          <w:sz w:val="14"/>
        </w:rPr>
        <w:tab/>
      </w:r>
      <w:r>
        <w:rPr/>
        <w:t>See above, para.4-091, below, para.7-</w:t>
      </w:r>
      <w:r>
        <w:rPr>
          <w:spacing w:val="-4"/>
        </w:rPr>
        <w:t>103.</w:t>
      </w:r>
    </w:p>
    <w:p>
      <w:pPr>
        <w:pStyle w:val="BodyText"/>
        <w:spacing w:before="5"/>
      </w:pPr>
    </w:p>
    <w:p>
      <w:pPr>
        <w:pStyle w:val="BodyText"/>
        <w:tabs>
          <w:tab w:pos="705" w:val="left" w:leader="none"/>
        </w:tabs>
        <w:ind w:left="165"/>
      </w:pPr>
      <w:bookmarkStart w:name="_bookmark1814" w:id="1816"/>
      <w:bookmarkEnd w:id="1816"/>
      <w:r>
        <w:rPr/>
      </w:r>
      <w:hyperlink w:history="true" w:anchor="_bookmark1779">
        <w:r>
          <w:rPr>
            <w:color w:val="005DA1"/>
            <w:spacing w:val="-4"/>
            <w:position w:val="5"/>
            <w:sz w:val="14"/>
            <w:u w:val="single" w:color="005DA1"/>
          </w:rPr>
          <w:t>960</w:t>
        </w:r>
      </w:hyperlink>
      <w:r>
        <w:rPr>
          <w:spacing w:val="-4"/>
          <w:position w:val="5"/>
          <w:sz w:val="14"/>
        </w:rPr>
        <w:t>.</w:t>
      </w:r>
      <w:r>
        <w:rPr>
          <w:position w:val="5"/>
          <w:sz w:val="14"/>
        </w:rPr>
        <w:tab/>
      </w:r>
      <w:r>
        <w:rPr/>
        <w:t>[2009] UKHL at [37], quoting from [31] and [32] of the judgment at first </w:t>
      </w:r>
      <w:r>
        <w:rPr>
          <w:spacing w:val="-2"/>
        </w:rPr>
        <w:t>instance.</w:t>
      </w:r>
    </w:p>
    <w:p>
      <w:pPr>
        <w:pStyle w:val="BodyText"/>
        <w:spacing w:before="5"/>
      </w:pPr>
    </w:p>
    <w:p>
      <w:pPr>
        <w:pStyle w:val="BodyText"/>
        <w:tabs>
          <w:tab w:pos="705" w:val="left" w:leader="none"/>
        </w:tabs>
        <w:ind w:left="165"/>
      </w:pPr>
      <w:bookmarkStart w:name="_bookmark1815" w:id="1817"/>
      <w:bookmarkEnd w:id="1817"/>
      <w:r>
        <w:rPr/>
      </w:r>
      <w:hyperlink w:history="true" w:anchor="_bookmark1780">
        <w:r>
          <w:rPr>
            <w:color w:val="005DA1"/>
            <w:spacing w:val="-4"/>
            <w:position w:val="5"/>
            <w:sz w:val="14"/>
            <w:u w:val="single" w:color="005DA1"/>
          </w:rPr>
          <w:t>961</w:t>
        </w:r>
      </w:hyperlink>
      <w:r>
        <w:rPr>
          <w:spacing w:val="-4"/>
          <w:position w:val="5"/>
          <w:sz w:val="14"/>
        </w:rPr>
        <w:t>.</w:t>
      </w:r>
      <w:r>
        <w:rPr>
          <w:position w:val="5"/>
          <w:sz w:val="14"/>
        </w:rPr>
        <w:tab/>
      </w:r>
      <w:r>
        <w:rPr/>
        <w:t>[2009] UKHL at </w:t>
      </w:r>
      <w:r>
        <w:rPr>
          <w:spacing w:val="-2"/>
        </w:rPr>
        <w:t>[40].</w:t>
      </w:r>
    </w:p>
    <w:p>
      <w:pPr>
        <w:pStyle w:val="BodyText"/>
        <w:spacing w:before="5"/>
      </w:pPr>
    </w:p>
    <w:p>
      <w:pPr>
        <w:tabs>
          <w:tab w:pos="705" w:val="left" w:leader="none"/>
        </w:tabs>
        <w:spacing w:before="0"/>
        <w:ind w:left="165" w:right="0" w:firstLine="0"/>
        <w:jc w:val="left"/>
        <w:rPr>
          <w:sz w:val="20"/>
        </w:rPr>
      </w:pPr>
      <w:bookmarkStart w:name="_bookmark1816" w:id="1818"/>
      <w:bookmarkEnd w:id="1818"/>
      <w:r>
        <w:rPr/>
      </w:r>
      <w:hyperlink w:history="true" w:anchor="_bookmark1781">
        <w:r>
          <w:rPr>
            <w:color w:val="005DA1"/>
            <w:spacing w:val="-4"/>
            <w:position w:val="5"/>
            <w:sz w:val="14"/>
            <w:u w:val="single" w:color="005DA1"/>
          </w:rPr>
          <w:t>962</w:t>
        </w:r>
      </w:hyperlink>
      <w:r>
        <w:rPr>
          <w:spacing w:val="-4"/>
          <w:position w:val="5"/>
          <w:sz w:val="14"/>
        </w:rPr>
        <w:t>.</w:t>
      </w:r>
      <w:r>
        <w:rPr>
          <w:position w:val="5"/>
          <w:sz w:val="14"/>
        </w:rPr>
        <w:tab/>
      </w:r>
      <w:r>
        <w:rPr>
          <w:sz w:val="20"/>
        </w:rPr>
        <w:t>At </w:t>
      </w:r>
      <w:r>
        <w:rPr>
          <w:spacing w:val="-2"/>
          <w:sz w:val="20"/>
        </w:rPr>
        <w:t>[32].</w:t>
      </w:r>
    </w:p>
    <w:p>
      <w:pPr>
        <w:pStyle w:val="BodyText"/>
        <w:spacing w:before="5"/>
      </w:pPr>
    </w:p>
    <w:p>
      <w:pPr>
        <w:tabs>
          <w:tab w:pos="705" w:val="left" w:leader="none"/>
        </w:tabs>
        <w:spacing w:before="0"/>
        <w:ind w:left="165" w:right="0" w:firstLine="0"/>
        <w:jc w:val="left"/>
        <w:rPr>
          <w:sz w:val="20"/>
        </w:rPr>
      </w:pPr>
      <w:bookmarkStart w:name="_bookmark1817" w:id="1819"/>
      <w:bookmarkEnd w:id="1819"/>
      <w:r>
        <w:rPr/>
      </w:r>
      <w:hyperlink w:history="true" w:anchor="_bookmark1782">
        <w:r>
          <w:rPr>
            <w:color w:val="005DA1"/>
            <w:spacing w:val="-4"/>
            <w:position w:val="5"/>
            <w:sz w:val="14"/>
            <w:u w:val="single" w:color="005DA1"/>
          </w:rPr>
          <w:t>963</w:t>
        </w:r>
      </w:hyperlink>
      <w:r>
        <w:rPr>
          <w:spacing w:val="-4"/>
          <w:position w:val="5"/>
          <w:sz w:val="14"/>
        </w:rPr>
        <w:t>.</w:t>
      </w:r>
      <w:r>
        <w:rPr>
          <w:position w:val="5"/>
          <w:sz w:val="14"/>
        </w:rPr>
        <w:tab/>
      </w:r>
      <w:r>
        <w:rPr>
          <w:sz w:val="20"/>
        </w:rPr>
        <w:t>At [1], </w:t>
      </w:r>
      <w:r>
        <w:rPr>
          <w:spacing w:val="-4"/>
          <w:sz w:val="20"/>
        </w:rPr>
        <w:t>[2].</w:t>
      </w:r>
    </w:p>
    <w:p>
      <w:pPr>
        <w:pStyle w:val="BodyText"/>
        <w:spacing w:before="9"/>
      </w:pPr>
    </w:p>
    <w:p>
      <w:pPr>
        <w:tabs>
          <w:tab w:pos="705" w:val="left" w:leader="none"/>
        </w:tabs>
        <w:spacing w:line="235" w:lineRule="auto" w:before="0"/>
        <w:ind w:left="705" w:right="168" w:hanging="541"/>
        <w:jc w:val="left"/>
        <w:rPr>
          <w:sz w:val="20"/>
        </w:rPr>
      </w:pPr>
      <w:bookmarkStart w:name="_bookmark1818" w:id="1820"/>
      <w:bookmarkEnd w:id="1820"/>
      <w:r>
        <w:rPr/>
      </w:r>
      <w:hyperlink w:history="true" w:anchor="_bookmark1783">
        <w:r>
          <w:rPr>
            <w:color w:val="005DA1"/>
            <w:spacing w:val="-4"/>
            <w:position w:val="5"/>
            <w:sz w:val="14"/>
            <w:u w:val="single" w:color="005DA1"/>
          </w:rPr>
          <w:t>964</w:t>
        </w:r>
      </w:hyperlink>
      <w:r>
        <w:rPr>
          <w:spacing w:val="-4"/>
          <w:position w:val="5"/>
          <w:sz w:val="14"/>
        </w:rPr>
        <w:t>.</w:t>
      </w:r>
      <w:r>
        <w:rPr>
          <w:position w:val="5"/>
          <w:sz w:val="14"/>
        </w:rPr>
        <w:tab/>
      </w:r>
      <w:r>
        <w:rPr>
          <w:rFonts w:ascii="Arial" w:hAnsi="Arial"/>
          <w:i/>
          <w:sz w:val="20"/>
        </w:rPr>
        <w:t>Cobbe</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Yeoman’s</w:t>
      </w:r>
      <w:r>
        <w:rPr>
          <w:rFonts w:ascii="Arial" w:hAnsi="Arial"/>
          <w:i/>
          <w:spacing w:val="40"/>
          <w:sz w:val="20"/>
        </w:rPr>
        <w:t> </w:t>
      </w:r>
      <w:r>
        <w:rPr>
          <w:rFonts w:ascii="Arial" w:hAnsi="Arial"/>
          <w:i/>
          <w:sz w:val="20"/>
        </w:rPr>
        <w:t>Row</w:t>
      </w:r>
      <w:r>
        <w:rPr>
          <w:rFonts w:ascii="Arial" w:hAnsi="Arial"/>
          <w:i/>
          <w:spacing w:val="40"/>
          <w:sz w:val="20"/>
        </w:rPr>
        <w:t> </w:t>
      </w:r>
      <w:r>
        <w:rPr>
          <w:rFonts w:ascii="Arial" w:hAnsi="Arial"/>
          <w:i/>
          <w:sz w:val="20"/>
        </w:rPr>
        <w:t>Management</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[2008]</w:t>
      </w:r>
      <w:r>
        <w:rPr>
          <w:rFonts w:ascii="Arial" w:hAnsi="Arial"/>
          <w:i/>
          <w:spacing w:val="40"/>
          <w:sz w:val="20"/>
        </w:rPr>
        <w:t> </w:t>
      </w:r>
      <w:r>
        <w:rPr>
          <w:rFonts w:ascii="Arial" w:hAnsi="Arial"/>
          <w:i/>
          <w:sz w:val="20"/>
        </w:rPr>
        <w:t>UKHL</w:t>
      </w:r>
      <w:r>
        <w:rPr>
          <w:rFonts w:ascii="Arial" w:hAnsi="Arial"/>
          <w:i/>
          <w:spacing w:val="40"/>
          <w:sz w:val="20"/>
        </w:rPr>
        <w:t> </w:t>
      </w:r>
      <w:r>
        <w:rPr>
          <w:rFonts w:ascii="Arial" w:hAnsi="Arial"/>
          <w:i/>
          <w:sz w:val="20"/>
        </w:rPr>
        <w:t>55,</w:t>
      </w:r>
      <w:r>
        <w:rPr>
          <w:rFonts w:ascii="Arial" w:hAnsi="Arial"/>
          <w:i/>
          <w:spacing w:val="40"/>
          <w:sz w:val="20"/>
        </w:rPr>
        <w:t> </w:t>
      </w:r>
      <w:r>
        <w:rPr>
          <w:rFonts w:ascii="Arial" w:hAnsi="Arial"/>
          <w:i/>
          <w:sz w:val="20"/>
        </w:rPr>
        <w:t>[2008]</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1752</w:t>
      </w:r>
      <w:r>
        <w:rPr>
          <w:rFonts w:ascii="Arial" w:hAnsi="Arial"/>
          <w:i/>
          <w:spacing w:val="40"/>
          <w:sz w:val="20"/>
        </w:rPr>
        <w:t> </w:t>
      </w:r>
      <w:r>
        <w:rPr>
          <w:sz w:val="20"/>
        </w:rPr>
        <w:t>at</w:t>
      </w:r>
      <w:r>
        <w:rPr>
          <w:spacing w:val="40"/>
          <w:sz w:val="20"/>
        </w:rPr>
        <w:t> </w:t>
      </w:r>
      <w:r>
        <w:rPr>
          <w:sz w:val="20"/>
        </w:rPr>
        <w:t>[28]; below, para.4-162.</w:t>
      </w:r>
    </w:p>
    <w:p>
      <w:pPr>
        <w:pStyle w:val="BodyText"/>
        <w:spacing w:before="5"/>
      </w:pPr>
    </w:p>
    <w:p>
      <w:pPr>
        <w:tabs>
          <w:tab w:pos="705" w:val="left" w:leader="none"/>
        </w:tabs>
        <w:spacing w:before="1"/>
        <w:ind w:left="165" w:right="0" w:firstLine="0"/>
        <w:jc w:val="left"/>
        <w:rPr>
          <w:sz w:val="20"/>
        </w:rPr>
      </w:pPr>
      <w:bookmarkStart w:name="_bookmark1819" w:id="1821"/>
      <w:bookmarkEnd w:id="1821"/>
      <w:r>
        <w:rPr/>
      </w:r>
      <w:hyperlink w:history="true" w:anchor="_bookmark1784">
        <w:r>
          <w:rPr>
            <w:color w:val="005DA1"/>
            <w:spacing w:val="-4"/>
            <w:position w:val="5"/>
            <w:sz w:val="14"/>
            <w:u w:val="single" w:color="005DA1"/>
          </w:rPr>
          <w:t>965</w:t>
        </w:r>
      </w:hyperlink>
      <w:r>
        <w:rPr>
          <w:spacing w:val="-4"/>
          <w:position w:val="5"/>
          <w:sz w:val="14"/>
        </w:rPr>
        <w:t>.</w:t>
      </w:r>
      <w:r>
        <w:rPr>
          <w:position w:val="5"/>
          <w:sz w:val="14"/>
        </w:rPr>
        <w:tab/>
      </w:r>
      <w:r>
        <w:rPr>
          <w:rFonts w:ascii="Arial"/>
          <w:i/>
          <w:sz w:val="20"/>
        </w:rPr>
        <w:t>[2009] UKHL 18, [2009] 1 W.L.R. </w:t>
      </w:r>
      <w:r>
        <w:rPr>
          <w:rFonts w:ascii="Arial"/>
          <w:i/>
          <w:spacing w:val="-4"/>
          <w:sz w:val="20"/>
        </w:rPr>
        <w:t>777</w:t>
      </w:r>
      <w:r>
        <w:rPr>
          <w:spacing w:val="-4"/>
          <w:sz w:val="20"/>
        </w:rPr>
        <w:t>.</w:t>
      </w:r>
    </w:p>
    <w:p>
      <w:pPr>
        <w:pStyle w:val="BodyText"/>
        <w:spacing w:before="8"/>
      </w:pPr>
    </w:p>
    <w:p>
      <w:pPr>
        <w:pStyle w:val="BodyText"/>
        <w:spacing w:line="235" w:lineRule="auto"/>
        <w:ind w:left="705" w:right="167" w:hanging="541"/>
        <w:jc w:val="both"/>
      </w:pPr>
      <w:bookmarkStart w:name="_bookmark1820" w:id="1822"/>
      <w:bookmarkEnd w:id="1822"/>
      <w:r>
        <w:rPr/>
      </w:r>
      <w:hyperlink w:history="true" w:anchor="_bookmark1785">
        <w:r>
          <w:rPr>
            <w:color w:val="005DA1"/>
            <w:position w:val="5"/>
            <w:sz w:val="14"/>
            <w:u w:val="single" w:color="005DA1"/>
          </w:rPr>
          <w:t>966</w:t>
        </w:r>
      </w:hyperlink>
      <w:r>
        <w:rPr>
          <w:position w:val="5"/>
          <w:sz w:val="14"/>
        </w:rPr>
        <w:t>.</w:t>
      </w:r>
      <w:r>
        <w:rPr>
          <w:spacing w:val="40"/>
          <w:position w:val="5"/>
          <w:sz w:val="14"/>
        </w:rPr>
        <w:t>  </w:t>
      </w:r>
      <w:r>
        <w:rPr/>
        <w:t>At [54], where Lord Walker noted that this view had been expressed in a number of editions </w:t>
      </w:r>
      <w:r>
        <w:rPr/>
        <w:t>of “Treitel, Law of Contract”, including the then current 12th edition by Peel. The same view (as that quoted by Lord Walker) was stated in para.3-162 of the 30th edition of the present book.</w:t>
      </w:r>
    </w:p>
    <w:p>
      <w:pPr>
        <w:pStyle w:val="BodyText"/>
        <w:spacing w:before="5"/>
      </w:pPr>
    </w:p>
    <w:p>
      <w:pPr>
        <w:pStyle w:val="BodyText"/>
        <w:tabs>
          <w:tab w:pos="705" w:val="left" w:leader="none"/>
        </w:tabs>
        <w:ind w:left="165"/>
      </w:pPr>
      <w:bookmarkStart w:name="_bookmark1821" w:id="1823"/>
      <w:bookmarkEnd w:id="1823"/>
      <w:r>
        <w:rPr/>
      </w:r>
      <w:hyperlink w:history="true" w:anchor="_bookmark1785">
        <w:r>
          <w:rPr>
            <w:color w:val="005DA1"/>
            <w:spacing w:val="-4"/>
            <w:position w:val="5"/>
            <w:sz w:val="14"/>
            <w:u w:val="single" w:color="005DA1"/>
          </w:rPr>
          <w:t>967</w:t>
        </w:r>
      </w:hyperlink>
      <w:r>
        <w:rPr>
          <w:spacing w:val="-4"/>
          <w:position w:val="5"/>
          <w:sz w:val="14"/>
        </w:rPr>
        <w:t>.</w:t>
      </w:r>
      <w:r>
        <w:rPr>
          <w:position w:val="5"/>
          <w:sz w:val="14"/>
        </w:rPr>
        <w:tab/>
      </w:r>
      <w:r>
        <w:rPr/>
        <w:t>See</w:t>
      </w:r>
      <w:r>
        <w:rPr>
          <w:spacing w:val="-2"/>
        </w:rPr>
        <w:t> </w:t>
      </w:r>
      <w:r>
        <w:rPr/>
        <w:t>above, para.4-</w:t>
      </w:r>
      <w:r>
        <w:rPr>
          <w:spacing w:val="-4"/>
        </w:rPr>
        <w:t>140.</w:t>
      </w:r>
    </w:p>
    <w:p>
      <w:pPr>
        <w:pStyle w:val="BodyText"/>
        <w:spacing w:before="5"/>
      </w:pPr>
    </w:p>
    <w:p>
      <w:pPr>
        <w:tabs>
          <w:tab w:pos="705" w:val="left" w:leader="none"/>
        </w:tabs>
        <w:spacing w:before="0"/>
        <w:ind w:left="165" w:right="0" w:firstLine="0"/>
        <w:jc w:val="left"/>
        <w:rPr>
          <w:sz w:val="20"/>
        </w:rPr>
      </w:pPr>
      <w:bookmarkStart w:name="_bookmark1822" w:id="1824"/>
      <w:bookmarkEnd w:id="1824"/>
      <w:r>
        <w:rPr/>
      </w:r>
      <w:hyperlink w:history="true" w:anchor="_bookmark1786">
        <w:r>
          <w:rPr>
            <w:color w:val="005DA1"/>
            <w:spacing w:val="-4"/>
            <w:position w:val="5"/>
            <w:sz w:val="14"/>
            <w:u w:val="single" w:color="005DA1"/>
          </w:rPr>
          <w:t>968</w:t>
        </w:r>
      </w:hyperlink>
      <w:r>
        <w:rPr>
          <w:spacing w:val="-4"/>
          <w:position w:val="5"/>
          <w:sz w:val="14"/>
        </w:rPr>
        <w:t>.</w:t>
      </w:r>
      <w:r>
        <w:rPr>
          <w:position w:val="5"/>
          <w:sz w:val="14"/>
        </w:rPr>
        <w:tab/>
      </w:r>
      <w:r>
        <w:rPr>
          <w:rFonts w:ascii="Arial"/>
          <w:i/>
          <w:sz w:val="20"/>
        </w:rPr>
        <w:t>[2009] UKHL 18</w:t>
      </w:r>
      <w:r>
        <w:rPr>
          <w:rFonts w:ascii="Arial"/>
          <w:i/>
          <w:spacing w:val="-1"/>
          <w:sz w:val="20"/>
        </w:rPr>
        <w:t> </w:t>
      </w:r>
      <w:r>
        <w:rPr>
          <w:sz w:val="20"/>
        </w:rPr>
        <w:t>at [55]; and see below, para.4-</w:t>
      </w:r>
      <w:r>
        <w:rPr>
          <w:spacing w:val="-4"/>
          <w:sz w:val="20"/>
        </w:rPr>
        <w:t>183.</w:t>
      </w:r>
    </w:p>
    <w:p>
      <w:pPr>
        <w:pStyle w:val="BodyText"/>
        <w:spacing w:before="5"/>
      </w:pPr>
    </w:p>
    <w:p>
      <w:pPr>
        <w:tabs>
          <w:tab w:pos="705" w:val="left" w:leader="none"/>
        </w:tabs>
        <w:spacing w:before="1"/>
        <w:ind w:left="165" w:right="0" w:firstLine="0"/>
        <w:jc w:val="left"/>
        <w:rPr>
          <w:sz w:val="20"/>
        </w:rPr>
      </w:pPr>
      <w:r>
        <w:rPr>
          <w:color w:val="005DA1"/>
          <w:spacing w:val="-4"/>
          <w:position w:val="5"/>
          <w:sz w:val="14"/>
          <w:u w:val="single" w:color="005DA1"/>
        </w:rPr>
        <w:t>969</w:t>
      </w:r>
      <w:r>
        <w:rPr>
          <w:spacing w:val="-4"/>
          <w:position w:val="5"/>
          <w:sz w:val="14"/>
        </w:rPr>
        <w:t>.</w:t>
      </w:r>
      <w:r>
        <w:rPr>
          <w:position w:val="5"/>
          <w:sz w:val="14"/>
        </w:rPr>
        <w:tab/>
      </w:r>
      <w:r>
        <w:rPr>
          <w:rFonts w:ascii="Arial"/>
          <w:i/>
          <w:sz w:val="20"/>
        </w:rPr>
        <w:t>[2009]</w:t>
      </w:r>
      <w:r>
        <w:rPr>
          <w:rFonts w:ascii="Arial"/>
          <w:i/>
          <w:spacing w:val="-2"/>
          <w:sz w:val="20"/>
        </w:rPr>
        <w:t> </w:t>
      </w:r>
      <w:r>
        <w:rPr>
          <w:rFonts w:ascii="Arial"/>
          <w:i/>
          <w:sz w:val="20"/>
        </w:rPr>
        <w:t>UKHL 18</w:t>
      </w:r>
      <w:r>
        <w:rPr>
          <w:rFonts w:ascii="Arial"/>
          <w:i/>
          <w:spacing w:val="-1"/>
          <w:sz w:val="20"/>
        </w:rPr>
        <w:t> </w:t>
      </w:r>
      <w:r>
        <w:rPr>
          <w:sz w:val="20"/>
        </w:rPr>
        <w:t>at </w:t>
      </w:r>
      <w:r>
        <w:rPr>
          <w:spacing w:val="-2"/>
          <w:sz w:val="20"/>
        </w:rPr>
        <w:t>[55].</w:t>
      </w:r>
    </w:p>
    <w:p>
      <w:pPr>
        <w:pStyle w:val="BodyText"/>
        <w:spacing w:before="4"/>
      </w:pPr>
    </w:p>
    <w:p>
      <w:pPr>
        <w:pStyle w:val="BodyText"/>
        <w:tabs>
          <w:tab w:pos="705" w:val="left" w:leader="none"/>
        </w:tabs>
        <w:spacing w:before="1"/>
        <w:ind w:left="165"/>
      </w:pPr>
      <w:r>
        <w:rPr>
          <w:color w:val="005DA1"/>
          <w:spacing w:val="-4"/>
          <w:position w:val="5"/>
          <w:sz w:val="14"/>
          <w:u w:val="single" w:color="005DA1"/>
        </w:rPr>
        <w:t>970</w:t>
      </w:r>
      <w:r>
        <w:rPr>
          <w:spacing w:val="-4"/>
          <w:position w:val="5"/>
          <w:sz w:val="14"/>
        </w:rPr>
        <w:t>.</w:t>
      </w:r>
      <w:r>
        <w:rPr>
          <w:position w:val="5"/>
          <w:sz w:val="14"/>
        </w:rPr>
        <w:tab/>
      </w:r>
      <w:r>
        <w:rPr/>
        <w:t>See</w:t>
      </w:r>
      <w:r>
        <w:rPr>
          <w:spacing w:val="-2"/>
        </w:rPr>
        <w:t> </w:t>
      </w:r>
      <w:r>
        <w:rPr/>
        <w:t>above, para.4-</w:t>
      </w:r>
      <w:r>
        <w:rPr>
          <w:spacing w:val="-4"/>
        </w:rPr>
        <w:t>140.</w:t>
      </w:r>
    </w:p>
    <w:p>
      <w:pPr>
        <w:pStyle w:val="BodyText"/>
        <w:spacing w:before="8"/>
        <w:rPr>
          <w:sz w:val="12"/>
        </w:rPr>
      </w:pPr>
    </w:p>
    <w:p>
      <w:pPr>
        <w:pStyle w:val="BodyText"/>
        <w:spacing w:after="0"/>
        <w:rPr>
          <w:sz w:val="12"/>
        </w:rPr>
        <w:sectPr>
          <w:type w:val="continuous"/>
          <w:pgSz w:w="11900" w:h="16840"/>
          <w:pgMar w:header="971" w:footer="0" w:top="37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16192">
            <wp:simplePos x="0" y="0"/>
            <wp:positionH relativeFrom="page">
              <wp:posOffset>1257846</wp:posOffset>
            </wp:positionH>
            <wp:positionV relativeFrom="paragraph">
              <wp:posOffset>160589</wp:posOffset>
            </wp:positionV>
            <wp:extent cx="107988" cy="107988"/>
            <wp:effectExtent l="0" t="0" r="0" b="0"/>
            <wp:wrapNone/>
            <wp:docPr id="351" name="Image 351"/>
            <wp:cNvGraphicFramePr>
              <a:graphicFrameLocks/>
            </wp:cNvGraphicFramePr>
            <a:graphic>
              <a:graphicData uri="http://schemas.openxmlformats.org/drawingml/2006/picture">
                <pic:pic>
                  <pic:nvPicPr>
                    <pic:cNvPr id="351" name="Image 351"/>
                    <pic:cNvPicPr/>
                  </pic:nvPicPr>
                  <pic:blipFill>
                    <a:blip r:embed="rId7" cstate="print"/>
                    <a:stretch>
                      <a:fillRect/>
                    </a:stretch>
                  </pic:blipFill>
                  <pic:spPr>
                    <a:xfrm>
                      <a:off x="0" y="0"/>
                      <a:ext cx="107988" cy="107988"/>
                    </a:xfrm>
                    <a:prstGeom prst="rect">
                      <a:avLst/>
                    </a:prstGeom>
                  </pic:spPr>
                </pic:pic>
              </a:graphicData>
            </a:graphic>
          </wp:anchor>
        </w:drawing>
      </w:r>
      <w:r>
        <w:rPr>
          <w:color w:val="005DA1"/>
          <w:spacing w:val="-4"/>
          <w:sz w:val="14"/>
          <w:u w:val="single" w:color="005DA1"/>
        </w:rPr>
        <w:t>971</w:t>
      </w:r>
      <w:r>
        <w:rPr>
          <w:spacing w:val="-4"/>
          <w:sz w:val="14"/>
        </w:rPr>
        <w:t>.</w:t>
      </w:r>
    </w:p>
    <w:p>
      <w:pPr>
        <w:spacing w:line="235" w:lineRule="auto" w:before="212"/>
        <w:ind w:left="165" w:right="167" w:firstLine="170"/>
        <w:jc w:val="both"/>
        <w:rPr>
          <w:sz w:val="20"/>
        </w:rPr>
      </w:pPr>
      <w:r>
        <w:rPr/>
        <w:br w:type="column"/>
      </w:r>
      <w:r>
        <w:rPr>
          <w:sz w:val="20"/>
        </w:rPr>
        <w:t>At</w:t>
      </w:r>
      <w:r>
        <w:rPr>
          <w:spacing w:val="-1"/>
          <w:sz w:val="20"/>
        </w:rPr>
        <w:t> </w:t>
      </w:r>
      <w:r>
        <w:rPr>
          <w:sz w:val="20"/>
        </w:rPr>
        <w:t>[56],</w:t>
      </w:r>
      <w:r>
        <w:rPr>
          <w:spacing w:val="-1"/>
          <w:sz w:val="20"/>
        </w:rPr>
        <w:t> </w:t>
      </w:r>
      <w:r>
        <w:rPr>
          <w:sz w:val="20"/>
        </w:rPr>
        <w:t>italics</w:t>
      </w:r>
      <w:r>
        <w:rPr>
          <w:spacing w:val="-1"/>
          <w:sz w:val="20"/>
        </w:rPr>
        <w:t> </w:t>
      </w:r>
      <w:r>
        <w:rPr>
          <w:sz w:val="20"/>
        </w:rPr>
        <w:t>supplied.</w:t>
      </w:r>
      <w:r>
        <w:rPr>
          <w:spacing w:val="-1"/>
          <w:sz w:val="20"/>
        </w:rPr>
        <w:t> </w:t>
      </w:r>
      <w:r>
        <w:rPr>
          <w:sz w:val="20"/>
        </w:rPr>
        <w:t>See</w:t>
      </w:r>
      <w:r>
        <w:rPr>
          <w:spacing w:val="-1"/>
          <w:sz w:val="20"/>
        </w:rPr>
        <w:t> </w:t>
      </w:r>
      <w:r>
        <w:rPr>
          <w:sz w:val="20"/>
        </w:rPr>
        <w:t>also</w:t>
      </w:r>
      <w:r>
        <w:rPr>
          <w:spacing w:val="-1"/>
          <w:sz w:val="20"/>
        </w:rPr>
        <w:t> </w:t>
      </w:r>
      <w:r>
        <w:rPr>
          <w:rFonts w:ascii="Arial" w:hAnsi="Arial"/>
          <w:i/>
          <w:sz w:val="20"/>
        </w:rPr>
        <w:t>Burton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Liden</w:t>
      </w:r>
      <w:r>
        <w:rPr>
          <w:rFonts w:ascii="Arial" w:hAnsi="Arial"/>
          <w:i/>
          <w:spacing w:val="-1"/>
          <w:sz w:val="20"/>
        </w:rPr>
        <w:t> </w:t>
      </w:r>
      <w:r>
        <w:rPr>
          <w:rFonts w:ascii="Arial" w:hAnsi="Arial"/>
          <w:i/>
          <w:sz w:val="20"/>
        </w:rPr>
        <w:t>[2016]</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275,</w:t>
      </w:r>
      <w:r>
        <w:rPr>
          <w:rFonts w:ascii="Arial" w:hAnsi="Arial"/>
          <w:i/>
          <w:spacing w:val="-1"/>
          <w:sz w:val="20"/>
        </w:rPr>
        <w:t> </w:t>
      </w:r>
      <w:r>
        <w:rPr>
          <w:rFonts w:ascii="Arial" w:hAnsi="Arial"/>
          <w:i/>
          <w:sz w:val="20"/>
        </w:rPr>
        <w:t>[2017]</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F.L.R.</w:t>
      </w:r>
      <w:r>
        <w:rPr>
          <w:rFonts w:ascii="Arial" w:hAnsi="Arial"/>
          <w:i/>
          <w:spacing w:val="-1"/>
          <w:sz w:val="20"/>
        </w:rPr>
        <w:t> </w:t>
      </w:r>
      <w:r>
        <w:rPr>
          <w:rFonts w:ascii="Arial" w:hAnsi="Arial"/>
          <w:i/>
          <w:sz w:val="20"/>
        </w:rPr>
        <w:t>310</w:t>
      </w:r>
      <w:r>
        <w:rPr>
          <w:rFonts w:ascii="Arial" w:hAnsi="Arial"/>
          <w:i/>
          <w:spacing w:val="-1"/>
          <w:sz w:val="20"/>
        </w:rPr>
        <w:t> </w:t>
      </w:r>
      <w:r>
        <w:rPr>
          <w:sz w:val="20"/>
        </w:rPr>
        <w:t>at [24],</w:t>
      </w:r>
      <w:r>
        <w:rPr>
          <w:spacing w:val="-1"/>
          <w:sz w:val="20"/>
        </w:rPr>
        <w:t> </w:t>
      </w:r>
      <w:r>
        <w:rPr>
          <w:sz w:val="20"/>
        </w:rPr>
        <w:t>where</w:t>
      </w:r>
      <w:r>
        <w:rPr>
          <w:spacing w:val="-1"/>
          <w:sz w:val="20"/>
        </w:rPr>
        <w:t> </w:t>
      </w:r>
      <w:r>
        <w:rPr>
          <w:sz w:val="20"/>
        </w:rPr>
        <w:t>the</w:t>
      </w:r>
      <w:r>
        <w:rPr>
          <w:spacing w:val="-1"/>
          <w:sz w:val="20"/>
        </w:rPr>
        <w:t> </w:t>
      </w:r>
      <w:r>
        <w:rPr>
          <w:sz w:val="20"/>
        </w:rPr>
        <w:t>context</w:t>
      </w:r>
      <w:r>
        <w:rPr>
          <w:spacing w:val="-1"/>
          <w:sz w:val="20"/>
        </w:rPr>
        <w:t> </w:t>
      </w:r>
      <w:r>
        <w:rPr>
          <w:sz w:val="20"/>
        </w:rPr>
        <w:t>in</w:t>
      </w:r>
      <w:r>
        <w:rPr>
          <w:spacing w:val="-1"/>
          <w:sz w:val="20"/>
        </w:rPr>
        <w:t> </w:t>
      </w:r>
      <w:r>
        <w:rPr>
          <w:sz w:val="20"/>
        </w:rPr>
        <w:t>which</w:t>
      </w:r>
      <w:r>
        <w:rPr>
          <w:spacing w:val="-1"/>
          <w:sz w:val="20"/>
        </w:rPr>
        <w:t> </w:t>
      </w:r>
      <w:r>
        <w:rPr>
          <w:sz w:val="20"/>
        </w:rPr>
        <w:t>the</w:t>
      </w:r>
      <w:r>
        <w:rPr>
          <w:spacing w:val="-1"/>
          <w:sz w:val="20"/>
        </w:rPr>
        <w:t> </w:t>
      </w:r>
      <w:r>
        <w:rPr>
          <w:sz w:val="20"/>
        </w:rPr>
        <w:t>representation</w:t>
      </w:r>
      <w:r>
        <w:rPr>
          <w:spacing w:val="-1"/>
          <w:sz w:val="20"/>
        </w:rPr>
        <w:t> </w:t>
      </w:r>
      <w:r>
        <w:rPr>
          <w:sz w:val="20"/>
        </w:rPr>
        <w:t>was</w:t>
      </w:r>
      <w:r>
        <w:rPr>
          <w:spacing w:val="-1"/>
          <w:sz w:val="20"/>
        </w:rPr>
        <w:t> </w:t>
      </w:r>
      <w:r>
        <w:rPr>
          <w:sz w:val="20"/>
        </w:rPr>
        <w:t>made</w:t>
      </w:r>
      <w:r>
        <w:rPr>
          <w:spacing w:val="-1"/>
          <w:sz w:val="20"/>
        </w:rPr>
        <w:t> </w:t>
      </w:r>
      <w:r>
        <w:rPr>
          <w:sz w:val="20"/>
        </w:rPr>
        <w:t>was</w:t>
      </w:r>
      <w:r>
        <w:rPr>
          <w:spacing w:val="-1"/>
          <w:sz w:val="20"/>
        </w:rPr>
        <w:t> </w:t>
      </w:r>
      <w:r>
        <w:rPr>
          <w:sz w:val="20"/>
        </w:rPr>
        <w:t>said</w:t>
      </w:r>
      <w:r>
        <w:rPr>
          <w:spacing w:val="-1"/>
          <w:sz w:val="20"/>
        </w:rPr>
        <w:t> </w:t>
      </w:r>
      <w:r>
        <w:rPr>
          <w:sz w:val="20"/>
        </w:rPr>
        <w:t>to</w:t>
      </w:r>
      <w:r>
        <w:rPr>
          <w:spacing w:val="-1"/>
          <w:sz w:val="20"/>
        </w:rPr>
        <w:t> </w:t>
      </w:r>
      <w:r>
        <w:rPr>
          <w:sz w:val="20"/>
        </w:rPr>
        <w:t>be</w:t>
      </w:r>
      <w:r>
        <w:rPr>
          <w:spacing w:val="-1"/>
          <w:sz w:val="20"/>
        </w:rPr>
        <w:t> </w:t>
      </w:r>
      <w:r>
        <w:rPr>
          <w:sz w:val="20"/>
        </w:rPr>
        <w:t>“hugely</w:t>
      </w:r>
      <w:r>
        <w:rPr>
          <w:spacing w:val="-1"/>
          <w:sz w:val="20"/>
        </w:rPr>
        <w:t> </w:t>
      </w:r>
      <w:r>
        <w:rPr>
          <w:sz w:val="20"/>
        </w:rPr>
        <w:t>important” and Lord Walker’s test of reasonable clarity in that context (stated in </w:t>
      </w:r>
      <w:r>
        <w:rPr>
          <w:rFonts w:ascii="Arial" w:hAnsi="Arial"/>
          <w:i/>
          <w:sz w:val="20"/>
        </w:rPr>
        <w:t>Thorner v Major [2009] UKHL 18, [2009] 1 W.L.R. 776 </w:t>
      </w:r>
      <w:r>
        <w:rPr>
          <w:sz w:val="20"/>
        </w:rPr>
        <w:t>at [56], quoted in para.4-150 of Vol.I) was held to have been </w:t>
      </w:r>
      <w:r>
        <w:rPr>
          <w:spacing w:val="-2"/>
          <w:sz w:val="20"/>
        </w:rPr>
        <w:t>satisfied.</w:t>
      </w:r>
    </w:p>
    <w:p>
      <w:pPr>
        <w:spacing w:after="0" w:line="235" w:lineRule="auto"/>
        <w:jc w:val="both"/>
        <w:rPr>
          <w:sz w:val="20"/>
        </w:rPr>
        <w:sectPr>
          <w:type w:val="continuous"/>
          <w:pgSz w:w="11900" w:h="16840"/>
          <w:pgMar w:header="971" w:footer="0" w:top="376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972</w:t>
      </w:r>
      <w:r>
        <w:rPr>
          <w:spacing w:val="-4"/>
          <w:position w:val="5"/>
          <w:sz w:val="14"/>
        </w:rPr>
        <w:t>.</w:t>
      </w:r>
      <w:r>
        <w:rPr>
          <w:position w:val="5"/>
          <w:sz w:val="14"/>
        </w:rPr>
        <w:tab/>
      </w:r>
      <w:r>
        <w:rPr>
          <w:sz w:val="20"/>
        </w:rPr>
        <w:t>At </w:t>
      </w:r>
      <w:r>
        <w:rPr>
          <w:spacing w:val="-2"/>
          <w:sz w:val="20"/>
        </w:rPr>
        <w:t>[36].</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973</w:t>
      </w:r>
      <w:r>
        <w:rPr>
          <w:spacing w:val="-4"/>
          <w:position w:val="5"/>
          <w:sz w:val="14"/>
        </w:rPr>
        <w:t>.</w:t>
      </w:r>
      <w:r>
        <w:rPr>
          <w:position w:val="5"/>
          <w:sz w:val="14"/>
        </w:rPr>
        <w:tab/>
      </w:r>
      <w:r>
        <w:rPr>
          <w:sz w:val="20"/>
        </w:rPr>
        <w:t>At </w:t>
      </w:r>
      <w:r>
        <w:rPr>
          <w:spacing w:val="-2"/>
          <w:sz w:val="20"/>
        </w:rPr>
        <w:t>[57].</w:t>
      </w:r>
    </w:p>
    <w:p>
      <w:pPr>
        <w:spacing w:after="0"/>
        <w:jc w:val="left"/>
        <w:rPr>
          <w:sz w:val="20"/>
        </w:rPr>
        <w:sectPr>
          <w:type w:val="continuous"/>
          <w:pgSz w:w="11900" w:h="16840"/>
          <w:pgMar w:header="971" w:footer="0" w:top="3760" w:bottom="280" w:left="1275" w:right="1275"/>
        </w:sectPr>
      </w:pPr>
    </w:p>
    <w:p>
      <w:pPr>
        <w:pStyle w:val="BodyText"/>
        <w:spacing w:before="81"/>
      </w:pPr>
    </w:p>
    <w:p>
      <w:pPr>
        <w:pStyle w:val="BodyText"/>
        <w:tabs>
          <w:tab w:pos="705" w:val="left" w:leader="none"/>
        </w:tabs>
        <w:ind w:left="165"/>
      </w:pPr>
      <w:bookmarkStart w:name="_bookmark1823" w:id="1825"/>
      <w:bookmarkEnd w:id="1825"/>
      <w:r>
        <w:rPr/>
      </w:r>
      <w:r>
        <w:rPr>
          <w:color w:val="005DA1"/>
          <w:spacing w:val="-4"/>
          <w:position w:val="5"/>
          <w:sz w:val="14"/>
          <w:u w:val="single" w:color="005DA1"/>
        </w:rPr>
        <w:t>974</w:t>
      </w:r>
      <w:r>
        <w:rPr>
          <w:spacing w:val="-4"/>
          <w:position w:val="5"/>
          <w:sz w:val="14"/>
        </w:rPr>
        <w:t>.</w:t>
      </w:r>
      <w:r>
        <w:rPr>
          <w:position w:val="5"/>
          <w:sz w:val="14"/>
        </w:rPr>
        <w:tab/>
      </w:r>
      <w:r>
        <w:rPr/>
        <w:t>See above para.4-145 </w:t>
      </w:r>
      <w:r>
        <w:rPr>
          <w:spacing w:val="-2"/>
        </w:rPr>
        <w:t>n.876.</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975</w:t>
      </w:r>
      <w:r>
        <w:rPr>
          <w:spacing w:val="-4"/>
          <w:position w:val="5"/>
          <w:sz w:val="14"/>
        </w:rPr>
        <w:t>.</w:t>
      </w:r>
      <w:r>
        <w:rPr>
          <w:position w:val="5"/>
          <w:sz w:val="14"/>
        </w:rPr>
        <w:tab/>
      </w:r>
      <w:r>
        <w:rPr>
          <w:sz w:val="20"/>
        </w:rPr>
        <w:t>Quoted</w:t>
      </w:r>
      <w:r>
        <w:rPr>
          <w:spacing w:val="-2"/>
          <w:sz w:val="20"/>
        </w:rPr>
        <w:t> </w:t>
      </w:r>
      <w:r>
        <w:rPr>
          <w:sz w:val="20"/>
        </w:rPr>
        <w:t>in</w:t>
      </w:r>
      <w:r>
        <w:rPr>
          <w:spacing w:val="-1"/>
          <w:sz w:val="20"/>
        </w:rPr>
        <w:t> </w:t>
      </w:r>
      <w:r>
        <w:rPr>
          <w:rFonts w:ascii="Arial"/>
          <w:i/>
          <w:sz w:val="20"/>
        </w:rPr>
        <w:t>[2009] UKHL 18</w:t>
      </w:r>
      <w:r>
        <w:rPr>
          <w:rFonts w:ascii="Arial"/>
          <w:i/>
          <w:spacing w:val="-1"/>
          <w:sz w:val="20"/>
        </w:rPr>
        <w:t> </w:t>
      </w:r>
      <w:r>
        <w:rPr>
          <w:sz w:val="20"/>
        </w:rPr>
        <w:t>at </w:t>
      </w:r>
      <w:r>
        <w:rPr>
          <w:spacing w:val="-2"/>
          <w:sz w:val="20"/>
        </w:rPr>
        <w:t>[57].</w:t>
      </w:r>
    </w:p>
    <w:p>
      <w:pPr>
        <w:pStyle w:val="BodyText"/>
        <w:spacing w:before="9"/>
      </w:pPr>
    </w:p>
    <w:p>
      <w:pPr>
        <w:pStyle w:val="BodyText"/>
        <w:spacing w:line="235" w:lineRule="auto"/>
        <w:ind w:left="705" w:right="167" w:hanging="541"/>
        <w:jc w:val="both"/>
      </w:pPr>
      <w:r>
        <w:rPr>
          <w:color w:val="005DA1"/>
          <w:position w:val="5"/>
          <w:sz w:val="14"/>
          <w:u w:val="single" w:color="005DA1"/>
        </w:rPr>
        <w:t>976</w:t>
      </w:r>
      <w:r>
        <w:rPr>
          <w:position w:val="5"/>
          <w:sz w:val="14"/>
        </w:rPr>
        <w:t>.</w:t>
      </w:r>
      <w:r>
        <w:rPr>
          <w:spacing w:val="80"/>
          <w:position w:val="5"/>
          <w:sz w:val="14"/>
        </w:rPr>
        <w:t>  </w:t>
      </w:r>
      <w:r>
        <w:rPr/>
        <w:t>At</w:t>
      </w:r>
      <w:r>
        <w:rPr>
          <w:spacing w:val="21"/>
        </w:rPr>
        <w:t> </w:t>
      </w:r>
      <w:r>
        <w:rPr/>
        <w:t>[6].</w:t>
      </w:r>
      <w:r>
        <w:rPr>
          <w:spacing w:val="21"/>
        </w:rPr>
        <w:t> </w:t>
      </w:r>
      <w:r>
        <w:rPr/>
        <w:t>The</w:t>
      </w:r>
      <w:r>
        <w:rPr>
          <w:spacing w:val="21"/>
        </w:rPr>
        <w:t> </w:t>
      </w:r>
      <w:r>
        <w:rPr/>
        <w:t>judge’s</w:t>
      </w:r>
      <w:r>
        <w:rPr>
          <w:spacing w:val="21"/>
        </w:rPr>
        <w:t> </w:t>
      </w:r>
      <w:r>
        <w:rPr/>
        <w:t>decision</w:t>
      </w:r>
      <w:r>
        <w:rPr>
          <w:spacing w:val="21"/>
        </w:rPr>
        <w:t> </w:t>
      </w:r>
      <w:r>
        <w:rPr/>
        <w:t>was</w:t>
      </w:r>
      <w:r>
        <w:rPr>
          <w:spacing w:val="21"/>
        </w:rPr>
        <w:t> </w:t>
      </w:r>
      <w:r>
        <w:rPr/>
        <w:t>in</w:t>
      </w:r>
      <w:r>
        <w:rPr>
          <w:spacing w:val="21"/>
        </w:rPr>
        <w:t> </w:t>
      </w:r>
      <w:r>
        <w:rPr/>
        <w:t>favour</w:t>
      </w:r>
      <w:r>
        <w:rPr>
          <w:spacing w:val="21"/>
        </w:rPr>
        <w:t> </w:t>
      </w:r>
      <w:r>
        <w:rPr/>
        <w:t>of</w:t>
      </w:r>
      <w:r>
        <w:rPr>
          <w:spacing w:val="21"/>
        </w:rPr>
        <w:t> </w:t>
      </w:r>
      <w:r>
        <w:rPr/>
        <w:t>David.</w:t>
      </w:r>
      <w:r>
        <w:rPr>
          <w:spacing w:val="21"/>
        </w:rPr>
        <w:t> </w:t>
      </w:r>
      <w:r>
        <w:rPr/>
        <w:t>See</w:t>
      </w:r>
      <w:r>
        <w:rPr>
          <w:spacing w:val="21"/>
        </w:rPr>
        <w:t> </w:t>
      </w:r>
      <w:r>
        <w:rPr/>
        <w:t>also</w:t>
      </w:r>
      <w:r>
        <w:rPr>
          <w:spacing w:val="20"/>
        </w:rPr>
        <w:t> </w:t>
      </w:r>
      <w:r>
        <w:rPr>
          <w:rFonts w:ascii="Arial" w:hAnsi="Arial"/>
          <w:i/>
        </w:rPr>
        <w:t>Suggitt</w:t>
      </w:r>
      <w:r>
        <w:rPr>
          <w:rFonts w:ascii="Arial" w:hAnsi="Arial"/>
          <w:i/>
          <w:spacing w:val="21"/>
        </w:rPr>
        <w:t> </w:t>
      </w:r>
      <w:r>
        <w:rPr>
          <w:rFonts w:ascii="Arial" w:hAnsi="Arial"/>
          <w:i/>
        </w:rPr>
        <w:t>v</w:t>
      </w:r>
      <w:r>
        <w:rPr>
          <w:rFonts w:ascii="Arial" w:hAnsi="Arial"/>
          <w:i/>
          <w:spacing w:val="21"/>
        </w:rPr>
        <w:t> </w:t>
      </w:r>
      <w:r>
        <w:rPr>
          <w:rFonts w:ascii="Arial" w:hAnsi="Arial"/>
          <w:i/>
        </w:rPr>
        <w:t>Suggitt</w:t>
      </w:r>
      <w:r>
        <w:rPr>
          <w:rFonts w:ascii="Arial" w:hAnsi="Arial"/>
          <w:i/>
          <w:spacing w:val="21"/>
        </w:rPr>
        <w:t> </w:t>
      </w:r>
      <w:r>
        <w:rPr>
          <w:rFonts w:ascii="Arial" w:hAnsi="Arial"/>
          <w:i/>
        </w:rPr>
        <w:t>[2011]</w:t>
      </w:r>
      <w:r>
        <w:rPr>
          <w:rFonts w:ascii="Arial" w:hAnsi="Arial"/>
          <w:i/>
          <w:spacing w:val="21"/>
        </w:rPr>
        <w:t> </w:t>
      </w:r>
      <w:r>
        <w:rPr>
          <w:rFonts w:ascii="Arial" w:hAnsi="Arial"/>
          <w:i/>
        </w:rPr>
        <w:t>EWHC 903 (Ch), [2011] 2 F.L.R. 875</w:t>
      </w:r>
      <w:r>
        <w:rPr/>
        <w:t>, where it was said at [53] that the facts were “not nearly as clear cut</w:t>
      </w:r>
      <w:r>
        <w:rPr>
          <w:spacing w:val="-4"/>
        </w:rPr>
        <w:t> </w:t>
      </w:r>
      <w:r>
        <w:rPr/>
        <w:t>as they were in </w:t>
      </w:r>
      <w:r>
        <w:rPr>
          <w:rFonts w:ascii="Arial" w:hAnsi="Arial"/>
          <w:i/>
        </w:rPr>
        <w:t>Thorner v Major</w:t>
      </w:r>
      <w:r>
        <w:rPr>
          <w:rFonts w:ascii="Arial" w:hAnsi="Arial"/>
          <w:i/>
          <w:spacing w:val="-14"/>
        </w:rPr>
        <w:t> </w:t>
      </w:r>
      <w:r>
        <w:rPr/>
        <w:t>” (above n.912), but that it was “more likely than not that Frank did make some kind of repeated promise or assurance to [his son] John that led him [John] reasonably to expect that someday at least the farmland (and, by implication if not expressly somewhere to live) would definitely be his” after the father’s death. When </w:t>
      </w:r>
      <w:r>
        <w:rPr>
          <w:rFonts w:ascii="Arial" w:hAnsi="Arial"/>
          <w:i/>
        </w:rPr>
        <w:t>Suggitt v Suggitt </w:t>
      </w:r>
      <w:r>
        <w:rPr/>
        <w:t>was affirmed (</w:t>
      </w:r>
      <w:r>
        <w:rPr>
          <w:rFonts w:ascii="Arial" w:hAnsi="Arial"/>
          <w:i/>
        </w:rPr>
        <w:t>[2012] EWCA Civ 1140, [2012] W.T.L.R. 1607</w:t>
      </w:r>
      <w:r>
        <w:rPr/>
        <w:t>) the trial judge’s finding</w:t>
      </w:r>
      <w:r>
        <w:rPr>
          <w:spacing w:val="40"/>
        </w:rPr>
        <w:t> </w:t>
      </w:r>
      <w:r>
        <w:rPr/>
        <w:t>that</w:t>
      </w:r>
      <w:r>
        <w:rPr>
          <w:spacing w:val="-1"/>
        </w:rPr>
        <w:t> </w:t>
      </w:r>
      <w:r>
        <w:rPr/>
        <w:t>there</w:t>
      </w:r>
      <w:r>
        <w:rPr>
          <w:spacing w:val="-1"/>
        </w:rPr>
        <w:t> </w:t>
      </w:r>
      <w:r>
        <w:rPr/>
        <w:t>had</w:t>
      </w:r>
      <w:r>
        <w:rPr>
          <w:spacing w:val="-1"/>
        </w:rPr>
        <w:t> </w:t>
      </w:r>
      <w:r>
        <w:rPr/>
        <w:t>been</w:t>
      </w:r>
      <w:r>
        <w:rPr>
          <w:spacing w:val="-1"/>
        </w:rPr>
        <w:t> </w:t>
      </w:r>
      <w:r>
        <w:rPr/>
        <w:t>a</w:t>
      </w:r>
      <w:r>
        <w:rPr>
          <w:spacing w:val="-1"/>
        </w:rPr>
        <w:t> </w:t>
      </w:r>
      <w:r>
        <w:rPr/>
        <w:t>promise</w:t>
      </w:r>
      <w:r>
        <w:rPr>
          <w:spacing w:val="-1"/>
        </w:rPr>
        <w:t> </w:t>
      </w:r>
      <w:r>
        <w:rPr/>
        <w:t>or</w:t>
      </w:r>
      <w:r>
        <w:rPr>
          <w:spacing w:val="-1"/>
        </w:rPr>
        <w:t> </w:t>
      </w:r>
      <w:r>
        <w:rPr/>
        <w:t>assurance</w:t>
      </w:r>
      <w:r>
        <w:rPr>
          <w:spacing w:val="-1"/>
        </w:rPr>
        <w:t> </w:t>
      </w:r>
      <w:r>
        <w:rPr/>
        <w:t>capable</w:t>
      </w:r>
      <w:r>
        <w:rPr>
          <w:spacing w:val="-1"/>
        </w:rPr>
        <w:t> </w:t>
      </w:r>
      <w:r>
        <w:rPr/>
        <w:t>of</w:t>
      </w:r>
      <w:r>
        <w:rPr>
          <w:spacing w:val="-1"/>
        </w:rPr>
        <w:t> </w:t>
      </w:r>
      <w:r>
        <w:rPr/>
        <w:t>giving</w:t>
      </w:r>
      <w:r>
        <w:rPr>
          <w:spacing w:val="-1"/>
        </w:rPr>
        <w:t> </w:t>
      </w:r>
      <w:r>
        <w:rPr/>
        <w:t>rise</w:t>
      </w:r>
      <w:r>
        <w:rPr>
          <w:spacing w:val="-1"/>
        </w:rPr>
        <w:t> </w:t>
      </w:r>
      <w:r>
        <w:rPr/>
        <w:t>to</w:t>
      </w:r>
      <w:r>
        <w:rPr>
          <w:spacing w:val="-1"/>
        </w:rPr>
        <w:t> </w:t>
      </w:r>
      <w:r>
        <w:rPr/>
        <w:t>a</w:t>
      </w:r>
      <w:r>
        <w:rPr>
          <w:spacing w:val="-1"/>
        </w:rPr>
        <w:t> </w:t>
      </w:r>
      <w:r>
        <w:rPr/>
        <w:t>proprietary</w:t>
      </w:r>
      <w:r>
        <w:rPr>
          <w:spacing w:val="-1"/>
        </w:rPr>
        <w:t> </w:t>
      </w:r>
      <w:r>
        <w:rPr/>
        <w:t>estoppel</w:t>
      </w:r>
      <w:r>
        <w:rPr>
          <w:spacing w:val="-1"/>
        </w:rPr>
        <w:t> </w:t>
      </w:r>
      <w:r>
        <w:rPr/>
        <w:t>was referred to by Arden L.J. with apparent approval: see at [20].</w:t>
      </w:r>
    </w:p>
    <w:p>
      <w:pPr>
        <w:pStyle w:val="BodyText"/>
        <w:spacing w:before="2"/>
      </w:pPr>
    </w:p>
    <w:p>
      <w:pPr>
        <w:tabs>
          <w:tab w:pos="705" w:val="left" w:leader="none"/>
        </w:tabs>
        <w:spacing w:before="1"/>
        <w:ind w:left="165" w:right="0" w:firstLine="0"/>
        <w:jc w:val="left"/>
        <w:rPr>
          <w:sz w:val="20"/>
        </w:rPr>
      </w:pPr>
      <w:r>
        <w:rPr>
          <w:color w:val="005DA1"/>
          <w:spacing w:val="-4"/>
          <w:position w:val="5"/>
          <w:sz w:val="14"/>
          <w:u w:val="single" w:color="005DA1"/>
        </w:rPr>
        <w:t>977</w:t>
      </w:r>
      <w:r>
        <w:rPr>
          <w:spacing w:val="-4"/>
          <w:position w:val="5"/>
          <w:sz w:val="14"/>
        </w:rPr>
        <w:t>.</w:t>
      </w:r>
      <w:r>
        <w:rPr>
          <w:position w:val="5"/>
          <w:sz w:val="14"/>
        </w:rPr>
        <w:tab/>
      </w:r>
      <w:r>
        <w:rPr>
          <w:rFonts w:ascii="Arial"/>
          <w:i/>
          <w:sz w:val="20"/>
        </w:rPr>
        <w:t>[2009] UKHL 18</w:t>
      </w:r>
      <w:r>
        <w:rPr>
          <w:rFonts w:ascii="Arial"/>
          <w:i/>
          <w:spacing w:val="-1"/>
          <w:sz w:val="20"/>
        </w:rPr>
        <w:t> </w:t>
      </w:r>
      <w:r>
        <w:rPr>
          <w:sz w:val="20"/>
        </w:rPr>
        <w:t>at </w:t>
      </w:r>
      <w:r>
        <w:rPr>
          <w:spacing w:val="-4"/>
          <w:sz w:val="20"/>
        </w:rPr>
        <w:t>[8].</w:t>
      </w:r>
    </w:p>
    <w:p>
      <w:pPr>
        <w:pStyle w:val="BodyText"/>
        <w:spacing w:before="4"/>
      </w:pPr>
    </w:p>
    <w:p>
      <w:pPr>
        <w:pStyle w:val="BodyText"/>
        <w:tabs>
          <w:tab w:pos="705" w:val="left" w:leader="none"/>
        </w:tabs>
        <w:spacing w:before="1"/>
        <w:ind w:left="165"/>
      </w:pPr>
      <w:r>
        <w:rPr>
          <w:color w:val="005DA1"/>
          <w:spacing w:val="-4"/>
          <w:position w:val="5"/>
          <w:sz w:val="14"/>
          <w:u w:val="single" w:color="005DA1"/>
        </w:rPr>
        <w:t>978</w:t>
      </w:r>
      <w:r>
        <w:rPr>
          <w:spacing w:val="-4"/>
          <w:position w:val="5"/>
          <w:sz w:val="14"/>
        </w:rPr>
        <w:t>.</w:t>
      </w:r>
      <w:r>
        <w:rPr>
          <w:position w:val="5"/>
          <w:sz w:val="14"/>
        </w:rPr>
        <w:tab/>
      </w:r>
      <w:r>
        <w:rPr/>
        <w:t>At [6], quoted above at n.923; and the last sentence of </w:t>
      </w:r>
      <w:r>
        <w:rPr>
          <w:spacing w:val="-4"/>
        </w:rPr>
        <w:t>[8].</w:t>
      </w:r>
    </w:p>
    <w:p>
      <w:pPr>
        <w:pStyle w:val="BodyText"/>
        <w:spacing w:before="4"/>
      </w:pPr>
    </w:p>
    <w:p>
      <w:pPr>
        <w:tabs>
          <w:tab w:pos="705" w:val="left" w:leader="none"/>
        </w:tabs>
        <w:spacing w:before="1"/>
        <w:ind w:left="165" w:right="0" w:firstLine="0"/>
        <w:jc w:val="left"/>
        <w:rPr>
          <w:sz w:val="20"/>
        </w:rPr>
      </w:pPr>
      <w:r>
        <w:rPr>
          <w:color w:val="005DA1"/>
          <w:spacing w:val="-4"/>
          <w:position w:val="5"/>
          <w:sz w:val="14"/>
          <w:u w:val="single" w:color="005DA1"/>
        </w:rPr>
        <w:t>979</w:t>
      </w:r>
      <w:r>
        <w:rPr>
          <w:spacing w:val="-4"/>
          <w:position w:val="5"/>
          <w:sz w:val="14"/>
        </w:rPr>
        <w:t>.</w:t>
      </w:r>
      <w:r>
        <w:rPr>
          <w:position w:val="5"/>
          <w:sz w:val="14"/>
        </w:rPr>
        <w:tab/>
      </w:r>
      <w:r>
        <w:rPr>
          <w:rFonts w:ascii="Arial"/>
          <w:i/>
          <w:sz w:val="20"/>
        </w:rPr>
        <w:t>[2009]</w:t>
      </w:r>
      <w:r>
        <w:rPr>
          <w:rFonts w:ascii="Arial"/>
          <w:i/>
          <w:spacing w:val="-2"/>
          <w:sz w:val="20"/>
        </w:rPr>
        <w:t> </w:t>
      </w:r>
      <w:r>
        <w:rPr>
          <w:rFonts w:ascii="Arial"/>
          <w:i/>
          <w:sz w:val="20"/>
        </w:rPr>
        <w:t>UKHL 18</w:t>
      </w:r>
      <w:r>
        <w:rPr>
          <w:rFonts w:ascii="Arial"/>
          <w:i/>
          <w:spacing w:val="-1"/>
          <w:sz w:val="20"/>
        </w:rPr>
        <w:t> </w:t>
      </w:r>
      <w:r>
        <w:rPr>
          <w:sz w:val="20"/>
        </w:rPr>
        <w:t>at </w:t>
      </w:r>
      <w:r>
        <w:rPr>
          <w:spacing w:val="-2"/>
          <w:sz w:val="20"/>
        </w:rPr>
        <w:t>[84].</w:t>
      </w:r>
    </w:p>
    <w:p>
      <w:pPr>
        <w:pStyle w:val="BodyText"/>
        <w:spacing w:before="5"/>
      </w:pPr>
    </w:p>
    <w:p>
      <w:pPr>
        <w:pStyle w:val="BodyText"/>
        <w:tabs>
          <w:tab w:pos="705" w:val="left" w:leader="none"/>
        </w:tabs>
        <w:ind w:left="165"/>
      </w:pPr>
      <w:r>
        <w:rPr>
          <w:color w:val="005DA1"/>
          <w:spacing w:val="-4"/>
          <w:position w:val="5"/>
          <w:sz w:val="14"/>
          <w:u w:val="single" w:color="005DA1"/>
        </w:rPr>
        <w:t>980</w:t>
      </w:r>
      <w:r>
        <w:rPr>
          <w:spacing w:val="-4"/>
          <w:position w:val="5"/>
          <w:sz w:val="14"/>
        </w:rPr>
        <w:t>.</w:t>
      </w:r>
      <w:r>
        <w:rPr>
          <w:position w:val="5"/>
          <w:sz w:val="14"/>
        </w:rPr>
        <w:tab/>
      </w:r>
      <w:r>
        <w:rPr/>
        <w:t>At [84] referring to the “acquiescence” cases (above, para.4-</w:t>
      </w:r>
      <w:r>
        <w:rPr>
          <w:spacing w:val="-2"/>
        </w:rPr>
        <w:t>140).</w:t>
      </w:r>
    </w:p>
    <w:p>
      <w:pPr>
        <w:pStyle w:val="BodyText"/>
        <w:spacing w:before="5"/>
      </w:pPr>
    </w:p>
    <w:p>
      <w:pPr>
        <w:pStyle w:val="BodyText"/>
        <w:tabs>
          <w:tab w:pos="705" w:val="left" w:leader="none"/>
        </w:tabs>
        <w:ind w:left="165"/>
      </w:pPr>
      <w:r>
        <w:rPr>
          <w:color w:val="005DA1"/>
          <w:spacing w:val="-4"/>
          <w:position w:val="5"/>
          <w:sz w:val="14"/>
          <w:u w:val="single" w:color="005DA1"/>
        </w:rPr>
        <w:t>981</w:t>
      </w:r>
      <w:r>
        <w:rPr>
          <w:spacing w:val="-4"/>
          <w:position w:val="5"/>
          <w:sz w:val="14"/>
        </w:rPr>
        <w:t>.</w:t>
      </w:r>
      <w:r>
        <w:rPr>
          <w:position w:val="5"/>
          <w:sz w:val="14"/>
        </w:rPr>
        <w:tab/>
      </w:r>
      <w:r>
        <w:rPr/>
        <w:t>See further para.4-183 </w:t>
      </w:r>
      <w:r>
        <w:rPr>
          <w:spacing w:val="-2"/>
        </w:rPr>
        <w:t>below.</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982</w:t>
      </w:r>
      <w:r>
        <w:rPr>
          <w:spacing w:val="-4"/>
          <w:position w:val="5"/>
          <w:sz w:val="14"/>
        </w:rPr>
        <w:t>.</w:t>
      </w:r>
      <w:r>
        <w:rPr>
          <w:position w:val="5"/>
          <w:sz w:val="14"/>
        </w:rPr>
        <w:tab/>
      </w:r>
      <w:r>
        <w:rPr>
          <w:rFonts w:ascii="Arial"/>
          <w:i/>
          <w:sz w:val="20"/>
        </w:rPr>
        <w:t>[2009]</w:t>
      </w:r>
      <w:r>
        <w:rPr>
          <w:rFonts w:ascii="Arial"/>
          <w:i/>
          <w:spacing w:val="-2"/>
          <w:sz w:val="20"/>
        </w:rPr>
        <w:t> </w:t>
      </w:r>
      <w:r>
        <w:rPr>
          <w:rFonts w:ascii="Arial"/>
          <w:i/>
          <w:sz w:val="20"/>
        </w:rPr>
        <w:t>UKHL 18</w:t>
      </w:r>
      <w:r>
        <w:rPr>
          <w:rFonts w:ascii="Arial"/>
          <w:i/>
          <w:spacing w:val="-1"/>
          <w:sz w:val="20"/>
        </w:rPr>
        <w:t> </w:t>
      </w:r>
      <w:r>
        <w:rPr>
          <w:sz w:val="20"/>
        </w:rPr>
        <w:t>at </w:t>
      </w:r>
      <w:r>
        <w:rPr>
          <w:spacing w:val="-2"/>
          <w:sz w:val="20"/>
        </w:rPr>
        <w:t>[85].</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983</w:t>
      </w:r>
      <w:r>
        <w:rPr>
          <w:spacing w:val="-4"/>
          <w:position w:val="5"/>
          <w:sz w:val="14"/>
        </w:rPr>
        <w:t>.</w:t>
      </w:r>
      <w:r>
        <w:rPr>
          <w:position w:val="5"/>
          <w:sz w:val="14"/>
        </w:rPr>
        <w:tab/>
      </w:r>
      <w:r>
        <w:rPr>
          <w:sz w:val="20"/>
        </w:rPr>
        <w:t>At </w:t>
      </w:r>
      <w:r>
        <w:rPr>
          <w:spacing w:val="-2"/>
          <w:sz w:val="20"/>
        </w:rPr>
        <w:t>[84].</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984</w:t>
      </w:r>
      <w:r>
        <w:rPr>
          <w:spacing w:val="-4"/>
          <w:position w:val="5"/>
          <w:sz w:val="14"/>
        </w:rPr>
        <w:t>.</w:t>
      </w:r>
      <w:r>
        <w:rPr>
          <w:position w:val="5"/>
          <w:sz w:val="14"/>
        </w:rPr>
        <w:tab/>
      </w:r>
      <w:r>
        <w:rPr>
          <w:sz w:val="20"/>
        </w:rPr>
        <w:t>At </w:t>
      </w:r>
      <w:r>
        <w:rPr>
          <w:spacing w:val="-2"/>
          <w:sz w:val="20"/>
        </w:rPr>
        <w:t>[86].</w:t>
      </w:r>
    </w:p>
    <w:p>
      <w:pPr>
        <w:pStyle w:val="BodyText"/>
        <w:spacing w:before="5"/>
      </w:pPr>
    </w:p>
    <w:p>
      <w:pPr>
        <w:pStyle w:val="BodyText"/>
        <w:tabs>
          <w:tab w:pos="705" w:val="left" w:leader="none"/>
        </w:tabs>
        <w:ind w:left="165"/>
      </w:pPr>
      <w:r>
        <w:rPr>
          <w:color w:val="005DA1"/>
          <w:spacing w:val="-4"/>
          <w:position w:val="5"/>
          <w:sz w:val="14"/>
          <w:u w:val="single" w:color="005DA1"/>
        </w:rPr>
        <w:t>985</w:t>
      </w:r>
      <w:r>
        <w:rPr>
          <w:spacing w:val="-4"/>
          <w:position w:val="5"/>
          <w:sz w:val="14"/>
        </w:rPr>
        <w:t>.</w:t>
      </w:r>
      <w:r>
        <w:rPr>
          <w:position w:val="5"/>
          <w:sz w:val="14"/>
        </w:rPr>
        <w:tab/>
      </w:r>
      <w:r>
        <w:rPr/>
        <w:t>See the words “it seems to me that, at least normally …” (at </w:t>
      </w:r>
      <w:r>
        <w:rPr>
          <w:spacing w:val="-2"/>
        </w:rPr>
        <w:t>[86]).</w:t>
      </w:r>
    </w:p>
    <w:p>
      <w:pPr>
        <w:pStyle w:val="BodyText"/>
        <w:spacing w:before="9"/>
      </w:pPr>
    </w:p>
    <w:p>
      <w:pPr>
        <w:spacing w:line="235" w:lineRule="auto" w:before="0"/>
        <w:ind w:left="705" w:right="167" w:hanging="541"/>
        <w:jc w:val="both"/>
        <w:rPr>
          <w:sz w:val="20"/>
        </w:rPr>
      </w:pPr>
      <w:r>
        <w:rPr>
          <w:color w:val="005DA1"/>
          <w:position w:val="5"/>
          <w:sz w:val="14"/>
          <w:u w:val="single" w:color="005DA1"/>
        </w:rPr>
        <w:t>986</w:t>
      </w:r>
      <w:r>
        <w:rPr>
          <w:position w:val="5"/>
          <w:sz w:val="14"/>
        </w:rPr>
        <w:t>.</w:t>
      </w:r>
      <w:r>
        <w:rPr>
          <w:spacing w:val="80"/>
          <w:w w:val="150"/>
          <w:position w:val="5"/>
          <w:sz w:val="14"/>
        </w:rPr>
        <w:t> </w:t>
      </w:r>
      <w:r>
        <w:rPr>
          <w:sz w:val="20"/>
        </w:rPr>
        <w:t>At [86]. In the unreported case of </w:t>
      </w:r>
      <w:r>
        <w:rPr>
          <w:rFonts w:ascii="Arial" w:hAnsi="Arial"/>
          <w:i/>
          <w:sz w:val="20"/>
        </w:rPr>
        <w:t>Walton v Walton (April 14, 1994) </w:t>
      </w:r>
      <w:r>
        <w:rPr>
          <w:sz w:val="20"/>
        </w:rPr>
        <w:t>Hoffmann L.J. had, in </w:t>
      </w:r>
      <w:r>
        <w:rPr>
          <w:sz w:val="20"/>
        </w:rPr>
        <w:t>a passage quoted in </w:t>
      </w:r>
      <w:r>
        <w:rPr>
          <w:rFonts w:ascii="Arial" w:hAnsi="Arial"/>
          <w:i/>
          <w:sz w:val="20"/>
        </w:rPr>
        <w:t>Thorner v Major [2009] UKHL 18 </w:t>
      </w:r>
      <w:r>
        <w:rPr>
          <w:sz w:val="20"/>
        </w:rPr>
        <w:t>at [56] said that “the promise must be unambiguous”; but the fact that he does not refer in the latter case to this requirement may indicate that he no longer strictly insisted on it.</w:t>
      </w:r>
    </w:p>
    <w:p>
      <w:pPr>
        <w:pStyle w:val="BodyText"/>
        <w:spacing w:before="4"/>
      </w:pPr>
    </w:p>
    <w:p>
      <w:pPr>
        <w:pStyle w:val="BodyText"/>
        <w:tabs>
          <w:tab w:pos="705" w:val="left" w:leader="none"/>
        </w:tabs>
        <w:ind w:left="165"/>
      </w:pPr>
      <w:r>
        <w:rPr>
          <w:color w:val="005DA1"/>
          <w:spacing w:val="-4"/>
          <w:position w:val="5"/>
          <w:sz w:val="14"/>
          <w:u w:val="single" w:color="005DA1"/>
        </w:rPr>
        <w:t>987</w:t>
      </w:r>
      <w:r>
        <w:rPr>
          <w:spacing w:val="-4"/>
          <w:position w:val="5"/>
          <w:sz w:val="14"/>
        </w:rPr>
        <w:t>.</w:t>
      </w:r>
      <w:r>
        <w:rPr>
          <w:position w:val="5"/>
          <w:sz w:val="14"/>
        </w:rPr>
        <w:tab/>
      </w:r>
      <w:r>
        <w:rPr/>
        <w:t>See below, paras 4-172 to 4-</w:t>
      </w:r>
      <w:r>
        <w:rPr>
          <w:spacing w:val="-4"/>
        </w:rPr>
        <w:t>179.</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988</w:t>
      </w:r>
      <w:r>
        <w:rPr>
          <w:spacing w:val="-4"/>
          <w:position w:val="5"/>
          <w:sz w:val="14"/>
        </w:rPr>
        <w:t>.</w:t>
      </w:r>
      <w:r>
        <w:rPr>
          <w:position w:val="5"/>
          <w:sz w:val="14"/>
        </w:rPr>
        <w:tab/>
      </w:r>
      <w:r>
        <w:rPr>
          <w:rFonts w:ascii="Arial"/>
          <w:i/>
          <w:sz w:val="20"/>
        </w:rPr>
        <w:t>Thorner v Major [2009] UKHL 18, [2009] 1 W.L.R. 776</w:t>
      </w:r>
      <w:r>
        <w:rPr>
          <w:rFonts w:ascii="Arial"/>
          <w:i/>
          <w:spacing w:val="-1"/>
          <w:sz w:val="20"/>
        </w:rPr>
        <w:t> </w:t>
      </w:r>
      <w:r>
        <w:rPr>
          <w:sz w:val="20"/>
        </w:rPr>
        <w:t>at </w:t>
      </w:r>
      <w:r>
        <w:rPr>
          <w:spacing w:val="-2"/>
          <w:sz w:val="20"/>
        </w:rPr>
        <w:t>[30].</w:t>
      </w:r>
    </w:p>
    <w:p>
      <w:pPr>
        <w:pStyle w:val="BodyText"/>
        <w:spacing w:before="9"/>
      </w:pPr>
    </w:p>
    <w:p>
      <w:pPr>
        <w:pStyle w:val="BodyText"/>
        <w:spacing w:line="235" w:lineRule="auto"/>
        <w:ind w:left="705" w:right="167" w:hanging="541"/>
        <w:jc w:val="both"/>
      </w:pPr>
      <w:r>
        <w:rPr>
          <w:color w:val="005DA1"/>
          <w:position w:val="5"/>
          <w:sz w:val="14"/>
          <w:u w:val="single" w:color="005DA1"/>
        </w:rPr>
        <w:t>989</w:t>
      </w:r>
      <w:r>
        <w:rPr>
          <w:position w:val="5"/>
          <w:sz w:val="14"/>
        </w:rPr>
        <w:t>.</w:t>
      </w:r>
      <w:r>
        <w:rPr>
          <w:spacing w:val="80"/>
          <w:w w:val="150"/>
          <w:position w:val="5"/>
          <w:sz w:val="14"/>
        </w:rPr>
        <w:t> </w:t>
      </w:r>
      <w:r>
        <w:rPr>
          <w:rFonts w:ascii="Arial" w:hAnsi="Arial"/>
          <w:i/>
        </w:rPr>
        <w:t>[2009] UKHL 18, [2009] 1 W.L.R. 776</w:t>
      </w:r>
      <w:r>
        <w:rPr/>
        <w:t>. Lord Hoffmann at [9] expressed his agreement with </w:t>
      </w:r>
      <w:r>
        <w:rPr/>
        <w:t>the speeches of Lords Walker and Neuberger on the “identifiable property” issue (discussed in</w:t>
      </w:r>
      <w:r>
        <w:rPr>
          <w:spacing w:val="40"/>
        </w:rPr>
        <w:t> </w:t>
      </w:r>
      <w:r>
        <w:rPr/>
        <w:t>para. 4-163 below); Lord Scott at [11] expressed his “broad agreement” with the same speeches; and Lord Rodger at [18] expressed his agreement with those speeches.</w:t>
      </w:r>
    </w:p>
    <w:p>
      <w:pPr>
        <w:pStyle w:val="BodyText"/>
        <w:spacing w:before="5"/>
      </w:pPr>
    </w:p>
    <w:p>
      <w:pPr>
        <w:pStyle w:val="BodyText"/>
        <w:tabs>
          <w:tab w:pos="705" w:val="left" w:leader="none"/>
        </w:tabs>
        <w:ind w:left="165"/>
      </w:pPr>
      <w:r>
        <w:rPr>
          <w:color w:val="005DA1"/>
          <w:spacing w:val="-4"/>
          <w:position w:val="5"/>
          <w:sz w:val="14"/>
          <w:u w:val="single" w:color="005DA1"/>
        </w:rPr>
        <w:t>990</w:t>
      </w:r>
      <w:r>
        <w:rPr>
          <w:spacing w:val="-4"/>
          <w:position w:val="5"/>
          <w:sz w:val="14"/>
        </w:rPr>
        <w:t>.</w:t>
      </w:r>
      <w:r>
        <w:rPr>
          <w:position w:val="5"/>
          <w:sz w:val="14"/>
        </w:rPr>
        <w:tab/>
      </w:r>
      <w:r>
        <w:rPr/>
        <w:t>See above para.4-</w:t>
      </w:r>
      <w:r>
        <w:rPr>
          <w:spacing w:val="-4"/>
        </w:rPr>
        <w:t>140.</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991</w:t>
      </w:r>
      <w:r>
        <w:rPr>
          <w:spacing w:val="-4"/>
          <w:position w:val="5"/>
          <w:sz w:val="14"/>
        </w:rPr>
        <w:t>.</w:t>
      </w:r>
      <w:r>
        <w:rPr>
          <w:position w:val="5"/>
          <w:sz w:val="14"/>
        </w:rPr>
        <w:tab/>
      </w:r>
      <w:r>
        <w:rPr>
          <w:rFonts w:ascii="Arial"/>
          <w:i/>
          <w:sz w:val="20"/>
        </w:rPr>
        <w:t>[2009]</w:t>
      </w:r>
      <w:r>
        <w:rPr>
          <w:rFonts w:ascii="Arial"/>
          <w:i/>
          <w:spacing w:val="-2"/>
          <w:sz w:val="20"/>
        </w:rPr>
        <w:t> </w:t>
      </w:r>
      <w:r>
        <w:rPr>
          <w:rFonts w:ascii="Arial"/>
          <w:i/>
          <w:sz w:val="20"/>
        </w:rPr>
        <w:t>UKHL 18</w:t>
      </w:r>
      <w:r>
        <w:rPr>
          <w:rFonts w:ascii="Arial"/>
          <w:i/>
          <w:spacing w:val="-1"/>
          <w:sz w:val="20"/>
        </w:rPr>
        <w:t> </w:t>
      </w:r>
      <w:r>
        <w:rPr>
          <w:sz w:val="20"/>
        </w:rPr>
        <w:t>at </w:t>
      </w:r>
      <w:r>
        <w:rPr>
          <w:spacing w:val="-2"/>
          <w:sz w:val="20"/>
        </w:rPr>
        <w:t>[85].</w:t>
      </w:r>
    </w:p>
    <w:p>
      <w:pPr>
        <w:pStyle w:val="BodyText"/>
        <w:spacing w:before="5"/>
      </w:pPr>
    </w:p>
    <w:p>
      <w:pPr>
        <w:pStyle w:val="BodyText"/>
        <w:tabs>
          <w:tab w:pos="705" w:val="left" w:leader="none"/>
        </w:tabs>
        <w:ind w:left="165"/>
      </w:pPr>
      <w:r>
        <w:rPr>
          <w:color w:val="005DA1"/>
          <w:spacing w:val="-4"/>
          <w:position w:val="5"/>
          <w:sz w:val="14"/>
          <w:u w:val="single" w:color="005DA1"/>
        </w:rPr>
        <w:t>992</w:t>
      </w:r>
      <w:r>
        <w:rPr>
          <w:spacing w:val="-4"/>
          <w:position w:val="5"/>
          <w:sz w:val="14"/>
        </w:rPr>
        <w:t>.</w:t>
      </w:r>
      <w:r>
        <w:rPr>
          <w:position w:val="5"/>
          <w:sz w:val="14"/>
        </w:rPr>
        <w:tab/>
      </w:r>
      <w:r>
        <w:rPr/>
        <w:t>At [5], [17], [26], </w:t>
      </w:r>
      <w:r>
        <w:rPr>
          <w:spacing w:val="-2"/>
        </w:rPr>
        <w:t>[60].</w:t>
      </w:r>
    </w:p>
    <w:p>
      <w:pPr>
        <w:pStyle w:val="BodyText"/>
        <w:spacing w:before="9"/>
      </w:pPr>
    </w:p>
    <w:p>
      <w:pPr>
        <w:pStyle w:val="BodyText"/>
        <w:spacing w:line="235" w:lineRule="auto"/>
        <w:ind w:left="705" w:right="167" w:hanging="541"/>
        <w:jc w:val="both"/>
      </w:pPr>
      <w:r>
        <w:rPr>
          <w:color w:val="005DA1"/>
          <w:position w:val="5"/>
          <w:sz w:val="14"/>
          <w:u w:val="single" w:color="005DA1"/>
        </w:rPr>
        <w:t>993</w:t>
      </w:r>
      <w:r>
        <w:rPr>
          <w:position w:val="5"/>
          <w:sz w:val="14"/>
        </w:rPr>
        <w:t>.</w:t>
      </w:r>
      <w:r>
        <w:rPr>
          <w:spacing w:val="80"/>
          <w:position w:val="5"/>
          <w:sz w:val="14"/>
        </w:rPr>
        <w:t>  </w:t>
      </w:r>
      <w:r>
        <w:rPr/>
        <w:t>Lord Hoffmann’s statement at [6] (quoted in para.4-150 at n.923 above) contains no reference</w:t>
      </w:r>
      <w:r>
        <w:rPr>
          <w:spacing w:val="40"/>
        </w:rPr>
        <w:t> </w:t>
      </w:r>
      <w:r>
        <w:rPr/>
        <w:t>to any need for an “unequivocal” assurance. Nor does his discussion at [8], read as a </w:t>
      </w:r>
      <w:r>
        <w:rPr/>
        <w:t>whole, support any such requirement: see the last sentence of para.4-150 above.</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994</w:t>
      </w:r>
      <w:r>
        <w:rPr>
          <w:spacing w:val="-4"/>
          <w:position w:val="5"/>
          <w:sz w:val="14"/>
        </w:rPr>
        <w:t>.</w:t>
      </w:r>
      <w:r>
        <w:rPr>
          <w:position w:val="5"/>
          <w:sz w:val="14"/>
        </w:rPr>
        <w:tab/>
      </w:r>
      <w:r>
        <w:rPr>
          <w:sz w:val="20"/>
        </w:rPr>
        <w:t>At </w:t>
      </w:r>
      <w:r>
        <w:rPr>
          <w:spacing w:val="-2"/>
          <w:sz w:val="20"/>
        </w:rPr>
        <w:t>[18].</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995</w:t>
      </w:r>
      <w:r>
        <w:rPr>
          <w:spacing w:val="-4"/>
          <w:position w:val="5"/>
          <w:sz w:val="14"/>
        </w:rPr>
        <w:t>.</w:t>
      </w:r>
      <w:r>
        <w:rPr>
          <w:position w:val="5"/>
          <w:sz w:val="14"/>
        </w:rPr>
        <w:tab/>
      </w:r>
      <w:r>
        <w:rPr>
          <w:rFonts w:ascii="Arial"/>
          <w:i/>
          <w:sz w:val="20"/>
        </w:rPr>
        <w:t>[2008]</w:t>
      </w:r>
      <w:r>
        <w:rPr>
          <w:rFonts w:ascii="Arial"/>
          <w:i/>
          <w:spacing w:val="-1"/>
          <w:sz w:val="20"/>
        </w:rPr>
        <w:t> </w:t>
      </w:r>
      <w:r>
        <w:rPr>
          <w:rFonts w:ascii="Arial"/>
          <w:i/>
          <w:sz w:val="20"/>
        </w:rPr>
        <w:t>EWCA Civ 1541, [2009] 1 W.L.R. 1884</w:t>
      </w:r>
      <w:r>
        <w:rPr>
          <w:sz w:val="20"/>
        </w:rPr>
        <w:t>; see also para.4-102, n.564 </w:t>
      </w:r>
      <w:r>
        <w:rPr>
          <w:spacing w:val="-2"/>
          <w:sz w:val="20"/>
        </w:rPr>
        <w:t>above.</w:t>
      </w:r>
    </w:p>
    <w:p>
      <w:pPr>
        <w:spacing w:after="0"/>
        <w:jc w:val="left"/>
        <w:rPr>
          <w:sz w:val="20"/>
        </w:rPr>
        <w:sectPr>
          <w:pgSz w:w="11900" w:h="16840"/>
          <w:pgMar w:header="971" w:footer="0" w:top="1160" w:bottom="280" w:left="1275" w:right="1275"/>
        </w:sectPr>
      </w:pPr>
    </w:p>
    <w:p>
      <w:pPr>
        <w:pStyle w:val="BodyText"/>
        <w:spacing w:before="87"/>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344" w:hRule="atLeast"/>
        </w:trPr>
        <w:tc>
          <w:tcPr>
            <w:tcW w:w="496" w:type="dxa"/>
          </w:tcPr>
          <w:p>
            <w:pPr>
              <w:pStyle w:val="TableParagraph"/>
              <w:spacing w:before="0"/>
              <w:ind w:left="0" w:right="121"/>
              <w:jc w:val="center"/>
              <w:rPr>
                <w:sz w:val="14"/>
              </w:rPr>
            </w:pPr>
            <w:r>
              <w:rPr>
                <w:color w:val="005DA1"/>
                <w:spacing w:val="-4"/>
                <w:sz w:val="14"/>
                <w:u w:val="single" w:color="005DA1"/>
              </w:rPr>
              <w:t>996</w:t>
            </w:r>
            <w:r>
              <w:rPr>
                <w:spacing w:val="-4"/>
                <w:sz w:val="14"/>
              </w:rPr>
              <w:t>.</w:t>
            </w:r>
          </w:p>
        </w:tc>
        <w:tc>
          <w:tcPr>
            <w:tcW w:w="8621" w:type="dxa"/>
          </w:tcPr>
          <w:p>
            <w:pPr>
              <w:pStyle w:val="TableParagraph"/>
              <w:spacing w:line="223" w:lineRule="exact" w:before="0"/>
              <w:rPr>
                <w:sz w:val="20"/>
              </w:rPr>
            </w:pPr>
            <w:r>
              <w:rPr>
                <w:rFonts w:ascii="Arial"/>
                <w:i/>
                <w:sz w:val="20"/>
              </w:rPr>
              <w:t>[2008] EWCA Civ 1541</w:t>
            </w:r>
            <w:r>
              <w:rPr>
                <w:rFonts w:ascii="Arial"/>
                <w:i/>
                <w:spacing w:val="-1"/>
                <w:sz w:val="20"/>
              </w:rPr>
              <w:t> </w:t>
            </w:r>
            <w:r>
              <w:rPr>
                <w:sz w:val="20"/>
              </w:rPr>
              <w:t>at </w:t>
            </w:r>
            <w:r>
              <w:rPr>
                <w:spacing w:val="-2"/>
                <w:sz w:val="20"/>
              </w:rPr>
              <w:t>[13].</w:t>
            </w:r>
          </w:p>
        </w:tc>
      </w:tr>
      <w:tr>
        <w:trPr>
          <w:trHeight w:val="465" w:hRule="atLeast"/>
        </w:trPr>
        <w:tc>
          <w:tcPr>
            <w:tcW w:w="496" w:type="dxa"/>
          </w:tcPr>
          <w:p>
            <w:pPr>
              <w:pStyle w:val="TableParagraph"/>
              <w:ind w:left="0" w:right="121"/>
              <w:jc w:val="center"/>
              <w:rPr>
                <w:sz w:val="14"/>
              </w:rPr>
            </w:pPr>
            <w:r>
              <w:rPr>
                <w:color w:val="005DA1"/>
                <w:spacing w:val="-4"/>
                <w:sz w:val="14"/>
                <w:u w:val="single" w:color="005DA1"/>
              </w:rPr>
              <w:t>997</w:t>
            </w:r>
            <w:r>
              <w:rPr>
                <w:spacing w:val="-4"/>
                <w:sz w:val="14"/>
              </w:rPr>
              <w:t>.</w:t>
            </w:r>
          </w:p>
        </w:tc>
        <w:tc>
          <w:tcPr>
            <w:tcW w:w="8621" w:type="dxa"/>
          </w:tcPr>
          <w:p>
            <w:pPr>
              <w:pStyle w:val="TableParagraph"/>
              <w:spacing w:before="114"/>
              <w:rPr>
                <w:sz w:val="20"/>
              </w:rPr>
            </w:pPr>
            <w:r>
              <w:rPr>
                <w:sz w:val="20"/>
              </w:rPr>
              <w:t>At </w:t>
            </w:r>
            <w:r>
              <w:rPr>
                <w:spacing w:val="-4"/>
                <w:sz w:val="20"/>
              </w:rPr>
              <w:t>[9].</w:t>
            </w:r>
          </w:p>
        </w:tc>
      </w:tr>
      <w:tr>
        <w:trPr>
          <w:trHeight w:val="465" w:hRule="atLeast"/>
        </w:trPr>
        <w:tc>
          <w:tcPr>
            <w:tcW w:w="496" w:type="dxa"/>
          </w:tcPr>
          <w:p>
            <w:pPr>
              <w:pStyle w:val="TableParagraph"/>
              <w:ind w:left="0" w:right="121"/>
              <w:jc w:val="center"/>
              <w:rPr>
                <w:sz w:val="14"/>
              </w:rPr>
            </w:pPr>
            <w:r>
              <w:rPr>
                <w:color w:val="005DA1"/>
                <w:spacing w:val="-4"/>
                <w:sz w:val="14"/>
                <w:u w:val="single" w:color="005DA1"/>
              </w:rPr>
              <w:t>998</w:t>
            </w:r>
            <w:r>
              <w:rPr>
                <w:spacing w:val="-4"/>
                <w:sz w:val="14"/>
              </w:rPr>
              <w:t>.</w:t>
            </w:r>
          </w:p>
        </w:tc>
        <w:tc>
          <w:tcPr>
            <w:tcW w:w="8621" w:type="dxa"/>
          </w:tcPr>
          <w:p>
            <w:pPr>
              <w:pStyle w:val="TableParagraph"/>
              <w:spacing w:before="114"/>
              <w:rPr>
                <w:sz w:val="20"/>
              </w:rPr>
            </w:pPr>
            <w:r>
              <w:rPr>
                <w:sz w:val="20"/>
              </w:rPr>
              <w:t>At </w:t>
            </w:r>
            <w:r>
              <w:rPr>
                <w:spacing w:val="-2"/>
                <w:sz w:val="20"/>
              </w:rPr>
              <w:t>[27].</w:t>
            </w:r>
          </w:p>
        </w:tc>
      </w:tr>
      <w:tr>
        <w:trPr>
          <w:trHeight w:val="465" w:hRule="atLeast"/>
        </w:trPr>
        <w:tc>
          <w:tcPr>
            <w:tcW w:w="496" w:type="dxa"/>
          </w:tcPr>
          <w:p>
            <w:pPr>
              <w:pStyle w:val="TableParagraph"/>
              <w:ind w:left="0" w:right="121"/>
              <w:jc w:val="center"/>
              <w:rPr>
                <w:sz w:val="14"/>
              </w:rPr>
            </w:pPr>
            <w:r>
              <w:rPr>
                <w:color w:val="005DA1"/>
                <w:spacing w:val="-4"/>
                <w:sz w:val="14"/>
                <w:u w:val="single" w:color="005DA1"/>
              </w:rPr>
              <w:t>999</w:t>
            </w:r>
            <w:r>
              <w:rPr>
                <w:spacing w:val="-4"/>
                <w:sz w:val="14"/>
              </w:rPr>
              <w:t>.</w:t>
            </w:r>
          </w:p>
        </w:tc>
        <w:tc>
          <w:tcPr>
            <w:tcW w:w="8621" w:type="dxa"/>
          </w:tcPr>
          <w:p>
            <w:pPr>
              <w:pStyle w:val="TableParagraph"/>
              <w:spacing w:before="114"/>
              <w:rPr>
                <w:sz w:val="20"/>
              </w:rPr>
            </w:pPr>
            <w:r>
              <w:rPr>
                <w:sz w:val="20"/>
              </w:rPr>
              <w:t>i.e. the </w:t>
            </w:r>
            <w:r>
              <w:rPr>
                <w:spacing w:val="-2"/>
                <w:sz w:val="20"/>
              </w:rPr>
              <w:t>defendant.</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1000</w:t>
            </w:r>
            <w:r>
              <w:rPr>
                <w:spacing w:val="-2"/>
                <w:sz w:val="14"/>
              </w:rPr>
              <w:t>.</w:t>
            </w:r>
          </w:p>
        </w:tc>
        <w:tc>
          <w:tcPr>
            <w:tcW w:w="8621" w:type="dxa"/>
          </w:tcPr>
          <w:p>
            <w:pPr>
              <w:pStyle w:val="TableParagraph"/>
              <w:spacing w:before="114"/>
              <w:rPr>
                <w:sz w:val="20"/>
              </w:rPr>
            </w:pPr>
            <w:r>
              <w:rPr>
                <w:sz w:val="20"/>
              </w:rPr>
              <w:t>Sic—an evident misprint for “respondent” (i.e. the claimant housing </w:t>
            </w:r>
            <w:r>
              <w:rPr>
                <w:spacing w:val="-2"/>
                <w:sz w:val="20"/>
              </w:rPr>
              <w:t>association).</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1001</w:t>
            </w:r>
            <w:r>
              <w:rPr>
                <w:spacing w:val="-2"/>
                <w:sz w:val="14"/>
              </w:rPr>
              <w:t>.</w:t>
            </w:r>
          </w:p>
        </w:tc>
        <w:tc>
          <w:tcPr>
            <w:tcW w:w="8621" w:type="dxa"/>
          </w:tcPr>
          <w:p>
            <w:pPr>
              <w:pStyle w:val="TableParagraph"/>
              <w:spacing w:before="114"/>
              <w:rPr>
                <w:sz w:val="20"/>
              </w:rPr>
            </w:pPr>
            <w:r>
              <w:rPr>
                <w:sz w:val="20"/>
              </w:rPr>
              <w:t>At </w:t>
            </w:r>
            <w:r>
              <w:rPr>
                <w:spacing w:val="-2"/>
                <w:sz w:val="20"/>
              </w:rPr>
              <w:t>[27].</w:t>
            </w:r>
          </w:p>
        </w:tc>
      </w:tr>
      <w:tr>
        <w:trPr>
          <w:trHeight w:val="690" w:hRule="atLeast"/>
        </w:trPr>
        <w:tc>
          <w:tcPr>
            <w:tcW w:w="496" w:type="dxa"/>
          </w:tcPr>
          <w:p>
            <w:pPr>
              <w:pStyle w:val="TableParagraph"/>
              <w:ind w:left="0" w:right="43"/>
              <w:jc w:val="center"/>
              <w:rPr>
                <w:sz w:val="14"/>
              </w:rPr>
            </w:pPr>
            <w:r>
              <w:rPr>
                <w:color w:val="005DA1"/>
                <w:spacing w:val="-2"/>
                <w:sz w:val="14"/>
                <w:u w:val="single" w:color="005DA1"/>
              </w:rPr>
              <w:t>1002</w:t>
            </w:r>
            <w:r>
              <w:rPr>
                <w:spacing w:val="-2"/>
                <w:sz w:val="14"/>
              </w:rPr>
              <w:t>.</w:t>
            </w:r>
          </w:p>
        </w:tc>
        <w:tc>
          <w:tcPr>
            <w:tcW w:w="8621" w:type="dxa"/>
          </w:tcPr>
          <w:p>
            <w:pPr>
              <w:pStyle w:val="TableParagraph"/>
              <w:spacing w:line="235" w:lineRule="auto" w:before="118"/>
              <w:rPr>
                <w:sz w:val="20"/>
              </w:rPr>
            </w:pPr>
            <w:r>
              <w:rPr>
                <w:sz w:val="20"/>
              </w:rPr>
              <w:t>That</w:t>
            </w:r>
            <w:r>
              <w:rPr>
                <w:spacing w:val="25"/>
                <w:sz w:val="20"/>
              </w:rPr>
              <w:t> </w:t>
            </w:r>
            <w:r>
              <w:rPr>
                <w:sz w:val="20"/>
              </w:rPr>
              <w:t>conduct</w:t>
            </w:r>
            <w:r>
              <w:rPr>
                <w:spacing w:val="25"/>
                <w:sz w:val="20"/>
              </w:rPr>
              <w:t> </w:t>
            </w:r>
            <w:r>
              <w:rPr>
                <w:sz w:val="20"/>
              </w:rPr>
              <w:t>was</w:t>
            </w:r>
            <w:r>
              <w:rPr>
                <w:spacing w:val="25"/>
                <w:sz w:val="20"/>
              </w:rPr>
              <w:t> </w:t>
            </w:r>
            <w:r>
              <w:rPr>
                <w:sz w:val="20"/>
              </w:rPr>
              <w:t>said</w:t>
            </w:r>
            <w:r>
              <w:rPr>
                <w:spacing w:val="25"/>
                <w:sz w:val="20"/>
              </w:rPr>
              <w:t> </w:t>
            </w:r>
            <w:r>
              <w:rPr>
                <w:sz w:val="20"/>
              </w:rPr>
              <w:t>to</w:t>
            </w:r>
            <w:r>
              <w:rPr>
                <w:spacing w:val="25"/>
                <w:sz w:val="20"/>
              </w:rPr>
              <w:t> </w:t>
            </w:r>
            <w:r>
              <w:rPr>
                <w:sz w:val="20"/>
              </w:rPr>
              <w:t>“bear</w:t>
            </w:r>
            <w:r>
              <w:rPr>
                <w:spacing w:val="25"/>
                <w:sz w:val="20"/>
              </w:rPr>
              <w:t> </w:t>
            </w:r>
            <w:r>
              <w:rPr>
                <w:sz w:val="20"/>
              </w:rPr>
              <w:t>all</w:t>
            </w:r>
            <w:r>
              <w:rPr>
                <w:spacing w:val="25"/>
                <w:sz w:val="20"/>
              </w:rPr>
              <w:t> </w:t>
            </w:r>
            <w:r>
              <w:rPr>
                <w:sz w:val="20"/>
              </w:rPr>
              <w:t>the</w:t>
            </w:r>
            <w:r>
              <w:rPr>
                <w:spacing w:val="25"/>
                <w:sz w:val="20"/>
              </w:rPr>
              <w:t> </w:t>
            </w:r>
            <w:r>
              <w:rPr>
                <w:sz w:val="20"/>
              </w:rPr>
              <w:t>marks</w:t>
            </w:r>
            <w:r>
              <w:rPr>
                <w:spacing w:val="25"/>
                <w:sz w:val="20"/>
              </w:rPr>
              <w:t> </w:t>
            </w:r>
            <w:r>
              <w:rPr>
                <w:sz w:val="20"/>
              </w:rPr>
              <w:t>of</w:t>
            </w:r>
            <w:r>
              <w:rPr>
                <w:spacing w:val="25"/>
                <w:sz w:val="20"/>
              </w:rPr>
              <w:t> </w:t>
            </w:r>
            <w:r>
              <w:rPr>
                <w:sz w:val="20"/>
              </w:rPr>
              <w:t>estoppel</w:t>
            </w:r>
            <w:r>
              <w:rPr>
                <w:spacing w:val="25"/>
                <w:sz w:val="20"/>
              </w:rPr>
              <w:t> </w:t>
            </w:r>
            <w:r>
              <w:rPr>
                <w:sz w:val="20"/>
              </w:rPr>
              <w:t>by</w:t>
            </w:r>
            <w:r>
              <w:rPr>
                <w:spacing w:val="25"/>
                <w:sz w:val="20"/>
              </w:rPr>
              <w:t> </w:t>
            </w:r>
            <w:r>
              <w:rPr>
                <w:sz w:val="20"/>
              </w:rPr>
              <w:t>representation”;</w:t>
            </w:r>
            <w:r>
              <w:rPr>
                <w:spacing w:val="25"/>
                <w:sz w:val="20"/>
              </w:rPr>
              <w:t> </w:t>
            </w:r>
            <w:r>
              <w:rPr>
                <w:sz w:val="20"/>
              </w:rPr>
              <w:t>but</w:t>
            </w:r>
            <w:r>
              <w:rPr>
                <w:spacing w:val="25"/>
                <w:sz w:val="20"/>
              </w:rPr>
              <w:t> </w:t>
            </w:r>
            <w:r>
              <w:rPr>
                <w:sz w:val="20"/>
              </w:rPr>
              <w:t>this</w:t>
            </w:r>
            <w:r>
              <w:rPr>
                <w:spacing w:val="25"/>
                <w:sz w:val="20"/>
              </w:rPr>
              <w:t> </w:t>
            </w:r>
            <w:r>
              <w:rPr>
                <w:sz w:val="20"/>
              </w:rPr>
              <w:t>type</w:t>
            </w:r>
            <w:r>
              <w:rPr>
                <w:spacing w:val="25"/>
                <w:sz w:val="20"/>
              </w:rPr>
              <w:t> </w:t>
            </w:r>
            <w:r>
              <w:rPr>
                <w:sz w:val="20"/>
              </w:rPr>
              <w:t>of estoppel was of no avail to the claimant for the reason given in para.4-102 above.</w:t>
            </w:r>
          </w:p>
        </w:tc>
      </w:tr>
      <w:tr>
        <w:trPr>
          <w:trHeight w:val="915" w:hRule="atLeast"/>
        </w:trPr>
        <w:tc>
          <w:tcPr>
            <w:tcW w:w="496" w:type="dxa"/>
          </w:tcPr>
          <w:p>
            <w:pPr>
              <w:pStyle w:val="TableParagraph"/>
              <w:ind w:left="0" w:right="43"/>
              <w:jc w:val="center"/>
              <w:rPr>
                <w:sz w:val="14"/>
              </w:rPr>
            </w:pPr>
            <w:r>
              <w:rPr>
                <w:color w:val="005DA1"/>
                <w:spacing w:val="-2"/>
                <w:sz w:val="14"/>
                <w:u w:val="single" w:color="005DA1"/>
              </w:rPr>
              <w:t>1003</w:t>
            </w:r>
            <w:r>
              <w:rPr>
                <w:spacing w:val="-2"/>
                <w:sz w:val="14"/>
              </w:rPr>
              <w:t>.</w:t>
            </w:r>
          </w:p>
        </w:tc>
        <w:tc>
          <w:tcPr>
            <w:tcW w:w="8621" w:type="dxa"/>
          </w:tcPr>
          <w:p>
            <w:pPr>
              <w:pStyle w:val="TableParagraph"/>
              <w:spacing w:line="235" w:lineRule="auto" w:before="118"/>
              <w:ind w:right="50"/>
              <w:jc w:val="both"/>
              <w:rPr>
                <w:sz w:val="20"/>
              </w:rPr>
            </w:pPr>
            <w:r>
              <w:rPr>
                <w:rFonts w:ascii="Arial" w:hAnsi="Arial"/>
                <w:i/>
                <w:sz w:val="20"/>
              </w:rPr>
              <w:t>Western Fish Products Ltd v Penwith DC [1981] 2 All E.R. 204 </w:t>
            </w:r>
            <w:r>
              <w:rPr>
                <w:sz w:val="20"/>
              </w:rPr>
              <w:t>(decided in 1978); cf. </w:t>
            </w:r>
            <w:r>
              <w:rPr>
                <w:rFonts w:ascii="Arial" w:hAnsi="Arial"/>
                <w:i/>
                <w:sz w:val="20"/>
              </w:rPr>
              <w:t>Lloyd’s Bank plc v Carrick [1996] 4 All E.R. 632 </w:t>
            </w:r>
            <w:r>
              <w:rPr>
                <w:sz w:val="20"/>
              </w:rPr>
              <w:t>(no proprietary estoppel in favour of a purchaser </w:t>
            </w:r>
            <w:r>
              <w:rPr>
                <w:sz w:val="20"/>
              </w:rPr>
              <w:t>of</w:t>
            </w:r>
            <w:r>
              <w:rPr>
                <w:spacing w:val="40"/>
                <w:sz w:val="20"/>
              </w:rPr>
              <w:t> </w:t>
            </w:r>
            <w:r>
              <w:rPr>
                <w:sz w:val="20"/>
              </w:rPr>
              <w:t>land as by virtue of the contract he had become equitable owner of the land).</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1004</w:t>
            </w:r>
            <w:r>
              <w:rPr>
                <w:spacing w:val="-2"/>
                <w:sz w:val="14"/>
              </w:rPr>
              <w:t>.</w:t>
            </w:r>
          </w:p>
        </w:tc>
        <w:tc>
          <w:tcPr>
            <w:tcW w:w="8621" w:type="dxa"/>
          </w:tcPr>
          <w:p>
            <w:pPr>
              <w:pStyle w:val="TableParagraph"/>
              <w:spacing w:before="114"/>
              <w:rPr>
                <w:sz w:val="20"/>
              </w:rPr>
            </w:pPr>
            <w:r>
              <w:rPr>
                <w:rFonts w:ascii="Arial"/>
                <w:i/>
                <w:sz w:val="20"/>
              </w:rPr>
              <w:t>Salvation Army Trustee Co v West Yorks Metropolitan CC (1981) 41 P. &amp; C.R. </w:t>
            </w:r>
            <w:r>
              <w:rPr>
                <w:rFonts w:ascii="Arial"/>
                <w:i/>
                <w:spacing w:val="-4"/>
                <w:sz w:val="20"/>
              </w:rPr>
              <w:t>179</w:t>
            </w:r>
            <w:r>
              <w:rPr>
                <w:spacing w:val="-4"/>
                <w:sz w:val="20"/>
              </w:rPr>
              <w:t>.</w:t>
            </w:r>
          </w:p>
        </w:tc>
      </w:tr>
      <w:tr>
        <w:trPr>
          <w:trHeight w:val="690" w:hRule="atLeast"/>
        </w:trPr>
        <w:tc>
          <w:tcPr>
            <w:tcW w:w="496" w:type="dxa"/>
          </w:tcPr>
          <w:p>
            <w:pPr>
              <w:pStyle w:val="TableParagraph"/>
              <w:ind w:left="0" w:right="43"/>
              <w:jc w:val="center"/>
              <w:rPr>
                <w:sz w:val="14"/>
              </w:rPr>
            </w:pPr>
            <w:r>
              <w:rPr>
                <w:color w:val="005DA1"/>
                <w:spacing w:val="-2"/>
                <w:sz w:val="14"/>
                <w:u w:val="single" w:color="005DA1"/>
              </w:rPr>
              <w:t>1005</w:t>
            </w:r>
            <w:r>
              <w:rPr>
                <w:spacing w:val="-2"/>
                <w:sz w:val="14"/>
              </w:rPr>
              <w:t>.</w:t>
            </w:r>
          </w:p>
        </w:tc>
        <w:tc>
          <w:tcPr>
            <w:tcW w:w="8621" w:type="dxa"/>
          </w:tcPr>
          <w:p>
            <w:pPr>
              <w:pStyle w:val="TableParagraph"/>
              <w:spacing w:line="235" w:lineRule="auto" w:before="118"/>
              <w:rPr>
                <w:sz w:val="20"/>
              </w:rPr>
            </w:pPr>
            <w:r>
              <w:rPr>
                <w:sz w:val="20"/>
              </w:rPr>
              <w:t>ibid., at 191; the case was approved but distinguished in </w:t>
            </w:r>
            <w:r>
              <w:rPr>
                <w:rFonts w:ascii="Arial" w:hAnsi="Arial"/>
                <w:i/>
                <w:sz w:val="20"/>
              </w:rPr>
              <w:t>Att.-Gen. of Hong Kong v </w:t>
            </w:r>
            <w:r>
              <w:rPr>
                <w:rFonts w:ascii="Arial" w:hAnsi="Arial"/>
                <w:i/>
                <w:sz w:val="20"/>
              </w:rPr>
              <w:t>Humphreys Estates (Queen’s Gardens) [1987] A.C. 114, 126–127</w:t>
            </w:r>
            <w:r>
              <w:rPr>
                <w:sz w:val="20"/>
              </w:rPr>
              <w:t>.</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1006</w:t>
            </w:r>
            <w:r>
              <w:rPr>
                <w:spacing w:val="-2"/>
                <w:sz w:val="14"/>
              </w:rPr>
              <w:t>.</w:t>
            </w:r>
          </w:p>
        </w:tc>
        <w:tc>
          <w:tcPr>
            <w:tcW w:w="8621" w:type="dxa"/>
          </w:tcPr>
          <w:p>
            <w:pPr>
              <w:pStyle w:val="TableParagraph"/>
              <w:spacing w:before="114"/>
              <w:rPr>
                <w:sz w:val="20"/>
              </w:rPr>
            </w:pPr>
            <w:r>
              <w:rPr>
                <w:rFonts w:ascii="Arial"/>
                <w:i/>
                <w:sz w:val="20"/>
              </w:rPr>
              <w:t>J.S.</w:t>
            </w:r>
            <w:r>
              <w:rPr>
                <w:rFonts w:ascii="Arial"/>
                <w:i/>
                <w:spacing w:val="-2"/>
                <w:sz w:val="20"/>
              </w:rPr>
              <w:t> </w:t>
            </w:r>
            <w:r>
              <w:rPr>
                <w:rFonts w:ascii="Arial"/>
                <w:i/>
                <w:sz w:val="20"/>
              </w:rPr>
              <w:t>Bloor (Meacham) Ltd v Calcott (No.2), The Times, December 12, </w:t>
            </w:r>
            <w:r>
              <w:rPr>
                <w:rFonts w:ascii="Arial"/>
                <w:i/>
                <w:spacing w:val="-2"/>
                <w:sz w:val="20"/>
              </w:rPr>
              <w:t>2001</w:t>
            </w:r>
            <w:r>
              <w:rPr>
                <w:spacing w:val="-2"/>
                <w:sz w:val="20"/>
              </w:rPr>
              <w:t>.</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1007</w:t>
            </w:r>
            <w:r>
              <w:rPr>
                <w:spacing w:val="-2"/>
                <w:sz w:val="14"/>
              </w:rPr>
              <w:t>.</w:t>
            </w:r>
          </w:p>
        </w:tc>
        <w:tc>
          <w:tcPr>
            <w:tcW w:w="8621" w:type="dxa"/>
          </w:tcPr>
          <w:p>
            <w:pPr>
              <w:pStyle w:val="TableParagraph"/>
              <w:spacing w:before="114"/>
              <w:rPr>
                <w:sz w:val="20"/>
              </w:rPr>
            </w:pPr>
            <w:r>
              <w:rPr>
                <w:rFonts w:ascii="Arial"/>
                <w:i/>
                <w:sz w:val="20"/>
              </w:rPr>
              <w:t>S v S [2006] EWHC 2892 (Fam), [2007] F.L.R. </w:t>
            </w:r>
            <w:r>
              <w:rPr>
                <w:rFonts w:ascii="Arial"/>
                <w:i/>
                <w:spacing w:val="-2"/>
                <w:sz w:val="20"/>
              </w:rPr>
              <w:t>1123</w:t>
            </w:r>
            <w:r>
              <w:rPr>
                <w:spacing w:val="-2"/>
                <w:sz w:val="20"/>
              </w:rPr>
              <w:t>.</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1008</w:t>
            </w:r>
            <w:r>
              <w:rPr>
                <w:spacing w:val="-2"/>
                <w:sz w:val="14"/>
              </w:rPr>
              <w:t>.</w:t>
            </w:r>
          </w:p>
        </w:tc>
        <w:tc>
          <w:tcPr>
            <w:tcW w:w="8621" w:type="dxa"/>
          </w:tcPr>
          <w:p>
            <w:pPr>
              <w:pStyle w:val="TableParagraph"/>
              <w:spacing w:before="114"/>
              <w:rPr>
                <w:sz w:val="20"/>
              </w:rPr>
            </w:pPr>
            <w:r>
              <w:rPr>
                <w:rFonts w:ascii="Arial"/>
                <w:i/>
                <w:sz w:val="20"/>
              </w:rPr>
              <w:t>[2010] EWCA Civ 199, [2010] 2 P. &amp; C.R. </w:t>
            </w:r>
            <w:r>
              <w:rPr>
                <w:rFonts w:ascii="Arial"/>
                <w:i/>
                <w:spacing w:val="-5"/>
                <w:sz w:val="20"/>
              </w:rPr>
              <w:t>21</w:t>
            </w:r>
            <w:r>
              <w:rPr>
                <w:spacing w:val="-5"/>
                <w:sz w:val="20"/>
              </w:rPr>
              <w:t>.</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1009</w:t>
            </w:r>
            <w:r>
              <w:rPr>
                <w:spacing w:val="-2"/>
                <w:sz w:val="14"/>
              </w:rPr>
              <w:t>.</w:t>
            </w:r>
          </w:p>
        </w:tc>
        <w:tc>
          <w:tcPr>
            <w:tcW w:w="8621" w:type="dxa"/>
          </w:tcPr>
          <w:p>
            <w:pPr>
              <w:pStyle w:val="TableParagraph"/>
              <w:spacing w:before="114"/>
              <w:rPr>
                <w:sz w:val="20"/>
              </w:rPr>
            </w:pPr>
            <w:r>
              <w:rPr>
                <w:sz w:val="20"/>
              </w:rPr>
              <w:t>ibid., at [3] italics </w:t>
            </w:r>
            <w:r>
              <w:rPr>
                <w:spacing w:val="-2"/>
                <w:sz w:val="20"/>
              </w:rPr>
              <w:t>supplied.</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1010</w:t>
            </w:r>
            <w:r>
              <w:rPr>
                <w:spacing w:val="-2"/>
                <w:sz w:val="14"/>
              </w:rPr>
              <w:t>.</w:t>
            </w:r>
          </w:p>
        </w:tc>
        <w:tc>
          <w:tcPr>
            <w:tcW w:w="8621" w:type="dxa"/>
          </w:tcPr>
          <w:p>
            <w:pPr>
              <w:pStyle w:val="TableParagraph"/>
              <w:spacing w:before="114"/>
              <w:rPr>
                <w:sz w:val="20"/>
              </w:rPr>
            </w:pPr>
            <w:r>
              <w:rPr>
                <w:sz w:val="20"/>
              </w:rPr>
              <w:t>See below, </w:t>
            </w:r>
            <w:r>
              <w:rPr>
                <w:spacing w:val="-2"/>
                <w:sz w:val="20"/>
              </w:rPr>
              <w:t>n.959.</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1011</w:t>
            </w:r>
            <w:r>
              <w:rPr>
                <w:spacing w:val="-2"/>
                <w:sz w:val="14"/>
              </w:rPr>
              <w:t>.</w:t>
            </w:r>
          </w:p>
        </w:tc>
        <w:tc>
          <w:tcPr>
            <w:tcW w:w="8621" w:type="dxa"/>
          </w:tcPr>
          <w:p>
            <w:pPr>
              <w:pStyle w:val="TableParagraph"/>
              <w:spacing w:before="114"/>
              <w:rPr>
                <w:sz w:val="20"/>
              </w:rPr>
            </w:pPr>
            <w:r>
              <w:rPr>
                <w:rFonts w:ascii="Arial"/>
                <w:i/>
                <w:sz w:val="20"/>
              </w:rPr>
              <w:t>Re Basham [1987] 1 W.L.R. </w:t>
            </w:r>
            <w:r>
              <w:rPr>
                <w:rFonts w:ascii="Arial"/>
                <w:i/>
                <w:spacing w:val="-2"/>
                <w:sz w:val="20"/>
              </w:rPr>
              <w:t>1498</w:t>
            </w:r>
            <w:r>
              <w:rPr>
                <w:spacing w:val="-2"/>
                <w:sz w:val="20"/>
              </w:rPr>
              <w:t>.</w:t>
            </w:r>
          </w:p>
        </w:tc>
      </w:tr>
      <w:tr>
        <w:trPr>
          <w:trHeight w:val="915" w:hRule="atLeast"/>
        </w:trPr>
        <w:tc>
          <w:tcPr>
            <w:tcW w:w="496" w:type="dxa"/>
          </w:tcPr>
          <w:p>
            <w:pPr>
              <w:pStyle w:val="TableParagraph"/>
              <w:ind w:left="0" w:right="43"/>
              <w:jc w:val="center"/>
              <w:rPr>
                <w:sz w:val="14"/>
              </w:rPr>
            </w:pPr>
            <w:r>
              <w:rPr>
                <w:color w:val="005DA1"/>
                <w:spacing w:val="-2"/>
                <w:sz w:val="14"/>
                <w:u w:val="single" w:color="005DA1"/>
              </w:rPr>
              <w:t>1012</w:t>
            </w:r>
            <w:r>
              <w:rPr>
                <w:spacing w:val="-2"/>
                <w:sz w:val="14"/>
              </w:rPr>
              <w:t>.</w:t>
            </w:r>
          </w:p>
        </w:tc>
        <w:tc>
          <w:tcPr>
            <w:tcW w:w="8621" w:type="dxa"/>
          </w:tcPr>
          <w:p>
            <w:pPr>
              <w:pStyle w:val="TableParagraph"/>
              <w:spacing w:line="235" w:lineRule="auto" w:before="118"/>
              <w:ind w:right="50"/>
              <w:jc w:val="both"/>
              <w:rPr>
                <w:sz w:val="20"/>
              </w:rPr>
            </w:pPr>
            <w:r>
              <w:rPr>
                <w:rFonts w:ascii="Arial"/>
                <w:i/>
                <w:sz w:val="20"/>
              </w:rPr>
              <w:t>Western Fish </w:t>
            </w:r>
            <w:r>
              <w:rPr>
                <w:sz w:val="20"/>
              </w:rPr>
              <w:t>case, above, n.950 at 217; cf. the reference ibid. at 218, and in </w:t>
            </w:r>
            <w:r>
              <w:rPr>
                <w:rFonts w:ascii="Arial"/>
                <w:i/>
                <w:sz w:val="20"/>
              </w:rPr>
              <w:t>Crabb v Arun </w:t>
            </w:r>
            <w:r>
              <w:rPr>
                <w:rFonts w:ascii="Arial"/>
                <w:i/>
                <w:sz w:val="20"/>
              </w:rPr>
              <w:t>DC [1976] Ch. 179, 187</w:t>
            </w:r>
            <w:r>
              <w:rPr>
                <w:sz w:val="20"/>
              </w:rPr>
              <w:t>, to the decision of the Court of Appeal in </w:t>
            </w:r>
            <w:r>
              <w:rPr>
                <w:rFonts w:ascii="Arial"/>
                <w:i/>
                <w:sz w:val="20"/>
              </w:rPr>
              <w:t>Moorgate Mercantile Co v Twitchings</w:t>
            </w:r>
            <w:r>
              <w:rPr>
                <w:rFonts w:ascii="Arial"/>
                <w:i/>
                <w:spacing w:val="-1"/>
                <w:sz w:val="20"/>
              </w:rPr>
              <w:t> </w:t>
            </w:r>
            <w:r>
              <w:rPr>
                <w:rFonts w:ascii="Arial"/>
                <w:i/>
                <w:sz w:val="20"/>
              </w:rPr>
              <w:t>[1976] Q.B. 225</w:t>
            </w:r>
            <w:r>
              <w:rPr>
                <w:sz w:val="20"/>
              </w:rPr>
              <w:t>; that decision was reversed by the House of Lords:</w:t>
            </w:r>
            <w:r>
              <w:rPr>
                <w:spacing w:val="-1"/>
                <w:sz w:val="20"/>
              </w:rPr>
              <w:t> </w:t>
            </w:r>
            <w:r>
              <w:rPr>
                <w:rFonts w:ascii="Arial"/>
                <w:i/>
                <w:sz w:val="20"/>
              </w:rPr>
              <w:t>[1977] A.C. </w:t>
            </w:r>
            <w:r>
              <w:rPr>
                <w:rFonts w:ascii="Arial"/>
                <w:i/>
                <w:spacing w:val="-4"/>
                <w:sz w:val="20"/>
              </w:rPr>
              <w:t>890</w:t>
            </w:r>
            <w:r>
              <w:rPr>
                <w:spacing w:val="-4"/>
                <w:sz w:val="20"/>
              </w:rPr>
              <w:t>.</w:t>
            </w:r>
          </w:p>
        </w:tc>
      </w:tr>
      <w:tr>
        <w:trPr>
          <w:trHeight w:val="1815" w:hRule="atLeast"/>
        </w:trPr>
        <w:tc>
          <w:tcPr>
            <w:tcW w:w="496" w:type="dxa"/>
          </w:tcPr>
          <w:p>
            <w:pPr>
              <w:pStyle w:val="TableParagraph"/>
              <w:ind w:left="0" w:right="43"/>
              <w:jc w:val="center"/>
              <w:rPr>
                <w:sz w:val="14"/>
              </w:rPr>
            </w:pPr>
            <w:r>
              <w:rPr>
                <w:color w:val="005DA1"/>
                <w:spacing w:val="-2"/>
                <w:sz w:val="14"/>
                <w:u w:val="single" w:color="005DA1"/>
              </w:rPr>
              <w:t>1013</w:t>
            </w:r>
            <w:r>
              <w:rPr>
                <w:spacing w:val="-2"/>
                <w:sz w:val="14"/>
              </w:rPr>
              <w:t>.</w:t>
            </w:r>
          </w:p>
        </w:tc>
        <w:tc>
          <w:tcPr>
            <w:tcW w:w="8621" w:type="dxa"/>
          </w:tcPr>
          <w:p>
            <w:pPr>
              <w:pStyle w:val="TableParagraph"/>
              <w:spacing w:line="235" w:lineRule="auto" w:before="118"/>
              <w:ind w:right="49"/>
              <w:jc w:val="both"/>
              <w:rPr>
                <w:sz w:val="20"/>
              </w:rPr>
            </w:pPr>
            <w:r>
              <w:rPr>
                <w:rFonts w:ascii="Arial" w:hAnsi="Arial"/>
                <w:i/>
                <w:sz w:val="20"/>
              </w:rPr>
              <w:t>Cobbe v Yeoman’s Row Management Ltd [2008] UKHL 55, [2008] 1 W.L.R. 1752 </w:t>
            </w:r>
            <w:r>
              <w:rPr>
                <w:sz w:val="20"/>
              </w:rPr>
              <w:t>at [14] per Lord Scott (“in principle equally available in relation to chattels or choses in action”); </w:t>
            </w:r>
            <w:r>
              <w:rPr>
                <w:sz w:val="20"/>
              </w:rPr>
              <w:t>for example, in </w:t>
            </w:r>
            <w:r>
              <w:rPr>
                <w:rFonts w:ascii="Arial" w:hAnsi="Arial"/>
                <w:i/>
                <w:sz w:val="20"/>
              </w:rPr>
              <w:t>Strover v Strover [2005] EWHC 860 (Ch), [2005] W.T.L.R. 1245</w:t>
            </w:r>
            <w:r>
              <w:rPr>
                <w:sz w:val="20"/>
              </w:rPr>
              <w:t>, where “proprietary estoppel” (at [39]) operated in relation to an insurance policy. The estoppel in this case arose from a mistake, and so was one that arose from “acquiescence” as opposed to an “assurance” or “encouragement”; and it is with cases of the latter kind that the discussion of proprietary estoppel in this chapter is concerned (see above, para.4-140).</w:t>
            </w:r>
          </w:p>
        </w:tc>
      </w:tr>
      <w:tr>
        <w:trPr>
          <w:trHeight w:val="915" w:hRule="atLeast"/>
        </w:trPr>
        <w:tc>
          <w:tcPr>
            <w:tcW w:w="496" w:type="dxa"/>
          </w:tcPr>
          <w:p>
            <w:pPr>
              <w:pStyle w:val="TableParagraph"/>
              <w:ind w:left="0" w:right="43"/>
              <w:jc w:val="center"/>
              <w:rPr>
                <w:sz w:val="14"/>
              </w:rPr>
            </w:pPr>
            <w:r>
              <w:rPr>
                <w:color w:val="005DA1"/>
                <w:spacing w:val="-2"/>
                <w:sz w:val="14"/>
                <w:u w:val="single" w:color="005DA1"/>
              </w:rPr>
              <w:t>1014</w:t>
            </w:r>
            <w:r>
              <w:rPr>
                <w:spacing w:val="-2"/>
                <w:sz w:val="14"/>
              </w:rPr>
              <w:t>.</w:t>
            </w:r>
          </w:p>
        </w:tc>
        <w:tc>
          <w:tcPr>
            <w:tcW w:w="8621" w:type="dxa"/>
          </w:tcPr>
          <w:p>
            <w:pPr>
              <w:pStyle w:val="TableParagraph"/>
              <w:spacing w:line="235" w:lineRule="auto" w:before="118"/>
              <w:ind w:right="49"/>
              <w:jc w:val="both"/>
              <w:rPr>
                <w:sz w:val="20"/>
              </w:rPr>
            </w:pPr>
            <w:r>
              <w:rPr>
                <w:rFonts w:ascii="Arial"/>
                <w:i/>
                <w:sz w:val="20"/>
              </w:rPr>
              <w:t>Motivate Publishing FZ LLC v Hello Limited [2015] EWHC 1554 (Ch)</w:t>
            </w:r>
            <w:r>
              <w:rPr>
                <w:rFonts w:ascii="Arial"/>
                <w:i/>
                <w:spacing w:val="-1"/>
                <w:sz w:val="20"/>
              </w:rPr>
              <w:t> </w:t>
            </w:r>
            <w:r>
              <w:rPr>
                <w:sz w:val="20"/>
              </w:rPr>
              <w:t>at [61]; the actual </w:t>
            </w:r>
            <w:r>
              <w:rPr>
                <w:sz w:val="20"/>
              </w:rPr>
              <w:t>decision in this case was that </w:t>
            </w:r>
            <w:r>
              <w:rPr>
                <w:rFonts w:ascii="Arial"/>
                <w:i/>
                <w:sz w:val="20"/>
              </w:rPr>
              <w:t>no </w:t>
            </w:r>
            <w:r>
              <w:rPr>
                <w:sz w:val="20"/>
              </w:rPr>
              <w:t>proprietary estoppel arose since other requirements of the doctrine were not satisfied: see at [72], [75].</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1015</w:t>
            </w:r>
            <w:r>
              <w:rPr>
                <w:spacing w:val="-2"/>
                <w:sz w:val="14"/>
              </w:rPr>
              <w:t>.</w:t>
            </w:r>
          </w:p>
        </w:tc>
        <w:tc>
          <w:tcPr>
            <w:tcW w:w="8621" w:type="dxa"/>
          </w:tcPr>
          <w:p>
            <w:pPr>
              <w:pStyle w:val="TableParagraph"/>
              <w:spacing w:before="114"/>
              <w:rPr>
                <w:sz w:val="20"/>
              </w:rPr>
            </w:pPr>
            <w:r>
              <w:rPr>
                <w:sz w:val="20"/>
              </w:rPr>
              <w:t>See above, paras 4-086, 4-102, 4-</w:t>
            </w:r>
            <w:r>
              <w:rPr>
                <w:spacing w:val="-4"/>
                <w:sz w:val="20"/>
              </w:rPr>
              <w:t>130.</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1016</w:t>
            </w:r>
            <w:r>
              <w:rPr>
                <w:spacing w:val="-2"/>
                <w:sz w:val="14"/>
              </w:rPr>
              <w:t>.</w:t>
            </w:r>
          </w:p>
        </w:tc>
        <w:tc>
          <w:tcPr>
            <w:tcW w:w="8621" w:type="dxa"/>
          </w:tcPr>
          <w:p>
            <w:pPr>
              <w:pStyle w:val="TableParagraph"/>
              <w:spacing w:before="114"/>
              <w:rPr>
                <w:sz w:val="20"/>
              </w:rPr>
            </w:pPr>
            <w:r>
              <w:rPr>
                <w:rFonts w:ascii="Arial"/>
                <w:i/>
                <w:sz w:val="20"/>
              </w:rPr>
              <w:t>[1947]</w:t>
            </w:r>
            <w:r>
              <w:rPr>
                <w:rFonts w:ascii="Arial"/>
                <w:i/>
                <w:spacing w:val="-1"/>
                <w:sz w:val="20"/>
              </w:rPr>
              <w:t> </w:t>
            </w:r>
            <w:r>
              <w:rPr>
                <w:rFonts w:ascii="Arial"/>
                <w:i/>
                <w:sz w:val="20"/>
              </w:rPr>
              <w:t>K.B. 130</w:t>
            </w:r>
            <w:r>
              <w:rPr>
                <w:sz w:val="20"/>
              </w:rPr>
              <w:t>; above, para.4-</w:t>
            </w:r>
            <w:r>
              <w:rPr>
                <w:spacing w:val="-4"/>
                <w:sz w:val="20"/>
              </w:rPr>
              <w:t>130.</w:t>
            </w:r>
          </w:p>
        </w:tc>
      </w:tr>
      <w:tr>
        <w:trPr>
          <w:trHeight w:val="1019" w:hRule="atLeast"/>
        </w:trPr>
        <w:tc>
          <w:tcPr>
            <w:tcW w:w="496" w:type="dxa"/>
          </w:tcPr>
          <w:p>
            <w:pPr>
              <w:pStyle w:val="TableParagraph"/>
              <w:ind w:left="0" w:right="43"/>
              <w:jc w:val="center"/>
              <w:rPr>
                <w:sz w:val="14"/>
              </w:rPr>
            </w:pPr>
            <w:r>
              <w:rPr>
                <w:color w:val="005DA1"/>
                <w:spacing w:val="-2"/>
                <w:sz w:val="14"/>
                <w:u w:val="single" w:color="005DA1"/>
              </w:rPr>
              <w:t>1017</w:t>
            </w:r>
            <w:r>
              <w:rPr>
                <w:spacing w:val="-2"/>
                <w:sz w:val="14"/>
              </w:rPr>
              <w:t>.</w:t>
            </w:r>
          </w:p>
        </w:tc>
        <w:tc>
          <w:tcPr>
            <w:tcW w:w="8621" w:type="dxa"/>
          </w:tcPr>
          <w:p>
            <w:pPr>
              <w:pStyle w:val="TableParagraph"/>
              <w:spacing w:line="226" w:lineRule="exact" w:before="95"/>
              <w:ind w:right="50"/>
              <w:jc w:val="both"/>
              <w:rPr>
                <w:rFonts w:ascii="Arial"/>
                <w:i/>
                <w:sz w:val="20"/>
              </w:rPr>
            </w:pPr>
            <w:r>
              <w:rPr>
                <w:sz w:val="20"/>
              </w:rPr>
              <w:t>This was the view of the majority of the Court of Appeal in </w:t>
            </w:r>
            <w:r>
              <w:rPr>
                <w:rFonts w:ascii="Arial"/>
                <w:i/>
                <w:sz w:val="20"/>
              </w:rPr>
              <w:t>Greasley v Cooke [1980] 1 W.L.R. 1306</w:t>
            </w:r>
            <w:r>
              <w:rPr>
                <w:sz w:val="20"/>
              </w:rPr>
              <w:t>; the requirement is assumed to exist in </w:t>
            </w:r>
            <w:r>
              <w:rPr>
                <w:rFonts w:ascii="Arial"/>
                <w:i/>
                <w:sz w:val="20"/>
              </w:rPr>
              <w:t>Taylors Fashions Ltd v Liverpool Victoria </w:t>
            </w:r>
            <w:r>
              <w:rPr>
                <w:rFonts w:ascii="Arial"/>
                <w:i/>
                <w:sz w:val="20"/>
              </w:rPr>
              <w:t>Trustee Co Ltd [1982] Q.B. 133n</w:t>
            </w:r>
            <w:r>
              <w:rPr>
                <w:sz w:val="20"/>
              </w:rPr>
              <w:t>, and stated in </w:t>
            </w:r>
            <w:r>
              <w:rPr>
                <w:rFonts w:ascii="Arial"/>
                <w:i/>
                <w:sz w:val="20"/>
              </w:rPr>
              <w:t>Grant v Edwards [1986] Ch. 638, 657</w:t>
            </w:r>
            <w:r>
              <w:rPr>
                <w:sz w:val="20"/>
              </w:rPr>
              <w:t>; </w:t>
            </w:r>
            <w:r>
              <w:rPr>
                <w:rFonts w:ascii="Arial"/>
                <w:i/>
                <w:sz w:val="20"/>
              </w:rPr>
              <w:t>Jennings v Rice [2002]</w:t>
            </w:r>
            <w:r>
              <w:rPr>
                <w:rFonts w:ascii="Arial"/>
                <w:i/>
                <w:spacing w:val="10"/>
                <w:sz w:val="20"/>
              </w:rPr>
              <w:t> </w:t>
            </w:r>
            <w:r>
              <w:rPr>
                <w:rFonts w:ascii="Arial"/>
                <w:i/>
                <w:sz w:val="20"/>
              </w:rPr>
              <w:t>EWCA</w:t>
            </w:r>
            <w:r>
              <w:rPr>
                <w:rFonts w:ascii="Arial"/>
                <w:i/>
                <w:spacing w:val="10"/>
                <w:sz w:val="20"/>
              </w:rPr>
              <w:t> </w:t>
            </w:r>
            <w:r>
              <w:rPr>
                <w:rFonts w:ascii="Arial"/>
                <w:i/>
                <w:sz w:val="20"/>
              </w:rPr>
              <w:t>Civ</w:t>
            </w:r>
            <w:r>
              <w:rPr>
                <w:rFonts w:ascii="Arial"/>
                <w:i/>
                <w:spacing w:val="10"/>
                <w:sz w:val="20"/>
              </w:rPr>
              <w:t> </w:t>
            </w:r>
            <w:r>
              <w:rPr>
                <w:rFonts w:ascii="Arial"/>
                <w:i/>
                <w:sz w:val="20"/>
              </w:rPr>
              <w:t>159;</w:t>
            </w:r>
            <w:r>
              <w:rPr>
                <w:rFonts w:ascii="Arial"/>
                <w:i/>
                <w:spacing w:val="10"/>
                <w:sz w:val="20"/>
              </w:rPr>
              <w:t> </w:t>
            </w:r>
            <w:r>
              <w:rPr>
                <w:rFonts w:ascii="Arial"/>
                <w:i/>
                <w:sz w:val="20"/>
              </w:rPr>
              <w:t>[2002]</w:t>
            </w:r>
            <w:r>
              <w:rPr>
                <w:rFonts w:ascii="Arial"/>
                <w:i/>
                <w:spacing w:val="10"/>
                <w:sz w:val="20"/>
              </w:rPr>
              <w:t> </w:t>
            </w:r>
            <w:r>
              <w:rPr>
                <w:rFonts w:ascii="Arial"/>
                <w:i/>
                <w:sz w:val="20"/>
              </w:rPr>
              <w:t>W.T.L.R.</w:t>
            </w:r>
            <w:r>
              <w:rPr>
                <w:rFonts w:ascii="Arial"/>
                <w:i/>
                <w:spacing w:val="10"/>
                <w:sz w:val="20"/>
              </w:rPr>
              <w:t> </w:t>
            </w:r>
            <w:r>
              <w:rPr>
                <w:rFonts w:ascii="Arial"/>
                <w:i/>
                <w:sz w:val="20"/>
              </w:rPr>
              <w:t>367</w:t>
            </w:r>
            <w:r>
              <w:rPr>
                <w:rFonts w:ascii="Arial"/>
                <w:i/>
                <w:spacing w:val="10"/>
                <w:sz w:val="20"/>
              </w:rPr>
              <w:t> </w:t>
            </w:r>
            <w:r>
              <w:rPr>
                <w:sz w:val="20"/>
              </w:rPr>
              <w:t>at</w:t>
            </w:r>
            <w:r>
              <w:rPr>
                <w:spacing w:val="10"/>
                <w:sz w:val="20"/>
              </w:rPr>
              <w:t> </w:t>
            </w:r>
            <w:r>
              <w:rPr>
                <w:sz w:val="20"/>
              </w:rPr>
              <w:t>[21],</w:t>
            </w:r>
            <w:r>
              <w:rPr>
                <w:spacing w:val="10"/>
                <w:sz w:val="20"/>
              </w:rPr>
              <w:t> </w:t>
            </w:r>
            <w:r>
              <w:rPr>
                <w:sz w:val="20"/>
              </w:rPr>
              <w:t>[42];</w:t>
            </w:r>
            <w:r>
              <w:rPr>
                <w:spacing w:val="10"/>
                <w:sz w:val="20"/>
              </w:rPr>
              <w:t> </w:t>
            </w:r>
            <w:r>
              <w:rPr>
                <w:sz w:val="20"/>
              </w:rPr>
              <w:t>cf.</w:t>
            </w:r>
            <w:r>
              <w:rPr>
                <w:spacing w:val="10"/>
                <w:sz w:val="20"/>
              </w:rPr>
              <w:t> </w:t>
            </w:r>
            <w:r>
              <w:rPr>
                <w:rFonts w:ascii="Arial"/>
                <w:i/>
                <w:sz w:val="20"/>
              </w:rPr>
              <w:t>Lloyds</w:t>
            </w:r>
            <w:r>
              <w:rPr>
                <w:rFonts w:ascii="Arial"/>
                <w:i/>
                <w:spacing w:val="10"/>
                <w:sz w:val="20"/>
              </w:rPr>
              <w:t> </w:t>
            </w:r>
            <w:r>
              <w:rPr>
                <w:rFonts w:ascii="Arial"/>
                <w:i/>
                <w:sz w:val="20"/>
              </w:rPr>
              <w:t>Bank</w:t>
            </w:r>
            <w:r>
              <w:rPr>
                <w:rFonts w:ascii="Arial"/>
                <w:i/>
                <w:spacing w:val="10"/>
                <w:sz w:val="20"/>
              </w:rPr>
              <w:t> </w:t>
            </w:r>
            <w:r>
              <w:rPr>
                <w:rFonts w:ascii="Arial"/>
                <w:i/>
                <w:sz w:val="20"/>
              </w:rPr>
              <w:t>plc</w:t>
            </w:r>
            <w:r>
              <w:rPr>
                <w:rFonts w:ascii="Arial"/>
                <w:i/>
                <w:spacing w:val="10"/>
                <w:sz w:val="20"/>
              </w:rPr>
              <w:t> </w:t>
            </w:r>
            <w:r>
              <w:rPr>
                <w:rFonts w:ascii="Arial"/>
                <w:i/>
                <w:sz w:val="20"/>
              </w:rPr>
              <w:t>v</w:t>
            </w:r>
            <w:r>
              <w:rPr>
                <w:rFonts w:ascii="Arial"/>
                <w:i/>
                <w:spacing w:val="10"/>
                <w:sz w:val="20"/>
              </w:rPr>
              <w:t> </w:t>
            </w:r>
            <w:r>
              <w:rPr>
                <w:rFonts w:ascii="Arial"/>
                <w:i/>
                <w:sz w:val="20"/>
              </w:rPr>
              <w:t>Rosset</w:t>
            </w:r>
            <w:r>
              <w:rPr>
                <w:rFonts w:ascii="Arial"/>
                <w:i/>
                <w:spacing w:val="10"/>
                <w:sz w:val="20"/>
              </w:rPr>
              <w:t> </w:t>
            </w:r>
            <w:r>
              <w:rPr>
                <w:rFonts w:ascii="Arial"/>
                <w:i/>
                <w:sz w:val="20"/>
              </w:rPr>
              <w:t>[1991]</w:t>
            </w:r>
            <w:r>
              <w:rPr>
                <w:rFonts w:ascii="Arial"/>
                <w:i/>
                <w:spacing w:val="10"/>
                <w:sz w:val="20"/>
              </w:rPr>
              <w:t> </w:t>
            </w:r>
            <w:r>
              <w:rPr>
                <w:rFonts w:ascii="Arial"/>
                <w:i/>
                <w:spacing w:val="-10"/>
                <w:sz w:val="20"/>
              </w:rPr>
              <w:t>1</w:t>
            </w:r>
          </w:p>
        </w:tc>
      </w:tr>
    </w:tbl>
    <w:p>
      <w:pPr>
        <w:pStyle w:val="TableParagraph"/>
        <w:spacing w:after="0" w:line="226" w:lineRule="exact"/>
        <w:jc w:val="both"/>
        <w:rPr>
          <w:rFonts w:ascii="Arial"/>
          <w:i/>
          <w:sz w:val="20"/>
        </w:rPr>
        <w:sectPr>
          <w:pgSz w:w="11900" w:h="16840"/>
          <w:pgMar w:header="971" w:footer="0" w:top="1160" w:bottom="280" w:left="1275" w:right="1275"/>
        </w:sectPr>
      </w:pPr>
    </w:p>
    <w:p>
      <w:pPr>
        <w:pStyle w:val="BodyText"/>
        <w:spacing w:before="24"/>
      </w:pPr>
    </w:p>
    <w:p>
      <w:pPr>
        <w:spacing w:line="235" w:lineRule="auto" w:before="1"/>
        <w:ind w:left="705" w:right="169" w:firstLine="0"/>
        <w:jc w:val="both"/>
        <w:rPr>
          <w:rFonts w:ascii="Arial" w:hAnsi="Arial"/>
          <w:i/>
          <w:sz w:val="20"/>
        </w:rPr>
      </w:pPr>
      <w:r>
        <w:rPr>
          <w:rFonts w:ascii="Arial" w:hAnsi="Arial"/>
          <w:i/>
          <w:sz w:val="20"/>
        </w:rPr>
        <w:t>A.C. 107, 132</w:t>
      </w:r>
      <w:r>
        <w:rPr>
          <w:sz w:val="20"/>
        </w:rPr>
        <w:t>; </w:t>
      </w:r>
      <w:r>
        <w:rPr>
          <w:rFonts w:ascii="Arial" w:hAnsi="Arial"/>
          <w:i/>
          <w:sz w:val="20"/>
        </w:rPr>
        <w:t>Hammond v Mitchell [1991] 1 W.L.R. 1127</w:t>
      </w:r>
      <w:r>
        <w:rPr>
          <w:sz w:val="20"/>
        </w:rPr>
        <w:t>; </w:t>
      </w:r>
      <w:r>
        <w:rPr>
          <w:rFonts w:ascii="Arial" w:hAnsi="Arial"/>
          <w:i/>
          <w:sz w:val="20"/>
        </w:rPr>
        <w:t>Van Leathem v Booker </w:t>
      </w:r>
      <w:r>
        <w:rPr>
          <w:rFonts w:ascii="Arial" w:hAnsi="Arial"/>
          <w:i/>
          <w:sz w:val="20"/>
        </w:rPr>
        <w:t>[2005]</w:t>
      </w:r>
      <w:r>
        <w:rPr>
          <w:rFonts w:ascii="Arial" w:hAnsi="Arial"/>
          <w:i/>
          <w:spacing w:val="40"/>
          <w:sz w:val="20"/>
        </w:rPr>
        <w:t> </w:t>
      </w:r>
      <w:r>
        <w:rPr>
          <w:rFonts w:ascii="Arial" w:hAnsi="Arial"/>
          <w:i/>
          <w:sz w:val="20"/>
        </w:rPr>
        <w:t>EWCA Civ 1478, [2006] F.C.R. 697</w:t>
      </w:r>
      <w:r>
        <w:rPr>
          <w:sz w:val="20"/>
        </w:rPr>
        <w:t>. The fact that there was no such reliance was one </w:t>
      </w:r>
      <w:r>
        <w:rPr>
          <w:sz w:val="20"/>
        </w:rPr>
        <w:t>reason why the claim based on proprietary estoppel failed in </w:t>
      </w:r>
      <w:r>
        <w:rPr>
          <w:rFonts w:ascii="Arial" w:hAnsi="Arial"/>
          <w:i/>
          <w:sz w:val="20"/>
        </w:rPr>
        <w:t>Western Fish Products Ltd v Penwith </w:t>
      </w:r>
      <w:r>
        <w:rPr>
          <w:rFonts w:ascii="Arial" w:hAnsi="Arial"/>
          <w:i/>
          <w:sz w:val="20"/>
        </w:rPr>
        <w:t>DC [1981]</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All</w:t>
      </w:r>
      <w:r>
        <w:rPr>
          <w:rFonts w:ascii="Arial" w:hAnsi="Arial"/>
          <w:i/>
          <w:spacing w:val="-1"/>
          <w:sz w:val="20"/>
        </w:rPr>
        <w:t> </w:t>
      </w:r>
      <w:r>
        <w:rPr>
          <w:rFonts w:ascii="Arial" w:hAnsi="Arial"/>
          <w:i/>
          <w:sz w:val="20"/>
        </w:rPr>
        <w:t>E.R.</w:t>
      </w:r>
      <w:r>
        <w:rPr>
          <w:rFonts w:ascii="Arial" w:hAnsi="Arial"/>
          <w:i/>
          <w:spacing w:val="-1"/>
          <w:sz w:val="20"/>
        </w:rPr>
        <w:t> </w:t>
      </w:r>
      <w:r>
        <w:rPr>
          <w:rFonts w:ascii="Arial" w:hAnsi="Arial"/>
          <w:i/>
          <w:sz w:val="20"/>
        </w:rPr>
        <w:t>204</w:t>
      </w:r>
      <w:r>
        <w:rPr>
          <w:sz w:val="20"/>
        </w:rPr>
        <w:t>,</w:t>
      </w:r>
      <w:r>
        <w:rPr>
          <w:spacing w:val="-1"/>
          <w:sz w:val="20"/>
        </w:rPr>
        <w:t> </w:t>
      </w:r>
      <w:r>
        <w:rPr>
          <w:sz w:val="20"/>
        </w:rPr>
        <w:t>see</w:t>
      </w:r>
      <w:r>
        <w:rPr>
          <w:spacing w:val="-1"/>
          <w:sz w:val="20"/>
        </w:rPr>
        <w:t> </w:t>
      </w:r>
      <w:r>
        <w:rPr>
          <w:sz w:val="20"/>
        </w:rPr>
        <w:t>ibid.,</w:t>
      </w:r>
      <w:r>
        <w:rPr>
          <w:spacing w:val="-1"/>
          <w:sz w:val="20"/>
        </w:rPr>
        <w:t> </w:t>
      </w:r>
      <w:r>
        <w:rPr>
          <w:sz w:val="20"/>
        </w:rPr>
        <w:t>at</w:t>
      </w:r>
      <w:r>
        <w:rPr>
          <w:spacing w:val="-1"/>
          <w:sz w:val="20"/>
        </w:rPr>
        <w:t> </w:t>
      </w:r>
      <w:r>
        <w:rPr>
          <w:sz w:val="20"/>
        </w:rPr>
        <w:t>217;</w:t>
      </w:r>
      <w:r>
        <w:rPr>
          <w:spacing w:val="-1"/>
          <w:sz w:val="20"/>
        </w:rPr>
        <w:t> </w:t>
      </w:r>
      <w:r>
        <w:rPr>
          <w:sz w:val="20"/>
        </w:rPr>
        <w:t>in</w:t>
      </w:r>
      <w:r>
        <w:rPr>
          <w:spacing w:val="-1"/>
          <w:sz w:val="20"/>
        </w:rPr>
        <w:t> </w:t>
      </w:r>
      <w:r>
        <w:rPr>
          <w:rFonts w:ascii="Arial" w:hAnsi="Arial"/>
          <w:i/>
          <w:sz w:val="20"/>
        </w:rPr>
        <w:t>Coombes</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Smith</w:t>
      </w:r>
      <w:r>
        <w:rPr>
          <w:rFonts w:ascii="Arial" w:hAnsi="Arial"/>
          <w:i/>
          <w:spacing w:val="-1"/>
          <w:sz w:val="20"/>
        </w:rPr>
        <w:t> </w:t>
      </w:r>
      <w:r>
        <w:rPr>
          <w:rFonts w:ascii="Arial" w:hAnsi="Arial"/>
          <w:i/>
          <w:sz w:val="20"/>
        </w:rPr>
        <w:t>[1986]</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808</w:t>
      </w:r>
      <w:r>
        <w:rPr>
          <w:sz w:val="20"/>
        </w:rPr>
        <w:t>;</w:t>
      </w:r>
      <w:r>
        <w:rPr>
          <w:spacing w:val="-1"/>
          <w:sz w:val="20"/>
        </w:rPr>
        <w:t> </w:t>
      </w:r>
      <w:r>
        <w:rPr>
          <w:sz w:val="20"/>
        </w:rPr>
        <w:t>in</w:t>
      </w:r>
      <w:r>
        <w:rPr>
          <w:spacing w:val="-1"/>
          <w:sz w:val="20"/>
        </w:rPr>
        <w:t> </w:t>
      </w:r>
      <w:r>
        <w:rPr>
          <w:rFonts w:ascii="Arial" w:hAnsi="Arial"/>
          <w:i/>
          <w:sz w:val="20"/>
        </w:rPr>
        <w:t>Att.-Gen.</w:t>
      </w:r>
      <w:r>
        <w:rPr>
          <w:rFonts w:ascii="Arial" w:hAnsi="Arial"/>
          <w:i/>
          <w:spacing w:val="-1"/>
          <w:sz w:val="20"/>
        </w:rPr>
        <w:t> </w:t>
      </w:r>
      <w:r>
        <w:rPr>
          <w:rFonts w:ascii="Arial" w:hAnsi="Arial"/>
          <w:i/>
          <w:sz w:val="20"/>
        </w:rPr>
        <w:t>of Hong Kong v Humphreys Estates (Queen’s Gardens) [1987] A.C. 114</w:t>
      </w:r>
      <w:r>
        <w:rPr>
          <w:sz w:val="20"/>
        </w:rPr>
        <w:t>; and in </w:t>
      </w:r>
      <w:r>
        <w:rPr>
          <w:rFonts w:ascii="Arial" w:hAnsi="Arial"/>
          <w:i/>
          <w:sz w:val="20"/>
        </w:rPr>
        <w:t>H v M (Property Occupied by Wife’s Parents) [2004] EWHC 625, [2004] F.L.R. 16</w:t>
      </w:r>
      <w:r>
        <w:rPr>
          <w:sz w:val="20"/>
        </w:rPr>
        <w:t>. cf. </w:t>
      </w:r>
      <w:r>
        <w:rPr>
          <w:rFonts w:ascii="Arial" w:hAnsi="Arial"/>
          <w:i/>
          <w:sz w:val="20"/>
        </w:rPr>
        <w:t>Mecca Leisure v </w:t>
      </w:r>
      <w:r>
        <w:rPr>
          <w:rFonts w:ascii="Arial" w:hAnsi="Arial"/>
          <w:i/>
          <w:sz w:val="20"/>
        </w:rPr>
        <w:t>The London</w:t>
      </w:r>
      <w:r>
        <w:rPr>
          <w:rFonts w:ascii="Arial" w:hAnsi="Arial"/>
          <w:i/>
          <w:spacing w:val="39"/>
          <w:sz w:val="20"/>
        </w:rPr>
        <w:t> </w:t>
      </w:r>
      <w:r>
        <w:rPr>
          <w:rFonts w:ascii="Arial" w:hAnsi="Arial"/>
          <w:i/>
          <w:sz w:val="20"/>
        </w:rPr>
        <w:t>Residuary</w:t>
      </w:r>
      <w:r>
        <w:rPr>
          <w:rFonts w:ascii="Arial" w:hAnsi="Arial"/>
          <w:i/>
          <w:spacing w:val="40"/>
          <w:sz w:val="20"/>
        </w:rPr>
        <w:t> </w:t>
      </w:r>
      <w:r>
        <w:rPr>
          <w:rFonts w:ascii="Arial" w:hAnsi="Arial"/>
          <w:i/>
          <w:sz w:val="20"/>
        </w:rPr>
        <w:t>Body</w:t>
      </w:r>
      <w:r>
        <w:rPr>
          <w:rFonts w:ascii="Arial" w:hAnsi="Arial"/>
          <w:i/>
          <w:spacing w:val="40"/>
          <w:sz w:val="20"/>
        </w:rPr>
        <w:t> </w:t>
      </w:r>
      <w:r>
        <w:rPr>
          <w:rFonts w:ascii="Arial" w:hAnsi="Arial"/>
          <w:i/>
          <w:sz w:val="20"/>
        </w:rPr>
        <w:t>[1988]</w:t>
      </w:r>
      <w:r>
        <w:rPr>
          <w:rFonts w:ascii="Arial" w:hAnsi="Arial"/>
          <w:i/>
          <w:spacing w:val="40"/>
          <w:sz w:val="20"/>
        </w:rPr>
        <w:t> </w:t>
      </w:r>
      <w:r>
        <w:rPr>
          <w:rFonts w:ascii="Arial" w:hAnsi="Arial"/>
          <w:i/>
          <w:sz w:val="20"/>
        </w:rPr>
        <w:t>C.L.Y.</w:t>
      </w:r>
      <w:r>
        <w:rPr>
          <w:rFonts w:ascii="Arial" w:hAnsi="Arial"/>
          <w:i/>
          <w:spacing w:val="40"/>
          <w:sz w:val="20"/>
        </w:rPr>
        <w:t> </w:t>
      </w:r>
      <w:r>
        <w:rPr>
          <w:rFonts w:ascii="Arial" w:hAnsi="Arial"/>
          <w:i/>
          <w:sz w:val="20"/>
        </w:rPr>
        <w:t>1375</w:t>
      </w:r>
      <w:r>
        <w:rPr>
          <w:sz w:val="20"/>
        </w:rPr>
        <w:t>;</w:t>
      </w:r>
      <w:r>
        <w:rPr>
          <w:spacing w:val="40"/>
          <w:sz w:val="20"/>
        </w:rPr>
        <w:t> </w:t>
      </w:r>
      <w:r>
        <w:rPr>
          <w:rFonts w:ascii="Arial" w:hAnsi="Arial"/>
          <w:i/>
          <w:sz w:val="20"/>
        </w:rPr>
        <w:t>Jones</w:t>
      </w:r>
      <w:r>
        <w:rPr>
          <w:rFonts w:ascii="Arial" w:hAnsi="Arial"/>
          <w:i/>
          <w:spacing w:val="40"/>
          <w:sz w:val="20"/>
        </w:rPr>
        <w:t> </w:t>
      </w:r>
      <w:r>
        <w:rPr>
          <w:rFonts w:ascii="Arial" w:hAnsi="Arial"/>
          <w:i/>
          <w:sz w:val="20"/>
        </w:rPr>
        <w:t>v</w:t>
      </w:r>
      <w:r>
        <w:rPr>
          <w:rFonts w:ascii="Arial" w:hAnsi="Arial"/>
          <w:i/>
          <w:spacing w:val="39"/>
          <w:sz w:val="20"/>
        </w:rPr>
        <w:t> </w:t>
      </w:r>
      <w:r>
        <w:rPr>
          <w:rFonts w:ascii="Arial" w:hAnsi="Arial"/>
          <w:i/>
          <w:sz w:val="20"/>
        </w:rPr>
        <w:t>Stones</w:t>
      </w:r>
      <w:r>
        <w:rPr>
          <w:rFonts w:ascii="Arial" w:hAnsi="Arial"/>
          <w:i/>
          <w:spacing w:val="40"/>
          <w:sz w:val="20"/>
        </w:rPr>
        <w:t> </w:t>
      </w:r>
      <w:r>
        <w:rPr>
          <w:rFonts w:ascii="Arial" w:hAnsi="Arial"/>
          <w:i/>
          <w:sz w:val="20"/>
        </w:rPr>
        <w:t>[1999]</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1739</w:t>
      </w:r>
      <w:r>
        <w:rPr>
          <w:sz w:val="20"/>
        </w:rPr>
        <w:t>;</w:t>
      </w:r>
      <w:r>
        <w:rPr>
          <w:spacing w:val="40"/>
          <w:sz w:val="20"/>
        </w:rPr>
        <w:t> </w:t>
      </w:r>
      <w:r>
        <w:rPr>
          <w:rFonts w:ascii="Arial" w:hAnsi="Arial"/>
          <w:i/>
          <w:sz w:val="20"/>
        </w:rPr>
        <w:t>Kim</w:t>
      </w:r>
      <w:r>
        <w:rPr>
          <w:rFonts w:ascii="Arial" w:hAnsi="Arial"/>
          <w:i/>
          <w:spacing w:val="40"/>
          <w:sz w:val="20"/>
        </w:rPr>
        <w:t> </w:t>
      </w:r>
      <w:r>
        <w:rPr>
          <w:rFonts w:ascii="Arial" w:hAnsi="Arial"/>
          <w:i/>
          <w:spacing w:val="-10"/>
          <w:sz w:val="20"/>
        </w:rPr>
        <w:t>v</w:t>
      </w:r>
    </w:p>
    <w:p>
      <w:pPr>
        <w:pStyle w:val="BodyText"/>
        <w:spacing w:line="235" w:lineRule="auto"/>
        <w:ind w:left="705" w:right="167"/>
        <w:jc w:val="both"/>
      </w:pPr>
      <w:r>
        <w:rPr>
          <w:rFonts w:ascii="Arial" w:hAnsi="Arial"/>
          <w:i/>
        </w:rPr>
        <w:t>Chasewood Park Residents Ltd [2013] EWCA Civ 239, [2013] H.L.R. 24 </w:t>
      </w:r>
      <w:r>
        <w:rPr/>
        <w:t>at [40], where the actual decision was that the statements in question “did not promise anything” (at [31], [34] </w:t>
      </w:r>
      <w:r>
        <w:rPr/>
        <w:t>and see above para.4-090 n.468); and where it is not entirely clear whether the discussion of “Reliance” (at [36]–[40]) was concerned with the defence of the promissory estoppel or with the claim based on proprietary estoppel. See also </w:t>
      </w:r>
      <w:r>
        <w:rPr>
          <w:rFonts w:ascii="Arial" w:hAnsi="Arial"/>
          <w:i/>
        </w:rPr>
        <w:t>Lloyd v Dugdale [2001] EWCA Civ 1754; [2001] 48 E.G.C.S. 129</w:t>
      </w:r>
      <w:r>
        <w:rPr/>
        <w:t>, where the detrimental reliance was mainly by a company controlled by the promisee but also by the promisee himself and the actual result was that the promisee’s claim failed against a third party to whom the land had been transferred and who had become registered proprietors of it.</w:t>
      </w:r>
    </w:p>
    <w:p>
      <w:pPr>
        <w:pStyle w:val="BodyText"/>
      </w:pPr>
    </w:p>
    <w:p>
      <w:pPr>
        <w:spacing w:line="227" w:lineRule="exact" w:before="0"/>
        <w:ind w:left="0" w:right="168" w:firstLine="0"/>
        <w:jc w:val="right"/>
        <w:rPr>
          <w:rFonts w:ascii="Arial"/>
          <w:i/>
          <w:sz w:val="20"/>
        </w:rPr>
      </w:pPr>
      <w:r>
        <w:rPr>
          <w:color w:val="005DA1"/>
          <w:position w:val="5"/>
          <w:sz w:val="14"/>
          <w:u w:val="single" w:color="005DA1"/>
        </w:rPr>
        <w:t>1018</w:t>
      </w:r>
      <w:r>
        <w:rPr>
          <w:position w:val="5"/>
          <w:sz w:val="14"/>
        </w:rPr>
        <w:t>.</w:t>
      </w:r>
      <w:r>
        <w:rPr>
          <w:spacing w:val="55"/>
          <w:position w:val="5"/>
          <w:sz w:val="14"/>
        </w:rPr>
        <w:t>  </w:t>
      </w:r>
      <w:r>
        <w:rPr>
          <w:rFonts w:ascii="Arial"/>
          <w:i/>
          <w:sz w:val="20"/>
        </w:rPr>
        <w:t>Henry</w:t>
      </w:r>
      <w:r>
        <w:rPr>
          <w:rFonts w:ascii="Arial"/>
          <w:i/>
          <w:spacing w:val="8"/>
          <w:sz w:val="20"/>
        </w:rPr>
        <w:t> </w:t>
      </w:r>
      <w:r>
        <w:rPr>
          <w:rFonts w:ascii="Arial"/>
          <w:i/>
          <w:sz w:val="20"/>
        </w:rPr>
        <w:t>v</w:t>
      </w:r>
      <w:r>
        <w:rPr>
          <w:rFonts w:ascii="Arial"/>
          <w:i/>
          <w:spacing w:val="7"/>
          <w:sz w:val="20"/>
        </w:rPr>
        <w:t> </w:t>
      </w:r>
      <w:r>
        <w:rPr>
          <w:rFonts w:ascii="Arial"/>
          <w:i/>
          <w:sz w:val="20"/>
        </w:rPr>
        <w:t>Henry</w:t>
      </w:r>
      <w:r>
        <w:rPr>
          <w:rFonts w:ascii="Arial"/>
          <w:i/>
          <w:spacing w:val="7"/>
          <w:sz w:val="20"/>
        </w:rPr>
        <w:t> </w:t>
      </w:r>
      <w:r>
        <w:rPr>
          <w:rFonts w:ascii="Arial"/>
          <w:i/>
          <w:sz w:val="20"/>
        </w:rPr>
        <w:t>[2010]</w:t>
      </w:r>
      <w:r>
        <w:rPr>
          <w:rFonts w:ascii="Arial"/>
          <w:i/>
          <w:spacing w:val="7"/>
          <w:sz w:val="20"/>
        </w:rPr>
        <w:t> </w:t>
      </w:r>
      <w:r>
        <w:rPr>
          <w:rFonts w:ascii="Arial"/>
          <w:i/>
          <w:sz w:val="20"/>
        </w:rPr>
        <w:t>UKPC</w:t>
      </w:r>
      <w:r>
        <w:rPr>
          <w:rFonts w:ascii="Arial"/>
          <w:i/>
          <w:spacing w:val="7"/>
          <w:sz w:val="20"/>
        </w:rPr>
        <w:t> </w:t>
      </w:r>
      <w:r>
        <w:rPr>
          <w:rFonts w:ascii="Arial"/>
          <w:i/>
          <w:sz w:val="20"/>
        </w:rPr>
        <w:t>3,</w:t>
      </w:r>
      <w:r>
        <w:rPr>
          <w:rFonts w:ascii="Arial"/>
          <w:i/>
          <w:spacing w:val="7"/>
          <w:sz w:val="20"/>
        </w:rPr>
        <w:t> </w:t>
      </w:r>
      <w:r>
        <w:rPr>
          <w:rFonts w:ascii="Arial"/>
          <w:i/>
          <w:sz w:val="20"/>
        </w:rPr>
        <w:t>[2010]</w:t>
      </w:r>
      <w:r>
        <w:rPr>
          <w:rFonts w:ascii="Arial"/>
          <w:i/>
          <w:spacing w:val="7"/>
          <w:sz w:val="20"/>
        </w:rPr>
        <w:t> </w:t>
      </w:r>
      <w:r>
        <w:rPr>
          <w:rFonts w:ascii="Arial"/>
          <w:i/>
          <w:sz w:val="20"/>
        </w:rPr>
        <w:t>1</w:t>
      </w:r>
      <w:r>
        <w:rPr>
          <w:rFonts w:ascii="Arial"/>
          <w:i/>
          <w:spacing w:val="7"/>
          <w:sz w:val="20"/>
        </w:rPr>
        <w:t> </w:t>
      </w:r>
      <w:r>
        <w:rPr>
          <w:rFonts w:ascii="Arial"/>
          <w:i/>
          <w:sz w:val="20"/>
        </w:rPr>
        <w:t>All</w:t>
      </w:r>
      <w:r>
        <w:rPr>
          <w:rFonts w:ascii="Arial"/>
          <w:i/>
          <w:spacing w:val="7"/>
          <w:sz w:val="20"/>
        </w:rPr>
        <w:t> </w:t>
      </w:r>
      <w:r>
        <w:rPr>
          <w:rFonts w:ascii="Arial"/>
          <w:i/>
          <w:sz w:val="20"/>
        </w:rPr>
        <w:t>E.R.</w:t>
      </w:r>
      <w:r>
        <w:rPr>
          <w:rFonts w:ascii="Arial"/>
          <w:i/>
          <w:spacing w:val="7"/>
          <w:sz w:val="20"/>
        </w:rPr>
        <w:t> </w:t>
      </w:r>
      <w:r>
        <w:rPr>
          <w:rFonts w:ascii="Arial"/>
          <w:i/>
          <w:sz w:val="20"/>
        </w:rPr>
        <w:t>988</w:t>
      </w:r>
      <w:r>
        <w:rPr>
          <w:rFonts w:ascii="Arial"/>
          <w:i/>
          <w:spacing w:val="7"/>
          <w:sz w:val="20"/>
        </w:rPr>
        <w:t> </w:t>
      </w:r>
      <w:r>
        <w:rPr>
          <w:sz w:val="20"/>
        </w:rPr>
        <w:t>at</w:t>
      </w:r>
      <w:r>
        <w:rPr>
          <w:spacing w:val="7"/>
          <w:sz w:val="20"/>
        </w:rPr>
        <w:t> </w:t>
      </w:r>
      <w:r>
        <w:rPr>
          <w:sz w:val="20"/>
        </w:rPr>
        <w:t>[55];</w:t>
      </w:r>
      <w:r>
        <w:rPr>
          <w:spacing w:val="7"/>
          <w:sz w:val="20"/>
        </w:rPr>
        <w:t> </w:t>
      </w:r>
      <w:r>
        <w:rPr>
          <w:sz w:val="20"/>
        </w:rPr>
        <w:t>cf.</w:t>
      </w:r>
      <w:r>
        <w:rPr>
          <w:spacing w:val="7"/>
          <w:sz w:val="20"/>
        </w:rPr>
        <w:t> </w:t>
      </w:r>
      <w:r>
        <w:rPr>
          <w:rFonts w:ascii="Arial"/>
          <w:i/>
          <w:sz w:val="20"/>
        </w:rPr>
        <w:t>Suggitt</w:t>
      </w:r>
      <w:r>
        <w:rPr>
          <w:rFonts w:ascii="Arial"/>
          <w:i/>
          <w:spacing w:val="7"/>
          <w:sz w:val="20"/>
        </w:rPr>
        <w:t> </w:t>
      </w:r>
      <w:r>
        <w:rPr>
          <w:rFonts w:ascii="Arial"/>
          <w:i/>
          <w:sz w:val="20"/>
        </w:rPr>
        <w:t>v</w:t>
      </w:r>
      <w:r>
        <w:rPr>
          <w:rFonts w:ascii="Arial"/>
          <w:i/>
          <w:spacing w:val="7"/>
          <w:sz w:val="20"/>
        </w:rPr>
        <w:t> </w:t>
      </w:r>
      <w:r>
        <w:rPr>
          <w:rFonts w:ascii="Arial"/>
          <w:i/>
          <w:sz w:val="20"/>
        </w:rPr>
        <w:t>Suggitt</w:t>
      </w:r>
      <w:r>
        <w:rPr>
          <w:rFonts w:ascii="Arial"/>
          <w:i/>
          <w:spacing w:val="7"/>
          <w:sz w:val="20"/>
        </w:rPr>
        <w:t> </w:t>
      </w:r>
      <w:r>
        <w:rPr>
          <w:rFonts w:ascii="Arial"/>
          <w:i/>
          <w:sz w:val="20"/>
        </w:rPr>
        <w:t>[2011]</w:t>
      </w:r>
      <w:r>
        <w:rPr>
          <w:rFonts w:ascii="Arial"/>
          <w:i/>
          <w:spacing w:val="7"/>
          <w:sz w:val="20"/>
        </w:rPr>
        <w:t> </w:t>
      </w:r>
      <w:r>
        <w:rPr>
          <w:rFonts w:ascii="Arial"/>
          <w:i/>
          <w:spacing w:val="-4"/>
          <w:sz w:val="20"/>
        </w:rPr>
        <w:t>EWHC</w:t>
      </w:r>
    </w:p>
    <w:p>
      <w:pPr>
        <w:spacing w:line="225" w:lineRule="exact" w:before="0"/>
        <w:ind w:left="0" w:right="168" w:firstLine="0"/>
        <w:jc w:val="right"/>
        <w:rPr>
          <w:sz w:val="20"/>
        </w:rPr>
      </w:pPr>
      <w:r>
        <w:rPr>
          <w:rFonts w:ascii="Arial"/>
          <w:i/>
          <w:sz w:val="20"/>
        </w:rPr>
        <w:t>903</w:t>
      </w:r>
      <w:r>
        <w:rPr>
          <w:rFonts w:ascii="Arial"/>
          <w:i/>
          <w:spacing w:val="14"/>
          <w:sz w:val="20"/>
        </w:rPr>
        <w:t> </w:t>
      </w:r>
      <w:r>
        <w:rPr>
          <w:rFonts w:ascii="Arial"/>
          <w:i/>
          <w:sz w:val="20"/>
        </w:rPr>
        <w:t>(Ch),</w:t>
      </w:r>
      <w:r>
        <w:rPr>
          <w:rFonts w:ascii="Arial"/>
          <w:i/>
          <w:spacing w:val="16"/>
          <w:sz w:val="20"/>
        </w:rPr>
        <w:t> </w:t>
      </w:r>
      <w:r>
        <w:rPr>
          <w:rFonts w:ascii="Arial"/>
          <w:i/>
          <w:sz w:val="20"/>
        </w:rPr>
        <w:t>[2011]</w:t>
      </w:r>
      <w:r>
        <w:rPr>
          <w:rFonts w:ascii="Arial"/>
          <w:i/>
          <w:spacing w:val="16"/>
          <w:sz w:val="20"/>
        </w:rPr>
        <w:t> </w:t>
      </w:r>
      <w:r>
        <w:rPr>
          <w:rFonts w:ascii="Arial"/>
          <w:i/>
          <w:sz w:val="20"/>
        </w:rPr>
        <w:t>2</w:t>
      </w:r>
      <w:r>
        <w:rPr>
          <w:rFonts w:ascii="Arial"/>
          <w:i/>
          <w:spacing w:val="16"/>
          <w:sz w:val="20"/>
        </w:rPr>
        <w:t> </w:t>
      </w:r>
      <w:r>
        <w:rPr>
          <w:rFonts w:ascii="Arial"/>
          <w:i/>
          <w:sz w:val="20"/>
        </w:rPr>
        <w:t>F.L.R.</w:t>
      </w:r>
      <w:r>
        <w:rPr>
          <w:rFonts w:ascii="Arial"/>
          <w:i/>
          <w:spacing w:val="16"/>
          <w:sz w:val="20"/>
        </w:rPr>
        <w:t> </w:t>
      </w:r>
      <w:r>
        <w:rPr>
          <w:rFonts w:ascii="Arial"/>
          <w:i/>
          <w:sz w:val="20"/>
        </w:rPr>
        <w:t>875</w:t>
      </w:r>
      <w:r>
        <w:rPr>
          <w:rFonts w:ascii="Arial"/>
          <w:i/>
          <w:spacing w:val="16"/>
          <w:sz w:val="20"/>
        </w:rPr>
        <w:t> </w:t>
      </w:r>
      <w:r>
        <w:rPr>
          <w:sz w:val="20"/>
        </w:rPr>
        <w:t>at</w:t>
      </w:r>
      <w:r>
        <w:rPr>
          <w:spacing w:val="16"/>
          <w:sz w:val="20"/>
        </w:rPr>
        <w:t> </w:t>
      </w:r>
      <w:r>
        <w:rPr>
          <w:sz w:val="20"/>
        </w:rPr>
        <w:t>[59],</w:t>
      </w:r>
      <w:r>
        <w:rPr>
          <w:spacing w:val="16"/>
          <w:sz w:val="20"/>
        </w:rPr>
        <w:t> </w:t>
      </w:r>
      <w:r>
        <w:rPr>
          <w:sz w:val="20"/>
        </w:rPr>
        <w:t>affirmed</w:t>
      </w:r>
      <w:r>
        <w:rPr>
          <w:spacing w:val="16"/>
          <w:sz w:val="20"/>
        </w:rPr>
        <w:t> </w:t>
      </w:r>
      <w:r>
        <w:rPr>
          <w:rFonts w:ascii="Arial"/>
          <w:i/>
          <w:sz w:val="20"/>
        </w:rPr>
        <w:t>[2012]</w:t>
      </w:r>
      <w:r>
        <w:rPr>
          <w:rFonts w:ascii="Arial"/>
          <w:i/>
          <w:spacing w:val="16"/>
          <w:sz w:val="20"/>
        </w:rPr>
        <w:t> </w:t>
      </w:r>
      <w:r>
        <w:rPr>
          <w:rFonts w:ascii="Arial"/>
          <w:i/>
          <w:sz w:val="20"/>
        </w:rPr>
        <w:t>EWCA</w:t>
      </w:r>
      <w:r>
        <w:rPr>
          <w:rFonts w:ascii="Arial"/>
          <w:i/>
          <w:spacing w:val="16"/>
          <w:sz w:val="20"/>
        </w:rPr>
        <w:t> </w:t>
      </w:r>
      <w:r>
        <w:rPr>
          <w:rFonts w:ascii="Arial"/>
          <w:i/>
          <w:sz w:val="20"/>
        </w:rPr>
        <w:t>Civ</w:t>
      </w:r>
      <w:r>
        <w:rPr>
          <w:rFonts w:ascii="Arial"/>
          <w:i/>
          <w:spacing w:val="16"/>
          <w:sz w:val="20"/>
        </w:rPr>
        <w:t> </w:t>
      </w:r>
      <w:r>
        <w:rPr>
          <w:rFonts w:ascii="Arial"/>
          <w:i/>
          <w:sz w:val="20"/>
        </w:rPr>
        <w:t>1140,</w:t>
      </w:r>
      <w:r>
        <w:rPr>
          <w:rFonts w:ascii="Arial"/>
          <w:i/>
          <w:spacing w:val="16"/>
          <w:sz w:val="20"/>
        </w:rPr>
        <w:t> </w:t>
      </w:r>
      <w:r>
        <w:rPr>
          <w:rFonts w:ascii="Arial"/>
          <w:i/>
          <w:sz w:val="20"/>
        </w:rPr>
        <w:t>[2012]</w:t>
      </w:r>
      <w:r>
        <w:rPr>
          <w:rFonts w:ascii="Arial"/>
          <w:i/>
          <w:spacing w:val="16"/>
          <w:sz w:val="20"/>
        </w:rPr>
        <w:t> </w:t>
      </w:r>
      <w:r>
        <w:rPr>
          <w:rFonts w:ascii="Arial"/>
          <w:i/>
          <w:sz w:val="20"/>
        </w:rPr>
        <w:t>W.T.L.R.</w:t>
      </w:r>
      <w:r>
        <w:rPr>
          <w:rFonts w:ascii="Arial"/>
          <w:i/>
          <w:spacing w:val="16"/>
          <w:sz w:val="20"/>
        </w:rPr>
        <w:t> </w:t>
      </w:r>
      <w:r>
        <w:rPr>
          <w:rFonts w:ascii="Arial"/>
          <w:i/>
          <w:spacing w:val="-2"/>
          <w:sz w:val="20"/>
        </w:rPr>
        <w:t>1607</w:t>
      </w:r>
      <w:r>
        <w:rPr>
          <w:spacing w:val="-2"/>
          <w:sz w:val="20"/>
        </w:rPr>
        <w:t>,</w:t>
      </w:r>
    </w:p>
    <w:p>
      <w:pPr>
        <w:pStyle w:val="BodyText"/>
        <w:spacing w:line="227" w:lineRule="exact"/>
        <w:ind w:left="705"/>
      </w:pPr>
      <w:r>
        <w:rPr/>
        <w:t>where the Court of Appeal concluded at [38] that “there was sufficient reliance and </w:t>
      </w:r>
      <w:r>
        <w:rPr>
          <w:spacing w:val="-2"/>
        </w:rPr>
        <w:t>detriment”.</w:t>
      </w:r>
    </w:p>
    <w:p>
      <w:pPr>
        <w:pStyle w:val="BodyText"/>
        <w:spacing w:before="5"/>
      </w:pPr>
    </w:p>
    <w:p>
      <w:pPr>
        <w:spacing w:before="0"/>
        <w:ind w:left="165" w:right="0" w:firstLine="0"/>
        <w:jc w:val="left"/>
        <w:rPr>
          <w:sz w:val="20"/>
        </w:rPr>
      </w:pPr>
      <w:r>
        <w:rPr>
          <w:color w:val="005DA1"/>
          <w:position w:val="5"/>
          <w:sz w:val="14"/>
          <w:u w:val="single" w:color="005DA1"/>
        </w:rPr>
        <w:t>1019</w:t>
      </w:r>
      <w:r>
        <w:rPr>
          <w:position w:val="5"/>
          <w:sz w:val="14"/>
        </w:rPr>
        <w:t>.</w:t>
      </w:r>
      <w:r>
        <w:rPr>
          <w:spacing w:val="55"/>
          <w:position w:val="5"/>
          <w:sz w:val="14"/>
        </w:rPr>
        <w:t>  </w:t>
      </w:r>
      <w:r>
        <w:rPr>
          <w:sz w:val="20"/>
        </w:rPr>
        <w:t>By</w:t>
      </w:r>
      <w:r>
        <w:rPr>
          <w:spacing w:val="1"/>
          <w:sz w:val="20"/>
        </w:rPr>
        <w:t> </w:t>
      </w:r>
      <w:r>
        <w:rPr>
          <w:sz w:val="20"/>
        </w:rPr>
        <w:t>Lord Denning M.R. in</w:t>
      </w:r>
      <w:r>
        <w:rPr>
          <w:spacing w:val="-2"/>
          <w:sz w:val="20"/>
        </w:rPr>
        <w:t> </w:t>
      </w:r>
      <w:r>
        <w:rPr>
          <w:rFonts w:ascii="Arial"/>
          <w:i/>
          <w:sz w:val="20"/>
        </w:rPr>
        <w:t>Greasley v Cooke</w:t>
      </w:r>
      <w:r>
        <w:rPr>
          <w:sz w:val="20"/>
        </w:rPr>
        <w:t>, above n.963 at </w:t>
      </w:r>
      <w:r>
        <w:rPr>
          <w:spacing w:val="-2"/>
          <w:sz w:val="20"/>
        </w:rPr>
        <w:t>1311.</w:t>
      </w:r>
    </w:p>
    <w:p>
      <w:pPr>
        <w:pStyle w:val="BodyText"/>
        <w:spacing w:before="9"/>
      </w:pPr>
    </w:p>
    <w:p>
      <w:pPr>
        <w:spacing w:line="235" w:lineRule="auto" w:before="0"/>
        <w:ind w:left="705" w:right="167" w:hanging="541"/>
        <w:jc w:val="both"/>
        <w:rPr>
          <w:rFonts w:ascii="Arial" w:hAnsi="Arial"/>
          <w:i/>
          <w:sz w:val="20"/>
        </w:rPr>
      </w:pPr>
      <w:r>
        <w:rPr>
          <w:color w:val="005DA1"/>
          <w:position w:val="5"/>
          <w:sz w:val="14"/>
          <w:u w:val="single" w:color="005DA1"/>
        </w:rPr>
        <w:t>1020</w:t>
      </w:r>
      <w:r>
        <w:rPr>
          <w:position w:val="5"/>
          <w:sz w:val="14"/>
        </w:rPr>
        <w:t>.</w:t>
      </w:r>
      <w:r>
        <w:rPr>
          <w:spacing w:val="80"/>
          <w:position w:val="5"/>
          <w:sz w:val="14"/>
        </w:rPr>
        <w:t> </w:t>
      </w:r>
      <w:r>
        <w:rPr>
          <w:rFonts w:ascii="Arial" w:hAnsi="Arial"/>
          <w:i/>
          <w:sz w:val="20"/>
        </w:rPr>
        <w:t>Gillett v Holt [2001] Ch. 210 </w:t>
      </w:r>
      <w:r>
        <w:rPr>
          <w:sz w:val="20"/>
        </w:rPr>
        <w:t>at 232, a dictum cited with approval by Lord Neuberger in </w:t>
      </w:r>
      <w:r>
        <w:rPr>
          <w:rFonts w:ascii="Arial" w:hAnsi="Arial"/>
          <w:i/>
          <w:sz w:val="20"/>
        </w:rPr>
        <w:t>Fisher v Brooker [2009] UKHL 41, [2009] 1 W.L.R. 1764 </w:t>
      </w:r>
      <w:r>
        <w:rPr>
          <w:sz w:val="20"/>
        </w:rPr>
        <w:t>at [63], stating the requirement of detriment to be “part of a broad enquiry into unconscionability.” In that case the requirement was not satisfied: see</w:t>
      </w:r>
      <w:r>
        <w:rPr>
          <w:spacing w:val="2"/>
          <w:sz w:val="20"/>
        </w:rPr>
        <w:t> </w:t>
      </w:r>
      <w:r>
        <w:rPr>
          <w:sz w:val="20"/>
        </w:rPr>
        <w:t>at</w:t>
      </w:r>
      <w:r>
        <w:rPr>
          <w:spacing w:val="2"/>
          <w:sz w:val="20"/>
        </w:rPr>
        <w:t> </w:t>
      </w:r>
      <w:r>
        <w:rPr>
          <w:sz w:val="20"/>
        </w:rPr>
        <w:t>[63],</w:t>
      </w:r>
      <w:r>
        <w:rPr>
          <w:spacing w:val="2"/>
          <w:sz w:val="20"/>
        </w:rPr>
        <w:t> </w:t>
      </w:r>
      <w:r>
        <w:rPr>
          <w:sz w:val="20"/>
        </w:rPr>
        <w:t>[71]</w:t>
      </w:r>
      <w:r>
        <w:rPr>
          <w:spacing w:val="2"/>
          <w:sz w:val="20"/>
        </w:rPr>
        <w:t> </w:t>
      </w:r>
      <w:r>
        <w:rPr>
          <w:sz w:val="20"/>
        </w:rPr>
        <w:t>and</w:t>
      </w:r>
      <w:r>
        <w:rPr>
          <w:spacing w:val="2"/>
          <w:sz w:val="20"/>
        </w:rPr>
        <w:t> </w:t>
      </w:r>
      <w:r>
        <w:rPr>
          <w:sz w:val="20"/>
        </w:rPr>
        <w:t>[11];</w:t>
      </w:r>
      <w:r>
        <w:rPr>
          <w:spacing w:val="2"/>
          <w:sz w:val="20"/>
        </w:rPr>
        <w:t> </w:t>
      </w:r>
      <w:r>
        <w:rPr>
          <w:rFonts w:ascii="Arial" w:hAnsi="Arial"/>
          <w:i/>
          <w:sz w:val="20"/>
        </w:rPr>
        <w:t>Jennings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Rice</w:t>
      </w:r>
      <w:r>
        <w:rPr>
          <w:rFonts w:ascii="Arial" w:hAnsi="Arial"/>
          <w:i/>
          <w:spacing w:val="2"/>
          <w:sz w:val="20"/>
        </w:rPr>
        <w:t> </w:t>
      </w:r>
      <w:r>
        <w:rPr>
          <w:rFonts w:ascii="Arial" w:hAnsi="Arial"/>
          <w:i/>
          <w:sz w:val="20"/>
        </w:rPr>
        <w:t>[2002]</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159;</w:t>
      </w:r>
      <w:r>
        <w:rPr>
          <w:rFonts w:ascii="Arial" w:hAnsi="Arial"/>
          <w:i/>
          <w:spacing w:val="2"/>
          <w:sz w:val="20"/>
        </w:rPr>
        <w:t> </w:t>
      </w:r>
      <w:r>
        <w:rPr>
          <w:rFonts w:ascii="Arial" w:hAnsi="Arial"/>
          <w:i/>
          <w:sz w:val="20"/>
        </w:rPr>
        <w:t>[2002]</w:t>
      </w:r>
      <w:r>
        <w:rPr>
          <w:rFonts w:ascii="Arial" w:hAnsi="Arial"/>
          <w:i/>
          <w:spacing w:val="2"/>
          <w:sz w:val="20"/>
        </w:rPr>
        <w:t> </w:t>
      </w:r>
      <w:r>
        <w:rPr>
          <w:rFonts w:ascii="Arial" w:hAnsi="Arial"/>
          <w:i/>
          <w:sz w:val="20"/>
        </w:rPr>
        <w:t>W.T.L.R.</w:t>
      </w:r>
      <w:r>
        <w:rPr>
          <w:rFonts w:ascii="Arial" w:hAnsi="Arial"/>
          <w:i/>
          <w:spacing w:val="2"/>
          <w:sz w:val="20"/>
        </w:rPr>
        <w:t> </w:t>
      </w:r>
      <w:r>
        <w:rPr>
          <w:rFonts w:ascii="Arial" w:hAnsi="Arial"/>
          <w:i/>
          <w:spacing w:val="-5"/>
          <w:sz w:val="20"/>
        </w:rPr>
        <w:t>367</w:t>
      </w:r>
    </w:p>
    <w:p>
      <w:pPr>
        <w:spacing w:line="222" w:lineRule="exact" w:before="0"/>
        <w:ind w:left="705" w:right="0" w:firstLine="0"/>
        <w:jc w:val="left"/>
        <w:rPr>
          <w:rFonts w:ascii="Arial"/>
          <w:i/>
          <w:sz w:val="20"/>
        </w:rPr>
      </w:pPr>
      <w:r>
        <w:rPr>
          <w:sz w:val="20"/>
        </w:rPr>
        <w:t>at [21], [42];</w:t>
      </w:r>
      <w:r>
        <w:rPr>
          <w:spacing w:val="1"/>
          <w:sz w:val="20"/>
        </w:rPr>
        <w:t> </w:t>
      </w:r>
      <w:r>
        <w:rPr>
          <w:rFonts w:ascii="Arial"/>
          <w:i/>
          <w:sz w:val="20"/>
        </w:rPr>
        <w:t>Kinane v Mackie-Conteh [2005] EWCA Civ 45, [2005] W.T.L.R. 345 </w:t>
      </w:r>
      <w:r>
        <w:rPr>
          <w:sz w:val="20"/>
        </w:rPr>
        <w:t>at [29]; </w:t>
      </w:r>
      <w:r>
        <w:rPr>
          <w:rFonts w:ascii="Arial"/>
          <w:i/>
          <w:spacing w:val="-2"/>
          <w:sz w:val="20"/>
        </w:rPr>
        <w:t>Hopper</w:t>
      </w:r>
    </w:p>
    <w:p>
      <w:pPr>
        <w:spacing w:line="227" w:lineRule="exact" w:before="0"/>
        <w:ind w:left="705" w:right="0" w:firstLine="0"/>
        <w:jc w:val="left"/>
        <w:rPr>
          <w:sz w:val="20"/>
        </w:rPr>
      </w:pPr>
      <w:r>
        <w:rPr>
          <w:rFonts w:ascii="Arial"/>
          <w:i/>
          <w:sz w:val="20"/>
        </w:rPr>
        <w:t>v Hopper [2008] EWHC 228 (CL), [2008] I F.C.R 557</w:t>
      </w:r>
      <w:r>
        <w:rPr>
          <w:rFonts w:ascii="Arial"/>
          <w:i/>
          <w:spacing w:val="-1"/>
          <w:sz w:val="20"/>
        </w:rPr>
        <w:t> </w:t>
      </w:r>
      <w:r>
        <w:rPr>
          <w:sz w:val="20"/>
        </w:rPr>
        <w:t>at </w:t>
      </w:r>
      <w:r>
        <w:rPr>
          <w:spacing w:val="-2"/>
          <w:sz w:val="20"/>
        </w:rPr>
        <w:t>[111].</w:t>
      </w:r>
    </w:p>
    <w:p>
      <w:pPr>
        <w:pStyle w:val="BodyText"/>
        <w:spacing w:before="5"/>
      </w:pPr>
    </w:p>
    <w:p>
      <w:pPr>
        <w:spacing w:before="0"/>
        <w:ind w:left="165" w:right="0" w:firstLine="0"/>
        <w:jc w:val="left"/>
        <w:rPr>
          <w:sz w:val="20"/>
        </w:rPr>
      </w:pPr>
      <w:r>
        <w:rPr>
          <w:color w:val="005DA1"/>
          <w:position w:val="5"/>
          <w:sz w:val="14"/>
          <w:u w:val="single" w:color="005DA1"/>
        </w:rPr>
        <w:t>1021</w:t>
      </w:r>
      <w:r>
        <w:rPr>
          <w:position w:val="5"/>
          <w:sz w:val="14"/>
        </w:rPr>
        <w:t>.</w:t>
      </w:r>
      <w:r>
        <w:rPr>
          <w:spacing w:val="55"/>
          <w:position w:val="5"/>
          <w:sz w:val="14"/>
        </w:rPr>
        <w:t>  </w:t>
      </w:r>
      <w:r>
        <w:rPr>
          <w:rFonts w:ascii="Arial"/>
          <w:i/>
          <w:sz w:val="20"/>
        </w:rPr>
        <w:t>Gillett</w:t>
      </w:r>
      <w:r>
        <w:rPr>
          <w:rFonts w:ascii="Arial"/>
          <w:i/>
          <w:spacing w:val="1"/>
          <w:sz w:val="20"/>
        </w:rPr>
        <w:t> </w:t>
      </w:r>
      <w:r>
        <w:rPr>
          <w:rFonts w:ascii="Arial"/>
          <w:i/>
          <w:sz w:val="20"/>
        </w:rPr>
        <w:t>v</w:t>
      </w:r>
      <w:r>
        <w:rPr>
          <w:rFonts w:ascii="Arial"/>
          <w:i/>
          <w:spacing w:val="-1"/>
          <w:sz w:val="20"/>
        </w:rPr>
        <w:t> </w:t>
      </w:r>
      <w:r>
        <w:rPr>
          <w:rFonts w:ascii="Arial"/>
          <w:i/>
          <w:sz w:val="20"/>
        </w:rPr>
        <w:t>Holt</w:t>
      </w:r>
      <w:r>
        <w:rPr>
          <w:sz w:val="20"/>
        </w:rPr>
        <w:t>, above n.966, at </w:t>
      </w:r>
      <w:r>
        <w:rPr>
          <w:spacing w:val="-4"/>
          <w:sz w:val="20"/>
        </w:rPr>
        <w:t>232.</w:t>
      </w:r>
    </w:p>
    <w:p>
      <w:pPr>
        <w:pStyle w:val="BodyText"/>
        <w:spacing w:before="8"/>
      </w:pPr>
    </w:p>
    <w:p>
      <w:pPr>
        <w:pStyle w:val="BodyText"/>
        <w:spacing w:line="235" w:lineRule="auto" w:before="1"/>
        <w:ind w:left="705" w:right="167" w:hanging="541"/>
        <w:jc w:val="both"/>
      </w:pPr>
      <w:r>
        <w:rPr>
          <w:color w:val="005DA1"/>
          <w:position w:val="5"/>
          <w:sz w:val="14"/>
          <w:u w:val="single" w:color="005DA1"/>
        </w:rPr>
        <w:t>1022</w:t>
      </w:r>
      <w:r>
        <w:rPr>
          <w:position w:val="5"/>
          <w:sz w:val="14"/>
        </w:rPr>
        <w:t>.</w:t>
      </w:r>
      <w:r>
        <w:rPr>
          <w:spacing w:val="80"/>
          <w:w w:val="150"/>
          <w:position w:val="5"/>
          <w:sz w:val="14"/>
        </w:rPr>
        <w:t> </w:t>
      </w:r>
      <w:r>
        <w:rPr/>
        <w:t>ibid. For the question, by reference to what time the test of unconscionability is to be applied, see also </w:t>
      </w:r>
      <w:r>
        <w:rPr>
          <w:rFonts w:ascii="Arial" w:hAnsi="Arial"/>
          <w:i/>
        </w:rPr>
        <w:t>Mulholland v Kane [2009] N.I.Ch. 9 </w:t>
      </w:r>
      <w:r>
        <w:rPr/>
        <w:t>where a man had assured a woman 27 years his junior,</w:t>
      </w:r>
      <w:r>
        <w:rPr>
          <w:spacing w:val="-3"/>
        </w:rPr>
        <w:t> </w:t>
      </w:r>
      <w:r>
        <w:rPr/>
        <w:t>with</w:t>
      </w:r>
      <w:r>
        <w:rPr>
          <w:spacing w:val="-3"/>
        </w:rPr>
        <w:t> </w:t>
      </w:r>
      <w:r>
        <w:rPr/>
        <w:t>whom</w:t>
      </w:r>
      <w:r>
        <w:rPr>
          <w:spacing w:val="-3"/>
        </w:rPr>
        <w:t> </w:t>
      </w:r>
      <w:r>
        <w:rPr/>
        <w:t>he</w:t>
      </w:r>
      <w:r>
        <w:rPr>
          <w:spacing w:val="-3"/>
        </w:rPr>
        <w:t> </w:t>
      </w:r>
      <w:r>
        <w:rPr/>
        <w:t>had</w:t>
      </w:r>
      <w:r>
        <w:rPr>
          <w:spacing w:val="-3"/>
        </w:rPr>
        <w:t> </w:t>
      </w:r>
      <w:r>
        <w:rPr/>
        <w:t>formed</w:t>
      </w:r>
      <w:r>
        <w:rPr>
          <w:spacing w:val="-3"/>
        </w:rPr>
        <w:t> </w:t>
      </w:r>
      <w:r>
        <w:rPr/>
        <w:t>a</w:t>
      </w:r>
      <w:r>
        <w:rPr>
          <w:spacing w:val="-3"/>
        </w:rPr>
        <w:t> </w:t>
      </w:r>
      <w:r>
        <w:rPr/>
        <w:t>relationship</w:t>
      </w:r>
      <w:r>
        <w:rPr>
          <w:spacing w:val="-3"/>
        </w:rPr>
        <w:t> </w:t>
      </w:r>
      <w:r>
        <w:rPr/>
        <w:t>which</w:t>
      </w:r>
      <w:r>
        <w:rPr>
          <w:spacing w:val="-3"/>
        </w:rPr>
        <w:t> </w:t>
      </w:r>
      <w:r>
        <w:rPr/>
        <w:t>became</w:t>
      </w:r>
      <w:r>
        <w:rPr>
          <w:spacing w:val="-3"/>
        </w:rPr>
        <w:t> </w:t>
      </w:r>
      <w:r>
        <w:rPr/>
        <w:t>sexual,</w:t>
      </w:r>
      <w:r>
        <w:rPr>
          <w:spacing w:val="-3"/>
        </w:rPr>
        <w:t> </w:t>
      </w:r>
      <w:r>
        <w:rPr/>
        <w:t>and</w:t>
      </w:r>
      <w:r>
        <w:rPr>
          <w:spacing w:val="-3"/>
        </w:rPr>
        <w:t> </w:t>
      </w:r>
      <w:r>
        <w:rPr/>
        <w:t>which</w:t>
      </w:r>
      <w:r>
        <w:rPr>
          <w:spacing w:val="-3"/>
        </w:rPr>
        <w:t> </w:t>
      </w:r>
      <w:r>
        <w:rPr/>
        <w:t>endured</w:t>
      </w:r>
      <w:r>
        <w:rPr>
          <w:spacing w:val="-3"/>
        </w:rPr>
        <w:t> </w:t>
      </w:r>
      <w:r>
        <w:rPr/>
        <w:t>for</w:t>
      </w:r>
      <w:r>
        <w:rPr>
          <w:spacing w:val="-3"/>
        </w:rPr>
        <w:t> </w:t>
      </w:r>
      <w:r>
        <w:rPr/>
        <w:t>30 years during which she had helped him on his farm and cared for him, that “she would always have a roof over her head and some land” (at [5]; cf. at [19]). She had acted to her detriment in various ways in reliance on these assurances; and although he had not deliberately deprived her of the expectations he had created, his “inertia and failure to make some … disposition for her” by will was unconscionable and gave rise to a proprietary estoppel, on his death intestate, against his estate.</w:t>
      </w:r>
    </w:p>
    <w:p>
      <w:pPr>
        <w:pStyle w:val="BodyText"/>
        <w:spacing w:before="2"/>
      </w:pPr>
    </w:p>
    <w:p>
      <w:pPr>
        <w:spacing w:line="227" w:lineRule="exact" w:before="0"/>
        <w:ind w:left="165" w:right="0" w:firstLine="0"/>
        <w:jc w:val="left"/>
        <w:rPr>
          <w:rFonts w:ascii="Arial"/>
          <w:i/>
          <w:sz w:val="20"/>
        </w:rPr>
      </w:pPr>
      <w:r>
        <w:rPr>
          <w:color w:val="005DA1"/>
          <w:position w:val="5"/>
          <w:sz w:val="14"/>
          <w:u w:val="single" w:color="005DA1"/>
        </w:rPr>
        <w:t>1023</w:t>
      </w:r>
      <w:r>
        <w:rPr>
          <w:position w:val="5"/>
          <w:sz w:val="14"/>
        </w:rPr>
        <w:t>.</w:t>
      </w:r>
      <w:r>
        <w:rPr>
          <w:spacing w:val="55"/>
          <w:position w:val="5"/>
          <w:sz w:val="14"/>
        </w:rPr>
        <w:t>  </w:t>
      </w:r>
      <w:r>
        <w:rPr>
          <w:rFonts w:ascii="Arial"/>
          <w:i/>
          <w:sz w:val="20"/>
        </w:rPr>
        <w:t>Greasley</w:t>
      </w:r>
      <w:r>
        <w:rPr>
          <w:rFonts w:ascii="Arial"/>
          <w:i/>
          <w:spacing w:val="22"/>
          <w:sz w:val="20"/>
        </w:rPr>
        <w:t> </w:t>
      </w:r>
      <w:r>
        <w:rPr>
          <w:rFonts w:ascii="Arial"/>
          <w:i/>
          <w:sz w:val="20"/>
        </w:rPr>
        <w:t>v</w:t>
      </w:r>
      <w:r>
        <w:rPr>
          <w:rFonts w:ascii="Arial"/>
          <w:i/>
          <w:spacing w:val="21"/>
          <w:sz w:val="20"/>
        </w:rPr>
        <w:t> </w:t>
      </w:r>
      <w:r>
        <w:rPr>
          <w:rFonts w:ascii="Arial"/>
          <w:i/>
          <w:sz w:val="20"/>
        </w:rPr>
        <w:t>Cooke</w:t>
      </w:r>
      <w:r>
        <w:rPr>
          <w:sz w:val="20"/>
        </w:rPr>
        <w:t>,</w:t>
      </w:r>
      <w:r>
        <w:rPr>
          <w:spacing w:val="21"/>
          <w:sz w:val="20"/>
        </w:rPr>
        <w:t> </w:t>
      </w:r>
      <w:r>
        <w:rPr>
          <w:sz w:val="20"/>
        </w:rPr>
        <w:t>above</w:t>
      </w:r>
      <w:r>
        <w:rPr>
          <w:spacing w:val="21"/>
          <w:sz w:val="20"/>
        </w:rPr>
        <w:t> </w:t>
      </w:r>
      <w:r>
        <w:rPr>
          <w:sz w:val="20"/>
        </w:rPr>
        <w:t>n.963;</w:t>
      </w:r>
      <w:r>
        <w:rPr>
          <w:spacing w:val="20"/>
          <w:sz w:val="20"/>
        </w:rPr>
        <w:t> </w:t>
      </w:r>
      <w:r>
        <w:rPr>
          <w:rFonts w:ascii="Arial"/>
          <w:i/>
          <w:sz w:val="20"/>
        </w:rPr>
        <w:t>Grant</w:t>
      </w:r>
      <w:r>
        <w:rPr>
          <w:rFonts w:ascii="Arial"/>
          <w:i/>
          <w:spacing w:val="21"/>
          <w:sz w:val="20"/>
        </w:rPr>
        <w:t> </w:t>
      </w:r>
      <w:r>
        <w:rPr>
          <w:rFonts w:ascii="Arial"/>
          <w:i/>
          <w:sz w:val="20"/>
        </w:rPr>
        <w:t>v</w:t>
      </w:r>
      <w:r>
        <w:rPr>
          <w:rFonts w:ascii="Arial"/>
          <w:i/>
          <w:spacing w:val="21"/>
          <w:sz w:val="20"/>
        </w:rPr>
        <w:t> </w:t>
      </w:r>
      <w:r>
        <w:rPr>
          <w:rFonts w:ascii="Arial"/>
          <w:i/>
          <w:sz w:val="20"/>
        </w:rPr>
        <w:t>Edwards</w:t>
      </w:r>
      <w:r>
        <w:rPr>
          <w:rFonts w:ascii="Arial"/>
          <w:i/>
          <w:spacing w:val="21"/>
          <w:sz w:val="20"/>
        </w:rPr>
        <w:t> </w:t>
      </w:r>
      <w:r>
        <w:rPr>
          <w:rFonts w:ascii="Arial"/>
          <w:i/>
          <w:sz w:val="20"/>
        </w:rPr>
        <w:t>[1986]</w:t>
      </w:r>
      <w:r>
        <w:rPr>
          <w:rFonts w:ascii="Arial"/>
          <w:i/>
          <w:spacing w:val="21"/>
          <w:sz w:val="20"/>
        </w:rPr>
        <w:t> </w:t>
      </w:r>
      <w:r>
        <w:rPr>
          <w:rFonts w:ascii="Arial"/>
          <w:i/>
          <w:sz w:val="20"/>
        </w:rPr>
        <w:t>Ch.</w:t>
      </w:r>
      <w:r>
        <w:rPr>
          <w:rFonts w:ascii="Arial"/>
          <w:i/>
          <w:spacing w:val="20"/>
          <w:sz w:val="20"/>
        </w:rPr>
        <w:t> </w:t>
      </w:r>
      <w:r>
        <w:rPr>
          <w:rFonts w:ascii="Arial"/>
          <w:i/>
          <w:sz w:val="20"/>
        </w:rPr>
        <w:t>638,</w:t>
      </w:r>
      <w:r>
        <w:rPr>
          <w:rFonts w:ascii="Arial"/>
          <w:i/>
          <w:spacing w:val="21"/>
          <w:sz w:val="20"/>
        </w:rPr>
        <w:t> </w:t>
      </w:r>
      <w:r>
        <w:rPr>
          <w:rFonts w:ascii="Arial"/>
          <w:i/>
          <w:sz w:val="20"/>
        </w:rPr>
        <w:t>657</w:t>
      </w:r>
      <w:r>
        <w:rPr>
          <w:sz w:val="20"/>
        </w:rPr>
        <w:t>;</w:t>
      </w:r>
      <w:r>
        <w:rPr>
          <w:spacing w:val="21"/>
          <w:sz w:val="20"/>
        </w:rPr>
        <w:t> </w:t>
      </w:r>
      <w:r>
        <w:rPr>
          <w:rFonts w:ascii="Arial"/>
          <w:i/>
          <w:sz w:val="20"/>
        </w:rPr>
        <w:t>Re</w:t>
      </w:r>
      <w:r>
        <w:rPr>
          <w:rFonts w:ascii="Arial"/>
          <w:i/>
          <w:spacing w:val="21"/>
          <w:sz w:val="20"/>
        </w:rPr>
        <w:t> </w:t>
      </w:r>
      <w:r>
        <w:rPr>
          <w:rFonts w:ascii="Arial"/>
          <w:i/>
          <w:sz w:val="20"/>
        </w:rPr>
        <w:t>Basham</w:t>
      </w:r>
      <w:r>
        <w:rPr>
          <w:rFonts w:ascii="Arial"/>
          <w:i/>
          <w:spacing w:val="21"/>
          <w:sz w:val="20"/>
        </w:rPr>
        <w:t> </w:t>
      </w:r>
      <w:r>
        <w:rPr>
          <w:rFonts w:ascii="Arial"/>
          <w:i/>
          <w:sz w:val="20"/>
        </w:rPr>
        <w:t>[1986]</w:t>
      </w:r>
      <w:r>
        <w:rPr>
          <w:rFonts w:ascii="Arial"/>
          <w:i/>
          <w:spacing w:val="21"/>
          <w:sz w:val="20"/>
        </w:rPr>
        <w:t> </w:t>
      </w:r>
      <w:r>
        <w:rPr>
          <w:rFonts w:ascii="Arial"/>
          <w:i/>
          <w:spacing w:val="-10"/>
          <w:sz w:val="20"/>
        </w:rPr>
        <w:t>1</w:t>
      </w:r>
    </w:p>
    <w:p>
      <w:pPr>
        <w:spacing w:line="235" w:lineRule="auto" w:before="2"/>
        <w:ind w:left="705" w:right="0" w:firstLine="0"/>
        <w:jc w:val="left"/>
        <w:rPr>
          <w:rFonts w:ascii="Arial"/>
          <w:i/>
          <w:sz w:val="20"/>
        </w:rPr>
      </w:pPr>
      <w:r>
        <w:rPr>
          <w:rFonts w:ascii="Arial"/>
          <w:i/>
          <w:sz w:val="20"/>
        </w:rPr>
        <w:t>W.L.R. 1498</w:t>
      </w:r>
      <w:r>
        <w:rPr>
          <w:sz w:val="20"/>
        </w:rPr>
        <w:t>; </w:t>
      </w:r>
      <w:r>
        <w:rPr>
          <w:rFonts w:ascii="Arial"/>
          <w:i/>
          <w:sz w:val="20"/>
        </w:rPr>
        <w:t>Hammersmith &amp; Fulham BC v Top Shop Centres Ltd [1990] Ch. 237</w:t>
      </w:r>
      <w:r>
        <w:rPr>
          <w:sz w:val="20"/>
        </w:rPr>
        <w:t>; </w:t>
      </w:r>
      <w:r>
        <w:rPr>
          <w:rFonts w:ascii="Arial"/>
          <w:i/>
          <w:sz w:val="20"/>
        </w:rPr>
        <w:t>Wayling v</w:t>
      </w:r>
      <w:r>
        <w:rPr>
          <w:rFonts w:ascii="Arial"/>
          <w:i/>
          <w:spacing w:val="40"/>
          <w:sz w:val="20"/>
        </w:rPr>
        <w:t> </w:t>
      </w:r>
      <w:r>
        <w:rPr>
          <w:rFonts w:ascii="Arial"/>
          <w:i/>
          <w:sz w:val="20"/>
        </w:rPr>
        <w:t>Jones</w:t>
      </w:r>
      <w:r>
        <w:rPr>
          <w:rFonts w:ascii="Arial"/>
          <w:i/>
          <w:spacing w:val="8"/>
          <w:sz w:val="20"/>
        </w:rPr>
        <w:t> </w:t>
      </w:r>
      <w:r>
        <w:rPr>
          <w:rFonts w:ascii="Arial"/>
          <w:i/>
          <w:sz w:val="20"/>
        </w:rPr>
        <w:t>(1993)</w:t>
      </w:r>
      <w:r>
        <w:rPr>
          <w:rFonts w:ascii="Arial"/>
          <w:i/>
          <w:spacing w:val="11"/>
          <w:sz w:val="20"/>
        </w:rPr>
        <w:t> </w:t>
      </w:r>
      <w:r>
        <w:rPr>
          <w:rFonts w:ascii="Arial"/>
          <w:i/>
          <w:sz w:val="20"/>
        </w:rPr>
        <w:t>69</w:t>
      </w:r>
      <w:r>
        <w:rPr>
          <w:rFonts w:ascii="Arial"/>
          <w:i/>
          <w:spacing w:val="11"/>
          <w:sz w:val="20"/>
        </w:rPr>
        <w:t> </w:t>
      </w:r>
      <w:r>
        <w:rPr>
          <w:rFonts w:ascii="Arial"/>
          <w:i/>
          <w:sz w:val="20"/>
        </w:rPr>
        <w:t>P.</w:t>
      </w:r>
      <w:r>
        <w:rPr>
          <w:rFonts w:ascii="Arial"/>
          <w:i/>
          <w:spacing w:val="11"/>
          <w:sz w:val="20"/>
        </w:rPr>
        <w:t> </w:t>
      </w:r>
      <w:r>
        <w:rPr>
          <w:rFonts w:ascii="Arial"/>
          <w:i/>
          <w:sz w:val="20"/>
        </w:rPr>
        <w:t>&amp;</w:t>
      </w:r>
      <w:r>
        <w:rPr>
          <w:rFonts w:ascii="Arial"/>
          <w:i/>
          <w:spacing w:val="11"/>
          <w:sz w:val="20"/>
        </w:rPr>
        <w:t> </w:t>
      </w:r>
      <w:r>
        <w:rPr>
          <w:rFonts w:ascii="Arial"/>
          <w:i/>
          <w:sz w:val="20"/>
        </w:rPr>
        <w:t>C.R.</w:t>
      </w:r>
      <w:r>
        <w:rPr>
          <w:rFonts w:ascii="Arial"/>
          <w:i/>
          <w:spacing w:val="11"/>
          <w:sz w:val="20"/>
        </w:rPr>
        <w:t> </w:t>
      </w:r>
      <w:r>
        <w:rPr>
          <w:rFonts w:ascii="Arial"/>
          <w:i/>
          <w:sz w:val="20"/>
        </w:rPr>
        <w:t>170,</w:t>
      </w:r>
      <w:r>
        <w:rPr>
          <w:rFonts w:ascii="Arial"/>
          <w:i/>
          <w:spacing w:val="11"/>
          <w:sz w:val="20"/>
        </w:rPr>
        <w:t> </w:t>
      </w:r>
      <w:r>
        <w:rPr>
          <w:rFonts w:ascii="Arial"/>
          <w:i/>
          <w:sz w:val="20"/>
        </w:rPr>
        <w:t>172</w:t>
      </w:r>
      <w:r>
        <w:rPr>
          <w:sz w:val="20"/>
        </w:rPr>
        <w:t>;</w:t>
      </w:r>
      <w:r>
        <w:rPr>
          <w:spacing w:val="11"/>
          <w:sz w:val="20"/>
        </w:rPr>
        <w:t> </w:t>
      </w:r>
      <w:r>
        <w:rPr>
          <w:rFonts w:ascii="Arial"/>
          <w:i/>
          <w:sz w:val="20"/>
        </w:rPr>
        <w:t>Thompson</w:t>
      </w:r>
      <w:r>
        <w:rPr>
          <w:rFonts w:ascii="Arial"/>
          <w:i/>
          <w:spacing w:val="11"/>
          <w:sz w:val="20"/>
        </w:rPr>
        <w:t> </w:t>
      </w:r>
      <w:r>
        <w:rPr>
          <w:rFonts w:ascii="Arial"/>
          <w:i/>
          <w:sz w:val="20"/>
        </w:rPr>
        <w:t>v</w:t>
      </w:r>
      <w:r>
        <w:rPr>
          <w:rFonts w:ascii="Arial"/>
          <w:i/>
          <w:spacing w:val="11"/>
          <w:sz w:val="20"/>
        </w:rPr>
        <w:t> </w:t>
      </w:r>
      <w:r>
        <w:rPr>
          <w:rFonts w:ascii="Arial"/>
          <w:i/>
          <w:sz w:val="20"/>
        </w:rPr>
        <w:t>Foy</w:t>
      </w:r>
      <w:r>
        <w:rPr>
          <w:rFonts w:ascii="Arial"/>
          <w:i/>
          <w:spacing w:val="11"/>
          <w:sz w:val="20"/>
        </w:rPr>
        <w:t> </w:t>
      </w:r>
      <w:r>
        <w:rPr>
          <w:rFonts w:ascii="Arial"/>
          <w:i/>
          <w:sz w:val="20"/>
        </w:rPr>
        <w:t>[2009]</w:t>
      </w:r>
      <w:r>
        <w:rPr>
          <w:rFonts w:ascii="Arial"/>
          <w:i/>
          <w:spacing w:val="11"/>
          <w:sz w:val="20"/>
        </w:rPr>
        <w:t> </w:t>
      </w:r>
      <w:r>
        <w:rPr>
          <w:rFonts w:ascii="Arial"/>
          <w:i/>
          <w:sz w:val="20"/>
        </w:rPr>
        <w:t>EWHC</w:t>
      </w:r>
      <w:r>
        <w:rPr>
          <w:rFonts w:ascii="Arial"/>
          <w:i/>
          <w:spacing w:val="11"/>
          <w:sz w:val="20"/>
        </w:rPr>
        <w:t> </w:t>
      </w:r>
      <w:r>
        <w:rPr>
          <w:rFonts w:ascii="Arial"/>
          <w:i/>
          <w:sz w:val="20"/>
        </w:rPr>
        <w:t>1076</w:t>
      </w:r>
      <w:r>
        <w:rPr>
          <w:rFonts w:ascii="Arial"/>
          <w:i/>
          <w:spacing w:val="11"/>
          <w:sz w:val="20"/>
        </w:rPr>
        <w:t> </w:t>
      </w:r>
      <w:r>
        <w:rPr>
          <w:rFonts w:ascii="Arial"/>
          <w:i/>
          <w:sz w:val="20"/>
        </w:rPr>
        <w:t>(Ch),</w:t>
      </w:r>
      <w:r>
        <w:rPr>
          <w:rFonts w:ascii="Arial"/>
          <w:i/>
          <w:spacing w:val="11"/>
          <w:sz w:val="20"/>
        </w:rPr>
        <w:t> </w:t>
      </w:r>
      <w:r>
        <w:rPr>
          <w:rFonts w:ascii="Arial"/>
          <w:i/>
          <w:sz w:val="20"/>
        </w:rPr>
        <w:t>[2010]</w:t>
      </w:r>
      <w:r>
        <w:rPr>
          <w:rFonts w:ascii="Arial"/>
          <w:i/>
          <w:spacing w:val="11"/>
          <w:sz w:val="20"/>
        </w:rPr>
        <w:t> </w:t>
      </w:r>
      <w:r>
        <w:rPr>
          <w:rFonts w:ascii="Arial"/>
          <w:i/>
          <w:sz w:val="20"/>
        </w:rPr>
        <w:t>1</w:t>
      </w:r>
      <w:r>
        <w:rPr>
          <w:rFonts w:ascii="Arial"/>
          <w:i/>
          <w:spacing w:val="11"/>
          <w:sz w:val="20"/>
        </w:rPr>
        <w:t> </w:t>
      </w:r>
      <w:r>
        <w:rPr>
          <w:rFonts w:ascii="Arial"/>
          <w:i/>
          <w:sz w:val="20"/>
        </w:rPr>
        <w:t>P.</w:t>
      </w:r>
      <w:r>
        <w:rPr>
          <w:rFonts w:ascii="Arial"/>
          <w:i/>
          <w:spacing w:val="11"/>
          <w:sz w:val="20"/>
        </w:rPr>
        <w:t> </w:t>
      </w:r>
      <w:r>
        <w:rPr>
          <w:rFonts w:ascii="Arial"/>
          <w:i/>
          <w:spacing w:val="-10"/>
          <w:sz w:val="20"/>
        </w:rPr>
        <w:t>&amp;</w:t>
      </w:r>
    </w:p>
    <w:p>
      <w:pPr>
        <w:spacing w:line="225" w:lineRule="exact" w:before="0"/>
        <w:ind w:left="705" w:right="0" w:firstLine="0"/>
        <w:jc w:val="left"/>
        <w:rPr>
          <w:sz w:val="20"/>
        </w:rPr>
      </w:pPr>
      <w:r>
        <w:rPr>
          <w:rFonts w:ascii="Arial"/>
          <w:i/>
          <w:sz w:val="20"/>
        </w:rPr>
        <w:t>C.R. 16</w:t>
      </w:r>
      <w:r>
        <w:rPr>
          <w:rFonts w:ascii="Arial"/>
          <w:i/>
          <w:spacing w:val="-1"/>
          <w:sz w:val="20"/>
        </w:rPr>
        <w:t> </w:t>
      </w:r>
      <w:r>
        <w:rPr>
          <w:sz w:val="20"/>
        </w:rPr>
        <w:t>at </w:t>
      </w:r>
      <w:r>
        <w:rPr>
          <w:spacing w:val="-2"/>
          <w:sz w:val="20"/>
        </w:rPr>
        <w:t>[94].</w:t>
      </w:r>
    </w:p>
    <w:p>
      <w:pPr>
        <w:pStyle w:val="BodyText"/>
        <w:spacing w:before="4"/>
      </w:pPr>
    </w:p>
    <w:p>
      <w:pPr>
        <w:spacing w:before="1"/>
        <w:ind w:left="165" w:right="0" w:firstLine="0"/>
        <w:jc w:val="left"/>
        <w:rPr>
          <w:sz w:val="20"/>
        </w:rPr>
      </w:pPr>
      <w:r>
        <w:rPr>
          <w:color w:val="005DA1"/>
          <w:position w:val="5"/>
          <w:sz w:val="14"/>
          <w:u w:val="single" w:color="005DA1"/>
        </w:rPr>
        <w:t>1024</w:t>
      </w:r>
      <w:r>
        <w:rPr>
          <w:position w:val="5"/>
          <w:sz w:val="14"/>
        </w:rPr>
        <w:t>.</w:t>
      </w:r>
      <w:r>
        <w:rPr>
          <w:spacing w:val="55"/>
          <w:position w:val="5"/>
          <w:sz w:val="14"/>
        </w:rPr>
        <w:t>  </w:t>
      </w:r>
      <w:r>
        <w:rPr>
          <w:sz w:val="20"/>
        </w:rPr>
        <w:t>Above,</w:t>
      </w:r>
      <w:r>
        <w:rPr>
          <w:spacing w:val="1"/>
          <w:sz w:val="20"/>
        </w:rPr>
        <w:t> </w:t>
      </w:r>
      <w:r>
        <w:rPr>
          <w:sz w:val="20"/>
        </w:rPr>
        <w:t>para.4-</w:t>
      </w:r>
      <w:r>
        <w:rPr>
          <w:spacing w:val="-4"/>
          <w:sz w:val="20"/>
        </w:rPr>
        <w:t>140.</w:t>
      </w:r>
    </w:p>
    <w:p>
      <w:pPr>
        <w:pStyle w:val="BodyText"/>
        <w:spacing w:before="8"/>
      </w:pPr>
    </w:p>
    <w:p>
      <w:pPr>
        <w:spacing w:line="235" w:lineRule="auto" w:before="0"/>
        <w:ind w:left="705" w:right="0" w:hanging="541"/>
        <w:jc w:val="left"/>
        <w:rPr>
          <w:sz w:val="20"/>
        </w:rPr>
      </w:pPr>
      <w:r>
        <w:rPr>
          <w:color w:val="005DA1"/>
          <w:position w:val="5"/>
          <w:sz w:val="14"/>
          <w:u w:val="single" w:color="005DA1"/>
        </w:rPr>
        <w:t>1025</w:t>
      </w:r>
      <w:r>
        <w:rPr>
          <w:position w:val="5"/>
          <w:sz w:val="14"/>
        </w:rPr>
        <w:t>.</w:t>
      </w:r>
      <w:r>
        <w:rPr>
          <w:spacing w:val="40"/>
          <w:position w:val="5"/>
          <w:sz w:val="14"/>
        </w:rPr>
        <w:t>  </w:t>
      </w:r>
      <w:r>
        <w:rPr>
          <w:rFonts w:ascii="Arial"/>
          <w:i/>
          <w:sz w:val="20"/>
        </w:rPr>
        <w:t>Taylors Fashions Ltd v Liverpool Victoria Trustee Co Ltd [1982] Q.B. 133 </w:t>
      </w:r>
      <w:r>
        <w:rPr>
          <w:sz w:val="20"/>
        </w:rPr>
        <w:t>note; cf. </w:t>
      </w:r>
      <w:r>
        <w:rPr>
          <w:rFonts w:ascii="Arial"/>
          <w:i/>
          <w:sz w:val="20"/>
        </w:rPr>
        <w:t>Coombes v</w:t>
      </w:r>
      <w:r>
        <w:rPr>
          <w:rFonts w:ascii="Arial"/>
          <w:i/>
          <w:spacing w:val="40"/>
          <w:sz w:val="20"/>
        </w:rPr>
        <w:t> </w:t>
      </w:r>
      <w:r>
        <w:rPr>
          <w:rFonts w:ascii="Arial"/>
          <w:i/>
          <w:sz w:val="20"/>
        </w:rPr>
        <w:t>Smith [1986] 1 W.L.R. 808</w:t>
      </w:r>
      <w:r>
        <w:rPr>
          <w:sz w:val="20"/>
        </w:rPr>
        <w:t>.</w:t>
      </w:r>
    </w:p>
    <w:p>
      <w:pPr>
        <w:pStyle w:val="BodyText"/>
        <w:spacing w:before="6"/>
      </w:pPr>
    </w:p>
    <w:p>
      <w:pPr>
        <w:spacing w:before="0"/>
        <w:ind w:left="165" w:right="0" w:firstLine="0"/>
        <w:jc w:val="left"/>
        <w:rPr>
          <w:sz w:val="20"/>
        </w:rPr>
      </w:pPr>
      <w:r>
        <w:rPr>
          <w:color w:val="005DA1"/>
          <w:position w:val="5"/>
          <w:sz w:val="14"/>
          <w:u w:val="single" w:color="005DA1"/>
        </w:rPr>
        <w:t>1026</w:t>
      </w:r>
      <w:r>
        <w:rPr>
          <w:position w:val="5"/>
          <w:sz w:val="14"/>
        </w:rPr>
        <w:t>.</w:t>
      </w:r>
      <w:r>
        <w:rPr>
          <w:spacing w:val="55"/>
          <w:position w:val="5"/>
          <w:sz w:val="14"/>
        </w:rPr>
        <w:t>  </w:t>
      </w:r>
      <w:r>
        <w:rPr>
          <w:rFonts w:ascii="Arial"/>
          <w:i/>
          <w:sz w:val="20"/>
        </w:rPr>
        <w:t>[2010]</w:t>
      </w:r>
      <w:r>
        <w:rPr>
          <w:rFonts w:ascii="Arial"/>
          <w:i/>
          <w:spacing w:val="1"/>
          <w:sz w:val="20"/>
        </w:rPr>
        <w:t> </w:t>
      </w:r>
      <w:r>
        <w:rPr>
          <w:rFonts w:ascii="Arial"/>
          <w:i/>
          <w:sz w:val="20"/>
        </w:rPr>
        <w:t>UKPC 3, [2010] 1 All E.R. </w:t>
      </w:r>
      <w:r>
        <w:rPr>
          <w:rFonts w:ascii="Arial"/>
          <w:i/>
          <w:spacing w:val="-4"/>
          <w:sz w:val="20"/>
        </w:rPr>
        <w:t>988</w:t>
      </w:r>
      <w:r>
        <w:rPr>
          <w:spacing w:val="-4"/>
          <w:sz w:val="20"/>
        </w:rPr>
        <w:t>.</w:t>
      </w:r>
    </w:p>
    <w:p>
      <w:pPr>
        <w:pStyle w:val="BodyText"/>
        <w:spacing w:before="5"/>
      </w:pPr>
    </w:p>
    <w:p>
      <w:pPr>
        <w:spacing w:before="0"/>
        <w:ind w:left="165" w:right="0" w:firstLine="0"/>
        <w:jc w:val="left"/>
        <w:rPr>
          <w:sz w:val="20"/>
        </w:rPr>
      </w:pPr>
      <w:r>
        <w:rPr>
          <w:color w:val="005DA1"/>
          <w:position w:val="5"/>
          <w:sz w:val="14"/>
          <w:u w:val="single" w:color="005DA1"/>
        </w:rPr>
        <w:t>1027</w:t>
      </w:r>
      <w:r>
        <w:rPr>
          <w:position w:val="5"/>
          <w:sz w:val="14"/>
        </w:rPr>
        <w:t>.</w:t>
      </w:r>
      <w:r>
        <w:rPr>
          <w:spacing w:val="55"/>
          <w:position w:val="5"/>
          <w:sz w:val="14"/>
        </w:rPr>
        <w:t>  </w:t>
      </w:r>
      <w:r>
        <w:rPr>
          <w:sz w:val="20"/>
        </w:rPr>
        <w:t>ibid.,</w:t>
      </w:r>
      <w:r>
        <w:rPr>
          <w:spacing w:val="1"/>
          <w:sz w:val="20"/>
        </w:rPr>
        <w:t> </w:t>
      </w:r>
      <w:r>
        <w:rPr>
          <w:sz w:val="20"/>
        </w:rPr>
        <w:t>at </w:t>
      </w:r>
      <w:r>
        <w:rPr>
          <w:spacing w:val="-2"/>
          <w:sz w:val="20"/>
        </w:rPr>
        <w:t>[61].</w:t>
      </w:r>
    </w:p>
    <w:p>
      <w:pPr>
        <w:pStyle w:val="BodyText"/>
        <w:spacing w:before="5"/>
      </w:pPr>
    </w:p>
    <w:p>
      <w:pPr>
        <w:pStyle w:val="BodyText"/>
        <w:ind w:left="165"/>
      </w:pPr>
      <w:r>
        <w:rPr>
          <w:color w:val="005DA1"/>
          <w:position w:val="5"/>
          <w:sz w:val="14"/>
          <w:u w:val="single" w:color="005DA1"/>
        </w:rPr>
        <w:t>1028</w:t>
      </w:r>
      <w:r>
        <w:rPr>
          <w:position w:val="5"/>
          <w:sz w:val="14"/>
        </w:rPr>
        <w:t>.</w:t>
      </w:r>
      <w:r>
        <w:rPr>
          <w:spacing w:val="55"/>
          <w:position w:val="5"/>
          <w:sz w:val="14"/>
        </w:rPr>
        <w:t>  </w:t>
      </w:r>
      <w:r>
        <w:rPr/>
        <w:t>ibid.,</w:t>
      </w:r>
      <w:r>
        <w:rPr>
          <w:spacing w:val="1"/>
        </w:rPr>
        <w:t> </w:t>
      </w:r>
      <w:r>
        <w:rPr/>
        <w:t>at [27] citing [12] of the judgment at first </w:t>
      </w:r>
      <w:r>
        <w:rPr>
          <w:spacing w:val="-2"/>
        </w:rPr>
        <w:t>instance.</w:t>
      </w:r>
    </w:p>
    <w:p>
      <w:pPr>
        <w:pStyle w:val="BodyText"/>
        <w:spacing w:before="5"/>
      </w:pPr>
    </w:p>
    <w:p>
      <w:pPr>
        <w:spacing w:before="0"/>
        <w:ind w:left="165" w:right="0" w:firstLine="0"/>
        <w:jc w:val="left"/>
        <w:rPr>
          <w:sz w:val="20"/>
        </w:rPr>
      </w:pPr>
      <w:r>
        <w:rPr>
          <w:color w:val="005DA1"/>
          <w:position w:val="5"/>
          <w:sz w:val="14"/>
          <w:u w:val="single" w:color="005DA1"/>
        </w:rPr>
        <w:t>1029</w:t>
      </w:r>
      <w:r>
        <w:rPr>
          <w:position w:val="5"/>
          <w:sz w:val="14"/>
        </w:rPr>
        <w:t>.</w:t>
      </w:r>
      <w:r>
        <w:rPr>
          <w:spacing w:val="55"/>
          <w:position w:val="5"/>
          <w:sz w:val="14"/>
        </w:rPr>
        <w:t>  </w:t>
      </w:r>
      <w:r>
        <w:rPr>
          <w:rFonts w:ascii="Arial"/>
          <w:i/>
          <w:sz w:val="20"/>
        </w:rPr>
        <w:t>[2010]</w:t>
      </w:r>
      <w:r>
        <w:rPr>
          <w:rFonts w:ascii="Arial"/>
          <w:i/>
          <w:spacing w:val="1"/>
          <w:sz w:val="20"/>
        </w:rPr>
        <w:t> </w:t>
      </w:r>
      <w:r>
        <w:rPr>
          <w:rFonts w:ascii="Arial"/>
          <w:i/>
          <w:sz w:val="20"/>
        </w:rPr>
        <w:t>UKPC 3</w:t>
      </w:r>
      <w:r>
        <w:rPr>
          <w:rFonts w:ascii="Arial"/>
          <w:i/>
          <w:spacing w:val="-1"/>
          <w:sz w:val="20"/>
        </w:rPr>
        <w:t> </w:t>
      </w:r>
      <w:r>
        <w:rPr>
          <w:sz w:val="20"/>
        </w:rPr>
        <w:t>at [51]; see also at </w:t>
      </w:r>
      <w:r>
        <w:rPr>
          <w:spacing w:val="-2"/>
          <w:sz w:val="20"/>
        </w:rPr>
        <w:t>[53].</w:t>
      </w:r>
    </w:p>
    <w:p>
      <w:pPr>
        <w:pStyle w:val="BodyText"/>
        <w:spacing w:before="5"/>
      </w:pPr>
    </w:p>
    <w:p>
      <w:pPr>
        <w:spacing w:before="0"/>
        <w:ind w:left="165" w:right="0" w:firstLine="0"/>
        <w:jc w:val="left"/>
        <w:rPr>
          <w:sz w:val="20"/>
        </w:rPr>
      </w:pPr>
      <w:bookmarkStart w:name="_bookmark1824" w:id="1826"/>
      <w:bookmarkEnd w:id="1826"/>
      <w:r>
        <w:rPr/>
      </w:r>
      <w:r>
        <w:rPr>
          <w:color w:val="005DA1"/>
          <w:position w:val="5"/>
          <w:sz w:val="14"/>
          <w:u w:val="single" w:color="005DA1"/>
        </w:rPr>
        <w:t>1030</w:t>
      </w:r>
      <w:r>
        <w:rPr>
          <w:position w:val="5"/>
          <w:sz w:val="14"/>
        </w:rPr>
        <w:t>.</w:t>
      </w:r>
      <w:r>
        <w:rPr>
          <w:spacing w:val="55"/>
          <w:position w:val="5"/>
          <w:sz w:val="14"/>
        </w:rPr>
        <w:t>  </w:t>
      </w:r>
      <w:r>
        <w:rPr>
          <w:sz w:val="20"/>
        </w:rPr>
        <w:t>ibid.,</w:t>
      </w:r>
      <w:r>
        <w:rPr>
          <w:spacing w:val="1"/>
          <w:sz w:val="20"/>
        </w:rPr>
        <w:t> </w:t>
      </w:r>
      <w:r>
        <w:rPr>
          <w:sz w:val="20"/>
        </w:rPr>
        <w:t>at </w:t>
      </w:r>
      <w:r>
        <w:rPr>
          <w:spacing w:val="-2"/>
          <w:sz w:val="20"/>
        </w:rPr>
        <w:t>[61].</w:t>
      </w:r>
    </w:p>
    <w:p>
      <w:pPr>
        <w:spacing w:after="0"/>
        <w:jc w:val="left"/>
        <w:rPr>
          <w:sz w:val="20"/>
        </w:rPr>
        <w:sectPr>
          <w:pgSz w:w="11900" w:h="16840"/>
          <w:pgMar w:header="971" w:footer="0" w:top="1160" w:bottom="280" w:left="1275" w:right="1275"/>
        </w:sectPr>
      </w:pPr>
    </w:p>
    <w:p>
      <w:pPr>
        <w:pStyle w:val="BodyText"/>
        <w:spacing w:before="81"/>
      </w:pPr>
    </w:p>
    <w:p>
      <w:pPr>
        <w:pStyle w:val="BodyText"/>
        <w:ind w:left="165"/>
      </w:pPr>
      <w:r>
        <w:rPr>
          <w:color w:val="005DA1"/>
          <w:position w:val="5"/>
          <w:sz w:val="14"/>
          <w:u w:val="single" w:color="005DA1"/>
        </w:rPr>
        <w:t>1031</w:t>
      </w:r>
      <w:r>
        <w:rPr>
          <w:position w:val="5"/>
          <w:sz w:val="14"/>
        </w:rPr>
        <w:t>.</w:t>
      </w:r>
      <w:r>
        <w:rPr>
          <w:spacing w:val="55"/>
          <w:position w:val="5"/>
          <w:sz w:val="14"/>
        </w:rPr>
        <w:t>  </w:t>
      </w:r>
      <w:r>
        <w:rPr/>
        <w:t>For</w:t>
      </w:r>
      <w:r>
        <w:rPr>
          <w:spacing w:val="1"/>
        </w:rPr>
        <w:t> </w:t>
      </w:r>
      <w:r>
        <w:rPr/>
        <w:t>the remedy giving effect to the estoppel, see below, para.4-</w:t>
      </w:r>
      <w:r>
        <w:rPr>
          <w:spacing w:val="-4"/>
        </w:rPr>
        <w:t>175.</w:t>
      </w:r>
    </w:p>
    <w:p>
      <w:pPr>
        <w:pStyle w:val="BodyText"/>
        <w:spacing w:before="9"/>
      </w:pPr>
    </w:p>
    <w:p>
      <w:pPr>
        <w:spacing w:line="235" w:lineRule="auto" w:before="0"/>
        <w:ind w:left="705" w:right="167" w:hanging="541"/>
        <w:jc w:val="both"/>
        <w:rPr>
          <w:sz w:val="20"/>
        </w:rPr>
      </w:pPr>
      <w:r>
        <w:rPr>
          <w:color w:val="005DA1"/>
          <w:position w:val="5"/>
          <w:sz w:val="14"/>
          <w:u w:val="single" w:color="005DA1"/>
        </w:rPr>
        <w:t>1032</w:t>
      </w:r>
      <w:r>
        <w:rPr>
          <w:position w:val="5"/>
          <w:sz w:val="14"/>
        </w:rPr>
        <w:t>.</w:t>
      </w:r>
      <w:r>
        <w:rPr>
          <w:spacing w:val="80"/>
          <w:position w:val="5"/>
          <w:sz w:val="14"/>
        </w:rPr>
        <w:t> </w:t>
      </w:r>
      <w:r>
        <w:rPr>
          <w:rFonts w:ascii="Arial"/>
          <w:i/>
          <w:sz w:val="20"/>
        </w:rPr>
        <w:t>Layton v Martin [1986] 2 F.L.R. 277</w:t>
      </w:r>
      <w:r>
        <w:rPr>
          <w:sz w:val="20"/>
        </w:rPr>
        <w:t>, cited with apparent approval, but distinguished by Lord Walker in </w:t>
      </w:r>
      <w:r>
        <w:rPr>
          <w:rFonts w:ascii="Arial"/>
          <w:i/>
          <w:sz w:val="20"/>
        </w:rPr>
        <w:t>Thorner v Major [2009] UKHL 18, [2009] 1 W.L.R. 776 </w:t>
      </w:r>
      <w:r>
        <w:rPr>
          <w:sz w:val="20"/>
        </w:rPr>
        <w:t>at [63]; for discussion of the present requirement in that case, see below, para.4-163.</w:t>
      </w:r>
    </w:p>
    <w:p>
      <w:pPr>
        <w:pStyle w:val="BodyText"/>
        <w:spacing w:before="5"/>
      </w:pPr>
    </w:p>
    <w:p>
      <w:pPr>
        <w:spacing w:before="0"/>
        <w:ind w:left="165" w:right="0" w:firstLine="0"/>
        <w:jc w:val="left"/>
        <w:rPr>
          <w:sz w:val="20"/>
        </w:rPr>
      </w:pPr>
      <w:r>
        <w:rPr>
          <w:color w:val="005DA1"/>
          <w:position w:val="5"/>
          <w:sz w:val="14"/>
          <w:u w:val="single" w:color="005DA1"/>
        </w:rPr>
        <w:t>1033</w:t>
      </w:r>
      <w:r>
        <w:rPr>
          <w:position w:val="5"/>
          <w:sz w:val="14"/>
        </w:rPr>
        <w:t>.</w:t>
      </w:r>
      <w:r>
        <w:rPr>
          <w:spacing w:val="55"/>
          <w:position w:val="5"/>
          <w:sz w:val="14"/>
        </w:rPr>
        <w:t>  </w:t>
      </w:r>
      <w:r>
        <w:rPr>
          <w:rFonts w:ascii="Arial"/>
          <w:i/>
          <w:sz w:val="20"/>
        </w:rPr>
        <w:t>Re</w:t>
      </w:r>
      <w:r>
        <w:rPr>
          <w:rFonts w:ascii="Arial"/>
          <w:i/>
          <w:spacing w:val="1"/>
          <w:sz w:val="20"/>
        </w:rPr>
        <w:t> </w:t>
      </w:r>
      <w:r>
        <w:rPr>
          <w:rFonts w:ascii="Arial"/>
          <w:i/>
          <w:sz w:val="20"/>
        </w:rPr>
        <w:t>Basham [1986] 1 W.L.R. 1498, </w:t>
      </w:r>
      <w:r>
        <w:rPr>
          <w:rFonts w:ascii="Arial"/>
          <w:i/>
          <w:spacing w:val="-2"/>
          <w:sz w:val="20"/>
        </w:rPr>
        <w:t>1508</w:t>
      </w:r>
      <w:r>
        <w:rPr>
          <w:spacing w:val="-2"/>
          <w:sz w:val="20"/>
        </w:rPr>
        <w:t>.</w:t>
      </w:r>
    </w:p>
    <w:p>
      <w:pPr>
        <w:pStyle w:val="BodyText"/>
        <w:spacing w:before="8"/>
      </w:pPr>
    </w:p>
    <w:p>
      <w:pPr>
        <w:spacing w:line="235" w:lineRule="auto" w:before="1"/>
        <w:ind w:left="705" w:right="168" w:hanging="541"/>
        <w:jc w:val="both"/>
        <w:rPr>
          <w:sz w:val="20"/>
        </w:rPr>
      </w:pPr>
      <w:r>
        <w:rPr>
          <w:color w:val="005DA1"/>
          <w:position w:val="5"/>
          <w:sz w:val="14"/>
          <w:u w:val="single" w:color="005DA1"/>
        </w:rPr>
        <w:t>1034</w:t>
      </w:r>
      <w:r>
        <w:rPr>
          <w:position w:val="5"/>
          <w:sz w:val="14"/>
        </w:rPr>
        <w:t>.</w:t>
      </w:r>
      <w:r>
        <w:rPr>
          <w:spacing w:val="80"/>
          <w:position w:val="5"/>
          <w:sz w:val="14"/>
        </w:rPr>
        <w:t> </w:t>
      </w:r>
      <w:r>
        <w:rPr>
          <w:sz w:val="20"/>
        </w:rPr>
        <w:t>By referring to the promisor’s cottage. In </w:t>
      </w:r>
      <w:r>
        <w:rPr>
          <w:rFonts w:ascii="Arial" w:hAnsi="Arial"/>
          <w:i/>
          <w:sz w:val="20"/>
        </w:rPr>
        <w:t>Gillett v Holt [2001] Ch. 210 </w:t>
      </w:r>
      <w:r>
        <w:rPr>
          <w:sz w:val="20"/>
        </w:rPr>
        <w:t>the property was likewise identified, if not very precisely; cf. </w:t>
      </w:r>
      <w:r>
        <w:rPr>
          <w:rFonts w:ascii="Arial" w:hAnsi="Arial"/>
          <w:i/>
          <w:sz w:val="20"/>
        </w:rPr>
        <w:t>Jennings v Rice [2002] EWCA Civ 159; [2002] W.T.L.R. 367</w:t>
      </w:r>
      <w:r>
        <w:rPr>
          <w:sz w:val="20"/>
        </w:rPr>
        <w:t>, at [50], where the promise again related in part to the promisor’s house.</w:t>
      </w:r>
    </w:p>
    <w:p>
      <w:pPr>
        <w:pStyle w:val="BodyText"/>
        <w:spacing w:before="8"/>
      </w:pPr>
    </w:p>
    <w:p>
      <w:pPr>
        <w:spacing w:line="235" w:lineRule="auto" w:before="1"/>
        <w:ind w:left="705" w:right="167" w:hanging="541"/>
        <w:jc w:val="both"/>
        <w:rPr>
          <w:rFonts w:ascii="Arial" w:hAnsi="Arial"/>
          <w:i/>
          <w:sz w:val="20"/>
        </w:rPr>
      </w:pPr>
      <w:r>
        <w:rPr>
          <w:color w:val="005DA1"/>
          <w:position w:val="5"/>
          <w:sz w:val="14"/>
          <w:u w:val="single" w:color="005DA1"/>
        </w:rPr>
        <w:t>1035</w:t>
      </w:r>
      <w:r>
        <w:rPr>
          <w:position w:val="5"/>
          <w:sz w:val="14"/>
        </w:rPr>
        <w:t>.</w:t>
      </w:r>
      <w:r>
        <w:rPr>
          <w:spacing w:val="80"/>
          <w:position w:val="5"/>
          <w:sz w:val="14"/>
        </w:rPr>
        <w:t> </w:t>
      </w:r>
      <w:r>
        <w:rPr>
          <w:sz w:val="20"/>
        </w:rPr>
        <w:t>In </w:t>
      </w:r>
      <w:r>
        <w:rPr>
          <w:rFonts w:ascii="Arial" w:hAnsi="Arial"/>
          <w:i/>
          <w:sz w:val="20"/>
        </w:rPr>
        <w:t>Thorner v Major [2009] UKHL 18, [2009] 1 W.L.R. 776 </w:t>
      </w:r>
      <w:r>
        <w:rPr>
          <w:sz w:val="20"/>
        </w:rPr>
        <w:t>at [61], Lord Walker uses </w:t>
      </w:r>
      <w:r>
        <w:rPr>
          <w:sz w:val="20"/>
        </w:rPr>
        <w:t>the expression “identified property” but is not, at this stage, concerned with any distinction between identified and identifiable property. Other cases support the view that identifiability (as opposed to</w:t>
      </w:r>
      <w:r>
        <w:rPr>
          <w:spacing w:val="26"/>
          <w:sz w:val="20"/>
        </w:rPr>
        <w:t> </w:t>
      </w:r>
      <w:r>
        <w:rPr>
          <w:sz w:val="20"/>
        </w:rPr>
        <w:t>identification)</w:t>
      </w:r>
      <w:r>
        <w:rPr>
          <w:spacing w:val="28"/>
          <w:sz w:val="20"/>
        </w:rPr>
        <w:t> </w:t>
      </w:r>
      <w:r>
        <w:rPr>
          <w:sz w:val="20"/>
        </w:rPr>
        <w:t>suffices.</w:t>
      </w:r>
      <w:r>
        <w:rPr>
          <w:spacing w:val="28"/>
          <w:sz w:val="20"/>
        </w:rPr>
        <w:t> </w:t>
      </w:r>
      <w:r>
        <w:rPr>
          <w:sz w:val="20"/>
        </w:rPr>
        <w:t>One</w:t>
      </w:r>
      <w:r>
        <w:rPr>
          <w:spacing w:val="28"/>
          <w:sz w:val="20"/>
        </w:rPr>
        <w:t> </w:t>
      </w:r>
      <w:r>
        <w:rPr>
          <w:sz w:val="20"/>
        </w:rPr>
        <w:t>such</w:t>
      </w:r>
      <w:r>
        <w:rPr>
          <w:spacing w:val="28"/>
          <w:sz w:val="20"/>
        </w:rPr>
        <w:t> </w:t>
      </w:r>
      <w:r>
        <w:rPr>
          <w:sz w:val="20"/>
        </w:rPr>
        <w:t>case</w:t>
      </w:r>
      <w:r>
        <w:rPr>
          <w:spacing w:val="28"/>
          <w:sz w:val="20"/>
        </w:rPr>
        <w:t> </w:t>
      </w:r>
      <w:r>
        <w:rPr>
          <w:sz w:val="20"/>
        </w:rPr>
        <w:t>is</w:t>
      </w:r>
      <w:r>
        <w:rPr>
          <w:spacing w:val="27"/>
          <w:sz w:val="20"/>
        </w:rPr>
        <w:t> </w:t>
      </w:r>
      <w:r>
        <w:rPr>
          <w:rFonts w:ascii="Arial" w:hAnsi="Arial"/>
          <w:i/>
          <w:sz w:val="20"/>
        </w:rPr>
        <w:t>Suggitt</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Suggitt</w:t>
      </w:r>
      <w:r>
        <w:rPr>
          <w:rFonts w:ascii="Arial" w:hAnsi="Arial"/>
          <w:i/>
          <w:spacing w:val="28"/>
          <w:sz w:val="20"/>
        </w:rPr>
        <w:t> </w:t>
      </w:r>
      <w:r>
        <w:rPr>
          <w:rFonts w:ascii="Arial" w:hAnsi="Arial"/>
          <w:i/>
          <w:sz w:val="20"/>
        </w:rPr>
        <w:t>[2012]</w:t>
      </w:r>
      <w:r>
        <w:rPr>
          <w:rFonts w:ascii="Arial" w:hAnsi="Arial"/>
          <w:i/>
          <w:spacing w:val="28"/>
          <w:sz w:val="20"/>
        </w:rPr>
        <w:t> </w:t>
      </w:r>
      <w:r>
        <w:rPr>
          <w:rFonts w:ascii="Arial" w:hAnsi="Arial"/>
          <w:i/>
          <w:sz w:val="20"/>
        </w:rPr>
        <w:t>EWCA</w:t>
      </w:r>
      <w:r>
        <w:rPr>
          <w:rFonts w:ascii="Arial" w:hAnsi="Arial"/>
          <w:i/>
          <w:spacing w:val="28"/>
          <w:sz w:val="20"/>
        </w:rPr>
        <w:t> </w:t>
      </w:r>
      <w:r>
        <w:rPr>
          <w:rFonts w:ascii="Arial" w:hAnsi="Arial"/>
          <w:i/>
          <w:sz w:val="20"/>
        </w:rPr>
        <w:t>Civ</w:t>
      </w:r>
      <w:r>
        <w:rPr>
          <w:rFonts w:ascii="Arial" w:hAnsi="Arial"/>
          <w:i/>
          <w:spacing w:val="28"/>
          <w:sz w:val="20"/>
        </w:rPr>
        <w:t> </w:t>
      </w:r>
      <w:r>
        <w:rPr>
          <w:rFonts w:ascii="Arial" w:hAnsi="Arial"/>
          <w:i/>
          <w:sz w:val="20"/>
        </w:rPr>
        <w:t>1140,</w:t>
      </w:r>
      <w:r>
        <w:rPr>
          <w:rFonts w:ascii="Arial" w:hAnsi="Arial"/>
          <w:i/>
          <w:spacing w:val="28"/>
          <w:sz w:val="20"/>
        </w:rPr>
        <w:t> </w:t>
      </w:r>
      <w:r>
        <w:rPr>
          <w:rFonts w:ascii="Arial" w:hAnsi="Arial"/>
          <w:i/>
          <w:spacing w:val="-2"/>
          <w:sz w:val="20"/>
        </w:rPr>
        <w:t>[2012]</w:t>
      </w:r>
    </w:p>
    <w:p>
      <w:pPr>
        <w:pStyle w:val="BodyText"/>
        <w:spacing w:line="235" w:lineRule="auto"/>
        <w:ind w:left="705" w:right="167"/>
        <w:jc w:val="both"/>
      </w:pPr>
      <w:r>
        <w:rPr>
          <w:rFonts w:ascii="Arial" w:hAnsi="Arial"/>
          <w:i/>
        </w:rPr>
        <w:t>W.T.L.R.</w:t>
      </w:r>
      <w:r>
        <w:rPr>
          <w:rFonts w:ascii="Arial" w:hAnsi="Arial"/>
          <w:i/>
          <w:spacing w:val="-3"/>
        </w:rPr>
        <w:t> </w:t>
      </w:r>
      <w:r>
        <w:rPr>
          <w:rFonts w:ascii="Arial" w:hAnsi="Arial"/>
          <w:i/>
        </w:rPr>
        <w:t>1607</w:t>
      </w:r>
      <w:r>
        <w:rPr/>
        <w:t>,</w:t>
      </w:r>
      <w:r>
        <w:rPr>
          <w:spacing w:val="-3"/>
        </w:rPr>
        <w:t> </w:t>
      </w:r>
      <w:r>
        <w:rPr/>
        <w:t>where</w:t>
      </w:r>
      <w:r>
        <w:rPr>
          <w:spacing w:val="-3"/>
        </w:rPr>
        <w:t> </w:t>
      </w:r>
      <w:r>
        <w:rPr/>
        <w:t>a</w:t>
      </w:r>
      <w:r>
        <w:rPr>
          <w:spacing w:val="-3"/>
        </w:rPr>
        <w:t> </w:t>
      </w:r>
      <w:r>
        <w:rPr/>
        <w:t>promise</w:t>
      </w:r>
      <w:r>
        <w:rPr>
          <w:spacing w:val="-3"/>
        </w:rPr>
        <w:t> </w:t>
      </w:r>
      <w:r>
        <w:rPr/>
        <w:t>that</w:t>
      </w:r>
      <w:r>
        <w:rPr>
          <w:spacing w:val="-3"/>
        </w:rPr>
        <w:t> </w:t>
      </w:r>
      <w:r>
        <w:rPr/>
        <w:t>the</w:t>
      </w:r>
      <w:r>
        <w:rPr>
          <w:spacing w:val="-3"/>
        </w:rPr>
        <w:t> </w:t>
      </w:r>
      <w:r>
        <w:rPr/>
        <w:t>promisee</w:t>
      </w:r>
      <w:r>
        <w:rPr>
          <w:spacing w:val="-3"/>
        </w:rPr>
        <w:t> </w:t>
      </w:r>
      <w:r>
        <w:rPr/>
        <w:t>was</w:t>
      </w:r>
      <w:r>
        <w:rPr>
          <w:spacing w:val="-3"/>
        </w:rPr>
        <w:t> </w:t>
      </w:r>
      <w:r>
        <w:rPr/>
        <w:t>to</w:t>
      </w:r>
      <w:r>
        <w:rPr>
          <w:spacing w:val="-3"/>
        </w:rPr>
        <w:t> </w:t>
      </w:r>
      <w:r>
        <w:rPr/>
        <w:t>have</w:t>
      </w:r>
      <w:r>
        <w:rPr>
          <w:spacing w:val="-3"/>
        </w:rPr>
        <w:t> </w:t>
      </w:r>
      <w:r>
        <w:rPr/>
        <w:t>“somewhere</w:t>
      </w:r>
      <w:r>
        <w:rPr>
          <w:spacing w:val="-3"/>
        </w:rPr>
        <w:t> </w:t>
      </w:r>
      <w:r>
        <w:rPr/>
        <w:t>to</w:t>
      </w:r>
      <w:r>
        <w:rPr>
          <w:spacing w:val="-3"/>
        </w:rPr>
        <w:t> </w:t>
      </w:r>
      <w:r>
        <w:rPr/>
        <w:t>live”</w:t>
      </w:r>
      <w:r>
        <w:rPr>
          <w:spacing w:val="-3"/>
        </w:rPr>
        <w:t> </w:t>
      </w:r>
      <w:r>
        <w:rPr/>
        <w:t>was</w:t>
      </w:r>
      <w:r>
        <w:rPr>
          <w:spacing w:val="-3"/>
        </w:rPr>
        <w:t> </w:t>
      </w:r>
      <w:r>
        <w:rPr/>
        <w:t>held</w:t>
      </w:r>
      <w:r>
        <w:rPr>
          <w:spacing w:val="-3"/>
        </w:rPr>
        <w:t> </w:t>
      </w:r>
      <w:r>
        <w:rPr/>
        <w:t>to give rise to a proprietary estoppel since these words identified the property as the </w:t>
      </w:r>
      <w:r>
        <w:rPr/>
        <w:t>house occupied by the promisee during the promisor’s life-time and at his death (at [48], where “a place to leave” seems to be a misprint for “a place to live”). Another is </w:t>
      </w:r>
      <w:r>
        <w:rPr>
          <w:rFonts w:ascii="Arial" w:hAnsi="Arial"/>
          <w:i/>
        </w:rPr>
        <w:t>Herbert v Doyle </w:t>
      </w:r>
      <w:r>
        <w:rPr>
          <w:rFonts w:ascii="Arial" w:hAnsi="Arial"/>
          <w:i/>
        </w:rPr>
        <w:t>[2010] EWCA Civ 1095</w:t>
      </w:r>
      <w:r>
        <w:rPr/>
        <w:t>, where an agreement provided for the property to be “identified” by the</w:t>
      </w:r>
      <w:r>
        <w:rPr>
          <w:spacing w:val="40"/>
        </w:rPr>
        <w:t> </w:t>
      </w:r>
      <w:r>
        <w:rPr/>
        <w:t>claimant and his failure to make the choice within a reasonable time did not deprive the agreement of legal force since it was an implied term of the agreement that, on such failure, the selection</w:t>
      </w:r>
      <w:r>
        <w:rPr>
          <w:spacing w:val="-3"/>
        </w:rPr>
        <w:t> </w:t>
      </w:r>
      <w:r>
        <w:rPr/>
        <w:t>could</w:t>
      </w:r>
      <w:r>
        <w:rPr>
          <w:spacing w:val="-3"/>
        </w:rPr>
        <w:t> </w:t>
      </w:r>
      <w:r>
        <w:rPr/>
        <w:t>be</w:t>
      </w:r>
      <w:r>
        <w:rPr>
          <w:spacing w:val="-3"/>
        </w:rPr>
        <w:t> </w:t>
      </w:r>
      <w:r>
        <w:rPr/>
        <w:t>made</w:t>
      </w:r>
      <w:r>
        <w:rPr>
          <w:spacing w:val="-3"/>
        </w:rPr>
        <w:t> </w:t>
      </w:r>
      <w:r>
        <w:rPr/>
        <w:t>by</w:t>
      </w:r>
      <w:r>
        <w:rPr>
          <w:spacing w:val="-3"/>
        </w:rPr>
        <w:t> </w:t>
      </w:r>
      <w:r>
        <w:rPr/>
        <w:t>the</w:t>
      </w:r>
      <w:r>
        <w:rPr>
          <w:spacing w:val="-3"/>
        </w:rPr>
        <w:t> </w:t>
      </w:r>
      <w:r>
        <w:rPr/>
        <w:t>court:</w:t>
      </w:r>
      <w:r>
        <w:rPr>
          <w:spacing w:val="-3"/>
        </w:rPr>
        <w:t> </w:t>
      </w:r>
      <w:r>
        <w:rPr/>
        <w:t>at</w:t>
      </w:r>
      <w:r>
        <w:rPr>
          <w:spacing w:val="-3"/>
        </w:rPr>
        <w:t> </w:t>
      </w:r>
      <w:r>
        <w:rPr/>
        <w:t>[72],</w:t>
      </w:r>
      <w:r>
        <w:rPr>
          <w:spacing w:val="-3"/>
        </w:rPr>
        <w:t> </w:t>
      </w:r>
      <w:r>
        <w:rPr/>
        <w:t>[87]</w:t>
      </w:r>
      <w:r>
        <w:rPr>
          <w:spacing w:val="-3"/>
        </w:rPr>
        <w:t> </w:t>
      </w:r>
      <w:r>
        <w:rPr/>
        <w:t>and</w:t>
      </w:r>
      <w:r>
        <w:rPr>
          <w:spacing w:val="-3"/>
        </w:rPr>
        <w:t> </w:t>
      </w:r>
      <w:r>
        <w:rPr/>
        <w:t>see</w:t>
      </w:r>
      <w:r>
        <w:rPr>
          <w:spacing w:val="-3"/>
        </w:rPr>
        <w:t> </w:t>
      </w:r>
      <w:r>
        <w:rPr/>
        <w:t>above,</w:t>
      </w:r>
      <w:r>
        <w:rPr>
          <w:spacing w:val="-3"/>
        </w:rPr>
        <w:t> </w:t>
      </w:r>
      <w:r>
        <w:rPr/>
        <w:t>para.2-138.</w:t>
      </w:r>
      <w:r>
        <w:rPr>
          <w:spacing w:val="-3"/>
        </w:rPr>
        <w:t> </w:t>
      </w:r>
      <w:r>
        <w:rPr/>
        <w:t>The</w:t>
      </w:r>
      <w:r>
        <w:rPr>
          <w:spacing w:val="-3"/>
        </w:rPr>
        <w:t> </w:t>
      </w:r>
      <w:r>
        <w:rPr/>
        <w:t>decision</w:t>
      </w:r>
      <w:r>
        <w:rPr>
          <w:spacing w:val="-3"/>
        </w:rPr>
        <w:t> </w:t>
      </w:r>
      <w:r>
        <w:rPr/>
        <w:t>was that the agreement gave rise to a constructive trust within Law of Property </w:t>
      </w:r>
      <w:r>
        <w:rPr/>
        <w:t>(Miscellaneous Provisions) Act 1989, s.2(5); and it seems that it could also have given rise to a proprietary </w:t>
      </w:r>
      <w:r>
        <w:rPr>
          <w:spacing w:val="-2"/>
        </w:rPr>
        <w:t>estoppel.</w:t>
      </w:r>
    </w:p>
    <w:p>
      <w:pPr>
        <w:pStyle w:val="BodyText"/>
        <w:spacing w:before="4"/>
      </w:pPr>
    </w:p>
    <w:p>
      <w:pPr>
        <w:pStyle w:val="BodyText"/>
        <w:spacing w:line="235" w:lineRule="auto"/>
        <w:ind w:left="705" w:right="167" w:hanging="541"/>
        <w:jc w:val="both"/>
      </w:pPr>
      <w:r>
        <w:rPr>
          <w:color w:val="005DA1"/>
          <w:position w:val="5"/>
          <w:sz w:val="14"/>
          <w:u w:val="single" w:color="005DA1"/>
        </w:rPr>
        <w:t>1036</w:t>
      </w:r>
      <w:r>
        <w:rPr>
          <w:position w:val="5"/>
          <w:sz w:val="14"/>
        </w:rPr>
        <w:t>.</w:t>
      </w:r>
      <w:r>
        <w:rPr>
          <w:spacing w:val="80"/>
          <w:position w:val="5"/>
          <w:sz w:val="14"/>
        </w:rPr>
        <w:t> </w:t>
      </w:r>
      <w:r>
        <w:rPr/>
        <w:t>This view is supported, though perhaps not conclusively, by repeated references in Lord Scott’s speech in </w:t>
      </w:r>
      <w:r>
        <w:rPr>
          <w:rFonts w:ascii="Arial" w:hAnsi="Arial"/>
          <w:i/>
        </w:rPr>
        <w:t>Cobbe v Yeoman’s Row Management Ltd [2008] UKHL 55, [2008] 1 W.L.R. 1752 </w:t>
      </w:r>
      <w:r>
        <w:rPr/>
        <w:t>at [18], [19], [20] to a “certain interest in land” and at [28] to “clarity as to the interest in the property”.</w:t>
      </w:r>
      <w:r>
        <w:rPr>
          <w:spacing w:val="-2"/>
        </w:rPr>
        <w:t> </w:t>
      </w:r>
      <w:r>
        <w:rPr/>
        <w:t>If</w:t>
      </w:r>
      <w:r>
        <w:rPr>
          <w:spacing w:val="-2"/>
        </w:rPr>
        <w:t> </w:t>
      </w:r>
      <w:r>
        <w:rPr/>
        <w:t>there</w:t>
      </w:r>
      <w:r>
        <w:rPr>
          <w:spacing w:val="-2"/>
        </w:rPr>
        <w:t> </w:t>
      </w:r>
      <w:r>
        <w:rPr/>
        <w:t>is</w:t>
      </w:r>
      <w:r>
        <w:rPr>
          <w:spacing w:val="-2"/>
        </w:rPr>
        <w:t> </w:t>
      </w:r>
      <w:r>
        <w:rPr/>
        <w:t>no</w:t>
      </w:r>
      <w:r>
        <w:rPr>
          <w:spacing w:val="-2"/>
        </w:rPr>
        <w:t> </w:t>
      </w:r>
      <w:r>
        <w:rPr/>
        <w:t>certainty</w:t>
      </w:r>
      <w:r>
        <w:rPr>
          <w:spacing w:val="-2"/>
        </w:rPr>
        <w:t> </w:t>
      </w:r>
      <w:r>
        <w:rPr/>
        <w:t>or</w:t>
      </w:r>
      <w:r>
        <w:rPr>
          <w:spacing w:val="-2"/>
        </w:rPr>
        <w:t> </w:t>
      </w:r>
      <w:r>
        <w:rPr/>
        <w:t>clarity</w:t>
      </w:r>
      <w:r>
        <w:rPr>
          <w:spacing w:val="-2"/>
        </w:rPr>
        <w:t> </w:t>
      </w:r>
      <w:r>
        <w:rPr/>
        <w:t>in</w:t>
      </w:r>
      <w:r>
        <w:rPr>
          <w:spacing w:val="-2"/>
        </w:rPr>
        <w:t> </w:t>
      </w:r>
      <w:r>
        <w:rPr/>
        <w:t>“the</w:t>
      </w:r>
      <w:r>
        <w:rPr>
          <w:spacing w:val="-2"/>
        </w:rPr>
        <w:t> </w:t>
      </w:r>
      <w:r>
        <w:rPr/>
        <w:t>property”</w:t>
      </w:r>
      <w:r>
        <w:rPr>
          <w:spacing w:val="-2"/>
        </w:rPr>
        <w:t> </w:t>
      </w:r>
      <w:r>
        <w:rPr/>
        <w:t>it</w:t>
      </w:r>
      <w:r>
        <w:rPr>
          <w:spacing w:val="-2"/>
        </w:rPr>
        <w:t> </w:t>
      </w:r>
      <w:r>
        <w:rPr/>
        <w:t>is</w:t>
      </w:r>
      <w:r>
        <w:rPr>
          <w:spacing w:val="-2"/>
        </w:rPr>
        <w:t> </w:t>
      </w:r>
      <w:r>
        <w:rPr/>
        <w:t>unlikely</w:t>
      </w:r>
      <w:r>
        <w:rPr>
          <w:spacing w:val="-2"/>
        </w:rPr>
        <w:t> </w:t>
      </w:r>
      <w:r>
        <w:rPr/>
        <w:t>for</w:t>
      </w:r>
      <w:r>
        <w:rPr>
          <w:spacing w:val="-2"/>
        </w:rPr>
        <w:t> </w:t>
      </w:r>
      <w:r>
        <w:rPr/>
        <w:t>this</w:t>
      </w:r>
      <w:r>
        <w:rPr>
          <w:spacing w:val="-2"/>
        </w:rPr>
        <w:t> </w:t>
      </w:r>
      <w:r>
        <w:rPr/>
        <w:t>requirement</w:t>
      </w:r>
      <w:r>
        <w:rPr>
          <w:spacing w:val="-2"/>
        </w:rPr>
        <w:t> </w:t>
      </w:r>
      <w:r>
        <w:rPr/>
        <w:t>to</w:t>
      </w:r>
      <w:r>
        <w:rPr>
          <w:spacing w:val="-2"/>
        </w:rPr>
        <w:t> </w:t>
      </w:r>
      <w:r>
        <w:rPr/>
        <w:t>be satisfied with regard to the “interest” in it.</w:t>
      </w:r>
    </w:p>
    <w:p>
      <w:pPr>
        <w:pStyle w:val="BodyText"/>
        <w:spacing w:before="4"/>
      </w:pPr>
    </w:p>
    <w:p>
      <w:pPr>
        <w:spacing w:line="227" w:lineRule="exact" w:before="0"/>
        <w:ind w:left="165" w:right="0" w:firstLine="0"/>
        <w:jc w:val="both"/>
        <w:rPr>
          <w:rFonts w:ascii="Arial"/>
          <w:i/>
          <w:sz w:val="20"/>
        </w:rPr>
      </w:pPr>
      <w:r>
        <w:rPr>
          <w:color w:val="005DA1"/>
          <w:position w:val="5"/>
          <w:sz w:val="14"/>
          <w:u w:val="single" w:color="005DA1"/>
        </w:rPr>
        <w:t>1037</w:t>
      </w:r>
      <w:r>
        <w:rPr>
          <w:position w:val="5"/>
          <w:sz w:val="14"/>
        </w:rPr>
        <w:t>.</w:t>
      </w:r>
      <w:r>
        <w:rPr>
          <w:spacing w:val="56"/>
          <w:position w:val="5"/>
          <w:sz w:val="14"/>
        </w:rPr>
        <w:t>  </w:t>
      </w:r>
      <w:r>
        <w:rPr>
          <w:sz w:val="20"/>
        </w:rPr>
        <w:t>e.g.</w:t>
      </w:r>
      <w:r>
        <w:rPr>
          <w:spacing w:val="40"/>
          <w:sz w:val="20"/>
        </w:rPr>
        <w:t> </w:t>
      </w:r>
      <w:r>
        <w:rPr>
          <w:sz w:val="20"/>
        </w:rPr>
        <w:t>above,</w:t>
      </w:r>
      <w:r>
        <w:rPr>
          <w:spacing w:val="41"/>
          <w:sz w:val="20"/>
        </w:rPr>
        <w:t> </w:t>
      </w:r>
      <w:r>
        <w:rPr>
          <w:sz w:val="20"/>
        </w:rPr>
        <w:t>paras</w:t>
      </w:r>
      <w:r>
        <w:rPr>
          <w:spacing w:val="41"/>
          <w:sz w:val="20"/>
        </w:rPr>
        <w:t> </w:t>
      </w:r>
      <w:r>
        <w:rPr>
          <w:sz w:val="20"/>
        </w:rPr>
        <w:t>4-002,</w:t>
      </w:r>
      <w:r>
        <w:rPr>
          <w:spacing w:val="41"/>
          <w:sz w:val="20"/>
        </w:rPr>
        <w:t> </w:t>
      </w:r>
      <w:r>
        <w:rPr>
          <w:sz w:val="20"/>
        </w:rPr>
        <w:t>4-026.</w:t>
      </w:r>
      <w:r>
        <w:rPr>
          <w:spacing w:val="41"/>
          <w:sz w:val="20"/>
        </w:rPr>
        <w:t> </w:t>
      </w:r>
      <w:r>
        <w:rPr>
          <w:sz w:val="20"/>
        </w:rPr>
        <w:t>For</w:t>
      </w:r>
      <w:r>
        <w:rPr>
          <w:spacing w:val="41"/>
          <w:sz w:val="20"/>
        </w:rPr>
        <w:t> </w:t>
      </w:r>
      <w:r>
        <w:rPr>
          <w:sz w:val="20"/>
        </w:rPr>
        <w:t>this</w:t>
      </w:r>
      <w:r>
        <w:rPr>
          <w:spacing w:val="41"/>
          <w:sz w:val="20"/>
        </w:rPr>
        <w:t> </w:t>
      </w:r>
      <w:r>
        <w:rPr>
          <w:sz w:val="20"/>
        </w:rPr>
        <w:t>reason,</w:t>
      </w:r>
      <w:r>
        <w:rPr>
          <w:spacing w:val="40"/>
          <w:sz w:val="20"/>
        </w:rPr>
        <w:t> </w:t>
      </w:r>
      <w:r>
        <w:rPr>
          <w:rFonts w:ascii="Arial"/>
          <w:i/>
          <w:sz w:val="20"/>
        </w:rPr>
        <w:t>Evans</w:t>
      </w:r>
      <w:r>
        <w:rPr>
          <w:rFonts w:ascii="Arial"/>
          <w:i/>
          <w:spacing w:val="41"/>
          <w:sz w:val="20"/>
        </w:rPr>
        <w:t> </w:t>
      </w:r>
      <w:r>
        <w:rPr>
          <w:rFonts w:ascii="Arial"/>
          <w:i/>
          <w:sz w:val="20"/>
        </w:rPr>
        <w:t>v</w:t>
      </w:r>
      <w:r>
        <w:rPr>
          <w:rFonts w:ascii="Arial"/>
          <w:i/>
          <w:spacing w:val="41"/>
          <w:sz w:val="20"/>
        </w:rPr>
        <w:t> </w:t>
      </w:r>
      <w:r>
        <w:rPr>
          <w:rFonts w:ascii="Arial"/>
          <w:i/>
          <w:sz w:val="20"/>
        </w:rPr>
        <w:t>HSBC</w:t>
      </w:r>
      <w:r>
        <w:rPr>
          <w:rFonts w:ascii="Arial"/>
          <w:i/>
          <w:spacing w:val="41"/>
          <w:sz w:val="20"/>
        </w:rPr>
        <w:t> </w:t>
      </w:r>
      <w:r>
        <w:rPr>
          <w:rFonts w:ascii="Arial"/>
          <w:i/>
          <w:sz w:val="20"/>
        </w:rPr>
        <w:t>Trust</w:t>
      </w:r>
      <w:r>
        <w:rPr>
          <w:rFonts w:ascii="Arial"/>
          <w:i/>
          <w:spacing w:val="41"/>
          <w:sz w:val="20"/>
        </w:rPr>
        <w:t> </w:t>
      </w:r>
      <w:r>
        <w:rPr>
          <w:rFonts w:ascii="Arial"/>
          <w:i/>
          <w:sz w:val="20"/>
        </w:rPr>
        <w:t>Co</w:t>
      </w:r>
      <w:r>
        <w:rPr>
          <w:rFonts w:ascii="Arial"/>
          <w:i/>
          <w:spacing w:val="41"/>
          <w:sz w:val="20"/>
        </w:rPr>
        <w:t> </w:t>
      </w:r>
      <w:r>
        <w:rPr>
          <w:rFonts w:ascii="Arial"/>
          <w:i/>
          <w:sz w:val="20"/>
        </w:rPr>
        <w:t>(UK)</w:t>
      </w:r>
      <w:r>
        <w:rPr>
          <w:rFonts w:ascii="Arial"/>
          <w:i/>
          <w:spacing w:val="41"/>
          <w:sz w:val="20"/>
        </w:rPr>
        <w:t> </w:t>
      </w:r>
      <w:r>
        <w:rPr>
          <w:rFonts w:ascii="Arial"/>
          <w:i/>
          <w:sz w:val="20"/>
        </w:rPr>
        <w:t>Ltd</w:t>
      </w:r>
      <w:r>
        <w:rPr>
          <w:rFonts w:ascii="Arial"/>
          <w:i/>
          <w:spacing w:val="41"/>
          <w:sz w:val="20"/>
        </w:rPr>
        <w:t> </w:t>
      </w:r>
      <w:r>
        <w:rPr>
          <w:rFonts w:ascii="Arial"/>
          <w:i/>
          <w:spacing w:val="-2"/>
          <w:sz w:val="20"/>
        </w:rPr>
        <w:t>[2005]</w:t>
      </w:r>
    </w:p>
    <w:p>
      <w:pPr>
        <w:pStyle w:val="BodyText"/>
        <w:spacing w:line="235" w:lineRule="auto" w:before="1"/>
        <w:ind w:left="705" w:right="167"/>
        <w:jc w:val="both"/>
      </w:pPr>
      <w:r>
        <w:rPr>
          <w:rFonts w:ascii="Arial" w:hAnsi="Arial"/>
          <w:i/>
        </w:rPr>
        <w:t>W.T.L.R. 1298 </w:t>
      </w:r>
      <w:r>
        <w:rPr/>
        <w:t>may, with respect, be doubted. The promise which was held there to have given rise to a proprietary estoppel was one that the promisee would inherit the whole of promisor’s estate. This did indeed, at least in general terms, identify the relevant property. But the acts done in reliance on the promise did not in any way either relate to the property or benefit </w:t>
      </w:r>
      <w:r>
        <w:rPr/>
        <w:t>the promisor. While the latter factor is not decisive (see above, para.4-143) the combination of </w:t>
      </w:r>
      <w:r>
        <w:rPr/>
        <w:t>both of them seems to reduce the case to one of mere action in reliance on a gratuitous </w:t>
      </w:r>
      <w:r>
        <w:rPr/>
        <w:t>promise.</w:t>
      </w:r>
      <w:r>
        <w:rPr>
          <w:spacing w:val="40"/>
        </w:rPr>
        <w:t> </w:t>
      </w:r>
      <w:r>
        <w:rPr/>
        <w:t>The judgment recognises that mere change of position does not suffice to give rise </w:t>
      </w:r>
      <w:r>
        <w:rPr/>
        <w:t>to proprietary estoppel (at [73]) but does not explain what additional factors in the case </w:t>
      </w:r>
      <w:r>
        <w:rPr/>
        <w:t>justified</w:t>
      </w:r>
      <w:r>
        <w:rPr>
          <w:spacing w:val="40"/>
        </w:rPr>
        <w:t> </w:t>
      </w:r>
      <w:r>
        <w:rPr/>
        <w:t>the application of the doctrine.</w:t>
      </w:r>
    </w:p>
    <w:p>
      <w:pPr>
        <w:pStyle w:val="BodyText"/>
        <w:spacing w:before="3"/>
      </w:pPr>
    </w:p>
    <w:p>
      <w:pPr>
        <w:spacing w:before="0"/>
        <w:ind w:left="165" w:right="0" w:firstLine="0"/>
        <w:jc w:val="left"/>
        <w:rPr>
          <w:sz w:val="20"/>
        </w:rPr>
      </w:pPr>
      <w:r>
        <w:rPr>
          <w:color w:val="005DA1"/>
          <w:position w:val="5"/>
          <w:sz w:val="14"/>
          <w:u w:val="single" w:color="005DA1"/>
        </w:rPr>
        <w:t>1038</w:t>
      </w:r>
      <w:r>
        <w:rPr>
          <w:position w:val="5"/>
          <w:sz w:val="14"/>
        </w:rPr>
        <w:t>.</w:t>
      </w:r>
      <w:r>
        <w:rPr>
          <w:spacing w:val="55"/>
          <w:position w:val="5"/>
          <w:sz w:val="14"/>
        </w:rPr>
        <w:t>  </w:t>
      </w:r>
      <w:r>
        <w:rPr>
          <w:sz w:val="20"/>
        </w:rPr>
        <w:t>Above,</w:t>
      </w:r>
      <w:r>
        <w:rPr>
          <w:spacing w:val="1"/>
          <w:sz w:val="20"/>
        </w:rPr>
        <w:t> </w:t>
      </w:r>
      <w:r>
        <w:rPr>
          <w:sz w:val="20"/>
        </w:rPr>
        <w:t>para.4-</w:t>
      </w:r>
      <w:r>
        <w:rPr>
          <w:spacing w:val="-4"/>
          <w:sz w:val="20"/>
        </w:rPr>
        <w:t>099.</w:t>
      </w:r>
    </w:p>
    <w:p>
      <w:pPr>
        <w:pStyle w:val="BodyText"/>
        <w:spacing w:before="5"/>
      </w:pPr>
    </w:p>
    <w:p>
      <w:pPr>
        <w:spacing w:before="0"/>
        <w:ind w:left="165" w:right="0" w:firstLine="0"/>
        <w:jc w:val="left"/>
        <w:rPr>
          <w:sz w:val="20"/>
        </w:rPr>
      </w:pPr>
      <w:r>
        <w:rPr>
          <w:color w:val="005DA1"/>
          <w:position w:val="5"/>
          <w:sz w:val="14"/>
          <w:u w:val="single" w:color="005DA1"/>
        </w:rPr>
        <w:t>1039</w:t>
      </w:r>
      <w:r>
        <w:rPr>
          <w:position w:val="5"/>
          <w:sz w:val="14"/>
        </w:rPr>
        <w:t>.</w:t>
      </w:r>
      <w:r>
        <w:rPr>
          <w:spacing w:val="55"/>
          <w:position w:val="5"/>
          <w:sz w:val="14"/>
        </w:rPr>
        <w:t>  </w:t>
      </w:r>
      <w:r>
        <w:rPr>
          <w:sz w:val="20"/>
        </w:rPr>
        <w:t>Above,</w:t>
      </w:r>
      <w:r>
        <w:rPr>
          <w:spacing w:val="1"/>
          <w:sz w:val="20"/>
        </w:rPr>
        <w:t> </w:t>
      </w:r>
      <w:r>
        <w:rPr>
          <w:sz w:val="20"/>
        </w:rPr>
        <w:t>para.4-158 at </w:t>
      </w:r>
      <w:r>
        <w:rPr>
          <w:spacing w:val="-2"/>
          <w:sz w:val="20"/>
        </w:rPr>
        <w:t>n.966.</w:t>
      </w:r>
    </w:p>
    <w:p>
      <w:pPr>
        <w:pStyle w:val="BodyText"/>
        <w:spacing w:before="5"/>
      </w:pPr>
    </w:p>
    <w:p>
      <w:pPr>
        <w:spacing w:line="227" w:lineRule="exact" w:before="0"/>
        <w:ind w:left="165" w:right="0" w:firstLine="0"/>
        <w:jc w:val="both"/>
        <w:rPr>
          <w:rFonts w:ascii="Arial"/>
          <w:i/>
          <w:sz w:val="20"/>
        </w:rPr>
      </w:pPr>
      <w:r>
        <w:rPr>
          <w:color w:val="005DA1"/>
          <w:position w:val="5"/>
          <w:sz w:val="14"/>
          <w:u w:val="single" w:color="005DA1"/>
        </w:rPr>
        <w:t>1040</w:t>
      </w:r>
      <w:r>
        <w:rPr>
          <w:position w:val="5"/>
          <w:sz w:val="14"/>
        </w:rPr>
        <w:t>.</w:t>
      </w:r>
      <w:r>
        <w:rPr>
          <w:spacing w:val="55"/>
          <w:position w:val="5"/>
          <w:sz w:val="14"/>
        </w:rPr>
        <w:t>  </w:t>
      </w:r>
      <w:r>
        <w:rPr>
          <w:rFonts w:ascii="Arial"/>
          <w:i/>
          <w:sz w:val="20"/>
        </w:rPr>
        <w:t>[2008]</w:t>
      </w:r>
      <w:r>
        <w:rPr>
          <w:rFonts w:ascii="Arial"/>
          <w:i/>
          <w:spacing w:val="4"/>
          <w:sz w:val="20"/>
        </w:rPr>
        <w:t> </w:t>
      </w:r>
      <w:r>
        <w:rPr>
          <w:rFonts w:ascii="Arial"/>
          <w:i/>
          <w:sz w:val="20"/>
        </w:rPr>
        <w:t>UKHL</w:t>
      </w:r>
      <w:r>
        <w:rPr>
          <w:rFonts w:ascii="Arial"/>
          <w:i/>
          <w:spacing w:val="3"/>
          <w:sz w:val="20"/>
        </w:rPr>
        <w:t> </w:t>
      </w:r>
      <w:r>
        <w:rPr>
          <w:rFonts w:ascii="Arial"/>
          <w:i/>
          <w:sz w:val="20"/>
        </w:rPr>
        <w:t>55,</w:t>
      </w:r>
      <w:r>
        <w:rPr>
          <w:rFonts w:ascii="Arial"/>
          <w:i/>
          <w:spacing w:val="3"/>
          <w:sz w:val="20"/>
        </w:rPr>
        <w:t> </w:t>
      </w:r>
      <w:r>
        <w:rPr>
          <w:rFonts w:ascii="Arial"/>
          <w:i/>
          <w:sz w:val="20"/>
        </w:rPr>
        <w:t>[2008]</w:t>
      </w:r>
      <w:r>
        <w:rPr>
          <w:rFonts w:ascii="Arial"/>
          <w:i/>
          <w:spacing w:val="3"/>
          <w:sz w:val="20"/>
        </w:rPr>
        <w:t> </w:t>
      </w:r>
      <w:r>
        <w:rPr>
          <w:rFonts w:ascii="Arial"/>
          <w:i/>
          <w:sz w:val="20"/>
        </w:rPr>
        <w:t>1</w:t>
      </w:r>
      <w:r>
        <w:rPr>
          <w:rFonts w:ascii="Arial"/>
          <w:i/>
          <w:spacing w:val="3"/>
          <w:sz w:val="20"/>
        </w:rPr>
        <w:t> </w:t>
      </w:r>
      <w:r>
        <w:rPr>
          <w:rFonts w:ascii="Arial"/>
          <w:i/>
          <w:sz w:val="20"/>
        </w:rPr>
        <w:t>W.L.R.</w:t>
      </w:r>
      <w:r>
        <w:rPr>
          <w:rFonts w:ascii="Arial"/>
          <w:i/>
          <w:spacing w:val="3"/>
          <w:sz w:val="20"/>
        </w:rPr>
        <w:t> </w:t>
      </w:r>
      <w:r>
        <w:rPr>
          <w:rFonts w:ascii="Arial"/>
          <w:i/>
          <w:sz w:val="20"/>
        </w:rPr>
        <w:t>1752</w:t>
      </w:r>
      <w:r>
        <w:rPr>
          <w:sz w:val="20"/>
        </w:rPr>
        <w:t>.</w:t>
      </w:r>
      <w:r>
        <w:rPr>
          <w:spacing w:val="3"/>
          <w:sz w:val="20"/>
        </w:rPr>
        <w:t> </w:t>
      </w:r>
      <w:r>
        <w:rPr>
          <w:sz w:val="20"/>
        </w:rPr>
        <w:t>For</w:t>
      </w:r>
      <w:r>
        <w:rPr>
          <w:spacing w:val="2"/>
          <w:sz w:val="20"/>
        </w:rPr>
        <w:t> </w:t>
      </w:r>
      <w:r>
        <w:rPr>
          <w:sz w:val="20"/>
        </w:rPr>
        <w:t>an</w:t>
      </w:r>
      <w:r>
        <w:rPr>
          <w:spacing w:val="3"/>
          <w:sz w:val="20"/>
        </w:rPr>
        <w:t> </w:t>
      </w:r>
      <w:r>
        <w:rPr>
          <w:sz w:val="20"/>
        </w:rPr>
        <w:t>extended</w:t>
      </w:r>
      <w:r>
        <w:rPr>
          <w:spacing w:val="3"/>
          <w:sz w:val="20"/>
        </w:rPr>
        <w:t> </w:t>
      </w:r>
      <w:r>
        <w:rPr>
          <w:sz w:val="20"/>
        </w:rPr>
        <w:t>discussion</w:t>
      </w:r>
      <w:r>
        <w:rPr>
          <w:spacing w:val="3"/>
          <w:sz w:val="20"/>
        </w:rPr>
        <w:t> </w:t>
      </w:r>
      <w:r>
        <w:rPr>
          <w:sz w:val="20"/>
        </w:rPr>
        <w:t>of</w:t>
      </w:r>
      <w:r>
        <w:rPr>
          <w:spacing w:val="3"/>
          <w:sz w:val="20"/>
        </w:rPr>
        <w:t> </w:t>
      </w:r>
      <w:r>
        <w:rPr>
          <w:sz w:val="20"/>
        </w:rPr>
        <w:t>this</w:t>
      </w:r>
      <w:r>
        <w:rPr>
          <w:spacing w:val="3"/>
          <w:sz w:val="20"/>
        </w:rPr>
        <w:t> </w:t>
      </w:r>
      <w:r>
        <w:rPr>
          <w:sz w:val="20"/>
        </w:rPr>
        <w:t>case</w:t>
      </w:r>
      <w:r>
        <w:rPr>
          <w:spacing w:val="3"/>
          <w:sz w:val="20"/>
        </w:rPr>
        <w:t> </w:t>
      </w:r>
      <w:r>
        <w:rPr>
          <w:sz w:val="20"/>
        </w:rPr>
        <w:t>and</w:t>
      </w:r>
      <w:r>
        <w:rPr>
          <w:spacing w:val="3"/>
          <w:sz w:val="20"/>
        </w:rPr>
        <w:t> </w:t>
      </w:r>
      <w:r>
        <w:rPr>
          <w:sz w:val="20"/>
        </w:rPr>
        <w:t>of</w:t>
      </w:r>
      <w:r>
        <w:rPr>
          <w:spacing w:val="3"/>
          <w:sz w:val="20"/>
        </w:rPr>
        <w:t> </w:t>
      </w:r>
      <w:r>
        <w:rPr>
          <w:rFonts w:ascii="Arial"/>
          <w:i/>
          <w:spacing w:val="-2"/>
          <w:sz w:val="20"/>
        </w:rPr>
        <w:t>Thorner</w:t>
      </w:r>
    </w:p>
    <w:p>
      <w:pPr>
        <w:spacing w:line="235" w:lineRule="auto" w:before="2"/>
        <w:ind w:left="705" w:right="167" w:firstLine="0"/>
        <w:jc w:val="both"/>
        <w:rPr>
          <w:sz w:val="20"/>
        </w:rPr>
      </w:pPr>
      <w:r>
        <w:rPr>
          <w:rFonts w:ascii="Arial"/>
          <w:i/>
          <w:sz w:val="20"/>
        </w:rPr>
        <w:t>v Major [2005] UKHL 18, [2009] 1 W.L.R. 776 </w:t>
      </w:r>
      <w:r>
        <w:rPr>
          <w:sz w:val="20"/>
        </w:rPr>
        <w:t>(above para.4-149), see </w:t>
      </w:r>
      <w:r>
        <w:rPr>
          <w:rFonts w:ascii="Arial"/>
          <w:i/>
          <w:sz w:val="20"/>
        </w:rPr>
        <w:t>Crossco No.4 </w:t>
      </w:r>
      <w:r>
        <w:rPr>
          <w:rFonts w:ascii="Arial"/>
          <w:i/>
          <w:sz w:val="20"/>
        </w:rPr>
        <w:t>Unlimited v</w:t>
      </w:r>
      <w:r>
        <w:rPr>
          <w:rFonts w:ascii="Arial"/>
          <w:i/>
          <w:spacing w:val="-3"/>
          <w:sz w:val="20"/>
        </w:rPr>
        <w:t> </w:t>
      </w:r>
      <w:r>
        <w:rPr>
          <w:rFonts w:ascii="Arial"/>
          <w:i/>
          <w:sz w:val="20"/>
        </w:rPr>
        <w:t>Jolan</w:t>
      </w:r>
      <w:r>
        <w:rPr>
          <w:rFonts w:ascii="Arial"/>
          <w:i/>
          <w:spacing w:val="-3"/>
          <w:sz w:val="20"/>
        </w:rPr>
        <w:t> </w:t>
      </w:r>
      <w:r>
        <w:rPr>
          <w:rFonts w:ascii="Arial"/>
          <w:i/>
          <w:sz w:val="20"/>
        </w:rPr>
        <w:t>Ltd</w:t>
      </w:r>
      <w:r>
        <w:rPr>
          <w:rFonts w:ascii="Arial"/>
          <w:i/>
          <w:spacing w:val="-3"/>
          <w:sz w:val="20"/>
        </w:rPr>
        <w:t> </w:t>
      </w:r>
      <w:r>
        <w:rPr>
          <w:rFonts w:ascii="Arial"/>
          <w:i/>
          <w:sz w:val="20"/>
        </w:rPr>
        <w:t>[2011]</w:t>
      </w:r>
      <w:r>
        <w:rPr>
          <w:rFonts w:ascii="Arial"/>
          <w:i/>
          <w:spacing w:val="-3"/>
          <w:sz w:val="20"/>
        </w:rPr>
        <w:t> </w:t>
      </w:r>
      <w:r>
        <w:rPr>
          <w:rFonts w:ascii="Arial"/>
          <w:i/>
          <w:sz w:val="20"/>
        </w:rPr>
        <w:t>EWHC</w:t>
      </w:r>
      <w:r>
        <w:rPr>
          <w:rFonts w:ascii="Arial"/>
          <w:i/>
          <w:spacing w:val="-3"/>
          <w:sz w:val="20"/>
        </w:rPr>
        <w:t> </w:t>
      </w:r>
      <w:r>
        <w:rPr>
          <w:rFonts w:ascii="Arial"/>
          <w:i/>
          <w:sz w:val="20"/>
        </w:rPr>
        <w:t>803</w:t>
      </w:r>
      <w:r>
        <w:rPr>
          <w:rFonts w:ascii="Arial"/>
          <w:i/>
          <w:spacing w:val="-3"/>
          <w:sz w:val="20"/>
        </w:rPr>
        <w:t> </w:t>
      </w:r>
      <w:r>
        <w:rPr>
          <w:rFonts w:ascii="Arial"/>
          <w:i/>
          <w:sz w:val="20"/>
        </w:rPr>
        <w:t>(Ch)</w:t>
      </w:r>
      <w:r>
        <w:rPr>
          <w:sz w:val="20"/>
        </w:rPr>
        <w:t>,</w:t>
      </w:r>
      <w:r>
        <w:rPr>
          <w:spacing w:val="-3"/>
          <w:sz w:val="20"/>
        </w:rPr>
        <w:t> </w:t>
      </w:r>
      <w:r>
        <w:rPr>
          <w:sz w:val="20"/>
        </w:rPr>
        <w:t>where</w:t>
      </w:r>
      <w:r>
        <w:rPr>
          <w:spacing w:val="-3"/>
          <w:sz w:val="20"/>
        </w:rPr>
        <w:t> </w:t>
      </w:r>
      <w:r>
        <w:rPr>
          <w:sz w:val="20"/>
        </w:rPr>
        <w:t>estoppel</w:t>
      </w:r>
      <w:r>
        <w:rPr>
          <w:spacing w:val="-3"/>
          <w:sz w:val="20"/>
        </w:rPr>
        <w:t> </w:t>
      </w:r>
      <w:r>
        <w:rPr>
          <w:sz w:val="20"/>
        </w:rPr>
        <w:t>claims</w:t>
      </w:r>
      <w:r>
        <w:rPr>
          <w:spacing w:val="-3"/>
          <w:sz w:val="20"/>
        </w:rPr>
        <w:t> </w:t>
      </w:r>
      <w:r>
        <w:rPr>
          <w:sz w:val="20"/>
        </w:rPr>
        <w:t>failed</w:t>
      </w:r>
      <w:r>
        <w:rPr>
          <w:spacing w:val="-3"/>
          <w:sz w:val="20"/>
        </w:rPr>
        <w:t> </w:t>
      </w:r>
      <w:r>
        <w:rPr>
          <w:sz w:val="20"/>
        </w:rPr>
        <w:t>as</w:t>
      </w:r>
      <w:r>
        <w:rPr>
          <w:spacing w:val="-3"/>
          <w:sz w:val="20"/>
        </w:rPr>
        <w:t> </w:t>
      </w:r>
      <w:r>
        <w:rPr>
          <w:sz w:val="20"/>
        </w:rPr>
        <w:t>their</w:t>
      </w:r>
      <w:r>
        <w:rPr>
          <w:spacing w:val="-3"/>
          <w:sz w:val="20"/>
        </w:rPr>
        <w:t> </w:t>
      </w:r>
      <w:r>
        <w:rPr>
          <w:sz w:val="20"/>
        </w:rPr>
        <w:t>factual</w:t>
      </w:r>
      <w:r>
        <w:rPr>
          <w:spacing w:val="-3"/>
          <w:sz w:val="20"/>
        </w:rPr>
        <w:t> </w:t>
      </w:r>
      <w:r>
        <w:rPr>
          <w:sz w:val="20"/>
        </w:rPr>
        <w:t>bases</w:t>
      </w:r>
      <w:r>
        <w:rPr>
          <w:spacing w:val="-3"/>
          <w:sz w:val="20"/>
        </w:rPr>
        <w:t> </w:t>
      </w:r>
      <w:r>
        <w:rPr>
          <w:sz w:val="20"/>
        </w:rPr>
        <w:t>were</w:t>
      </w:r>
      <w:r>
        <w:rPr>
          <w:spacing w:val="-3"/>
          <w:sz w:val="20"/>
        </w:rPr>
        <w:t> </w:t>
      </w:r>
      <w:r>
        <w:rPr>
          <w:sz w:val="20"/>
        </w:rPr>
        <w:t>not established; the decision in the </w:t>
      </w:r>
      <w:r>
        <w:rPr>
          <w:rFonts w:ascii="Arial"/>
          <w:i/>
          <w:sz w:val="20"/>
        </w:rPr>
        <w:t>Crossco </w:t>
      </w:r>
      <w:r>
        <w:rPr>
          <w:sz w:val="20"/>
        </w:rPr>
        <w:t>case was affirmed on appeal: </w:t>
      </w:r>
      <w:r>
        <w:rPr>
          <w:rFonts w:ascii="Arial"/>
          <w:i/>
          <w:sz w:val="20"/>
        </w:rPr>
        <w:t>[2011] EWCA Civ 1619, [2012] 2 All E.R. 754</w:t>
      </w:r>
      <w:r>
        <w:rPr>
          <w:sz w:val="20"/>
        </w:rPr>
        <w:t>.</w:t>
      </w:r>
    </w:p>
    <w:p>
      <w:pPr>
        <w:pStyle w:val="BodyText"/>
        <w:spacing w:before="4"/>
      </w:pPr>
    </w:p>
    <w:p>
      <w:pPr>
        <w:spacing w:before="0"/>
        <w:ind w:left="165" w:right="0" w:firstLine="0"/>
        <w:jc w:val="left"/>
        <w:rPr>
          <w:sz w:val="20"/>
        </w:rPr>
      </w:pPr>
      <w:r>
        <w:rPr>
          <w:color w:val="005DA1"/>
          <w:position w:val="5"/>
          <w:sz w:val="14"/>
          <w:u w:val="single" w:color="005DA1"/>
        </w:rPr>
        <w:t>1041</w:t>
      </w:r>
      <w:r>
        <w:rPr>
          <w:position w:val="5"/>
          <w:sz w:val="14"/>
        </w:rPr>
        <w:t>.</w:t>
      </w:r>
      <w:r>
        <w:rPr>
          <w:spacing w:val="55"/>
          <w:position w:val="5"/>
          <w:sz w:val="14"/>
        </w:rPr>
        <w:t>  </w:t>
      </w:r>
      <w:r>
        <w:rPr>
          <w:sz w:val="20"/>
        </w:rPr>
        <w:t>Above,</w:t>
      </w:r>
      <w:r>
        <w:rPr>
          <w:spacing w:val="1"/>
          <w:sz w:val="20"/>
        </w:rPr>
        <w:t> </w:t>
      </w:r>
      <w:r>
        <w:rPr>
          <w:sz w:val="20"/>
        </w:rPr>
        <w:t>para.2-</w:t>
      </w:r>
      <w:r>
        <w:rPr>
          <w:spacing w:val="-4"/>
          <w:sz w:val="20"/>
        </w:rPr>
        <w:t>117.</w:t>
      </w:r>
    </w:p>
    <w:p>
      <w:pPr>
        <w:pStyle w:val="BodyText"/>
        <w:spacing w:before="5"/>
      </w:pPr>
    </w:p>
    <w:p>
      <w:pPr>
        <w:spacing w:before="0"/>
        <w:ind w:left="165" w:right="0" w:firstLine="0"/>
        <w:jc w:val="left"/>
        <w:rPr>
          <w:sz w:val="20"/>
        </w:rPr>
      </w:pPr>
      <w:r>
        <w:rPr>
          <w:color w:val="005DA1"/>
          <w:position w:val="5"/>
          <w:sz w:val="14"/>
          <w:u w:val="single" w:color="005DA1"/>
        </w:rPr>
        <w:t>1042</w:t>
      </w:r>
      <w:r>
        <w:rPr>
          <w:position w:val="5"/>
          <w:sz w:val="14"/>
        </w:rPr>
        <w:t>.</w:t>
      </w:r>
      <w:r>
        <w:rPr>
          <w:spacing w:val="55"/>
          <w:position w:val="5"/>
          <w:sz w:val="14"/>
        </w:rPr>
        <w:t>  </w:t>
      </w:r>
      <w:r>
        <w:rPr>
          <w:rFonts w:ascii="Arial"/>
          <w:i/>
          <w:sz w:val="20"/>
        </w:rPr>
        <w:t>[2005]</w:t>
      </w:r>
      <w:r>
        <w:rPr>
          <w:rFonts w:ascii="Arial"/>
          <w:i/>
          <w:spacing w:val="1"/>
          <w:sz w:val="20"/>
        </w:rPr>
        <w:t> </w:t>
      </w:r>
      <w:r>
        <w:rPr>
          <w:rFonts w:ascii="Arial"/>
          <w:i/>
          <w:sz w:val="20"/>
        </w:rPr>
        <w:t>EWHC 266 (Ch), [2005] W.T.L.R. 625; [2006] EWCA Civ 1139, [2006] 1 W.L.R. </w:t>
      </w:r>
      <w:r>
        <w:rPr>
          <w:rFonts w:ascii="Arial"/>
          <w:i/>
          <w:spacing w:val="-2"/>
          <w:sz w:val="20"/>
        </w:rPr>
        <w:t>2964</w:t>
      </w:r>
      <w:r>
        <w:rPr>
          <w:spacing w:val="-2"/>
          <w:sz w:val="20"/>
        </w:rPr>
        <w:t>.</w:t>
      </w:r>
    </w:p>
    <w:p>
      <w:pPr>
        <w:pStyle w:val="BodyText"/>
        <w:spacing w:before="5"/>
      </w:pPr>
    </w:p>
    <w:p>
      <w:pPr>
        <w:spacing w:before="0"/>
        <w:ind w:left="165" w:right="0" w:firstLine="0"/>
        <w:jc w:val="left"/>
        <w:rPr>
          <w:sz w:val="20"/>
        </w:rPr>
      </w:pPr>
      <w:r>
        <w:rPr>
          <w:color w:val="005DA1"/>
          <w:position w:val="5"/>
          <w:sz w:val="14"/>
          <w:u w:val="single" w:color="005DA1"/>
        </w:rPr>
        <w:t>1043</w:t>
      </w:r>
      <w:r>
        <w:rPr>
          <w:position w:val="5"/>
          <w:sz w:val="14"/>
        </w:rPr>
        <w:t>.</w:t>
      </w:r>
      <w:r>
        <w:rPr>
          <w:spacing w:val="55"/>
          <w:position w:val="5"/>
          <w:sz w:val="14"/>
        </w:rPr>
        <w:t>  </w:t>
      </w:r>
      <w:r>
        <w:rPr>
          <w:rFonts w:ascii="Arial"/>
          <w:i/>
          <w:sz w:val="20"/>
        </w:rPr>
        <w:t>[2008]</w:t>
      </w:r>
      <w:r>
        <w:rPr>
          <w:rFonts w:ascii="Arial"/>
          <w:i/>
          <w:spacing w:val="1"/>
          <w:sz w:val="20"/>
        </w:rPr>
        <w:t> </w:t>
      </w:r>
      <w:r>
        <w:rPr>
          <w:rFonts w:ascii="Arial"/>
          <w:i/>
          <w:sz w:val="20"/>
        </w:rPr>
        <w:t>UKHL 55, [2008] 1 W.L.R. 1752</w:t>
      </w:r>
      <w:r>
        <w:rPr>
          <w:rFonts w:ascii="Arial"/>
          <w:i/>
          <w:spacing w:val="-1"/>
          <w:sz w:val="20"/>
        </w:rPr>
        <w:t> </w:t>
      </w:r>
      <w:r>
        <w:rPr>
          <w:sz w:val="20"/>
        </w:rPr>
        <w:t>at </w:t>
      </w:r>
      <w:r>
        <w:rPr>
          <w:spacing w:val="-2"/>
          <w:sz w:val="20"/>
        </w:rPr>
        <w:t>[28].</w:t>
      </w:r>
    </w:p>
    <w:p>
      <w:pPr>
        <w:spacing w:after="0"/>
        <w:jc w:val="left"/>
        <w:rPr>
          <w:sz w:val="20"/>
        </w:rPr>
        <w:sectPr>
          <w:pgSz w:w="11900" w:h="16840"/>
          <w:pgMar w:header="971" w:footer="0" w:top="1160" w:bottom="280" w:left="1275" w:right="1275"/>
        </w:sectPr>
      </w:pPr>
    </w:p>
    <w:p>
      <w:pPr>
        <w:pStyle w:val="BodyText"/>
        <w:spacing w:before="84"/>
      </w:pPr>
    </w:p>
    <w:p>
      <w:pPr>
        <w:pStyle w:val="BodyText"/>
        <w:spacing w:line="235" w:lineRule="auto" w:before="1"/>
        <w:ind w:left="705" w:hanging="541"/>
      </w:pPr>
      <w:bookmarkStart w:name="_bookmark1825" w:id="1827"/>
      <w:bookmarkEnd w:id="1827"/>
      <w:r>
        <w:rPr/>
      </w:r>
      <w:r>
        <w:rPr>
          <w:color w:val="005DA1"/>
          <w:position w:val="5"/>
          <w:sz w:val="14"/>
          <w:u w:val="single" w:color="005DA1"/>
        </w:rPr>
        <w:t>1044</w:t>
      </w:r>
      <w:r>
        <w:rPr>
          <w:position w:val="5"/>
          <w:sz w:val="14"/>
        </w:rPr>
        <w:t>.</w:t>
      </w:r>
      <w:r>
        <w:rPr>
          <w:spacing w:val="40"/>
          <w:position w:val="5"/>
          <w:sz w:val="14"/>
        </w:rPr>
        <w:t>  </w:t>
      </w:r>
      <w:r>
        <w:rPr/>
        <w:t>With whose speech Lord Hoffmann; Brown and (except on a point relating to the amount of the quantum meruit claim: see at [44], [96]) Lord Mance agreed.</w:t>
      </w:r>
    </w:p>
    <w:p>
      <w:pPr>
        <w:pStyle w:val="BodyText"/>
        <w:spacing w:before="5"/>
      </w:pPr>
    </w:p>
    <w:p>
      <w:pPr>
        <w:spacing w:before="0"/>
        <w:ind w:left="165" w:right="0" w:firstLine="0"/>
        <w:jc w:val="left"/>
        <w:rPr>
          <w:sz w:val="20"/>
        </w:rPr>
      </w:pPr>
      <w:r>
        <w:rPr>
          <w:color w:val="005DA1"/>
          <w:position w:val="5"/>
          <w:sz w:val="14"/>
          <w:u w:val="single" w:color="005DA1"/>
        </w:rPr>
        <w:t>1045</w:t>
      </w:r>
      <w:r>
        <w:rPr>
          <w:position w:val="5"/>
          <w:sz w:val="14"/>
        </w:rPr>
        <w:t>.</w:t>
      </w:r>
      <w:r>
        <w:rPr>
          <w:spacing w:val="55"/>
          <w:position w:val="5"/>
          <w:sz w:val="14"/>
        </w:rPr>
        <w:t>  </w:t>
      </w:r>
      <w:r>
        <w:rPr>
          <w:rFonts w:ascii="Arial"/>
          <w:i/>
          <w:sz w:val="20"/>
        </w:rPr>
        <w:t>[2008]</w:t>
      </w:r>
      <w:r>
        <w:rPr>
          <w:rFonts w:ascii="Arial"/>
          <w:i/>
          <w:spacing w:val="1"/>
          <w:sz w:val="20"/>
        </w:rPr>
        <w:t> </w:t>
      </w:r>
      <w:r>
        <w:rPr>
          <w:rFonts w:ascii="Arial"/>
          <w:i/>
          <w:sz w:val="20"/>
        </w:rPr>
        <w:t>UKHL 55, [2008] 1 W.L.R. 1752</w:t>
      </w:r>
      <w:r>
        <w:rPr>
          <w:rFonts w:ascii="Arial"/>
          <w:i/>
          <w:spacing w:val="-1"/>
          <w:sz w:val="20"/>
        </w:rPr>
        <w:t> </w:t>
      </w:r>
      <w:r>
        <w:rPr>
          <w:sz w:val="20"/>
        </w:rPr>
        <w:t>at </w:t>
      </w:r>
      <w:r>
        <w:rPr>
          <w:spacing w:val="-2"/>
          <w:sz w:val="20"/>
        </w:rPr>
        <w:t>[16].</w:t>
      </w:r>
    </w:p>
    <w:p>
      <w:pPr>
        <w:pStyle w:val="BodyText"/>
        <w:spacing w:before="5"/>
      </w:pPr>
    </w:p>
    <w:p>
      <w:pPr>
        <w:spacing w:before="0"/>
        <w:ind w:left="165" w:right="0" w:firstLine="0"/>
        <w:jc w:val="left"/>
        <w:rPr>
          <w:sz w:val="20"/>
        </w:rPr>
      </w:pPr>
      <w:r>
        <w:rPr>
          <w:color w:val="005DA1"/>
          <w:position w:val="5"/>
          <w:sz w:val="14"/>
          <w:u w:val="single" w:color="005DA1"/>
        </w:rPr>
        <w:t>1046</w:t>
      </w:r>
      <w:r>
        <w:rPr>
          <w:position w:val="5"/>
          <w:sz w:val="14"/>
        </w:rPr>
        <w:t>.</w:t>
      </w:r>
      <w:r>
        <w:rPr>
          <w:spacing w:val="55"/>
          <w:position w:val="5"/>
          <w:sz w:val="14"/>
        </w:rPr>
        <w:t>  </w:t>
      </w:r>
      <w:r>
        <w:rPr>
          <w:sz w:val="20"/>
        </w:rPr>
        <w:t>ibid.,</w:t>
      </w:r>
      <w:r>
        <w:rPr>
          <w:spacing w:val="1"/>
          <w:sz w:val="20"/>
        </w:rPr>
        <w:t> </w:t>
      </w:r>
      <w:r>
        <w:rPr>
          <w:sz w:val="20"/>
        </w:rPr>
        <w:t>at </w:t>
      </w:r>
      <w:r>
        <w:rPr>
          <w:spacing w:val="-2"/>
          <w:sz w:val="20"/>
        </w:rPr>
        <w:t>[16].</w:t>
      </w:r>
    </w:p>
    <w:p>
      <w:pPr>
        <w:pStyle w:val="BodyText"/>
        <w:spacing w:before="9"/>
      </w:pPr>
    </w:p>
    <w:p>
      <w:pPr>
        <w:spacing w:line="235" w:lineRule="auto" w:before="0"/>
        <w:ind w:left="705" w:right="167" w:hanging="541"/>
        <w:jc w:val="both"/>
        <w:rPr>
          <w:sz w:val="20"/>
        </w:rPr>
      </w:pPr>
      <w:r>
        <w:rPr>
          <w:color w:val="005DA1"/>
          <w:position w:val="5"/>
          <w:sz w:val="14"/>
          <w:u w:val="single" w:color="005DA1"/>
        </w:rPr>
        <w:t>1047</w:t>
      </w:r>
      <w:r>
        <w:rPr>
          <w:position w:val="5"/>
          <w:sz w:val="14"/>
        </w:rPr>
        <w:t>.</w:t>
      </w:r>
      <w:r>
        <w:rPr>
          <w:spacing w:val="80"/>
          <w:position w:val="5"/>
          <w:sz w:val="14"/>
        </w:rPr>
        <w:t> </w:t>
      </w:r>
      <w:r>
        <w:rPr>
          <w:sz w:val="20"/>
        </w:rPr>
        <w:t>See also </w:t>
      </w:r>
      <w:r>
        <w:rPr>
          <w:rFonts w:ascii="Arial" w:hAnsi="Arial"/>
          <w:i/>
          <w:sz w:val="20"/>
        </w:rPr>
        <w:t>Capron v Government of Turks and Caicos Islands [2010] UKPC 2</w:t>
      </w:r>
      <w:r>
        <w:rPr>
          <w:sz w:val="20"/>
        </w:rPr>
        <w:t>, where a</w:t>
      </w:r>
      <w:r>
        <w:rPr>
          <w:spacing w:val="80"/>
          <w:sz w:val="20"/>
        </w:rPr>
        <w:t> </w:t>
      </w:r>
      <w:r>
        <w:rPr>
          <w:sz w:val="20"/>
        </w:rPr>
        <w:t>proprietary estoppel claim was rejected on the ground that there was not sufficient certainty in the interest in the property in question (at [36]–[40]); </w:t>
      </w:r>
      <w:r>
        <w:rPr>
          <w:rFonts w:ascii="Arial" w:hAnsi="Arial"/>
          <w:i/>
          <w:sz w:val="20"/>
        </w:rPr>
        <w:t>Crossco No 4 Unlimited v Jolan Ltd, Note [2011] EWCA Civ 1619, [2012] 2 All E.R. 754 </w:t>
      </w:r>
      <w:r>
        <w:rPr>
          <w:sz w:val="20"/>
        </w:rPr>
        <w:t>at [114].</w:t>
      </w:r>
    </w:p>
    <w:p>
      <w:pPr>
        <w:pStyle w:val="BodyText"/>
        <w:spacing w:before="8"/>
      </w:pPr>
    </w:p>
    <w:p>
      <w:pPr>
        <w:pStyle w:val="BodyText"/>
        <w:spacing w:line="235" w:lineRule="auto" w:before="1"/>
        <w:ind w:left="705" w:right="167" w:hanging="541"/>
        <w:jc w:val="both"/>
        <w:rPr>
          <w:rFonts w:ascii="Arial" w:hAnsi="Arial"/>
          <w:i/>
        </w:rPr>
      </w:pPr>
      <w:r>
        <w:rPr>
          <w:color w:val="005DA1"/>
          <w:position w:val="5"/>
          <w:sz w:val="14"/>
          <w:u w:val="single" w:color="005DA1"/>
        </w:rPr>
        <w:t>1048</w:t>
      </w:r>
      <w:r>
        <w:rPr>
          <w:position w:val="5"/>
          <w:sz w:val="14"/>
        </w:rPr>
        <w:t>.</w:t>
      </w:r>
      <w:r>
        <w:rPr>
          <w:spacing w:val="40"/>
          <w:position w:val="5"/>
          <w:sz w:val="14"/>
        </w:rPr>
        <w:t>  </w:t>
      </w:r>
      <w:r>
        <w:rPr>
          <w:rFonts w:ascii="Arial" w:hAnsi="Arial"/>
          <w:i/>
        </w:rPr>
        <w:t>[2008]</w:t>
      </w:r>
      <w:r>
        <w:rPr>
          <w:rFonts w:ascii="Arial" w:hAnsi="Arial"/>
          <w:i/>
          <w:spacing w:val="17"/>
        </w:rPr>
        <w:t> </w:t>
      </w:r>
      <w:r>
        <w:rPr>
          <w:rFonts w:ascii="Arial" w:hAnsi="Arial"/>
          <w:i/>
        </w:rPr>
        <w:t>UKHL</w:t>
      </w:r>
      <w:r>
        <w:rPr>
          <w:rFonts w:ascii="Arial" w:hAnsi="Arial"/>
          <w:i/>
          <w:spacing w:val="17"/>
        </w:rPr>
        <w:t> </w:t>
      </w:r>
      <w:r>
        <w:rPr>
          <w:rFonts w:ascii="Arial" w:hAnsi="Arial"/>
          <w:i/>
        </w:rPr>
        <w:t>55 </w:t>
      </w:r>
      <w:r>
        <w:rPr/>
        <w:t>at</w:t>
      </w:r>
      <w:r>
        <w:rPr>
          <w:spacing w:val="17"/>
        </w:rPr>
        <w:t> </w:t>
      </w:r>
      <w:r>
        <w:rPr/>
        <w:t>[28].</w:t>
      </w:r>
      <w:r>
        <w:rPr>
          <w:spacing w:val="17"/>
        </w:rPr>
        <w:t> </w:t>
      </w:r>
      <w:r>
        <w:rPr/>
        <w:t>The</w:t>
      </w:r>
      <w:r>
        <w:rPr>
          <w:spacing w:val="17"/>
        </w:rPr>
        <w:t> </w:t>
      </w:r>
      <w:r>
        <w:rPr/>
        <w:t>passage</w:t>
      </w:r>
      <w:r>
        <w:rPr>
          <w:spacing w:val="17"/>
        </w:rPr>
        <w:t> </w:t>
      </w:r>
      <w:r>
        <w:rPr/>
        <w:t>quoted</w:t>
      </w:r>
      <w:r>
        <w:rPr>
          <w:spacing w:val="17"/>
        </w:rPr>
        <w:t> </w:t>
      </w:r>
      <w:r>
        <w:rPr/>
        <w:t>in</w:t>
      </w:r>
      <w:r>
        <w:rPr>
          <w:spacing w:val="17"/>
        </w:rPr>
        <w:t> </w:t>
      </w:r>
      <w:r>
        <w:rPr/>
        <w:t>the</w:t>
      </w:r>
      <w:r>
        <w:rPr>
          <w:spacing w:val="17"/>
        </w:rPr>
        <w:t> </w:t>
      </w:r>
      <w:r>
        <w:rPr/>
        <w:t>text</w:t>
      </w:r>
      <w:r>
        <w:rPr>
          <w:spacing w:val="17"/>
        </w:rPr>
        <w:t> </w:t>
      </w:r>
      <w:r>
        <w:rPr/>
        <w:t>gives</w:t>
      </w:r>
      <w:r>
        <w:rPr>
          <w:spacing w:val="17"/>
        </w:rPr>
        <w:t> </w:t>
      </w:r>
      <w:r>
        <w:rPr/>
        <w:t>rise</w:t>
      </w:r>
      <w:r>
        <w:rPr>
          <w:spacing w:val="17"/>
        </w:rPr>
        <w:t> </w:t>
      </w:r>
      <w:r>
        <w:rPr/>
        <w:t>to</w:t>
      </w:r>
      <w:r>
        <w:rPr>
          <w:spacing w:val="17"/>
        </w:rPr>
        <w:t> </w:t>
      </w:r>
      <w:r>
        <w:rPr/>
        <w:t>the</w:t>
      </w:r>
      <w:r>
        <w:rPr>
          <w:spacing w:val="17"/>
        </w:rPr>
        <w:t> </w:t>
      </w:r>
      <w:r>
        <w:rPr/>
        <w:t>further</w:t>
      </w:r>
      <w:r>
        <w:rPr>
          <w:spacing w:val="17"/>
        </w:rPr>
        <w:t> </w:t>
      </w:r>
      <w:r>
        <w:rPr/>
        <w:t>difficulty</w:t>
      </w:r>
      <w:r>
        <w:rPr>
          <w:spacing w:val="17"/>
        </w:rPr>
        <w:t> </w:t>
      </w:r>
      <w:r>
        <w:rPr/>
        <w:t>that (as the words “these requirements” in the sentence following it make clear) it states </w:t>
      </w:r>
      <w:r>
        <w:rPr>
          <w:rFonts w:ascii="Arial" w:hAnsi="Arial"/>
          <w:i/>
        </w:rPr>
        <w:t>two </w:t>
      </w:r>
      <w:r>
        <w:rPr/>
        <w:t>requirements of “clarity”, the first of which (“clarity as to what it is that [the defendant] is estopped</w:t>
      </w:r>
      <w:r>
        <w:rPr>
          <w:spacing w:val="-2"/>
        </w:rPr>
        <w:t> </w:t>
      </w:r>
      <w:r>
        <w:rPr/>
        <w:t>from</w:t>
      </w:r>
      <w:r>
        <w:rPr>
          <w:spacing w:val="-2"/>
        </w:rPr>
        <w:t> </w:t>
      </w:r>
      <w:r>
        <w:rPr/>
        <w:t>denying</w:t>
      </w:r>
      <w:r>
        <w:rPr>
          <w:spacing w:val="-2"/>
        </w:rPr>
        <w:t> </w:t>
      </w:r>
      <w:r>
        <w:rPr/>
        <w:t>or</w:t>
      </w:r>
      <w:r>
        <w:rPr>
          <w:spacing w:val="-2"/>
        </w:rPr>
        <w:t> </w:t>
      </w:r>
      <w:r>
        <w:rPr/>
        <w:t>asserting”)</w:t>
      </w:r>
      <w:r>
        <w:rPr>
          <w:spacing w:val="-2"/>
        </w:rPr>
        <w:t> </w:t>
      </w:r>
      <w:r>
        <w:rPr/>
        <w:t>is</w:t>
      </w:r>
      <w:r>
        <w:rPr>
          <w:spacing w:val="-2"/>
        </w:rPr>
        <w:t> </w:t>
      </w:r>
      <w:r>
        <w:rPr/>
        <w:t>not</w:t>
      </w:r>
      <w:r>
        <w:rPr>
          <w:spacing w:val="-2"/>
        </w:rPr>
        <w:t> </w:t>
      </w:r>
      <w:r>
        <w:rPr/>
        <w:t>altogether</w:t>
      </w:r>
      <w:r>
        <w:rPr>
          <w:spacing w:val="-2"/>
        </w:rPr>
        <w:t> </w:t>
      </w:r>
      <w:r>
        <w:rPr/>
        <w:t>easy</w:t>
      </w:r>
      <w:r>
        <w:rPr>
          <w:spacing w:val="-2"/>
        </w:rPr>
        <w:t> </w:t>
      </w:r>
      <w:r>
        <w:rPr/>
        <w:t>to</w:t>
      </w:r>
      <w:r>
        <w:rPr>
          <w:spacing w:val="-2"/>
        </w:rPr>
        <w:t> </w:t>
      </w:r>
      <w:r>
        <w:rPr/>
        <w:t>interpret.</w:t>
      </w:r>
      <w:r>
        <w:rPr>
          <w:spacing w:val="-2"/>
        </w:rPr>
        <w:t> </w:t>
      </w:r>
      <w:r>
        <w:rPr/>
        <w:t>It</w:t>
      </w:r>
      <w:r>
        <w:rPr>
          <w:spacing w:val="-2"/>
        </w:rPr>
        <w:t> </w:t>
      </w:r>
      <w:r>
        <w:rPr/>
        <w:t>may</w:t>
      </w:r>
      <w:r>
        <w:rPr>
          <w:spacing w:val="-2"/>
        </w:rPr>
        <w:t> </w:t>
      </w:r>
      <w:r>
        <w:rPr/>
        <w:t>be</w:t>
      </w:r>
      <w:r>
        <w:rPr>
          <w:spacing w:val="-2"/>
        </w:rPr>
        <w:t> </w:t>
      </w:r>
      <w:r>
        <w:rPr/>
        <w:t>a</w:t>
      </w:r>
      <w:r>
        <w:rPr>
          <w:spacing w:val="-2"/>
        </w:rPr>
        <w:t> </w:t>
      </w:r>
      <w:r>
        <w:rPr/>
        <w:t>reference</w:t>
      </w:r>
      <w:r>
        <w:rPr>
          <w:spacing w:val="-2"/>
        </w:rPr>
        <w:t> </w:t>
      </w:r>
      <w:r>
        <w:rPr/>
        <w:t>to the requirement that the representation alleged to give rise to the estoppel must be “clear and unequivocal” (above, paras 4-149 to 4-152). But when, in </w:t>
      </w:r>
      <w:r>
        <w:rPr>
          <w:rFonts w:ascii="Arial" w:hAnsi="Arial"/>
          <w:i/>
        </w:rPr>
        <w:t>Thorner v Major [2009] UKHL 18, [2009] 1 W.L.R. 776 </w:t>
      </w:r>
      <w:r>
        <w:rPr/>
        <w:t>at [15] Lord Scott discusses this requirement, he makes no reference to</w:t>
      </w:r>
      <w:r>
        <w:rPr>
          <w:spacing w:val="40"/>
        </w:rPr>
        <w:t> </w:t>
      </w:r>
      <w:r>
        <w:rPr/>
        <w:t>the (first) “clarity” requirement as formulated in the phrase from the </w:t>
      </w:r>
      <w:r>
        <w:rPr>
          <w:rFonts w:ascii="Arial" w:hAnsi="Arial"/>
          <w:i/>
        </w:rPr>
        <w:t>Cobbe </w:t>
      </w:r>
      <w:r>
        <w:rPr/>
        <w:t>case quoted earlier</w:t>
      </w:r>
      <w:r>
        <w:rPr>
          <w:spacing w:val="40"/>
        </w:rPr>
        <w:t> </w:t>
      </w:r>
      <w:r>
        <w:rPr/>
        <w:t>in this note; while in the </w:t>
      </w:r>
      <w:r>
        <w:rPr>
          <w:rFonts w:ascii="Arial" w:hAnsi="Arial"/>
          <w:i/>
        </w:rPr>
        <w:t>Thorner </w:t>
      </w:r>
      <w:r>
        <w:rPr/>
        <w:t>case Lords Walker (at [31]) and Neuberger [90] treat the</w:t>
      </w:r>
      <w:r>
        <w:rPr>
          <w:spacing w:val="40"/>
        </w:rPr>
        <w:t> </w:t>
      </w:r>
      <w:r>
        <w:rPr>
          <w:rFonts w:ascii="Arial" w:hAnsi="Arial"/>
          <w:i/>
        </w:rPr>
        <w:t>Cobbe </w:t>
      </w:r>
      <w:r>
        <w:rPr/>
        <w:t>case as turning on lack of certainty in the property interest claimed, i.e. to the second “clarity” requirement stated by Lord Scott in the passage (from the </w:t>
      </w:r>
      <w:r>
        <w:rPr>
          <w:rFonts w:ascii="Arial" w:hAnsi="Arial"/>
          <w:i/>
        </w:rPr>
        <w:t>Cobbe </w:t>
      </w:r>
      <w:r>
        <w:rPr/>
        <w:t>case) quoted in the text above. It seems that, though Lord Scott’s first “clarity” requirement may be related to the “clear and unequivocal” requirement, the two requirements are not identical. Perhaps the distinction between them is that, in proprietary estoppel cases, the promisor is prevented from denying, not the </w:t>
      </w:r>
      <w:r>
        <w:rPr>
          <w:rFonts w:ascii="Arial" w:hAnsi="Arial"/>
          <w:i/>
        </w:rPr>
        <w:t>fact </w:t>
      </w:r>
      <w:r>
        <w:rPr/>
        <w:t>that he made the statement in question, but its </w:t>
      </w:r>
      <w:r>
        <w:rPr>
          <w:rFonts w:ascii="Arial" w:hAnsi="Arial"/>
          <w:i/>
        </w:rPr>
        <w:t>effect </w:t>
      </w:r>
      <w:r>
        <w:rPr/>
        <w:t>in giving rise to an expectation</w:t>
      </w:r>
      <w:r>
        <w:rPr>
          <w:spacing w:val="40"/>
        </w:rPr>
        <w:t> </w:t>
      </w:r>
      <w:r>
        <w:rPr/>
        <w:t>on</w:t>
      </w:r>
      <w:r>
        <w:rPr>
          <w:spacing w:val="40"/>
        </w:rPr>
        <w:t> </w:t>
      </w:r>
      <w:r>
        <w:rPr/>
        <w:t>the</w:t>
      </w:r>
      <w:r>
        <w:rPr>
          <w:spacing w:val="40"/>
        </w:rPr>
        <w:t> </w:t>
      </w:r>
      <w:r>
        <w:rPr/>
        <w:t>part</w:t>
      </w:r>
      <w:r>
        <w:rPr>
          <w:spacing w:val="40"/>
        </w:rPr>
        <w:t> </w:t>
      </w:r>
      <w:r>
        <w:rPr/>
        <w:t>of</w:t>
      </w:r>
      <w:r>
        <w:rPr>
          <w:spacing w:val="40"/>
        </w:rPr>
        <w:t> </w:t>
      </w:r>
      <w:r>
        <w:rPr/>
        <w:t>the</w:t>
      </w:r>
      <w:r>
        <w:rPr>
          <w:spacing w:val="40"/>
        </w:rPr>
        <w:t> </w:t>
      </w:r>
      <w:r>
        <w:rPr/>
        <w:t>promisee</w:t>
      </w:r>
      <w:r>
        <w:rPr>
          <w:spacing w:val="40"/>
        </w:rPr>
        <w:t> </w:t>
      </w:r>
      <w:r>
        <w:rPr/>
        <w:t>that</w:t>
      </w:r>
      <w:r>
        <w:rPr>
          <w:spacing w:val="40"/>
        </w:rPr>
        <w:t> </w:t>
      </w:r>
      <w:r>
        <w:rPr/>
        <w:t>he</w:t>
      </w:r>
      <w:r>
        <w:rPr>
          <w:spacing w:val="40"/>
        </w:rPr>
        <w:t> </w:t>
      </w:r>
      <w:r>
        <w:rPr/>
        <w:t>would</w:t>
      </w:r>
      <w:r>
        <w:rPr>
          <w:spacing w:val="40"/>
        </w:rPr>
        <w:t> </w:t>
      </w:r>
      <w:r>
        <w:rPr/>
        <w:t>acquire</w:t>
      </w:r>
      <w:r>
        <w:rPr>
          <w:spacing w:val="40"/>
        </w:rPr>
        <w:t> </w:t>
      </w:r>
      <w:r>
        <w:rPr>
          <w:rFonts w:ascii="Arial" w:hAnsi="Arial"/>
          <w:i/>
        </w:rPr>
        <w:t>a</w:t>
      </w:r>
      <w:r>
        <w:rPr>
          <w:rFonts w:ascii="Arial" w:hAnsi="Arial"/>
          <w:i/>
          <w:spacing w:val="40"/>
        </w:rPr>
        <w:t> </w:t>
      </w:r>
      <w:r>
        <w:rPr/>
        <w:t>property</w:t>
      </w:r>
      <w:r>
        <w:rPr>
          <w:spacing w:val="40"/>
        </w:rPr>
        <w:t> </w:t>
      </w:r>
      <w:r>
        <w:rPr/>
        <w:t>interest</w:t>
      </w:r>
      <w:r>
        <w:rPr>
          <w:spacing w:val="40"/>
        </w:rPr>
        <w:t> </w:t>
      </w:r>
      <w:r>
        <w:rPr/>
        <w:t>in</w:t>
      </w:r>
      <w:r>
        <w:rPr>
          <w:spacing w:val="40"/>
        </w:rPr>
        <w:t> </w:t>
      </w:r>
      <w:r>
        <w:rPr/>
        <w:t>the subject-matter. This formulation would leave scope for the further requirement of “clarity” as to the nature or extent of that interest (cf. below, para.4-166 at n.1032). The concluding words of the passage quoted in the text above (“if it has not already done so”) may contain an implied criticism of recent decisions but it is not clear at which, if any, such decisions that criticism is directed. Lord Walker at [66] cites a number of such cases without adverse comment. One of these</w:t>
      </w:r>
      <w:r>
        <w:rPr>
          <w:spacing w:val="11"/>
        </w:rPr>
        <w:t> </w:t>
      </w:r>
      <w:r>
        <w:rPr/>
        <w:t>cases</w:t>
      </w:r>
      <w:r>
        <w:rPr>
          <w:spacing w:val="11"/>
        </w:rPr>
        <w:t> </w:t>
      </w:r>
      <w:r>
        <w:rPr/>
        <w:t>is</w:t>
      </w:r>
      <w:r>
        <w:rPr>
          <w:spacing w:val="11"/>
        </w:rPr>
        <w:t> </w:t>
      </w:r>
      <w:r>
        <w:rPr>
          <w:rFonts w:ascii="Arial" w:hAnsi="Arial"/>
          <w:i/>
        </w:rPr>
        <w:t>Gillett</w:t>
      </w:r>
      <w:r>
        <w:rPr>
          <w:rFonts w:ascii="Arial" w:hAnsi="Arial"/>
          <w:i/>
          <w:spacing w:val="11"/>
        </w:rPr>
        <w:t> </w:t>
      </w:r>
      <w:r>
        <w:rPr>
          <w:rFonts w:ascii="Arial" w:hAnsi="Arial"/>
          <w:i/>
        </w:rPr>
        <w:t>v</w:t>
      </w:r>
      <w:r>
        <w:rPr>
          <w:rFonts w:ascii="Arial" w:hAnsi="Arial"/>
          <w:i/>
          <w:spacing w:val="11"/>
        </w:rPr>
        <w:t> </w:t>
      </w:r>
      <w:r>
        <w:rPr>
          <w:rFonts w:ascii="Arial" w:hAnsi="Arial"/>
          <w:i/>
        </w:rPr>
        <w:t>Holt</w:t>
      </w:r>
      <w:r>
        <w:rPr>
          <w:rFonts w:ascii="Arial" w:hAnsi="Arial"/>
          <w:i/>
          <w:spacing w:val="11"/>
        </w:rPr>
        <w:t> </w:t>
      </w:r>
      <w:r>
        <w:rPr>
          <w:rFonts w:ascii="Arial" w:hAnsi="Arial"/>
          <w:i/>
        </w:rPr>
        <w:t>[2001]</w:t>
      </w:r>
      <w:r>
        <w:rPr>
          <w:rFonts w:ascii="Arial" w:hAnsi="Arial"/>
          <w:i/>
          <w:spacing w:val="11"/>
        </w:rPr>
        <w:t> </w:t>
      </w:r>
      <w:r>
        <w:rPr>
          <w:rFonts w:ascii="Arial" w:hAnsi="Arial"/>
          <w:i/>
        </w:rPr>
        <w:t>Ch.</w:t>
      </w:r>
      <w:r>
        <w:rPr>
          <w:rFonts w:ascii="Arial" w:hAnsi="Arial"/>
          <w:i/>
          <w:spacing w:val="11"/>
        </w:rPr>
        <w:t> </w:t>
      </w:r>
      <w:r>
        <w:rPr>
          <w:rFonts w:ascii="Arial" w:hAnsi="Arial"/>
          <w:i/>
        </w:rPr>
        <w:t>2010</w:t>
      </w:r>
      <w:r>
        <w:rPr>
          <w:rFonts w:ascii="Arial" w:hAnsi="Arial"/>
          <w:i/>
          <w:spacing w:val="11"/>
        </w:rPr>
        <w:t> </w:t>
      </w:r>
      <w:r>
        <w:rPr/>
        <w:t>and</w:t>
      </w:r>
      <w:r>
        <w:rPr>
          <w:spacing w:val="11"/>
        </w:rPr>
        <w:t> </w:t>
      </w:r>
      <w:r>
        <w:rPr/>
        <w:t>in</w:t>
      </w:r>
      <w:r>
        <w:rPr>
          <w:spacing w:val="11"/>
        </w:rPr>
        <w:t> </w:t>
      </w:r>
      <w:r>
        <w:rPr>
          <w:rFonts w:ascii="Arial" w:hAnsi="Arial"/>
          <w:i/>
        </w:rPr>
        <w:t>Thorner</w:t>
      </w:r>
      <w:r>
        <w:rPr>
          <w:rFonts w:ascii="Arial" w:hAnsi="Arial"/>
          <w:i/>
          <w:spacing w:val="11"/>
        </w:rPr>
        <w:t> </w:t>
      </w:r>
      <w:r>
        <w:rPr>
          <w:rFonts w:ascii="Arial" w:hAnsi="Arial"/>
          <w:i/>
        </w:rPr>
        <w:t>v</w:t>
      </w:r>
      <w:r>
        <w:rPr>
          <w:rFonts w:ascii="Arial" w:hAnsi="Arial"/>
          <w:i/>
          <w:spacing w:val="11"/>
        </w:rPr>
        <w:t> </w:t>
      </w:r>
      <w:r>
        <w:rPr>
          <w:rFonts w:ascii="Arial" w:hAnsi="Arial"/>
          <w:i/>
        </w:rPr>
        <w:t>Major</w:t>
      </w:r>
      <w:r>
        <w:rPr>
          <w:rFonts w:ascii="Arial" w:hAnsi="Arial"/>
          <w:i/>
          <w:spacing w:val="11"/>
        </w:rPr>
        <w:t> </w:t>
      </w:r>
      <w:r>
        <w:rPr>
          <w:rFonts w:ascii="Arial" w:hAnsi="Arial"/>
          <w:i/>
        </w:rPr>
        <w:t>[2009]</w:t>
      </w:r>
      <w:r>
        <w:rPr>
          <w:rFonts w:ascii="Arial" w:hAnsi="Arial"/>
          <w:i/>
          <w:spacing w:val="11"/>
        </w:rPr>
        <w:t> </w:t>
      </w:r>
      <w:r>
        <w:rPr>
          <w:rFonts w:ascii="Arial" w:hAnsi="Arial"/>
          <w:i/>
        </w:rPr>
        <w:t>UKHL</w:t>
      </w:r>
      <w:r>
        <w:rPr>
          <w:rFonts w:ascii="Arial" w:hAnsi="Arial"/>
          <w:i/>
          <w:spacing w:val="11"/>
        </w:rPr>
        <w:t> </w:t>
      </w:r>
      <w:r>
        <w:rPr>
          <w:rFonts w:ascii="Arial" w:hAnsi="Arial"/>
          <w:i/>
        </w:rPr>
        <w:t>18,</w:t>
      </w:r>
      <w:r>
        <w:rPr>
          <w:rFonts w:ascii="Arial" w:hAnsi="Arial"/>
          <w:i/>
          <w:spacing w:val="11"/>
        </w:rPr>
        <w:t> </w:t>
      </w:r>
      <w:r>
        <w:rPr>
          <w:rFonts w:ascii="Arial" w:hAnsi="Arial"/>
          <w:i/>
        </w:rPr>
        <w:t>[2009]</w:t>
      </w:r>
      <w:r>
        <w:rPr>
          <w:rFonts w:ascii="Arial" w:hAnsi="Arial"/>
          <w:i/>
          <w:spacing w:val="11"/>
        </w:rPr>
        <w:t> </w:t>
      </w:r>
      <w:r>
        <w:rPr>
          <w:rFonts w:ascii="Arial" w:hAnsi="Arial"/>
          <w:i/>
          <w:spacing w:val="-10"/>
        </w:rPr>
        <w:t>1</w:t>
      </w:r>
    </w:p>
    <w:p>
      <w:pPr>
        <w:pStyle w:val="BodyText"/>
        <w:spacing w:line="235" w:lineRule="auto"/>
        <w:ind w:left="705" w:right="167"/>
        <w:jc w:val="both"/>
      </w:pPr>
      <w:r>
        <w:rPr>
          <w:rFonts w:ascii="Arial" w:hAnsi="Arial"/>
          <w:i/>
        </w:rPr>
        <w:t>W.L.R. 776 </w:t>
      </w:r>
      <w:r>
        <w:rPr/>
        <w:t>at [100] Lord Neuberger says that it was “unlikely in the extreme” that in the </w:t>
      </w:r>
      <w:r>
        <w:rPr>
          <w:rFonts w:ascii="Arial" w:hAnsi="Arial"/>
          <w:i/>
        </w:rPr>
        <w:t>Cobbe </w:t>
      </w:r>
      <w:r>
        <w:rPr/>
        <w:t>case Lord Scott “was intending impliedly to disapprove of any aspect of the reasoning of the Court of Appeal in </w:t>
      </w:r>
      <w:r>
        <w:rPr>
          <w:rFonts w:ascii="Arial" w:hAnsi="Arial"/>
          <w:i/>
        </w:rPr>
        <w:t>Gillett</w:t>
      </w:r>
      <w:r>
        <w:rPr/>
        <w:t>.” This view derives some indirect support from the fact that in </w:t>
      </w:r>
      <w:r>
        <w:rPr>
          <w:rFonts w:ascii="Arial" w:hAnsi="Arial"/>
          <w:i/>
        </w:rPr>
        <w:t>Thorner v Major </w:t>
      </w:r>
      <w:r>
        <w:rPr/>
        <w:t>at [18] and [19] Lord Scott refers to </w:t>
      </w:r>
      <w:r>
        <w:rPr>
          <w:rFonts w:ascii="Arial" w:hAnsi="Arial"/>
          <w:i/>
        </w:rPr>
        <w:t>Gillett v Holt </w:t>
      </w:r>
      <w:r>
        <w:rPr/>
        <w:t>with apparent approval, though at [21] he includes it in a list of cases that are “more comfortably viewed as constructive trust [than as proprietary estoppel] cases.”</w:t>
      </w:r>
    </w:p>
    <w:p>
      <w:pPr>
        <w:spacing w:line="235" w:lineRule="auto" w:before="229"/>
        <w:ind w:left="705" w:right="0" w:hanging="541"/>
        <w:jc w:val="left"/>
        <w:rPr>
          <w:sz w:val="20"/>
        </w:rPr>
      </w:pPr>
      <w:r>
        <w:rPr>
          <w:color w:val="005DA1"/>
          <w:position w:val="5"/>
          <w:sz w:val="14"/>
          <w:u w:val="single" w:color="005DA1"/>
        </w:rPr>
        <w:t>1049</w:t>
      </w:r>
      <w:r>
        <w:rPr>
          <w:position w:val="5"/>
          <w:sz w:val="14"/>
        </w:rPr>
        <w:t>.</w:t>
      </w:r>
      <w:r>
        <w:rPr>
          <w:spacing w:val="40"/>
          <w:position w:val="5"/>
          <w:sz w:val="14"/>
        </w:rPr>
        <w:t>  </w:t>
      </w:r>
      <w:r>
        <w:rPr>
          <w:rFonts w:ascii="Arial" w:hAnsi="Arial"/>
          <w:i/>
          <w:sz w:val="20"/>
        </w:rPr>
        <w:t>[2008]</w:t>
      </w:r>
      <w:r>
        <w:rPr>
          <w:rFonts w:ascii="Arial" w:hAnsi="Arial"/>
          <w:i/>
          <w:spacing w:val="40"/>
          <w:sz w:val="20"/>
        </w:rPr>
        <w:t> </w:t>
      </w:r>
      <w:r>
        <w:rPr>
          <w:rFonts w:ascii="Arial" w:hAnsi="Arial"/>
          <w:i/>
          <w:sz w:val="20"/>
        </w:rPr>
        <w:t>UKHL</w:t>
      </w:r>
      <w:r>
        <w:rPr>
          <w:rFonts w:ascii="Arial" w:hAnsi="Arial"/>
          <w:i/>
          <w:spacing w:val="40"/>
          <w:sz w:val="20"/>
        </w:rPr>
        <w:t> </w:t>
      </w:r>
      <w:r>
        <w:rPr>
          <w:rFonts w:ascii="Arial" w:hAnsi="Arial"/>
          <w:i/>
          <w:sz w:val="20"/>
        </w:rPr>
        <w:t>55,</w:t>
      </w:r>
      <w:r>
        <w:rPr>
          <w:rFonts w:ascii="Arial" w:hAnsi="Arial"/>
          <w:i/>
          <w:spacing w:val="40"/>
          <w:sz w:val="20"/>
        </w:rPr>
        <w:t> </w:t>
      </w:r>
      <w:r>
        <w:rPr>
          <w:rFonts w:ascii="Arial" w:hAnsi="Arial"/>
          <w:i/>
          <w:sz w:val="20"/>
        </w:rPr>
        <w:t>[2008]</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1752</w:t>
      </w:r>
      <w:r>
        <w:rPr>
          <w:rFonts w:ascii="Arial" w:hAnsi="Arial"/>
          <w:i/>
          <w:spacing w:val="40"/>
          <w:sz w:val="20"/>
        </w:rPr>
        <w:t> </w:t>
      </w:r>
      <w:r>
        <w:rPr>
          <w:sz w:val="20"/>
        </w:rPr>
        <w:t>at</w:t>
      </w:r>
      <w:r>
        <w:rPr>
          <w:spacing w:val="40"/>
          <w:sz w:val="20"/>
        </w:rPr>
        <w:t> </w:t>
      </w:r>
      <w:r>
        <w:rPr>
          <w:sz w:val="20"/>
        </w:rPr>
        <w:t>[15].</w:t>
      </w:r>
      <w:r>
        <w:rPr>
          <w:spacing w:val="40"/>
          <w:sz w:val="20"/>
        </w:rPr>
        <w:t> </w:t>
      </w:r>
      <w:r>
        <w:rPr>
          <w:sz w:val="20"/>
        </w:rPr>
        <w:t>C’s</w:t>
      </w:r>
      <w:r>
        <w:rPr>
          <w:spacing w:val="40"/>
          <w:sz w:val="20"/>
        </w:rPr>
        <w:t> </w:t>
      </w:r>
      <w:r>
        <w:rPr>
          <w:sz w:val="20"/>
        </w:rPr>
        <w:t>constructive</w:t>
      </w:r>
      <w:r>
        <w:rPr>
          <w:spacing w:val="40"/>
          <w:sz w:val="20"/>
        </w:rPr>
        <w:t> </w:t>
      </w:r>
      <w:r>
        <w:rPr>
          <w:sz w:val="20"/>
        </w:rPr>
        <w:t>trust</w:t>
      </w:r>
      <w:r>
        <w:rPr>
          <w:spacing w:val="40"/>
          <w:sz w:val="20"/>
        </w:rPr>
        <w:t> </w:t>
      </w:r>
      <w:r>
        <w:rPr>
          <w:sz w:val="20"/>
        </w:rPr>
        <w:t>claim</w:t>
      </w:r>
      <w:r>
        <w:rPr>
          <w:spacing w:val="40"/>
          <w:sz w:val="20"/>
        </w:rPr>
        <w:t> </w:t>
      </w:r>
      <w:r>
        <w:rPr>
          <w:sz w:val="20"/>
        </w:rPr>
        <w:t>also</w:t>
      </w:r>
      <w:r>
        <w:rPr>
          <w:spacing w:val="40"/>
          <w:sz w:val="20"/>
        </w:rPr>
        <w:t> </w:t>
      </w:r>
      <w:r>
        <w:rPr>
          <w:sz w:val="20"/>
        </w:rPr>
        <w:t>failed</w:t>
      </w:r>
      <w:r>
        <w:rPr>
          <w:spacing w:val="40"/>
          <w:sz w:val="20"/>
        </w:rPr>
        <w:t> </w:t>
      </w:r>
      <w:r>
        <w:rPr>
          <w:sz w:val="20"/>
        </w:rPr>
        <w:t>(at [30]–[38]) for reasons beyond the scope of this chapter.</w:t>
      </w:r>
    </w:p>
    <w:p>
      <w:pPr>
        <w:pStyle w:val="BodyText"/>
        <w:spacing w:before="5"/>
      </w:pPr>
    </w:p>
    <w:p>
      <w:pPr>
        <w:spacing w:before="0"/>
        <w:ind w:left="165" w:right="0" w:firstLine="0"/>
        <w:jc w:val="left"/>
        <w:rPr>
          <w:sz w:val="20"/>
        </w:rPr>
      </w:pPr>
      <w:r>
        <w:rPr>
          <w:color w:val="005DA1"/>
          <w:position w:val="5"/>
          <w:sz w:val="14"/>
          <w:u w:val="single" w:color="005DA1"/>
        </w:rPr>
        <w:t>1050</w:t>
      </w:r>
      <w:r>
        <w:rPr>
          <w:position w:val="5"/>
          <w:sz w:val="14"/>
        </w:rPr>
        <w:t>.</w:t>
      </w:r>
      <w:r>
        <w:rPr>
          <w:spacing w:val="55"/>
          <w:position w:val="5"/>
          <w:sz w:val="14"/>
        </w:rPr>
        <w:t>  </w:t>
      </w:r>
      <w:r>
        <w:rPr>
          <w:rFonts w:ascii="Arial"/>
          <w:i/>
          <w:sz w:val="20"/>
        </w:rPr>
        <w:t>[2008]</w:t>
      </w:r>
      <w:r>
        <w:rPr>
          <w:rFonts w:ascii="Arial"/>
          <w:i/>
          <w:spacing w:val="1"/>
          <w:sz w:val="20"/>
        </w:rPr>
        <w:t> </w:t>
      </w:r>
      <w:r>
        <w:rPr>
          <w:rFonts w:ascii="Arial"/>
          <w:i/>
          <w:sz w:val="20"/>
        </w:rPr>
        <w:t>UKHL 55, [2008] 1 W.L.R. 1752</w:t>
      </w:r>
      <w:r>
        <w:rPr>
          <w:rFonts w:ascii="Arial"/>
          <w:i/>
          <w:spacing w:val="-1"/>
          <w:sz w:val="20"/>
        </w:rPr>
        <w:t> </w:t>
      </w:r>
      <w:r>
        <w:rPr>
          <w:sz w:val="20"/>
        </w:rPr>
        <w:t>at </w:t>
      </w:r>
      <w:r>
        <w:rPr>
          <w:spacing w:val="-2"/>
          <w:sz w:val="20"/>
        </w:rPr>
        <w:t>[20].</w:t>
      </w:r>
    </w:p>
    <w:p>
      <w:pPr>
        <w:pStyle w:val="BodyText"/>
        <w:spacing w:before="9"/>
      </w:pPr>
    </w:p>
    <w:p>
      <w:pPr>
        <w:pStyle w:val="BodyText"/>
        <w:spacing w:line="235" w:lineRule="auto"/>
        <w:ind w:left="705" w:right="167" w:hanging="541"/>
        <w:jc w:val="both"/>
      </w:pPr>
      <w:r>
        <w:rPr>
          <w:color w:val="005DA1"/>
          <w:position w:val="5"/>
          <w:sz w:val="14"/>
          <w:u w:val="single" w:color="005DA1"/>
        </w:rPr>
        <w:t>1051</w:t>
      </w:r>
      <w:r>
        <w:rPr>
          <w:position w:val="5"/>
          <w:sz w:val="14"/>
        </w:rPr>
        <w:t>.</w:t>
      </w:r>
      <w:r>
        <w:rPr>
          <w:spacing w:val="80"/>
          <w:position w:val="5"/>
          <w:sz w:val="14"/>
        </w:rPr>
        <w:t> </w:t>
      </w:r>
      <w:r>
        <w:rPr/>
        <w:t>C’s claim for specific performance of the “agreement in principle” had been abandoned as </w:t>
      </w:r>
      <w:r>
        <w:rPr/>
        <w:t>that agreement</w:t>
      </w:r>
      <w:r>
        <w:rPr>
          <w:spacing w:val="-1"/>
        </w:rPr>
        <w:t> </w:t>
      </w:r>
      <w:r>
        <w:rPr/>
        <w:t>was</w:t>
      </w:r>
      <w:r>
        <w:rPr>
          <w:spacing w:val="-1"/>
        </w:rPr>
        <w:t> </w:t>
      </w:r>
      <w:r>
        <w:rPr/>
        <w:t>not</w:t>
      </w:r>
      <w:r>
        <w:rPr>
          <w:spacing w:val="-1"/>
        </w:rPr>
        <w:t> </w:t>
      </w:r>
      <w:r>
        <w:rPr/>
        <w:t>enforceable:</w:t>
      </w:r>
      <w:r>
        <w:rPr>
          <w:spacing w:val="-1"/>
        </w:rPr>
        <w:t> </w:t>
      </w:r>
      <w:r>
        <w:rPr>
          <w:rFonts w:ascii="Arial" w:hAnsi="Arial"/>
          <w:i/>
        </w:rPr>
        <w:t>[2008]</w:t>
      </w:r>
      <w:r>
        <w:rPr>
          <w:rFonts w:ascii="Arial" w:hAnsi="Arial"/>
          <w:i/>
          <w:spacing w:val="-1"/>
        </w:rPr>
        <w:t> </w:t>
      </w:r>
      <w:r>
        <w:rPr>
          <w:rFonts w:ascii="Arial" w:hAnsi="Arial"/>
          <w:i/>
        </w:rPr>
        <w:t>UKHL</w:t>
      </w:r>
      <w:r>
        <w:rPr>
          <w:rFonts w:ascii="Arial" w:hAnsi="Arial"/>
          <w:i/>
          <w:spacing w:val="-1"/>
        </w:rPr>
        <w:t> </w:t>
      </w:r>
      <w:r>
        <w:rPr>
          <w:rFonts w:ascii="Arial" w:hAnsi="Arial"/>
          <w:i/>
        </w:rPr>
        <w:t>55,</w:t>
      </w:r>
      <w:r>
        <w:rPr>
          <w:rFonts w:ascii="Arial" w:hAnsi="Arial"/>
          <w:i/>
          <w:spacing w:val="-1"/>
        </w:rPr>
        <w:t> </w:t>
      </w:r>
      <w:r>
        <w:rPr>
          <w:rFonts w:ascii="Arial" w:hAnsi="Arial"/>
          <w:i/>
        </w:rPr>
        <w:t>[2008]</w:t>
      </w:r>
      <w:r>
        <w:rPr>
          <w:rFonts w:ascii="Arial" w:hAnsi="Arial"/>
          <w:i/>
          <w:spacing w:val="-1"/>
        </w:rPr>
        <w:t> </w:t>
      </w:r>
      <w:r>
        <w:rPr>
          <w:rFonts w:ascii="Arial" w:hAnsi="Arial"/>
          <w:i/>
        </w:rPr>
        <w:t>1</w:t>
      </w:r>
      <w:r>
        <w:rPr>
          <w:rFonts w:ascii="Arial" w:hAnsi="Arial"/>
          <w:i/>
          <w:spacing w:val="-1"/>
        </w:rPr>
        <w:t> </w:t>
      </w:r>
      <w:r>
        <w:rPr>
          <w:rFonts w:ascii="Arial" w:hAnsi="Arial"/>
          <w:i/>
        </w:rPr>
        <w:t>W.L.R.</w:t>
      </w:r>
      <w:r>
        <w:rPr>
          <w:rFonts w:ascii="Arial" w:hAnsi="Arial"/>
          <w:i/>
          <w:spacing w:val="-1"/>
        </w:rPr>
        <w:t> </w:t>
      </w:r>
      <w:r>
        <w:rPr>
          <w:rFonts w:ascii="Arial" w:hAnsi="Arial"/>
          <w:i/>
        </w:rPr>
        <w:t>1752</w:t>
      </w:r>
      <w:r>
        <w:rPr>
          <w:rFonts w:ascii="Arial" w:hAnsi="Arial"/>
          <w:i/>
          <w:spacing w:val="-1"/>
        </w:rPr>
        <w:t> </w:t>
      </w:r>
      <w:r>
        <w:rPr/>
        <w:t>at</w:t>
      </w:r>
      <w:r>
        <w:rPr>
          <w:spacing w:val="-1"/>
        </w:rPr>
        <w:t> </w:t>
      </w:r>
      <w:r>
        <w:rPr/>
        <w:t>[9],</w:t>
      </w:r>
      <w:r>
        <w:rPr>
          <w:spacing w:val="-1"/>
        </w:rPr>
        <w:t> </w:t>
      </w:r>
      <w:r>
        <w:rPr/>
        <w:t>so</w:t>
      </w:r>
      <w:r>
        <w:rPr>
          <w:spacing w:val="-1"/>
        </w:rPr>
        <w:t> </w:t>
      </w:r>
      <w:r>
        <w:rPr/>
        <w:t>that</w:t>
      </w:r>
      <w:r>
        <w:rPr>
          <w:spacing w:val="-1"/>
        </w:rPr>
        <w:t> </w:t>
      </w:r>
      <w:r>
        <w:rPr/>
        <w:t>it</w:t>
      </w:r>
      <w:r>
        <w:rPr>
          <w:spacing w:val="-1"/>
        </w:rPr>
        <w:t> </w:t>
      </w:r>
      <w:r>
        <w:rPr/>
        <w:t>was</w:t>
      </w:r>
      <w:r>
        <w:rPr>
          <w:spacing w:val="-1"/>
        </w:rPr>
        <w:t> </w:t>
      </w:r>
      <w:r>
        <w:rPr/>
        <w:t>not open to him to argue that he had, by virtue of that agreement, become owner in equity of the </w:t>
      </w:r>
      <w:r>
        <w:rPr>
          <w:spacing w:val="-2"/>
        </w:rPr>
        <w:t>property.</w:t>
      </w:r>
    </w:p>
    <w:p>
      <w:pPr>
        <w:pStyle w:val="BodyText"/>
        <w:spacing w:before="5"/>
      </w:pPr>
    </w:p>
    <w:p>
      <w:pPr>
        <w:spacing w:before="0"/>
        <w:ind w:left="165" w:right="0" w:firstLine="0"/>
        <w:jc w:val="left"/>
        <w:rPr>
          <w:sz w:val="20"/>
        </w:rPr>
      </w:pPr>
      <w:r>
        <w:rPr>
          <w:color w:val="005DA1"/>
          <w:position w:val="5"/>
          <w:sz w:val="14"/>
          <w:u w:val="single" w:color="005DA1"/>
        </w:rPr>
        <w:t>1052</w:t>
      </w:r>
      <w:r>
        <w:rPr>
          <w:position w:val="5"/>
          <w:sz w:val="14"/>
        </w:rPr>
        <w:t>.</w:t>
      </w:r>
      <w:r>
        <w:rPr>
          <w:spacing w:val="55"/>
          <w:position w:val="5"/>
          <w:sz w:val="14"/>
        </w:rPr>
        <w:t>  </w:t>
      </w:r>
      <w:r>
        <w:rPr>
          <w:rFonts w:ascii="Arial" w:hAnsi="Arial"/>
          <w:i/>
          <w:sz w:val="20"/>
        </w:rPr>
        <w:t>Cobbe</w:t>
      </w:r>
      <w:r>
        <w:rPr>
          <w:rFonts w:ascii="Arial" w:hAnsi="Arial"/>
          <w:i/>
          <w:spacing w:val="1"/>
          <w:sz w:val="20"/>
        </w:rPr>
        <w:t> </w:t>
      </w:r>
      <w:r>
        <w:rPr>
          <w:rFonts w:ascii="Arial" w:hAnsi="Arial"/>
          <w:i/>
          <w:sz w:val="20"/>
        </w:rPr>
        <w:t>v Yeoman’s Row Management Ltd [2008] UKHL 55, [2008] 1 W.L.R. 1752</w:t>
      </w:r>
      <w:r>
        <w:rPr>
          <w:rFonts w:ascii="Arial" w:hAnsi="Arial"/>
          <w:i/>
          <w:spacing w:val="-1"/>
          <w:sz w:val="20"/>
        </w:rPr>
        <w:t> </w:t>
      </w:r>
      <w:r>
        <w:rPr>
          <w:sz w:val="20"/>
        </w:rPr>
        <w:t>at </w:t>
      </w:r>
      <w:r>
        <w:rPr>
          <w:spacing w:val="-2"/>
          <w:sz w:val="20"/>
        </w:rPr>
        <w:t>[28].</w:t>
      </w:r>
    </w:p>
    <w:p>
      <w:pPr>
        <w:pStyle w:val="BodyText"/>
        <w:spacing w:before="5"/>
      </w:pPr>
    </w:p>
    <w:p>
      <w:pPr>
        <w:spacing w:before="0"/>
        <w:ind w:left="165" w:right="0" w:firstLine="0"/>
        <w:jc w:val="left"/>
        <w:rPr>
          <w:sz w:val="20"/>
        </w:rPr>
      </w:pPr>
      <w:r>
        <w:rPr>
          <w:color w:val="005DA1"/>
          <w:position w:val="5"/>
          <w:sz w:val="14"/>
          <w:u w:val="single" w:color="005DA1"/>
        </w:rPr>
        <w:t>1053</w:t>
      </w:r>
      <w:r>
        <w:rPr>
          <w:position w:val="5"/>
          <w:sz w:val="14"/>
        </w:rPr>
        <w:t>.</w:t>
      </w:r>
      <w:r>
        <w:rPr>
          <w:spacing w:val="55"/>
          <w:position w:val="5"/>
          <w:sz w:val="14"/>
        </w:rPr>
        <w:t>  </w:t>
      </w:r>
      <w:r>
        <w:rPr>
          <w:rFonts w:ascii="Arial"/>
          <w:i/>
          <w:sz w:val="20"/>
        </w:rPr>
        <w:t>[2009]</w:t>
      </w:r>
      <w:r>
        <w:rPr>
          <w:rFonts w:ascii="Arial"/>
          <w:i/>
          <w:spacing w:val="1"/>
          <w:sz w:val="20"/>
        </w:rPr>
        <w:t> </w:t>
      </w:r>
      <w:r>
        <w:rPr>
          <w:rFonts w:ascii="Arial"/>
          <w:i/>
          <w:sz w:val="20"/>
        </w:rPr>
        <w:t>UKHL 18,</w:t>
      </w:r>
      <w:r>
        <w:rPr>
          <w:rFonts w:ascii="Arial"/>
          <w:i/>
          <w:spacing w:val="-1"/>
          <w:sz w:val="20"/>
        </w:rPr>
        <w:t> </w:t>
      </w:r>
      <w:r>
        <w:rPr>
          <w:rFonts w:ascii="Arial"/>
          <w:i/>
          <w:sz w:val="20"/>
        </w:rPr>
        <w:t>[2009] 1 W.L.R. 776</w:t>
      </w:r>
      <w:r>
        <w:rPr>
          <w:sz w:val="20"/>
        </w:rPr>
        <w:t>, above, para.4-</w:t>
      </w:r>
      <w:r>
        <w:rPr>
          <w:spacing w:val="-4"/>
          <w:sz w:val="20"/>
        </w:rPr>
        <w:t>149.</w:t>
      </w:r>
    </w:p>
    <w:p>
      <w:pPr>
        <w:pStyle w:val="BodyText"/>
        <w:spacing w:before="5"/>
      </w:pPr>
    </w:p>
    <w:p>
      <w:pPr>
        <w:spacing w:before="0"/>
        <w:ind w:left="165" w:right="0" w:firstLine="0"/>
        <w:jc w:val="left"/>
        <w:rPr>
          <w:sz w:val="20"/>
        </w:rPr>
      </w:pPr>
      <w:r>
        <w:rPr>
          <w:color w:val="005DA1"/>
          <w:position w:val="5"/>
          <w:sz w:val="14"/>
          <w:u w:val="single" w:color="005DA1"/>
        </w:rPr>
        <w:t>1054</w:t>
      </w:r>
      <w:r>
        <w:rPr>
          <w:position w:val="5"/>
          <w:sz w:val="14"/>
        </w:rPr>
        <w:t>.</w:t>
      </w:r>
      <w:r>
        <w:rPr>
          <w:spacing w:val="55"/>
          <w:position w:val="5"/>
          <w:sz w:val="14"/>
        </w:rPr>
        <w:t>  </w:t>
      </w:r>
      <w:r>
        <w:rPr>
          <w:rFonts w:ascii="Arial"/>
          <w:i/>
          <w:sz w:val="20"/>
        </w:rPr>
        <w:t>[2009]</w:t>
      </w:r>
      <w:r>
        <w:rPr>
          <w:rFonts w:ascii="Arial"/>
          <w:i/>
          <w:spacing w:val="1"/>
          <w:sz w:val="20"/>
        </w:rPr>
        <w:t> </w:t>
      </w:r>
      <w:r>
        <w:rPr>
          <w:rFonts w:ascii="Arial"/>
          <w:i/>
          <w:sz w:val="20"/>
        </w:rPr>
        <w:t>UKHL 18</w:t>
      </w:r>
      <w:r>
        <w:rPr>
          <w:rFonts w:ascii="Arial"/>
          <w:i/>
          <w:spacing w:val="-1"/>
          <w:sz w:val="20"/>
        </w:rPr>
        <w:t> </w:t>
      </w:r>
      <w:r>
        <w:rPr>
          <w:sz w:val="20"/>
        </w:rPr>
        <w:t>at [62]; cf. at [101], per Lord </w:t>
      </w:r>
      <w:r>
        <w:rPr>
          <w:spacing w:val="-2"/>
          <w:sz w:val="20"/>
        </w:rPr>
        <w:t>Neuberger.</w:t>
      </w:r>
    </w:p>
    <w:p>
      <w:pPr>
        <w:pStyle w:val="BodyText"/>
        <w:spacing w:before="5"/>
      </w:pPr>
    </w:p>
    <w:p>
      <w:pPr>
        <w:pStyle w:val="BodyText"/>
        <w:ind w:left="165"/>
      </w:pPr>
      <w:r>
        <w:rPr>
          <w:color w:val="005DA1"/>
          <w:position w:val="5"/>
          <w:sz w:val="14"/>
          <w:u w:val="single" w:color="005DA1"/>
        </w:rPr>
        <w:t>1055</w:t>
      </w:r>
      <w:r>
        <w:rPr>
          <w:position w:val="5"/>
          <w:sz w:val="14"/>
        </w:rPr>
        <w:t>.</w:t>
      </w:r>
      <w:r>
        <w:rPr>
          <w:spacing w:val="55"/>
          <w:position w:val="5"/>
          <w:sz w:val="14"/>
        </w:rPr>
        <w:t>  </w:t>
      </w:r>
      <w:r>
        <w:rPr/>
        <w:t>At</w:t>
      </w:r>
      <w:r>
        <w:rPr>
          <w:spacing w:val="1"/>
        </w:rPr>
        <w:t> </w:t>
      </w:r>
      <w:r>
        <w:rPr/>
        <w:t>[57] and see above para.4-</w:t>
      </w:r>
      <w:r>
        <w:rPr>
          <w:spacing w:val="-4"/>
        </w:rPr>
        <w:t>145.</w:t>
      </w:r>
    </w:p>
    <w:p>
      <w:pPr>
        <w:pStyle w:val="BodyText"/>
        <w:spacing w:before="5"/>
      </w:pPr>
    </w:p>
    <w:p>
      <w:pPr>
        <w:spacing w:before="0"/>
        <w:ind w:left="165" w:right="0" w:firstLine="0"/>
        <w:jc w:val="left"/>
        <w:rPr>
          <w:sz w:val="20"/>
        </w:rPr>
      </w:pPr>
      <w:r>
        <w:rPr>
          <w:color w:val="005DA1"/>
          <w:position w:val="5"/>
          <w:sz w:val="14"/>
          <w:u w:val="single" w:color="005DA1"/>
        </w:rPr>
        <w:t>1056</w:t>
      </w:r>
      <w:r>
        <w:rPr>
          <w:position w:val="5"/>
          <w:sz w:val="14"/>
        </w:rPr>
        <w:t>.</w:t>
      </w:r>
      <w:r>
        <w:rPr>
          <w:spacing w:val="55"/>
          <w:position w:val="5"/>
          <w:sz w:val="14"/>
        </w:rPr>
        <w:t>  </w:t>
      </w:r>
      <w:r>
        <w:rPr>
          <w:sz w:val="20"/>
        </w:rPr>
        <w:t>See</w:t>
      </w:r>
      <w:r>
        <w:rPr>
          <w:spacing w:val="1"/>
          <w:sz w:val="20"/>
        </w:rPr>
        <w:t> </w:t>
      </w:r>
      <w:r>
        <w:rPr>
          <w:sz w:val="20"/>
        </w:rPr>
        <w:t>the passage quoted in</w:t>
      </w:r>
      <w:r>
        <w:rPr>
          <w:spacing w:val="-1"/>
          <w:sz w:val="20"/>
        </w:rPr>
        <w:t> </w:t>
      </w:r>
      <w:r>
        <w:rPr>
          <w:rFonts w:ascii="Arial"/>
          <w:i/>
          <w:sz w:val="20"/>
        </w:rPr>
        <w:t>Thorner v Major [2008] UKHL 18</w:t>
      </w:r>
      <w:r>
        <w:rPr>
          <w:rFonts w:ascii="Arial"/>
          <w:i/>
          <w:spacing w:val="-1"/>
          <w:sz w:val="20"/>
        </w:rPr>
        <w:t> </w:t>
      </w:r>
      <w:r>
        <w:rPr>
          <w:sz w:val="20"/>
        </w:rPr>
        <w:t>at </w:t>
      </w:r>
      <w:r>
        <w:rPr>
          <w:spacing w:val="-2"/>
          <w:sz w:val="20"/>
        </w:rPr>
        <w:t>[57].</w:t>
      </w:r>
    </w:p>
    <w:p>
      <w:pPr>
        <w:spacing w:after="0"/>
        <w:jc w:val="left"/>
        <w:rPr>
          <w:sz w:val="20"/>
        </w:rPr>
        <w:sectPr>
          <w:pgSz w:w="11900" w:h="16840"/>
          <w:pgMar w:header="971" w:footer="0" w:top="1160" w:bottom="280" w:left="1275" w:right="1275"/>
        </w:sectPr>
      </w:pPr>
    </w:p>
    <w:p>
      <w:pPr>
        <w:pStyle w:val="BodyText"/>
        <w:spacing w:before="87"/>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794" w:hRule="atLeast"/>
        </w:trPr>
        <w:tc>
          <w:tcPr>
            <w:tcW w:w="496" w:type="dxa"/>
          </w:tcPr>
          <w:p>
            <w:pPr>
              <w:pStyle w:val="TableParagraph"/>
              <w:spacing w:before="0"/>
              <w:ind w:left="0" w:right="43"/>
              <w:jc w:val="center"/>
              <w:rPr>
                <w:sz w:val="14"/>
              </w:rPr>
            </w:pPr>
            <w:r>
              <w:rPr>
                <w:color w:val="005DA1"/>
                <w:spacing w:val="-2"/>
                <w:sz w:val="14"/>
                <w:u w:val="single" w:color="005DA1"/>
              </w:rPr>
              <w:t>1057</w:t>
            </w:r>
            <w:r>
              <w:rPr>
                <w:spacing w:val="-2"/>
                <w:sz w:val="14"/>
              </w:rPr>
              <w:t>.</w:t>
            </w:r>
          </w:p>
        </w:tc>
        <w:tc>
          <w:tcPr>
            <w:tcW w:w="8620" w:type="dxa"/>
          </w:tcPr>
          <w:p>
            <w:pPr>
              <w:pStyle w:val="TableParagraph"/>
              <w:spacing w:line="235" w:lineRule="auto" w:before="0"/>
              <w:ind w:right="48"/>
              <w:jc w:val="both"/>
              <w:rPr>
                <w:sz w:val="20"/>
              </w:rPr>
            </w:pPr>
            <w:r>
              <w:rPr>
                <w:sz w:val="20"/>
              </w:rPr>
              <w:t>At [95]. Lord Hoffmann at [9] agreed with Lords Walker and Neuberger on this point. Lord Rodger express his agreement with Lord Walker’s speech “on the first point” (i.e. on </w:t>
            </w:r>
            <w:r>
              <w:rPr>
                <w:sz w:val="20"/>
              </w:rPr>
              <w:t>that discussed in paras 4-149 to 4-152 above); and at [28] with Lord Neuberger’s reasons.</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1058</w:t>
            </w:r>
            <w:r>
              <w:rPr>
                <w:spacing w:val="-2"/>
                <w:sz w:val="14"/>
              </w:rPr>
              <w:t>.</w:t>
            </w:r>
          </w:p>
        </w:tc>
        <w:tc>
          <w:tcPr>
            <w:tcW w:w="8620" w:type="dxa"/>
          </w:tcPr>
          <w:p>
            <w:pPr>
              <w:pStyle w:val="TableParagraph"/>
              <w:spacing w:before="114"/>
              <w:rPr>
                <w:sz w:val="20"/>
              </w:rPr>
            </w:pPr>
            <w:r>
              <w:rPr>
                <w:sz w:val="20"/>
              </w:rPr>
              <w:t>At </w:t>
            </w:r>
            <w:r>
              <w:rPr>
                <w:spacing w:val="-2"/>
                <w:sz w:val="20"/>
              </w:rPr>
              <w:t>[18].</w:t>
            </w:r>
          </w:p>
        </w:tc>
      </w:tr>
      <w:tr>
        <w:trPr>
          <w:trHeight w:val="690" w:hRule="atLeast"/>
        </w:trPr>
        <w:tc>
          <w:tcPr>
            <w:tcW w:w="496" w:type="dxa"/>
          </w:tcPr>
          <w:p>
            <w:pPr>
              <w:pStyle w:val="TableParagraph"/>
              <w:ind w:left="0" w:right="43"/>
              <w:jc w:val="center"/>
              <w:rPr>
                <w:sz w:val="14"/>
              </w:rPr>
            </w:pPr>
            <w:r>
              <w:rPr>
                <w:color w:val="005DA1"/>
                <w:spacing w:val="-2"/>
                <w:sz w:val="14"/>
                <w:u w:val="single" w:color="005DA1"/>
              </w:rPr>
              <w:t>1059</w:t>
            </w:r>
            <w:r>
              <w:rPr>
                <w:spacing w:val="-2"/>
                <w:sz w:val="14"/>
              </w:rPr>
              <w:t>.</w:t>
            </w:r>
          </w:p>
        </w:tc>
        <w:tc>
          <w:tcPr>
            <w:tcW w:w="8620" w:type="dxa"/>
          </w:tcPr>
          <w:p>
            <w:pPr>
              <w:pStyle w:val="TableParagraph"/>
              <w:spacing w:line="235" w:lineRule="auto" w:before="118"/>
              <w:rPr>
                <w:sz w:val="20"/>
              </w:rPr>
            </w:pPr>
            <w:r>
              <w:rPr>
                <w:rFonts w:ascii="Arial" w:hAnsi="Arial"/>
                <w:i/>
                <w:sz w:val="20"/>
              </w:rPr>
              <w:t>Cobbe</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Yeoman’s</w:t>
            </w:r>
            <w:r>
              <w:rPr>
                <w:rFonts w:ascii="Arial" w:hAnsi="Arial"/>
                <w:i/>
                <w:spacing w:val="40"/>
                <w:sz w:val="20"/>
              </w:rPr>
              <w:t> </w:t>
            </w:r>
            <w:r>
              <w:rPr>
                <w:rFonts w:ascii="Arial" w:hAnsi="Arial"/>
                <w:i/>
                <w:sz w:val="20"/>
              </w:rPr>
              <w:t>Row</w:t>
            </w:r>
            <w:r>
              <w:rPr>
                <w:rFonts w:ascii="Arial" w:hAnsi="Arial"/>
                <w:i/>
                <w:spacing w:val="40"/>
                <w:sz w:val="20"/>
              </w:rPr>
              <w:t> </w:t>
            </w:r>
            <w:r>
              <w:rPr>
                <w:rFonts w:ascii="Arial" w:hAnsi="Arial"/>
                <w:i/>
                <w:sz w:val="20"/>
              </w:rPr>
              <w:t>Management</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[2008]</w:t>
            </w:r>
            <w:r>
              <w:rPr>
                <w:rFonts w:ascii="Arial" w:hAnsi="Arial"/>
                <w:i/>
                <w:spacing w:val="40"/>
                <w:sz w:val="20"/>
              </w:rPr>
              <w:t> </w:t>
            </w:r>
            <w:r>
              <w:rPr>
                <w:rFonts w:ascii="Arial" w:hAnsi="Arial"/>
                <w:i/>
                <w:sz w:val="20"/>
              </w:rPr>
              <w:t>UKHL</w:t>
            </w:r>
            <w:r>
              <w:rPr>
                <w:rFonts w:ascii="Arial" w:hAnsi="Arial"/>
                <w:i/>
                <w:spacing w:val="40"/>
                <w:sz w:val="20"/>
              </w:rPr>
              <w:t> </w:t>
            </w:r>
            <w:r>
              <w:rPr>
                <w:rFonts w:ascii="Arial" w:hAnsi="Arial"/>
                <w:i/>
                <w:sz w:val="20"/>
              </w:rPr>
              <w:t>55,</w:t>
            </w:r>
            <w:r>
              <w:rPr>
                <w:rFonts w:ascii="Arial" w:hAnsi="Arial"/>
                <w:i/>
                <w:spacing w:val="40"/>
                <w:sz w:val="20"/>
              </w:rPr>
              <w:t> </w:t>
            </w:r>
            <w:r>
              <w:rPr>
                <w:rFonts w:ascii="Arial" w:hAnsi="Arial"/>
                <w:i/>
                <w:sz w:val="20"/>
              </w:rPr>
              <w:t>[2008]</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1752</w:t>
            </w:r>
            <w:r>
              <w:rPr>
                <w:rFonts w:ascii="Arial" w:hAnsi="Arial"/>
                <w:i/>
                <w:spacing w:val="40"/>
                <w:sz w:val="20"/>
              </w:rPr>
              <w:t> </w:t>
            </w:r>
            <w:r>
              <w:rPr>
                <w:sz w:val="20"/>
              </w:rPr>
              <w:t>at</w:t>
            </w:r>
            <w:r>
              <w:rPr>
                <w:spacing w:val="40"/>
                <w:sz w:val="20"/>
              </w:rPr>
              <w:t> </w:t>
            </w:r>
            <w:r>
              <w:rPr>
                <w:sz w:val="20"/>
              </w:rPr>
              <w:t>[28]; above, para.4-162.</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1060</w:t>
            </w:r>
            <w:r>
              <w:rPr>
                <w:spacing w:val="-2"/>
                <w:sz w:val="14"/>
              </w:rPr>
              <w:t>.</w:t>
            </w:r>
          </w:p>
        </w:tc>
        <w:tc>
          <w:tcPr>
            <w:tcW w:w="8620" w:type="dxa"/>
          </w:tcPr>
          <w:p>
            <w:pPr>
              <w:pStyle w:val="TableParagraph"/>
              <w:spacing w:before="114"/>
              <w:rPr>
                <w:sz w:val="20"/>
              </w:rPr>
            </w:pPr>
            <w:r>
              <w:rPr>
                <w:sz w:val="20"/>
              </w:rPr>
              <w:t>With whose speech Lord Brown </w:t>
            </w:r>
            <w:r>
              <w:rPr>
                <w:spacing w:val="-2"/>
                <w:sz w:val="20"/>
              </w:rPr>
              <w:t>agreed.</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1061</w:t>
            </w:r>
            <w:r>
              <w:rPr>
                <w:spacing w:val="-2"/>
                <w:sz w:val="14"/>
              </w:rPr>
              <w:t>.</w:t>
            </w:r>
          </w:p>
        </w:tc>
        <w:tc>
          <w:tcPr>
            <w:tcW w:w="8620" w:type="dxa"/>
          </w:tcPr>
          <w:p>
            <w:pPr>
              <w:pStyle w:val="TableParagraph"/>
              <w:spacing w:before="114"/>
              <w:rPr>
                <w:sz w:val="20"/>
              </w:rPr>
            </w:pPr>
            <w:r>
              <w:rPr>
                <w:sz w:val="20"/>
              </w:rPr>
              <w:t>See above, para.4-139 </w:t>
            </w:r>
            <w:r>
              <w:rPr>
                <w:spacing w:val="-2"/>
                <w:sz w:val="20"/>
              </w:rPr>
              <w:t>n.822.</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1062</w:t>
            </w:r>
            <w:r>
              <w:rPr>
                <w:spacing w:val="-2"/>
                <w:sz w:val="14"/>
              </w:rPr>
              <w:t>.</w:t>
            </w:r>
          </w:p>
        </w:tc>
        <w:tc>
          <w:tcPr>
            <w:tcW w:w="8620" w:type="dxa"/>
          </w:tcPr>
          <w:p>
            <w:pPr>
              <w:pStyle w:val="TableParagraph"/>
              <w:spacing w:before="114"/>
              <w:rPr>
                <w:sz w:val="20"/>
              </w:rPr>
            </w:pPr>
            <w:r>
              <w:rPr>
                <w:rFonts w:ascii="Arial"/>
                <w:i/>
                <w:sz w:val="20"/>
              </w:rPr>
              <w:t>[2008] UKHL 55, [2008] 1 W.L.R. 1752</w:t>
            </w:r>
            <w:r>
              <w:rPr>
                <w:rFonts w:ascii="Arial"/>
                <w:i/>
                <w:spacing w:val="-1"/>
                <w:sz w:val="20"/>
              </w:rPr>
              <w:t> </w:t>
            </w:r>
            <w:r>
              <w:rPr>
                <w:sz w:val="20"/>
              </w:rPr>
              <w:t>at </w:t>
            </w:r>
            <w:r>
              <w:rPr>
                <w:spacing w:val="-2"/>
                <w:sz w:val="20"/>
              </w:rPr>
              <w:t>[46].</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1063</w:t>
            </w:r>
            <w:r>
              <w:rPr>
                <w:spacing w:val="-2"/>
                <w:sz w:val="14"/>
              </w:rPr>
              <w:t>.</w:t>
            </w:r>
          </w:p>
        </w:tc>
        <w:tc>
          <w:tcPr>
            <w:tcW w:w="8620" w:type="dxa"/>
          </w:tcPr>
          <w:p>
            <w:pPr>
              <w:pStyle w:val="TableParagraph"/>
              <w:spacing w:before="114"/>
              <w:rPr>
                <w:sz w:val="20"/>
              </w:rPr>
            </w:pPr>
            <w:r>
              <w:rPr>
                <w:sz w:val="20"/>
              </w:rPr>
              <w:t>ibid., at </w:t>
            </w:r>
            <w:r>
              <w:rPr>
                <w:spacing w:val="-2"/>
                <w:sz w:val="20"/>
              </w:rPr>
              <w:t>[81].</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1064</w:t>
            </w:r>
            <w:r>
              <w:rPr>
                <w:spacing w:val="-2"/>
                <w:sz w:val="14"/>
              </w:rPr>
              <w:t>.</w:t>
            </w:r>
          </w:p>
        </w:tc>
        <w:tc>
          <w:tcPr>
            <w:tcW w:w="8620" w:type="dxa"/>
          </w:tcPr>
          <w:p>
            <w:pPr>
              <w:pStyle w:val="TableParagraph"/>
              <w:spacing w:before="114"/>
              <w:rPr>
                <w:sz w:val="20"/>
              </w:rPr>
            </w:pPr>
            <w:r>
              <w:rPr>
                <w:sz w:val="20"/>
              </w:rPr>
              <w:t>ibid., at [16]; above para.4-162 at </w:t>
            </w:r>
            <w:r>
              <w:rPr>
                <w:spacing w:val="-2"/>
                <w:sz w:val="20"/>
              </w:rPr>
              <w:t>n.991.</w:t>
            </w:r>
          </w:p>
        </w:tc>
      </w:tr>
      <w:tr>
        <w:trPr>
          <w:trHeight w:val="2265" w:hRule="atLeast"/>
        </w:trPr>
        <w:tc>
          <w:tcPr>
            <w:tcW w:w="496" w:type="dxa"/>
          </w:tcPr>
          <w:p>
            <w:pPr>
              <w:pStyle w:val="TableParagraph"/>
              <w:ind w:left="0" w:right="43"/>
              <w:jc w:val="center"/>
              <w:rPr>
                <w:sz w:val="14"/>
              </w:rPr>
            </w:pPr>
            <w:r>
              <w:rPr>
                <w:color w:val="005DA1"/>
                <w:spacing w:val="-2"/>
                <w:sz w:val="14"/>
                <w:u w:val="single" w:color="005DA1"/>
              </w:rPr>
              <w:t>1065</w:t>
            </w:r>
            <w:r>
              <w:rPr>
                <w:spacing w:val="-2"/>
                <w:sz w:val="14"/>
              </w:rPr>
              <w:t>.</w:t>
            </w:r>
          </w:p>
        </w:tc>
        <w:tc>
          <w:tcPr>
            <w:tcW w:w="8620" w:type="dxa"/>
          </w:tcPr>
          <w:p>
            <w:pPr>
              <w:pStyle w:val="TableParagraph"/>
              <w:spacing w:line="235" w:lineRule="auto" w:before="118"/>
              <w:ind w:right="48"/>
              <w:jc w:val="both"/>
              <w:rPr>
                <w:sz w:val="20"/>
              </w:rPr>
            </w:pPr>
            <w:r>
              <w:rPr>
                <w:sz w:val="20"/>
              </w:rPr>
              <w:t>In </w:t>
            </w:r>
            <w:r>
              <w:rPr>
                <w:rFonts w:ascii="Arial"/>
                <w:i/>
                <w:sz w:val="20"/>
              </w:rPr>
              <w:t>Henry v Henry [2010] UKPC 3, [2010] 1 All E.R. 988 </w:t>
            </w:r>
            <w:r>
              <w:rPr>
                <w:sz w:val="20"/>
              </w:rPr>
              <w:t>at [41] and [42], Sir Jonathan Parker quotes from the speech of Lord Walker, but makes no reference to that of Lord Scott, in the </w:t>
            </w:r>
            <w:r>
              <w:rPr>
                <w:rFonts w:ascii="Arial"/>
                <w:i/>
                <w:sz w:val="20"/>
              </w:rPr>
              <w:t>Cobbe </w:t>
            </w:r>
            <w:r>
              <w:rPr>
                <w:sz w:val="20"/>
              </w:rPr>
              <w:t>case. Too much should not be made of this point as </w:t>
            </w:r>
            <w:r>
              <w:rPr>
                <w:rFonts w:ascii="Arial"/>
                <w:i/>
                <w:sz w:val="20"/>
              </w:rPr>
              <w:t>Henry v Henry </w:t>
            </w:r>
            <w:r>
              <w:rPr>
                <w:sz w:val="20"/>
              </w:rPr>
              <w:t>did not raise any issue as to the differences between these cases discussed in para.4-162 above and in </w:t>
            </w:r>
            <w:r>
              <w:rPr>
                <w:sz w:val="20"/>
              </w:rPr>
              <w:t>the present</w:t>
            </w:r>
            <w:r>
              <w:rPr>
                <w:spacing w:val="2"/>
                <w:sz w:val="20"/>
              </w:rPr>
              <w:t> </w:t>
            </w:r>
            <w:r>
              <w:rPr>
                <w:sz w:val="20"/>
              </w:rPr>
              <w:t>paragraph.</w:t>
            </w:r>
            <w:r>
              <w:rPr>
                <w:spacing w:val="2"/>
                <w:sz w:val="20"/>
              </w:rPr>
              <w:t> </w:t>
            </w:r>
            <w:r>
              <w:rPr>
                <w:sz w:val="20"/>
              </w:rPr>
              <w:t>In</w:t>
            </w:r>
            <w:r>
              <w:rPr>
                <w:spacing w:val="2"/>
                <w:sz w:val="20"/>
              </w:rPr>
              <w:t> </w:t>
            </w:r>
            <w:r>
              <w:rPr>
                <w:rFonts w:ascii="Arial"/>
                <w:i/>
                <w:sz w:val="20"/>
              </w:rPr>
              <w:t>Mulholland</w:t>
            </w:r>
            <w:r>
              <w:rPr>
                <w:rFonts w:ascii="Arial"/>
                <w:i/>
                <w:spacing w:val="2"/>
                <w:sz w:val="20"/>
              </w:rPr>
              <w:t> </w:t>
            </w:r>
            <w:r>
              <w:rPr>
                <w:rFonts w:ascii="Arial"/>
                <w:i/>
                <w:sz w:val="20"/>
              </w:rPr>
              <w:t>v</w:t>
            </w:r>
            <w:r>
              <w:rPr>
                <w:rFonts w:ascii="Arial"/>
                <w:i/>
                <w:spacing w:val="2"/>
                <w:sz w:val="20"/>
              </w:rPr>
              <w:t> </w:t>
            </w:r>
            <w:r>
              <w:rPr>
                <w:rFonts w:ascii="Arial"/>
                <w:i/>
                <w:sz w:val="20"/>
              </w:rPr>
              <w:t>Kane</w:t>
            </w:r>
            <w:r>
              <w:rPr>
                <w:rFonts w:ascii="Arial"/>
                <w:i/>
                <w:spacing w:val="2"/>
                <w:sz w:val="20"/>
              </w:rPr>
              <w:t> </w:t>
            </w:r>
            <w:r>
              <w:rPr>
                <w:rFonts w:ascii="Arial"/>
                <w:i/>
                <w:sz w:val="20"/>
              </w:rPr>
              <w:t>[2009]</w:t>
            </w:r>
            <w:r>
              <w:rPr>
                <w:rFonts w:ascii="Arial"/>
                <w:i/>
                <w:spacing w:val="2"/>
                <w:sz w:val="20"/>
              </w:rPr>
              <w:t> </w:t>
            </w:r>
            <w:r>
              <w:rPr>
                <w:rFonts w:ascii="Arial"/>
                <w:i/>
                <w:sz w:val="20"/>
              </w:rPr>
              <w:t>N.I.Ch.</w:t>
            </w:r>
            <w:r>
              <w:rPr>
                <w:rFonts w:ascii="Arial"/>
                <w:i/>
                <w:spacing w:val="2"/>
                <w:sz w:val="20"/>
              </w:rPr>
              <w:t> </w:t>
            </w:r>
            <w:r>
              <w:rPr>
                <w:rFonts w:ascii="Arial"/>
                <w:i/>
                <w:sz w:val="20"/>
              </w:rPr>
              <w:t>9</w:t>
            </w:r>
            <w:r>
              <w:rPr>
                <w:rFonts w:ascii="Arial"/>
                <w:i/>
                <w:spacing w:val="2"/>
                <w:sz w:val="20"/>
              </w:rPr>
              <w:t> </w:t>
            </w:r>
            <w:r>
              <w:rPr>
                <w:sz w:val="20"/>
              </w:rPr>
              <w:t>(above,</w:t>
            </w:r>
            <w:r>
              <w:rPr>
                <w:spacing w:val="2"/>
                <w:sz w:val="20"/>
              </w:rPr>
              <w:t> </w:t>
            </w:r>
            <w:r>
              <w:rPr>
                <w:sz w:val="20"/>
              </w:rPr>
              <w:t>para.4-158</w:t>
            </w:r>
            <w:r>
              <w:rPr>
                <w:spacing w:val="2"/>
                <w:sz w:val="20"/>
              </w:rPr>
              <w:t> </w:t>
            </w:r>
            <w:r>
              <w:rPr>
                <w:sz w:val="20"/>
              </w:rPr>
              <w:t>n.968)</w:t>
            </w:r>
            <w:r>
              <w:rPr>
                <w:spacing w:val="2"/>
                <w:sz w:val="20"/>
              </w:rPr>
              <w:t> </w:t>
            </w:r>
            <w:r>
              <w:rPr>
                <w:sz w:val="20"/>
              </w:rPr>
              <w:t>at</w:t>
            </w:r>
            <w:r>
              <w:rPr>
                <w:spacing w:val="2"/>
                <w:sz w:val="20"/>
              </w:rPr>
              <w:t> </w:t>
            </w:r>
            <w:r>
              <w:rPr>
                <w:sz w:val="20"/>
              </w:rPr>
              <w:t>[17]</w:t>
            </w:r>
            <w:r>
              <w:rPr>
                <w:spacing w:val="2"/>
                <w:sz w:val="20"/>
              </w:rPr>
              <w:t> </w:t>
            </w:r>
            <w:r>
              <w:rPr>
                <w:spacing w:val="-5"/>
                <w:sz w:val="20"/>
              </w:rPr>
              <w:t>and</w:t>
            </w:r>
          </w:p>
          <w:p>
            <w:pPr>
              <w:pStyle w:val="TableParagraph"/>
              <w:spacing w:line="235" w:lineRule="auto" w:before="0"/>
              <w:ind w:right="48"/>
              <w:jc w:val="both"/>
              <w:rPr>
                <w:sz w:val="20"/>
              </w:rPr>
            </w:pPr>
            <w:r>
              <w:rPr>
                <w:sz w:val="20"/>
              </w:rPr>
              <w:t>[18] Deeny J. likewise refers to the speech of Lord Walker, but not to that of Lord Scott, in the </w:t>
            </w:r>
            <w:r>
              <w:rPr>
                <w:rFonts w:ascii="Arial" w:hAnsi="Arial"/>
                <w:i/>
                <w:sz w:val="20"/>
              </w:rPr>
              <w:t>Cobbe </w:t>
            </w:r>
            <w:r>
              <w:rPr>
                <w:sz w:val="20"/>
              </w:rPr>
              <w:t>case, and it may, with respect, be doubted whether Lord Scott’s requirement of </w:t>
            </w:r>
            <w:r>
              <w:rPr>
                <w:sz w:val="20"/>
              </w:rPr>
              <w:t>“clarity as to the interest in question” (</w:t>
            </w:r>
            <w:r>
              <w:rPr>
                <w:rFonts w:ascii="Arial" w:hAnsi="Arial"/>
                <w:i/>
                <w:sz w:val="20"/>
              </w:rPr>
              <w:t>Cobbe </w:t>
            </w:r>
            <w:r>
              <w:rPr>
                <w:sz w:val="20"/>
              </w:rPr>
              <w:t>case at [28]) was satisfied in </w:t>
            </w:r>
            <w:r>
              <w:rPr>
                <w:rFonts w:ascii="Arial" w:hAnsi="Arial"/>
                <w:i/>
                <w:sz w:val="20"/>
              </w:rPr>
              <w:t>Mulholland v Kane</w:t>
            </w:r>
            <w:r>
              <w:rPr>
                <w:sz w:val="20"/>
              </w:rPr>
              <w:t>. For a possible synthesis of the two speeches, see below, n.1018.</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1066</w:t>
            </w:r>
            <w:r>
              <w:rPr>
                <w:spacing w:val="-2"/>
                <w:sz w:val="14"/>
              </w:rPr>
              <w:t>.</w:t>
            </w:r>
          </w:p>
        </w:tc>
        <w:tc>
          <w:tcPr>
            <w:tcW w:w="8620" w:type="dxa"/>
          </w:tcPr>
          <w:p>
            <w:pPr>
              <w:pStyle w:val="TableParagraph"/>
              <w:spacing w:before="114"/>
              <w:rPr>
                <w:sz w:val="20"/>
              </w:rPr>
            </w:pPr>
            <w:r>
              <w:rPr>
                <w:rFonts w:ascii="Arial"/>
                <w:i/>
                <w:sz w:val="20"/>
              </w:rPr>
              <w:t>[2008] UKHL 55, [2008] 1 W.L.R. 1752</w:t>
            </w:r>
            <w:r>
              <w:rPr>
                <w:rFonts w:ascii="Arial"/>
                <w:i/>
                <w:spacing w:val="-1"/>
                <w:sz w:val="20"/>
              </w:rPr>
              <w:t> </w:t>
            </w:r>
            <w:r>
              <w:rPr>
                <w:sz w:val="20"/>
              </w:rPr>
              <w:t>at </w:t>
            </w:r>
            <w:r>
              <w:rPr>
                <w:spacing w:val="-2"/>
                <w:sz w:val="20"/>
              </w:rPr>
              <w:t>[91].</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1067</w:t>
            </w:r>
            <w:r>
              <w:rPr>
                <w:spacing w:val="-2"/>
                <w:sz w:val="14"/>
              </w:rPr>
              <w:t>.</w:t>
            </w:r>
          </w:p>
        </w:tc>
        <w:tc>
          <w:tcPr>
            <w:tcW w:w="8620" w:type="dxa"/>
          </w:tcPr>
          <w:p>
            <w:pPr>
              <w:pStyle w:val="TableParagraph"/>
              <w:spacing w:before="114"/>
              <w:rPr>
                <w:sz w:val="20"/>
              </w:rPr>
            </w:pPr>
            <w:r>
              <w:rPr>
                <w:sz w:val="20"/>
              </w:rPr>
              <w:t>ibid., at </w:t>
            </w:r>
            <w:r>
              <w:rPr>
                <w:spacing w:val="-4"/>
                <w:sz w:val="20"/>
              </w:rPr>
              <w:t>[6].</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1068</w:t>
            </w:r>
            <w:r>
              <w:rPr>
                <w:spacing w:val="-2"/>
                <w:sz w:val="14"/>
              </w:rPr>
              <w:t>.</w:t>
            </w:r>
          </w:p>
        </w:tc>
        <w:tc>
          <w:tcPr>
            <w:tcW w:w="8620" w:type="dxa"/>
          </w:tcPr>
          <w:p>
            <w:pPr>
              <w:pStyle w:val="TableParagraph"/>
              <w:spacing w:before="114"/>
              <w:rPr>
                <w:sz w:val="20"/>
              </w:rPr>
            </w:pPr>
            <w:r>
              <w:rPr>
                <w:sz w:val="20"/>
              </w:rPr>
              <w:t>ibid., at </w:t>
            </w:r>
            <w:r>
              <w:rPr>
                <w:spacing w:val="-2"/>
                <w:sz w:val="20"/>
              </w:rPr>
              <w:t>[28].</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1069</w:t>
            </w:r>
            <w:r>
              <w:rPr>
                <w:spacing w:val="-2"/>
                <w:sz w:val="14"/>
              </w:rPr>
              <w:t>.</w:t>
            </w:r>
          </w:p>
        </w:tc>
        <w:tc>
          <w:tcPr>
            <w:tcW w:w="8620" w:type="dxa"/>
          </w:tcPr>
          <w:p>
            <w:pPr>
              <w:pStyle w:val="TableParagraph"/>
              <w:spacing w:before="114"/>
              <w:rPr>
                <w:sz w:val="20"/>
              </w:rPr>
            </w:pPr>
            <w:r>
              <w:rPr>
                <w:sz w:val="20"/>
              </w:rPr>
              <w:t>i.e. in addition to the ground stated by him at [91], above at </w:t>
            </w:r>
            <w:r>
              <w:rPr>
                <w:spacing w:val="-2"/>
                <w:sz w:val="20"/>
              </w:rPr>
              <w:t>n.1012.</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1070</w:t>
            </w:r>
            <w:r>
              <w:rPr>
                <w:spacing w:val="-2"/>
                <w:sz w:val="14"/>
              </w:rPr>
              <w:t>.</w:t>
            </w:r>
          </w:p>
        </w:tc>
        <w:tc>
          <w:tcPr>
            <w:tcW w:w="8620" w:type="dxa"/>
          </w:tcPr>
          <w:p>
            <w:pPr>
              <w:pStyle w:val="TableParagraph"/>
              <w:spacing w:before="114"/>
              <w:rPr>
                <w:sz w:val="20"/>
              </w:rPr>
            </w:pPr>
            <w:r>
              <w:rPr>
                <w:rFonts w:ascii="Arial"/>
                <w:i/>
                <w:sz w:val="20"/>
              </w:rPr>
              <w:t>[2008] UKHL 55, [2008] 1 W.L.R. 1752</w:t>
            </w:r>
            <w:r>
              <w:rPr>
                <w:rFonts w:ascii="Arial"/>
                <w:i/>
                <w:spacing w:val="-1"/>
                <w:sz w:val="20"/>
              </w:rPr>
              <w:t> </w:t>
            </w:r>
            <w:r>
              <w:rPr>
                <w:sz w:val="20"/>
              </w:rPr>
              <w:t>at [92] (italics </w:t>
            </w:r>
            <w:r>
              <w:rPr>
                <w:spacing w:val="-2"/>
                <w:sz w:val="20"/>
              </w:rPr>
              <w:t>supplied).</w:t>
            </w:r>
          </w:p>
        </w:tc>
      </w:tr>
      <w:tr>
        <w:trPr>
          <w:trHeight w:val="344" w:hRule="atLeast"/>
        </w:trPr>
        <w:tc>
          <w:tcPr>
            <w:tcW w:w="496" w:type="dxa"/>
          </w:tcPr>
          <w:p>
            <w:pPr>
              <w:pStyle w:val="TableParagraph"/>
              <w:ind w:left="0" w:right="43"/>
              <w:jc w:val="center"/>
              <w:rPr>
                <w:sz w:val="14"/>
              </w:rPr>
            </w:pPr>
            <w:r>
              <w:rPr>
                <w:color w:val="005DA1"/>
                <w:spacing w:val="-2"/>
                <w:sz w:val="14"/>
                <w:u w:val="single" w:color="005DA1"/>
              </w:rPr>
              <w:t>1071</w:t>
            </w:r>
            <w:r>
              <w:rPr>
                <w:spacing w:val="-2"/>
                <w:sz w:val="14"/>
              </w:rPr>
              <w:t>.</w:t>
            </w:r>
          </w:p>
        </w:tc>
        <w:tc>
          <w:tcPr>
            <w:tcW w:w="8620" w:type="dxa"/>
          </w:tcPr>
          <w:p>
            <w:pPr>
              <w:pStyle w:val="TableParagraph"/>
              <w:spacing w:line="210" w:lineRule="exact" w:before="114"/>
              <w:rPr>
                <w:sz w:val="20"/>
              </w:rPr>
            </w:pPr>
            <w:r>
              <w:rPr>
                <w:spacing w:val="-2"/>
                <w:sz w:val="20"/>
              </w:rPr>
              <w:t>ibid.</w:t>
            </w:r>
          </w:p>
        </w:tc>
      </w:tr>
    </w:tbl>
    <w:p>
      <w:pPr>
        <w:pStyle w:val="BodyText"/>
        <w:spacing w:before="81"/>
        <w:rPr>
          <w:sz w:val="14"/>
        </w:rPr>
      </w:pPr>
    </w:p>
    <w:p>
      <w:pPr>
        <w:spacing w:line="137" w:lineRule="exact" w:before="0"/>
        <w:ind w:left="165" w:right="0" w:firstLine="0"/>
        <w:jc w:val="left"/>
        <w:rPr>
          <w:sz w:val="14"/>
        </w:rPr>
      </w:pPr>
      <w:r>
        <w:rPr>
          <w:color w:val="005DA1"/>
          <w:spacing w:val="-2"/>
          <w:sz w:val="14"/>
          <w:u w:val="single" w:color="005DA1"/>
        </w:rPr>
        <w:t>1072</w:t>
      </w:r>
      <w:r>
        <w:rPr>
          <w:spacing w:val="-2"/>
          <w:sz w:val="14"/>
        </w:rPr>
        <w:t>.</w:t>
      </w:r>
    </w:p>
    <w:p>
      <w:pPr>
        <w:spacing w:line="203" w:lineRule="exact" w:before="0"/>
        <w:ind w:left="875" w:right="0" w:firstLine="0"/>
        <w:jc w:val="both"/>
        <w:rPr>
          <w:rFonts w:ascii="Arial"/>
          <w:i/>
          <w:sz w:val="20"/>
        </w:rPr>
      </w:pPr>
      <w:r>
        <w:rPr>
          <w:rFonts w:ascii="Arial"/>
          <w:i/>
          <w:sz w:val="20"/>
        </w:rPr>
        <w:drawing>
          <wp:anchor distT="0" distB="0" distL="0" distR="0" allowOverlap="1" layoutInCell="1" locked="0" behindDoc="0" simplePos="0" relativeHeight="15816704">
            <wp:simplePos x="0" y="0"/>
            <wp:positionH relativeFrom="page">
              <wp:posOffset>1257846</wp:posOffset>
            </wp:positionH>
            <wp:positionV relativeFrom="paragraph">
              <wp:posOffset>13064</wp:posOffset>
            </wp:positionV>
            <wp:extent cx="107988" cy="107988"/>
            <wp:effectExtent l="0" t="0" r="0" b="0"/>
            <wp:wrapNone/>
            <wp:docPr id="352" name="Image 352"/>
            <wp:cNvGraphicFramePr>
              <a:graphicFrameLocks/>
            </wp:cNvGraphicFramePr>
            <a:graphic>
              <a:graphicData uri="http://schemas.openxmlformats.org/drawingml/2006/picture">
                <pic:pic>
                  <pic:nvPicPr>
                    <pic:cNvPr id="352" name="Image 352"/>
                    <pic:cNvPicPr/>
                  </pic:nvPicPr>
                  <pic:blipFill>
                    <a:blip r:embed="rId7" cstate="print"/>
                    <a:stretch>
                      <a:fillRect/>
                    </a:stretch>
                  </pic:blipFill>
                  <pic:spPr>
                    <a:xfrm>
                      <a:off x="0" y="0"/>
                      <a:ext cx="107988" cy="107988"/>
                    </a:xfrm>
                    <a:prstGeom prst="rect">
                      <a:avLst/>
                    </a:prstGeom>
                  </pic:spPr>
                </pic:pic>
              </a:graphicData>
            </a:graphic>
          </wp:anchor>
        </w:drawing>
      </w:r>
      <w:r>
        <w:rPr>
          <w:sz w:val="20"/>
        </w:rPr>
        <w:t>See</w:t>
      </w:r>
      <w:r>
        <w:rPr>
          <w:spacing w:val="1"/>
          <w:sz w:val="20"/>
        </w:rPr>
        <w:t> </w:t>
      </w:r>
      <w:r>
        <w:rPr>
          <w:sz w:val="20"/>
        </w:rPr>
        <w:t>also</w:t>
      </w:r>
      <w:r>
        <w:rPr>
          <w:spacing w:val="1"/>
          <w:sz w:val="20"/>
        </w:rPr>
        <w:t> </w:t>
      </w:r>
      <w:r>
        <w:rPr>
          <w:sz w:val="20"/>
        </w:rPr>
        <w:t>the</w:t>
      </w:r>
      <w:r>
        <w:rPr>
          <w:spacing w:val="1"/>
          <w:sz w:val="20"/>
        </w:rPr>
        <w:t> </w:t>
      </w:r>
      <w:r>
        <w:rPr>
          <w:sz w:val="20"/>
        </w:rPr>
        <w:t>discussion</w:t>
      </w:r>
      <w:r>
        <w:rPr>
          <w:spacing w:val="1"/>
          <w:sz w:val="20"/>
        </w:rPr>
        <w:t> </w:t>
      </w:r>
      <w:r>
        <w:rPr>
          <w:sz w:val="20"/>
        </w:rPr>
        <w:t>of</w:t>
      </w:r>
      <w:r>
        <w:rPr>
          <w:spacing w:val="1"/>
          <w:sz w:val="20"/>
        </w:rPr>
        <w:t> </w:t>
      </w:r>
      <w:r>
        <w:rPr>
          <w:sz w:val="20"/>
        </w:rPr>
        <w:t>the </w:t>
      </w:r>
      <w:r>
        <w:rPr>
          <w:rFonts w:ascii="Arial"/>
          <w:i/>
          <w:sz w:val="20"/>
        </w:rPr>
        <w:t>Cobbe</w:t>
      </w:r>
      <w:r>
        <w:rPr>
          <w:rFonts w:ascii="Arial"/>
          <w:i/>
          <w:spacing w:val="1"/>
          <w:sz w:val="20"/>
        </w:rPr>
        <w:t> </w:t>
      </w:r>
      <w:r>
        <w:rPr>
          <w:sz w:val="20"/>
        </w:rPr>
        <w:t>case</w:t>
      </w:r>
      <w:r>
        <w:rPr>
          <w:spacing w:val="1"/>
          <w:sz w:val="20"/>
        </w:rPr>
        <w:t> </w:t>
      </w:r>
      <w:r>
        <w:rPr>
          <w:sz w:val="20"/>
        </w:rPr>
        <w:t>by</w:t>
      </w:r>
      <w:r>
        <w:rPr>
          <w:spacing w:val="1"/>
          <w:sz w:val="20"/>
        </w:rPr>
        <w:t> </w:t>
      </w:r>
      <w:r>
        <w:rPr>
          <w:sz w:val="20"/>
        </w:rPr>
        <w:t>Arden</w:t>
      </w:r>
      <w:r>
        <w:rPr>
          <w:spacing w:val="1"/>
          <w:sz w:val="20"/>
        </w:rPr>
        <w:t> </w:t>
      </w:r>
      <w:r>
        <w:rPr>
          <w:sz w:val="20"/>
        </w:rPr>
        <w:t>L.J.</w:t>
      </w:r>
      <w:r>
        <w:rPr>
          <w:spacing w:val="1"/>
          <w:sz w:val="20"/>
        </w:rPr>
        <w:t> </w:t>
      </w:r>
      <w:r>
        <w:rPr>
          <w:sz w:val="20"/>
        </w:rPr>
        <w:t>in</w:t>
      </w:r>
      <w:r>
        <w:rPr>
          <w:spacing w:val="1"/>
          <w:sz w:val="20"/>
        </w:rPr>
        <w:t> </w:t>
      </w:r>
      <w:r>
        <w:rPr>
          <w:rFonts w:ascii="Arial"/>
          <w:i/>
          <w:sz w:val="20"/>
        </w:rPr>
        <w:t>Herbert</w:t>
      </w:r>
      <w:r>
        <w:rPr>
          <w:rFonts w:ascii="Arial"/>
          <w:i/>
          <w:spacing w:val="1"/>
          <w:sz w:val="20"/>
        </w:rPr>
        <w:t> </w:t>
      </w:r>
      <w:r>
        <w:rPr>
          <w:rFonts w:ascii="Arial"/>
          <w:i/>
          <w:sz w:val="20"/>
        </w:rPr>
        <w:t>v</w:t>
      </w:r>
      <w:r>
        <w:rPr>
          <w:rFonts w:ascii="Arial"/>
          <w:i/>
          <w:spacing w:val="1"/>
          <w:sz w:val="20"/>
        </w:rPr>
        <w:t> </w:t>
      </w:r>
      <w:r>
        <w:rPr>
          <w:rFonts w:ascii="Arial"/>
          <w:i/>
          <w:sz w:val="20"/>
        </w:rPr>
        <w:t>Doyle</w:t>
      </w:r>
      <w:r>
        <w:rPr>
          <w:rFonts w:ascii="Arial"/>
          <w:i/>
          <w:spacing w:val="1"/>
          <w:sz w:val="20"/>
        </w:rPr>
        <w:t> </w:t>
      </w:r>
      <w:r>
        <w:rPr>
          <w:rFonts w:ascii="Arial"/>
          <w:i/>
          <w:sz w:val="20"/>
        </w:rPr>
        <w:t>[2010]</w:t>
      </w:r>
      <w:r>
        <w:rPr>
          <w:rFonts w:ascii="Arial"/>
          <w:i/>
          <w:spacing w:val="1"/>
          <w:sz w:val="20"/>
        </w:rPr>
        <w:t> </w:t>
      </w:r>
      <w:r>
        <w:rPr>
          <w:rFonts w:ascii="Arial"/>
          <w:i/>
          <w:sz w:val="20"/>
        </w:rPr>
        <w:t>EWCA</w:t>
      </w:r>
      <w:r>
        <w:rPr>
          <w:rFonts w:ascii="Arial"/>
          <w:i/>
          <w:spacing w:val="1"/>
          <w:sz w:val="20"/>
        </w:rPr>
        <w:t> </w:t>
      </w:r>
      <w:r>
        <w:rPr>
          <w:rFonts w:ascii="Arial"/>
          <w:i/>
          <w:spacing w:val="-5"/>
          <w:sz w:val="20"/>
        </w:rPr>
        <w:t>Civ</w:t>
      </w:r>
    </w:p>
    <w:p>
      <w:pPr>
        <w:spacing w:line="235" w:lineRule="auto" w:before="2"/>
        <w:ind w:left="705" w:right="167" w:firstLine="0"/>
        <w:jc w:val="both"/>
        <w:rPr>
          <w:sz w:val="20"/>
        </w:rPr>
      </w:pPr>
      <w:r>
        <w:rPr>
          <w:rFonts w:ascii="Arial" w:hAnsi="Arial"/>
          <w:i/>
          <w:sz w:val="20"/>
        </w:rPr>
        <w:t>1095</w:t>
      </w:r>
      <w:r>
        <w:rPr>
          <w:sz w:val="20"/>
        </w:rPr>
        <w:t>. Her conclusion (at [57]) is that “there is a common thread running through the </w:t>
      </w:r>
      <w:r>
        <w:rPr>
          <w:sz w:val="20"/>
        </w:rPr>
        <w:t>speeches of Lord Scott and Lord Walker.” This is that parties cannot rely on proprietary estoppel or constructive trust to make their agreement binding if the relevant interest in property “is not clearly identified, </w:t>
      </w:r>
      <w:r>
        <w:rPr>
          <w:rFonts w:ascii="Arial" w:hAnsi="Arial"/>
          <w:i/>
          <w:sz w:val="20"/>
        </w:rPr>
        <w:t>or </w:t>
      </w:r>
      <w:r>
        <w:rPr>
          <w:sz w:val="20"/>
        </w:rPr>
        <w:t>if the parties did not expect their agreement to be immediately binding …”. As the word here italicised shows, even this synthesis does not wholly reconcile the difference between the two speeches. For further discussion of the passage of Arden L.J.’s judgment in </w:t>
      </w:r>
      <w:r>
        <w:rPr>
          <w:rFonts w:ascii="Arial" w:hAnsi="Arial"/>
          <w:i/>
          <w:sz w:val="20"/>
        </w:rPr>
        <w:t>Herbert v Doyle [2010] EWCA Civ 1095, [2015] W.T.L.R. 1573</w:t>
      </w:r>
      <w:r>
        <w:rPr>
          <w:sz w:val="20"/>
        </w:rPr>
        <w:t>, see </w:t>
      </w:r>
      <w:r>
        <w:rPr>
          <w:rFonts w:ascii="Arial" w:hAnsi="Arial"/>
          <w:i/>
          <w:sz w:val="20"/>
        </w:rPr>
        <w:t>Matchmove Ltd v Dowding and Church [2016] EWCA Civ 1233, [2017] 1 W.L.R. 749 </w:t>
      </w:r>
      <w:r>
        <w:rPr>
          <w:sz w:val="20"/>
        </w:rPr>
        <w:t>at [30]-[32]. The latter case differed from the </w:t>
      </w:r>
      <w:r>
        <w:rPr>
          <w:rFonts w:ascii="Arial" w:hAnsi="Arial"/>
          <w:i/>
          <w:sz w:val="20"/>
        </w:rPr>
        <w:t>Cobbe case [2008] UKHL 55, [2008] 1 W.L.R. 1752 </w:t>
      </w:r>
      <w:r>
        <w:rPr>
          <w:sz w:val="20"/>
        </w:rPr>
        <w:t>in that in the </w:t>
      </w:r>
      <w:r>
        <w:rPr>
          <w:rFonts w:ascii="Arial" w:hAnsi="Arial"/>
          <w:i/>
          <w:sz w:val="20"/>
        </w:rPr>
        <w:t>Matchmove </w:t>
      </w:r>
      <w:r>
        <w:rPr>
          <w:sz w:val="20"/>
        </w:rPr>
        <w:t>case the parties did intend their agreement “to be immediately binding” (</w:t>
      </w:r>
      <w:r>
        <w:rPr>
          <w:rFonts w:ascii="Arial" w:hAnsi="Arial"/>
          <w:i/>
          <w:sz w:val="20"/>
        </w:rPr>
        <w:t>[2016] EWCA Civ 1095 </w:t>
      </w:r>
      <w:r>
        <w:rPr>
          <w:sz w:val="20"/>
        </w:rPr>
        <w:t>at [36]) even though it was oral and so did not satisfy the requirement of Law of Property</w:t>
      </w:r>
      <w:r>
        <w:rPr>
          <w:spacing w:val="40"/>
          <w:sz w:val="20"/>
        </w:rPr>
        <w:t> </w:t>
      </w:r>
      <w:r>
        <w:rPr>
          <w:sz w:val="20"/>
        </w:rPr>
        <w:t>(Miscellaneous Provisions) Act 1989, while in the </w:t>
      </w:r>
      <w:r>
        <w:rPr>
          <w:rFonts w:ascii="Arial" w:hAnsi="Arial"/>
          <w:i/>
          <w:sz w:val="20"/>
        </w:rPr>
        <w:t>Cobbe </w:t>
      </w:r>
      <w:r>
        <w:rPr>
          <w:sz w:val="20"/>
        </w:rPr>
        <w:t>case the parties did not “expect their agreement to be immediately binding” (see Arden L.J. in </w:t>
      </w:r>
      <w:r>
        <w:rPr>
          <w:rFonts w:ascii="Arial" w:hAnsi="Arial"/>
          <w:i/>
          <w:sz w:val="20"/>
        </w:rPr>
        <w:t>Herbert v Doyle [2010] EWCA Civ 1095 </w:t>
      </w:r>
      <w:r>
        <w:rPr>
          <w:sz w:val="20"/>
        </w:rPr>
        <w:t>at [57]).</w:t>
      </w:r>
    </w:p>
    <w:p>
      <w:pPr>
        <w:pStyle w:val="BodyText"/>
      </w:pPr>
    </w:p>
    <w:p>
      <w:pPr>
        <w:spacing w:line="227" w:lineRule="exact" w:before="1"/>
        <w:ind w:left="165" w:right="0" w:firstLine="0"/>
        <w:jc w:val="left"/>
        <w:rPr>
          <w:sz w:val="20"/>
        </w:rPr>
      </w:pPr>
      <w:r>
        <w:rPr>
          <w:color w:val="005DA1"/>
          <w:position w:val="5"/>
          <w:sz w:val="14"/>
          <w:u w:val="single" w:color="005DA1"/>
        </w:rPr>
        <w:t>1073</w:t>
      </w:r>
      <w:r>
        <w:rPr>
          <w:position w:val="5"/>
          <w:sz w:val="14"/>
        </w:rPr>
        <w:t>.</w:t>
      </w:r>
      <w:r>
        <w:rPr>
          <w:spacing w:val="55"/>
          <w:position w:val="5"/>
          <w:sz w:val="14"/>
        </w:rPr>
        <w:t>  </w:t>
      </w:r>
      <w:r>
        <w:rPr>
          <w:rFonts w:ascii="Arial" w:hAnsi="Arial"/>
          <w:i/>
          <w:sz w:val="20"/>
        </w:rPr>
        <w:t>Cobbe</w:t>
      </w:r>
      <w:r>
        <w:rPr>
          <w:rFonts w:ascii="Arial" w:hAnsi="Arial"/>
          <w:i/>
          <w:spacing w:val="2"/>
          <w:sz w:val="20"/>
        </w:rPr>
        <w:t> </w:t>
      </w:r>
      <w:r>
        <w:rPr>
          <w:rFonts w:ascii="Arial" w:hAnsi="Arial"/>
          <w:i/>
          <w:sz w:val="20"/>
        </w:rPr>
        <w:t>v</w:t>
      </w:r>
      <w:r>
        <w:rPr>
          <w:rFonts w:ascii="Arial" w:hAnsi="Arial"/>
          <w:i/>
          <w:spacing w:val="1"/>
          <w:sz w:val="20"/>
        </w:rPr>
        <w:t> </w:t>
      </w:r>
      <w:r>
        <w:rPr>
          <w:rFonts w:ascii="Arial" w:hAnsi="Arial"/>
          <w:i/>
          <w:sz w:val="20"/>
        </w:rPr>
        <w:t>Yeoman’s</w:t>
      </w:r>
      <w:r>
        <w:rPr>
          <w:rFonts w:ascii="Arial" w:hAnsi="Arial"/>
          <w:i/>
          <w:spacing w:val="1"/>
          <w:sz w:val="20"/>
        </w:rPr>
        <w:t> </w:t>
      </w:r>
      <w:r>
        <w:rPr>
          <w:rFonts w:ascii="Arial" w:hAnsi="Arial"/>
          <w:i/>
          <w:sz w:val="20"/>
        </w:rPr>
        <w:t>Row</w:t>
      </w:r>
      <w:r>
        <w:rPr>
          <w:rFonts w:ascii="Arial" w:hAnsi="Arial"/>
          <w:i/>
          <w:spacing w:val="1"/>
          <w:sz w:val="20"/>
        </w:rPr>
        <w:t> </w:t>
      </w:r>
      <w:r>
        <w:rPr>
          <w:rFonts w:ascii="Arial" w:hAnsi="Arial"/>
          <w:i/>
          <w:sz w:val="20"/>
        </w:rPr>
        <w:t>Management</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[2008] UKHL</w:t>
      </w:r>
      <w:r>
        <w:rPr>
          <w:rFonts w:ascii="Arial" w:hAnsi="Arial"/>
          <w:i/>
          <w:spacing w:val="1"/>
          <w:sz w:val="20"/>
        </w:rPr>
        <w:t> </w:t>
      </w:r>
      <w:r>
        <w:rPr>
          <w:rFonts w:ascii="Arial" w:hAnsi="Arial"/>
          <w:i/>
          <w:sz w:val="20"/>
        </w:rPr>
        <w:t>55,</w:t>
      </w:r>
      <w:r>
        <w:rPr>
          <w:rFonts w:ascii="Arial" w:hAnsi="Arial"/>
          <w:i/>
          <w:spacing w:val="1"/>
          <w:sz w:val="20"/>
        </w:rPr>
        <w:t> </w:t>
      </w:r>
      <w:r>
        <w:rPr>
          <w:rFonts w:ascii="Arial" w:hAnsi="Arial"/>
          <w:i/>
          <w:sz w:val="20"/>
        </w:rPr>
        <w:t>[2008]</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1752</w:t>
      </w:r>
      <w:r>
        <w:rPr>
          <w:sz w:val="20"/>
        </w:rPr>
        <w:t>,</w:t>
      </w:r>
      <w:r>
        <w:rPr>
          <w:spacing w:val="1"/>
          <w:sz w:val="20"/>
        </w:rPr>
        <w:t> </w:t>
      </w:r>
      <w:r>
        <w:rPr>
          <w:sz w:val="20"/>
        </w:rPr>
        <w:t>above,</w:t>
      </w:r>
      <w:r>
        <w:rPr>
          <w:spacing w:val="1"/>
          <w:sz w:val="20"/>
        </w:rPr>
        <w:t> </w:t>
      </w:r>
      <w:r>
        <w:rPr>
          <w:spacing w:val="-2"/>
          <w:sz w:val="20"/>
        </w:rPr>
        <w:t>paras</w:t>
      </w:r>
    </w:p>
    <w:p>
      <w:pPr>
        <w:pStyle w:val="BodyText"/>
        <w:spacing w:line="227" w:lineRule="exact"/>
        <w:ind w:left="705"/>
      </w:pPr>
      <w:r>
        <w:rPr/>
        <w:t>4-161 to 4-164; below, para.4-</w:t>
      </w:r>
      <w:r>
        <w:rPr>
          <w:spacing w:val="-4"/>
        </w:rPr>
        <w:t>167.</w:t>
      </w:r>
    </w:p>
    <w:p>
      <w:pPr>
        <w:pStyle w:val="BodyText"/>
        <w:spacing w:after="0" w:line="227" w:lineRule="exact"/>
        <w:sectPr>
          <w:pgSz w:w="11900" w:h="16840"/>
          <w:pgMar w:header="971" w:footer="0" w:top="1160" w:bottom="280" w:left="1275" w:right="1275"/>
        </w:sectPr>
      </w:pPr>
    </w:p>
    <w:p>
      <w:pPr>
        <w:pStyle w:val="BodyText"/>
        <w:spacing w:before="87"/>
      </w:pPr>
      <w:bookmarkStart w:name="_bookmark1826" w:id="1828"/>
      <w:bookmarkEnd w:id="1828"/>
      <w:r>
        <w:rPr/>
      </w:r>
      <w:r>
        <w:rPr/>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1919" w:hRule="atLeast"/>
        </w:trPr>
        <w:tc>
          <w:tcPr>
            <w:tcW w:w="496" w:type="dxa"/>
          </w:tcPr>
          <w:p>
            <w:pPr>
              <w:pStyle w:val="TableParagraph"/>
              <w:spacing w:before="0"/>
              <w:ind w:left="0" w:right="43"/>
              <w:jc w:val="center"/>
              <w:rPr>
                <w:sz w:val="14"/>
              </w:rPr>
            </w:pPr>
            <w:r>
              <w:rPr>
                <w:color w:val="005DA1"/>
                <w:spacing w:val="-2"/>
                <w:sz w:val="14"/>
                <w:u w:val="single" w:color="005DA1"/>
              </w:rPr>
              <w:t>1074</w:t>
            </w:r>
            <w:r>
              <w:rPr>
                <w:spacing w:val="-2"/>
                <w:sz w:val="14"/>
              </w:rPr>
              <w:t>.</w:t>
            </w:r>
          </w:p>
        </w:tc>
        <w:tc>
          <w:tcPr>
            <w:tcW w:w="8620" w:type="dxa"/>
          </w:tcPr>
          <w:p>
            <w:pPr>
              <w:pStyle w:val="TableParagraph"/>
              <w:spacing w:line="235" w:lineRule="auto" w:before="0"/>
              <w:ind w:right="48"/>
              <w:jc w:val="both"/>
              <w:rPr>
                <w:rFonts w:ascii="Arial" w:hAnsi="Arial"/>
                <w:i/>
                <w:sz w:val="20"/>
              </w:rPr>
            </w:pPr>
            <w:r>
              <w:rPr>
                <w:rFonts w:ascii="Arial" w:hAnsi="Arial"/>
                <w:i/>
                <w:sz w:val="20"/>
              </w:rPr>
              <w:t>[2009] UKHL 18, [2009] 1 W.L.R. 776</w:t>
            </w:r>
            <w:r>
              <w:rPr>
                <w:sz w:val="20"/>
              </w:rPr>
              <w:t>; above, paras 4-149 to 4-152, 4-163. In </w:t>
            </w:r>
            <w:r>
              <w:rPr>
                <w:rFonts w:ascii="Arial" w:hAnsi="Arial"/>
                <w:i/>
                <w:sz w:val="20"/>
              </w:rPr>
              <w:t>Suggitt v Suggitt [2012] EWCA Civ 1140, [2012] W.T.L.R. 1607 </w:t>
            </w:r>
            <w:r>
              <w:rPr>
                <w:sz w:val="20"/>
              </w:rPr>
              <w:t>Arden L.J. (with whose judgment Sullivan </w:t>
            </w:r>
            <w:r>
              <w:rPr>
                <w:sz w:val="20"/>
              </w:rPr>
              <w:t>L.J. and Sir Nicholas Wall agreed) at [29] cites </w:t>
            </w:r>
            <w:r>
              <w:rPr>
                <w:rFonts w:ascii="Arial" w:hAnsi="Arial"/>
                <w:i/>
                <w:sz w:val="20"/>
              </w:rPr>
              <w:t>Thorner v Major </w:t>
            </w:r>
            <w:r>
              <w:rPr>
                <w:sz w:val="20"/>
              </w:rPr>
              <w:t>but makes no reference to </w:t>
            </w:r>
            <w:r>
              <w:rPr>
                <w:rFonts w:ascii="Arial" w:hAnsi="Arial"/>
                <w:i/>
                <w:sz w:val="20"/>
              </w:rPr>
              <w:t>Cobbe v Yeoman’s Row Management Ltd</w:t>
            </w:r>
            <w:r>
              <w:rPr>
                <w:sz w:val="20"/>
              </w:rPr>
              <w:t>. For other cases relevant to the relationship between the </w:t>
            </w:r>
            <w:r>
              <w:rPr>
                <w:rFonts w:ascii="Arial" w:hAnsi="Arial"/>
                <w:i/>
                <w:sz w:val="20"/>
              </w:rPr>
              <w:t>Cobbe </w:t>
            </w:r>
            <w:r>
              <w:rPr>
                <w:sz w:val="20"/>
              </w:rPr>
              <w:t>and </w:t>
            </w:r>
            <w:r>
              <w:rPr>
                <w:rFonts w:ascii="Arial" w:hAnsi="Arial"/>
                <w:i/>
                <w:sz w:val="20"/>
              </w:rPr>
              <w:t>Thorner </w:t>
            </w:r>
            <w:r>
              <w:rPr>
                <w:sz w:val="20"/>
              </w:rPr>
              <w:t>cases, see </w:t>
            </w:r>
            <w:r>
              <w:rPr>
                <w:rFonts w:ascii="Arial" w:hAnsi="Arial"/>
                <w:i/>
                <w:sz w:val="20"/>
              </w:rPr>
              <w:t>Henry v Henry [2010] UKPC 3, [2010] 1 All E.R. 988 </w:t>
            </w:r>
            <w:r>
              <w:rPr>
                <w:sz w:val="20"/>
              </w:rPr>
              <w:t>(above, para.4-164, n.1011); </w:t>
            </w:r>
            <w:r>
              <w:rPr>
                <w:rFonts w:ascii="Arial" w:hAnsi="Arial"/>
                <w:i/>
                <w:sz w:val="20"/>
              </w:rPr>
              <w:t>Herbert v Doyle [2010] EWCA Civ 1095</w:t>
            </w:r>
            <w:r>
              <w:rPr>
                <w:sz w:val="20"/>
              </w:rPr>
              <w:t>, esp. at [57]; </w:t>
            </w:r>
            <w:r>
              <w:rPr>
                <w:rFonts w:ascii="Arial" w:hAnsi="Arial"/>
                <w:i/>
                <w:sz w:val="20"/>
              </w:rPr>
              <w:t>Crossco No.4 Unlimited</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Jolam</w:t>
            </w:r>
            <w:r>
              <w:rPr>
                <w:rFonts w:ascii="Arial" w:hAnsi="Arial"/>
                <w:i/>
                <w:spacing w:val="26"/>
                <w:sz w:val="20"/>
              </w:rPr>
              <w:t> </w:t>
            </w:r>
            <w:r>
              <w:rPr>
                <w:rFonts w:ascii="Arial" w:hAnsi="Arial"/>
                <w:i/>
                <w:sz w:val="20"/>
              </w:rPr>
              <w:t>Ltd</w:t>
            </w:r>
            <w:r>
              <w:rPr>
                <w:rFonts w:ascii="Arial" w:hAnsi="Arial"/>
                <w:i/>
                <w:spacing w:val="26"/>
                <w:sz w:val="20"/>
              </w:rPr>
              <w:t> </w:t>
            </w:r>
            <w:r>
              <w:rPr>
                <w:rFonts w:ascii="Arial" w:hAnsi="Arial"/>
                <w:i/>
                <w:sz w:val="20"/>
              </w:rPr>
              <w:t>[2011]</w:t>
            </w:r>
            <w:r>
              <w:rPr>
                <w:rFonts w:ascii="Arial" w:hAnsi="Arial"/>
                <w:i/>
                <w:spacing w:val="26"/>
                <w:sz w:val="20"/>
              </w:rPr>
              <w:t> </w:t>
            </w:r>
            <w:r>
              <w:rPr>
                <w:rFonts w:ascii="Arial" w:hAnsi="Arial"/>
                <w:i/>
                <w:sz w:val="20"/>
              </w:rPr>
              <w:t>EWHC</w:t>
            </w:r>
            <w:r>
              <w:rPr>
                <w:rFonts w:ascii="Arial" w:hAnsi="Arial"/>
                <w:i/>
                <w:spacing w:val="26"/>
                <w:sz w:val="20"/>
              </w:rPr>
              <w:t> </w:t>
            </w:r>
            <w:r>
              <w:rPr>
                <w:rFonts w:ascii="Arial" w:hAnsi="Arial"/>
                <w:i/>
                <w:sz w:val="20"/>
              </w:rPr>
              <w:t>803</w:t>
            </w:r>
            <w:r>
              <w:rPr>
                <w:rFonts w:ascii="Arial" w:hAnsi="Arial"/>
                <w:i/>
                <w:spacing w:val="26"/>
                <w:sz w:val="20"/>
              </w:rPr>
              <w:t> </w:t>
            </w:r>
            <w:r>
              <w:rPr>
                <w:rFonts w:ascii="Arial" w:hAnsi="Arial"/>
                <w:i/>
                <w:sz w:val="20"/>
              </w:rPr>
              <w:t>(Ch),</w:t>
            </w:r>
            <w:r>
              <w:rPr>
                <w:rFonts w:ascii="Arial" w:hAnsi="Arial"/>
                <w:i/>
                <w:spacing w:val="26"/>
                <w:sz w:val="20"/>
              </w:rPr>
              <w:t> </w:t>
            </w:r>
            <w:r>
              <w:rPr>
                <w:rFonts w:ascii="Arial" w:hAnsi="Arial"/>
                <w:i/>
                <w:sz w:val="20"/>
              </w:rPr>
              <w:t>affirmed</w:t>
            </w:r>
            <w:r>
              <w:rPr>
                <w:rFonts w:ascii="Arial" w:hAnsi="Arial"/>
                <w:i/>
                <w:spacing w:val="26"/>
                <w:sz w:val="20"/>
              </w:rPr>
              <w:t> </w:t>
            </w:r>
            <w:r>
              <w:rPr>
                <w:rFonts w:ascii="Arial" w:hAnsi="Arial"/>
                <w:i/>
                <w:sz w:val="20"/>
              </w:rPr>
              <w:t>[2011]</w:t>
            </w:r>
            <w:r>
              <w:rPr>
                <w:rFonts w:ascii="Arial" w:hAnsi="Arial"/>
                <w:i/>
                <w:spacing w:val="26"/>
                <w:sz w:val="20"/>
              </w:rPr>
              <w:t> </w:t>
            </w:r>
            <w:r>
              <w:rPr>
                <w:rFonts w:ascii="Arial" w:hAnsi="Arial"/>
                <w:i/>
                <w:sz w:val="20"/>
              </w:rPr>
              <w:t>EWCA</w:t>
            </w:r>
            <w:r>
              <w:rPr>
                <w:rFonts w:ascii="Arial" w:hAnsi="Arial"/>
                <w:i/>
                <w:spacing w:val="26"/>
                <w:sz w:val="20"/>
              </w:rPr>
              <w:t> </w:t>
            </w:r>
            <w:r>
              <w:rPr>
                <w:rFonts w:ascii="Arial" w:hAnsi="Arial"/>
                <w:i/>
                <w:sz w:val="20"/>
              </w:rPr>
              <w:t>Civ</w:t>
            </w:r>
            <w:r>
              <w:rPr>
                <w:rFonts w:ascii="Arial" w:hAnsi="Arial"/>
                <w:i/>
                <w:spacing w:val="26"/>
                <w:sz w:val="20"/>
              </w:rPr>
              <w:t> </w:t>
            </w:r>
            <w:r>
              <w:rPr>
                <w:rFonts w:ascii="Arial" w:hAnsi="Arial"/>
                <w:i/>
                <w:sz w:val="20"/>
              </w:rPr>
              <w:t>1619,</w:t>
            </w:r>
            <w:r>
              <w:rPr>
                <w:rFonts w:ascii="Arial" w:hAnsi="Arial"/>
                <w:i/>
                <w:spacing w:val="26"/>
                <w:sz w:val="20"/>
              </w:rPr>
              <w:t> </w:t>
            </w:r>
            <w:r>
              <w:rPr>
                <w:rFonts w:ascii="Arial" w:hAnsi="Arial"/>
                <w:i/>
                <w:sz w:val="20"/>
              </w:rPr>
              <w:t>[2012]</w:t>
            </w:r>
            <w:r>
              <w:rPr>
                <w:rFonts w:ascii="Arial" w:hAnsi="Arial"/>
                <w:i/>
                <w:spacing w:val="26"/>
                <w:sz w:val="20"/>
              </w:rPr>
              <w:t> </w:t>
            </w:r>
            <w:r>
              <w:rPr>
                <w:rFonts w:ascii="Arial" w:hAnsi="Arial"/>
                <w:i/>
                <w:sz w:val="20"/>
              </w:rPr>
              <w:t>2</w:t>
            </w:r>
            <w:r>
              <w:rPr>
                <w:rFonts w:ascii="Arial" w:hAnsi="Arial"/>
                <w:i/>
                <w:spacing w:val="26"/>
                <w:sz w:val="20"/>
              </w:rPr>
              <w:t> </w:t>
            </w:r>
            <w:r>
              <w:rPr>
                <w:rFonts w:ascii="Arial" w:hAnsi="Arial"/>
                <w:i/>
                <w:spacing w:val="-5"/>
                <w:sz w:val="20"/>
              </w:rPr>
              <w:t>All</w:t>
            </w:r>
          </w:p>
          <w:p>
            <w:pPr>
              <w:pStyle w:val="TableParagraph"/>
              <w:spacing w:line="224" w:lineRule="exact" w:before="0"/>
              <w:jc w:val="both"/>
              <w:rPr>
                <w:sz w:val="20"/>
              </w:rPr>
            </w:pPr>
            <w:r>
              <w:rPr>
                <w:rFonts w:ascii="Arial"/>
                <w:i/>
                <w:sz w:val="20"/>
              </w:rPr>
              <w:t>E.R.</w:t>
            </w:r>
            <w:r>
              <w:rPr>
                <w:rFonts w:ascii="Arial"/>
                <w:i/>
                <w:spacing w:val="-1"/>
                <w:sz w:val="20"/>
              </w:rPr>
              <w:t> </w:t>
            </w:r>
            <w:r>
              <w:rPr>
                <w:rFonts w:ascii="Arial"/>
                <w:i/>
                <w:sz w:val="20"/>
              </w:rPr>
              <w:t>754</w:t>
            </w:r>
            <w:r>
              <w:rPr>
                <w:sz w:val="20"/>
              </w:rPr>
              <w:t>; and</w:t>
            </w:r>
            <w:r>
              <w:rPr>
                <w:spacing w:val="-1"/>
                <w:sz w:val="20"/>
              </w:rPr>
              <w:t> </w:t>
            </w:r>
            <w:r>
              <w:rPr>
                <w:rFonts w:ascii="Arial"/>
                <w:i/>
                <w:sz w:val="20"/>
              </w:rPr>
              <w:t>Mulholland v Cane [2009] N.I.Ch. </w:t>
            </w:r>
            <w:r>
              <w:rPr>
                <w:rFonts w:ascii="Arial"/>
                <w:i/>
                <w:spacing w:val="-5"/>
                <w:sz w:val="20"/>
              </w:rPr>
              <w:t>9</w:t>
            </w:r>
            <w:r>
              <w:rPr>
                <w:spacing w:val="-5"/>
                <w:sz w:val="20"/>
              </w:rPr>
              <w:t>.</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1075</w:t>
            </w:r>
            <w:r>
              <w:rPr>
                <w:spacing w:val="-2"/>
                <w:sz w:val="14"/>
              </w:rPr>
              <w:t>.</w:t>
            </w:r>
          </w:p>
        </w:tc>
        <w:tc>
          <w:tcPr>
            <w:tcW w:w="8620" w:type="dxa"/>
          </w:tcPr>
          <w:p>
            <w:pPr>
              <w:pStyle w:val="TableParagraph"/>
              <w:spacing w:before="114"/>
              <w:rPr>
                <w:sz w:val="20"/>
              </w:rPr>
            </w:pPr>
            <w:r>
              <w:rPr>
                <w:rFonts w:ascii="Arial"/>
                <w:i/>
                <w:sz w:val="20"/>
              </w:rPr>
              <w:t>[2009] UKHL 18</w:t>
            </w:r>
            <w:r>
              <w:rPr>
                <w:rFonts w:ascii="Arial"/>
                <w:i/>
                <w:spacing w:val="-1"/>
                <w:sz w:val="20"/>
              </w:rPr>
              <w:t> </w:t>
            </w:r>
            <w:r>
              <w:rPr>
                <w:sz w:val="20"/>
              </w:rPr>
              <w:t>at </w:t>
            </w:r>
            <w:r>
              <w:rPr>
                <w:spacing w:val="-2"/>
                <w:sz w:val="20"/>
              </w:rPr>
              <w:t>[31].</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1076</w:t>
            </w:r>
            <w:r>
              <w:rPr>
                <w:spacing w:val="-2"/>
                <w:sz w:val="14"/>
              </w:rPr>
              <w:t>.</w:t>
            </w:r>
          </w:p>
        </w:tc>
        <w:tc>
          <w:tcPr>
            <w:tcW w:w="8620" w:type="dxa"/>
          </w:tcPr>
          <w:p>
            <w:pPr>
              <w:pStyle w:val="TableParagraph"/>
              <w:spacing w:before="114"/>
              <w:rPr>
                <w:sz w:val="20"/>
              </w:rPr>
            </w:pPr>
            <w:r>
              <w:rPr>
                <w:sz w:val="20"/>
              </w:rPr>
              <w:t>At </w:t>
            </w:r>
            <w:r>
              <w:rPr>
                <w:spacing w:val="-2"/>
                <w:sz w:val="20"/>
              </w:rPr>
              <w:t>[31].</w:t>
            </w:r>
          </w:p>
        </w:tc>
      </w:tr>
      <w:tr>
        <w:trPr>
          <w:trHeight w:val="690" w:hRule="atLeast"/>
        </w:trPr>
        <w:tc>
          <w:tcPr>
            <w:tcW w:w="496" w:type="dxa"/>
          </w:tcPr>
          <w:p>
            <w:pPr>
              <w:pStyle w:val="TableParagraph"/>
              <w:ind w:left="0" w:right="43"/>
              <w:jc w:val="center"/>
              <w:rPr>
                <w:sz w:val="14"/>
              </w:rPr>
            </w:pPr>
            <w:r>
              <w:rPr>
                <w:color w:val="005DA1"/>
                <w:spacing w:val="-2"/>
                <w:sz w:val="14"/>
                <w:u w:val="single" w:color="005DA1"/>
              </w:rPr>
              <w:t>1077</w:t>
            </w:r>
            <w:r>
              <w:rPr>
                <w:spacing w:val="-2"/>
                <w:sz w:val="14"/>
              </w:rPr>
              <w:t>.</w:t>
            </w:r>
          </w:p>
        </w:tc>
        <w:tc>
          <w:tcPr>
            <w:tcW w:w="8620" w:type="dxa"/>
          </w:tcPr>
          <w:p>
            <w:pPr>
              <w:pStyle w:val="TableParagraph"/>
              <w:spacing w:line="235" w:lineRule="auto" w:before="118"/>
              <w:rPr>
                <w:sz w:val="20"/>
              </w:rPr>
            </w:pPr>
            <w:r>
              <w:rPr>
                <w:sz w:val="20"/>
              </w:rPr>
              <w:t>At [31]. The “second issue” was that of clarity as to the interest in the property in question; it is discussed in para.4-162 above.</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1078</w:t>
            </w:r>
            <w:r>
              <w:rPr>
                <w:spacing w:val="-2"/>
                <w:sz w:val="14"/>
              </w:rPr>
              <w:t>.</w:t>
            </w:r>
          </w:p>
        </w:tc>
        <w:tc>
          <w:tcPr>
            <w:tcW w:w="8620" w:type="dxa"/>
          </w:tcPr>
          <w:p>
            <w:pPr>
              <w:pStyle w:val="TableParagraph"/>
              <w:spacing w:before="114"/>
              <w:rPr>
                <w:sz w:val="20"/>
              </w:rPr>
            </w:pPr>
            <w:r>
              <w:rPr>
                <w:rFonts w:ascii="Arial"/>
                <w:i/>
                <w:sz w:val="20"/>
              </w:rPr>
              <w:t>[2009] UKHL 18</w:t>
            </w:r>
            <w:r>
              <w:rPr>
                <w:rFonts w:ascii="Arial"/>
                <w:i/>
                <w:spacing w:val="-1"/>
                <w:sz w:val="20"/>
              </w:rPr>
              <w:t> </w:t>
            </w:r>
            <w:r>
              <w:rPr>
                <w:sz w:val="20"/>
              </w:rPr>
              <w:t>at [63], [64] and see para.4-166 </w:t>
            </w:r>
            <w:r>
              <w:rPr>
                <w:spacing w:val="-2"/>
                <w:sz w:val="20"/>
              </w:rPr>
              <w:t>above.</w:t>
            </w:r>
          </w:p>
        </w:tc>
      </w:tr>
      <w:tr>
        <w:trPr>
          <w:trHeight w:val="690" w:hRule="atLeast"/>
        </w:trPr>
        <w:tc>
          <w:tcPr>
            <w:tcW w:w="496" w:type="dxa"/>
          </w:tcPr>
          <w:p>
            <w:pPr>
              <w:pStyle w:val="TableParagraph"/>
              <w:ind w:left="0" w:right="43"/>
              <w:jc w:val="center"/>
              <w:rPr>
                <w:sz w:val="14"/>
              </w:rPr>
            </w:pPr>
            <w:r>
              <w:rPr>
                <w:color w:val="005DA1"/>
                <w:spacing w:val="-2"/>
                <w:sz w:val="14"/>
                <w:u w:val="single" w:color="005DA1"/>
              </w:rPr>
              <w:t>1079</w:t>
            </w:r>
            <w:r>
              <w:rPr>
                <w:spacing w:val="-2"/>
                <w:sz w:val="14"/>
              </w:rPr>
              <w:t>.</w:t>
            </w:r>
          </w:p>
        </w:tc>
        <w:tc>
          <w:tcPr>
            <w:tcW w:w="8620" w:type="dxa"/>
          </w:tcPr>
          <w:p>
            <w:pPr>
              <w:pStyle w:val="TableParagraph"/>
              <w:spacing w:line="235" w:lineRule="auto" w:before="118"/>
              <w:rPr>
                <w:sz w:val="20"/>
              </w:rPr>
            </w:pPr>
            <w:r>
              <w:rPr>
                <w:sz w:val="20"/>
              </w:rPr>
              <w:t>At</w:t>
            </w:r>
            <w:r>
              <w:rPr>
                <w:spacing w:val="23"/>
                <w:sz w:val="20"/>
              </w:rPr>
              <w:t> </w:t>
            </w:r>
            <w:r>
              <w:rPr>
                <w:sz w:val="20"/>
              </w:rPr>
              <w:t>[98];</w:t>
            </w:r>
            <w:r>
              <w:rPr>
                <w:spacing w:val="23"/>
                <w:sz w:val="20"/>
              </w:rPr>
              <w:t> </w:t>
            </w:r>
            <w:r>
              <w:rPr>
                <w:sz w:val="20"/>
              </w:rPr>
              <w:t>and</w:t>
            </w:r>
            <w:r>
              <w:rPr>
                <w:spacing w:val="23"/>
                <w:sz w:val="20"/>
              </w:rPr>
              <w:t> </w:t>
            </w:r>
            <w:r>
              <w:rPr>
                <w:sz w:val="20"/>
              </w:rPr>
              <w:t>at</w:t>
            </w:r>
            <w:r>
              <w:rPr>
                <w:spacing w:val="23"/>
                <w:sz w:val="20"/>
              </w:rPr>
              <w:t> </w:t>
            </w:r>
            <w:r>
              <w:rPr>
                <w:sz w:val="20"/>
              </w:rPr>
              <w:t>[92]:</w:t>
            </w:r>
            <w:r>
              <w:rPr>
                <w:spacing w:val="23"/>
                <w:sz w:val="20"/>
              </w:rPr>
              <w:t> </w:t>
            </w:r>
            <w:r>
              <w:rPr>
                <w:sz w:val="20"/>
              </w:rPr>
              <w:t>it</w:t>
            </w:r>
            <w:r>
              <w:rPr>
                <w:spacing w:val="23"/>
                <w:sz w:val="20"/>
              </w:rPr>
              <w:t> </w:t>
            </w:r>
            <w:r>
              <w:rPr>
                <w:sz w:val="20"/>
              </w:rPr>
              <w:t>was</w:t>
            </w:r>
            <w:r>
              <w:rPr>
                <w:spacing w:val="23"/>
                <w:sz w:val="20"/>
              </w:rPr>
              <w:t> </w:t>
            </w:r>
            <w:r>
              <w:rPr>
                <w:sz w:val="20"/>
              </w:rPr>
              <w:t>not</w:t>
            </w:r>
            <w:r>
              <w:rPr>
                <w:spacing w:val="23"/>
                <w:sz w:val="20"/>
              </w:rPr>
              <w:t> </w:t>
            </w:r>
            <w:r>
              <w:rPr>
                <w:sz w:val="20"/>
              </w:rPr>
              <w:t>enough</w:t>
            </w:r>
            <w:r>
              <w:rPr>
                <w:spacing w:val="23"/>
                <w:sz w:val="20"/>
              </w:rPr>
              <w:t> </w:t>
            </w:r>
            <w:r>
              <w:rPr>
                <w:sz w:val="20"/>
              </w:rPr>
              <w:t>for</w:t>
            </w:r>
            <w:r>
              <w:rPr>
                <w:spacing w:val="23"/>
                <w:sz w:val="20"/>
              </w:rPr>
              <w:t> </w:t>
            </w:r>
            <w:r>
              <w:rPr>
                <w:sz w:val="20"/>
              </w:rPr>
              <w:t>Mr</w:t>
            </w:r>
            <w:r>
              <w:rPr>
                <w:spacing w:val="23"/>
                <w:sz w:val="20"/>
              </w:rPr>
              <w:t> </w:t>
            </w:r>
            <w:r>
              <w:rPr>
                <w:sz w:val="20"/>
              </w:rPr>
              <w:t>Cobbe</w:t>
            </w:r>
            <w:r>
              <w:rPr>
                <w:spacing w:val="23"/>
                <w:sz w:val="20"/>
              </w:rPr>
              <w:t> </w:t>
            </w:r>
            <w:r>
              <w:rPr>
                <w:sz w:val="20"/>
              </w:rPr>
              <w:t>to</w:t>
            </w:r>
            <w:r>
              <w:rPr>
                <w:spacing w:val="23"/>
                <w:sz w:val="20"/>
              </w:rPr>
              <w:t> </w:t>
            </w:r>
            <w:r>
              <w:rPr>
                <w:sz w:val="20"/>
              </w:rPr>
              <w:t>be</w:t>
            </w:r>
            <w:r>
              <w:rPr>
                <w:spacing w:val="23"/>
                <w:sz w:val="20"/>
              </w:rPr>
              <w:t> </w:t>
            </w:r>
            <w:r>
              <w:rPr>
                <w:sz w:val="20"/>
              </w:rPr>
              <w:t>“simply</w:t>
            </w:r>
            <w:r>
              <w:rPr>
                <w:spacing w:val="23"/>
                <w:sz w:val="20"/>
              </w:rPr>
              <w:t> </w:t>
            </w:r>
            <w:r>
              <w:rPr>
                <w:sz w:val="20"/>
              </w:rPr>
              <w:t>seeking</w:t>
            </w:r>
            <w:r>
              <w:rPr>
                <w:spacing w:val="23"/>
                <w:sz w:val="20"/>
              </w:rPr>
              <w:t> </w:t>
            </w:r>
            <w:r>
              <w:rPr>
                <w:sz w:val="20"/>
              </w:rPr>
              <w:t>a</w:t>
            </w:r>
            <w:r>
              <w:rPr>
                <w:spacing w:val="23"/>
                <w:sz w:val="20"/>
              </w:rPr>
              <w:t> </w:t>
            </w:r>
            <w:r>
              <w:rPr>
                <w:sz w:val="20"/>
              </w:rPr>
              <w:t>remedy</w:t>
            </w:r>
            <w:r>
              <w:rPr>
                <w:spacing w:val="23"/>
                <w:sz w:val="20"/>
              </w:rPr>
              <w:t> </w:t>
            </w:r>
            <w:r>
              <w:rPr>
                <w:sz w:val="20"/>
              </w:rPr>
              <w:t>for</w:t>
            </w:r>
            <w:r>
              <w:rPr>
                <w:spacing w:val="23"/>
                <w:sz w:val="20"/>
              </w:rPr>
              <w:t> </w:t>
            </w:r>
            <w:r>
              <w:rPr>
                <w:sz w:val="20"/>
              </w:rPr>
              <w:t>the unconscionable behaviour of Yeoman’s Row”.</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1080</w:t>
            </w:r>
            <w:r>
              <w:rPr>
                <w:spacing w:val="-2"/>
                <w:sz w:val="14"/>
              </w:rPr>
              <w:t>.</w:t>
            </w:r>
          </w:p>
        </w:tc>
        <w:tc>
          <w:tcPr>
            <w:tcW w:w="8620" w:type="dxa"/>
          </w:tcPr>
          <w:p>
            <w:pPr>
              <w:pStyle w:val="TableParagraph"/>
              <w:spacing w:before="114"/>
              <w:rPr>
                <w:sz w:val="20"/>
              </w:rPr>
            </w:pPr>
            <w:r>
              <w:rPr>
                <w:rFonts w:ascii="Arial"/>
                <w:i/>
                <w:sz w:val="20"/>
              </w:rPr>
              <w:t>[2009] UKHL 18</w:t>
            </w:r>
            <w:r>
              <w:rPr>
                <w:rFonts w:ascii="Arial"/>
                <w:i/>
                <w:spacing w:val="-1"/>
                <w:sz w:val="20"/>
              </w:rPr>
              <w:t> </w:t>
            </w:r>
            <w:r>
              <w:rPr>
                <w:sz w:val="20"/>
              </w:rPr>
              <w:t>at </w:t>
            </w:r>
            <w:r>
              <w:rPr>
                <w:spacing w:val="-2"/>
                <w:sz w:val="20"/>
              </w:rPr>
              <w:t>[98].</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1081</w:t>
            </w:r>
            <w:r>
              <w:rPr>
                <w:spacing w:val="-2"/>
                <w:sz w:val="14"/>
              </w:rPr>
              <w:t>.</w:t>
            </w:r>
          </w:p>
        </w:tc>
        <w:tc>
          <w:tcPr>
            <w:tcW w:w="8620" w:type="dxa"/>
          </w:tcPr>
          <w:p>
            <w:pPr>
              <w:pStyle w:val="TableParagraph"/>
              <w:spacing w:before="114"/>
              <w:rPr>
                <w:sz w:val="20"/>
              </w:rPr>
            </w:pPr>
            <w:r>
              <w:rPr>
                <w:sz w:val="20"/>
              </w:rPr>
              <w:t>Before </w:t>
            </w:r>
            <w:r>
              <w:rPr>
                <w:spacing w:val="-2"/>
                <w:sz w:val="20"/>
              </w:rPr>
              <w:t>[90].</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1082</w:t>
            </w:r>
            <w:r>
              <w:rPr>
                <w:spacing w:val="-2"/>
                <w:sz w:val="14"/>
              </w:rPr>
              <w:t>.</w:t>
            </w:r>
          </w:p>
        </w:tc>
        <w:tc>
          <w:tcPr>
            <w:tcW w:w="8620" w:type="dxa"/>
          </w:tcPr>
          <w:p>
            <w:pPr>
              <w:pStyle w:val="TableParagraph"/>
              <w:spacing w:before="114"/>
              <w:rPr>
                <w:sz w:val="20"/>
              </w:rPr>
            </w:pPr>
            <w:r>
              <w:rPr>
                <w:sz w:val="20"/>
              </w:rPr>
              <w:t>Before </w:t>
            </w:r>
            <w:r>
              <w:rPr>
                <w:spacing w:val="-2"/>
                <w:sz w:val="20"/>
              </w:rPr>
              <w:t>[74].</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1083</w:t>
            </w:r>
            <w:r>
              <w:rPr>
                <w:spacing w:val="-2"/>
                <w:sz w:val="14"/>
              </w:rPr>
              <w:t>.</w:t>
            </w:r>
          </w:p>
        </w:tc>
        <w:tc>
          <w:tcPr>
            <w:tcW w:w="8620" w:type="dxa"/>
          </w:tcPr>
          <w:p>
            <w:pPr>
              <w:pStyle w:val="TableParagraph"/>
              <w:spacing w:before="114"/>
              <w:rPr>
                <w:sz w:val="20"/>
              </w:rPr>
            </w:pPr>
            <w:r>
              <w:rPr>
                <w:sz w:val="20"/>
              </w:rPr>
              <w:t>Before </w:t>
            </w:r>
            <w:r>
              <w:rPr>
                <w:spacing w:val="-2"/>
                <w:sz w:val="20"/>
              </w:rPr>
              <w:t>[52].</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1084</w:t>
            </w:r>
            <w:r>
              <w:rPr>
                <w:spacing w:val="-2"/>
                <w:sz w:val="14"/>
              </w:rPr>
              <w:t>.</w:t>
            </w:r>
          </w:p>
        </w:tc>
        <w:tc>
          <w:tcPr>
            <w:tcW w:w="8620" w:type="dxa"/>
          </w:tcPr>
          <w:p>
            <w:pPr>
              <w:pStyle w:val="TableParagraph"/>
              <w:spacing w:before="114"/>
              <w:rPr>
                <w:sz w:val="20"/>
              </w:rPr>
            </w:pPr>
            <w:r>
              <w:rPr>
                <w:sz w:val="20"/>
              </w:rPr>
              <w:t>At [81] (referring to the</w:t>
            </w:r>
            <w:r>
              <w:rPr>
                <w:spacing w:val="-1"/>
                <w:sz w:val="20"/>
              </w:rPr>
              <w:t> </w:t>
            </w:r>
            <w:r>
              <w:rPr>
                <w:rFonts w:ascii="Arial"/>
                <w:i/>
                <w:sz w:val="20"/>
              </w:rPr>
              <w:t>Thorner</w:t>
            </w:r>
            <w:r>
              <w:rPr>
                <w:rFonts w:ascii="Arial"/>
                <w:i/>
                <w:spacing w:val="-1"/>
                <w:sz w:val="20"/>
              </w:rPr>
              <w:t> </w:t>
            </w:r>
            <w:r>
              <w:rPr>
                <w:sz w:val="20"/>
              </w:rPr>
              <w:t>case) and [99] (referring to the</w:t>
            </w:r>
            <w:r>
              <w:rPr>
                <w:spacing w:val="-1"/>
                <w:sz w:val="20"/>
              </w:rPr>
              <w:t> </w:t>
            </w:r>
            <w:r>
              <w:rPr>
                <w:rFonts w:ascii="Arial"/>
                <w:i/>
                <w:sz w:val="20"/>
              </w:rPr>
              <w:t>Cobbe</w:t>
            </w:r>
            <w:r>
              <w:rPr>
                <w:rFonts w:ascii="Arial"/>
                <w:i/>
                <w:spacing w:val="-1"/>
                <w:sz w:val="20"/>
              </w:rPr>
              <w:t> </w:t>
            </w:r>
            <w:r>
              <w:rPr>
                <w:spacing w:val="-2"/>
                <w:sz w:val="20"/>
              </w:rPr>
              <w:t>case).</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1085</w:t>
            </w:r>
            <w:r>
              <w:rPr>
                <w:spacing w:val="-2"/>
                <w:sz w:val="14"/>
              </w:rPr>
              <w:t>.</w:t>
            </w:r>
          </w:p>
        </w:tc>
        <w:tc>
          <w:tcPr>
            <w:tcW w:w="8620" w:type="dxa"/>
          </w:tcPr>
          <w:p>
            <w:pPr>
              <w:pStyle w:val="TableParagraph"/>
              <w:spacing w:before="114"/>
              <w:rPr>
                <w:sz w:val="20"/>
              </w:rPr>
            </w:pPr>
            <w:r>
              <w:rPr>
                <w:sz w:val="20"/>
              </w:rPr>
              <w:t>See paras 4-149 to 4-152 </w:t>
            </w:r>
            <w:r>
              <w:rPr>
                <w:spacing w:val="-2"/>
                <w:sz w:val="20"/>
              </w:rPr>
              <w:t>above.</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1086</w:t>
            </w:r>
            <w:r>
              <w:rPr>
                <w:spacing w:val="-2"/>
                <w:sz w:val="14"/>
              </w:rPr>
              <w:t>.</w:t>
            </w:r>
          </w:p>
        </w:tc>
        <w:tc>
          <w:tcPr>
            <w:tcW w:w="8620" w:type="dxa"/>
          </w:tcPr>
          <w:p>
            <w:pPr>
              <w:pStyle w:val="TableParagraph"/>
              <w:spacing w:before="114"/>
              <w:rPr>
                <w:sz w:val="20"/>
              </w:rPr>
            </w:pPr>
            <w:r>
              <w:rPr>
                <w:rFonts w:ascii="Arial"/>
                <w:i/>
                <w:sz w:val="20"/>
              </w:rPr>
              <w:t>[2009] UKHL 18</w:t>
            </w:r>
            <w:r>
              <w:rPr>
                <w:rFonts w:ascii="Arial"/>
                <w:i/>
                <w:spacing w:val="-1"/>
                <w:sz w:val="20"/>
              </w:rPr>
              <w:t> </w:t>
            </w:r>
            <w:r>
              <w:rPr>
                <w:sz w:val="20"/>
              </w:rPr>
              <w:t>at </w:t>
            </w:r>
            <w:r>
              <w:rPr>
                <w:spacing w:val="-2"/>
                <w:sz w:val="20"/>
              </w:rPr>
              <w:t>[94].</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1087</w:t>
            </w:r>
            <w:r>
              <w:rPr>
                <w:spacing w:val="-2"/>
                <w:sz w:val="14"/>
              </w:rPr>
              <w:t>.</w:t>
            </w:r>
          </w:p>
        </w:tc>
        <w:tc>
          <w:tcPr>
            <w:tcW w:w="8620" w:type="dxa"/>
          </w:tcPr>
          <w:p>
            <w:pPr>
              <w:pStyle w:val="TableParagraph"/>
              <w:spacing w:before="114"/>
              <w:rPr>
                <w:sz w:val="20"/>
              </w:rPr>
            </w:pPr>
            <w:r>
              <w:rPr>
                <w:sz w:val="20"/>
              </w:rPr>
              <w:t>At </w:t>
            </w:r>
            <w:r>
              <w:rPr>
                <w:spacing w:val="-2"/>
                <w:sz w:val="20"/>
              </w:rPr>
              <w:t>[94].</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1088</w:t>
            </w:r>
            <w:r>
              <w:rPr>
                <w:spacing w:val="-2"/>
                <w:sz w:val="14"/>
              </w:rPr>
              <w:t>.</w:t>
            </w:r>
          </w:p>
        </w:tc>
        <w:tc>
          <w:tcPr>
            <w:tcW w:w="8620" w:type="dxa"/>
          </w:tcPr>
          <w:p>
            <w:pPr>
              <w:pStyle w:val="TableParagraph"/>
              <w:spacing w:before="114"/>
              <w:rPr>
                <w:sz w:val="20"/>
              </w:rPr>
            </w:pPr>
            <w:r>
              <w:rPr>
                <w:sz w:val="20"/>
              </w:rPr>
              <w:t>At </w:t>
            </w:r>
            <w:r>
              <w:rPr>
                <w:spacing w:val="-2"/>
                <w:sz w:val="20"/>
              </w:rPr>
              <w:t>[96].</w:t>
            </w:r>
          </w:p>
        </w:tc>
      </w:tr>
      <w:tr>
        <w:trPr>
          <w:trHeight w:val="690" w:hRule="atLeast"/>
        </w:trPr>
        <w:tc>
          <w:tcPr>
            <w:tcW w:w="496" w:type="dxa"/>
          </w:tcPr>
          <w:p>
            <w:pPr>
              <w:pStyle w:val="TableParagraph"/>
              <w:ind w:left="0" w:right="43"/>
              <w:jc w:val="center"/>
              <w:rPr>
                <w:sz w:val="14"/>
              </w:rPr>
            </w:pPr>
            <w:r>
              <w:rPr>
                <w:color w:val="005DA1"/>
                <w:spacing w:val="-2"/>
                <w:sz w:val="14"/>
                <w:u w:val="single" w:color="005DA1"/>
              </w:rPr>
              <w:t>1089</w:t>
            </w:r>
            <w:r>
              <w:rPr>
                <w:spacing w:val="-2"/>
                <w:sz w:val="14"/>
              </w:rPr>
              <w:t>.</w:t>
            </w:r>
          </w:p>
        </w:tc>
        <w:tc>
          <w:tcPr>
            <w:tcW w:w="8620" w:type="dxa"/>
          </w:tcPr>
          <w:p>
            <w:pPr>
              <w:pStyle w:val="TableParagraph"/>
              <w:spacing w:line="235" w:lineRule="auto" w:before="118"/>
              <w:rPr>
                <w:sz w:val="20"/>
              </w:rPr>
            </w:pPr>
            <w:r>
              <w:rPr>
                <w:sz w:val="20"/>
              </w:rPr>
              <w:t>Cf. the rule that a proprietary estoppel cannot generally arise out of an agreement expressed to be “subject to contract” (above, para.4-147 at n.891).</w:t>
            </w:r>
          </w:p>
        </w:tc>
      </w:tr>
      <w:tr>
        <w:trPr>
          <w:trHeight w:val="915" w:hRule="atLeast"/>
        </w:trPr>
        <w:tc>
          <w:tcPr>
            <w:tcW w:w="496" w:type="dxa"/>
          </w:tcPr>
          <w:p>
            <w:pPr>
              <w:pStyle w:val="TableParagraph"/>
              <w:ind w:left="0" w:right="43"/>
              <w:jc w:val="center"/>
              <w:rPr>
                <w:sz w:val="14"/>
              </w:rPr>
            </w:pPr>
            <w:r>
              <w:rPr>
                <w:color w:val="005DA1"/>
                <w:spacing w:val="-2"/>
                <w:sz w:val="14"/>
                <w:u w:val="single" w:color="005DA1"/>
              </w:rPr>
              <w:t>1090</w:t>
            </w:r>
            <w:r>
              <w:rPr>
                <w:spacing w:val="-2"/>
                <w:sz w:val="14"/>
              </w:rPr>
              <w:t>.</w:t>
            </w:r>
          </w:p>
        </w:tc>
        <w:tc>
          <w:tcPr>
            <w:tcW w:w="8620" w:type="dxa"/>
          </w:tcPr>
          <w:p>
            <w:pPr>
              <w:pStyle w:val="TableParagraph"/>
              <w:spacing w:line="235" w:lineRule="auto" w:before="118"/>
              <w:ind w:right="49"/>
              <w:jc w:val="both"/>
              <w:rPr>
                <w:sz w:val="20"/>
              </w:rPr>
            </w:pPr>
            <w:r>
              <w:rPr>
                <w:rFonts w:ascii="Arial" w:hAnsi="Arial"/>
                <w:i/>
                <w:sz w:val="20"/>
              </w:rPr>
              <w:t>[2009] UKHL 18 </w:t>
            </w:r>
            <w:r>
              <w:rPr>
                <w:sz w:val="20"/>
              </w:rPr>
              <w:t>at [97]. For the “distinction between domestic and commercial cases” in the present context, see also </w:t>
            </w:r>
            <w:r>
              <w:rPr>
                <w:rFonts w:ascii="Arial" w:hAnsi="Arial"/>
                <w:i/>
                <w:sz w:val="20"/>
              </w:rPr>
              <w:t>Crossco No.4 Unlimited v Jolan Ltd, Note [2011] EWCA Civ </w:t>
            </w:r>
            <w:r>
              <w:rPr>
                <w:rFonts w:ascii="Arial" w:hAnsi="Arial"/>
                <w:i/>
                <w:sz w:val="20"/>
              </w:rPr>
              <w:t>1619, [2012] 2 All E.R. 754 </w:t>
            </w:r>
            <w:r>
              <w:rPr>
                <w:sz w:val="20"/>
              </w:rPr>
              <w:t>at [80], [121].</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1091</w:t>
            </w:r>
            <w:r>
              <w:rPr>
                <w:spacing w:val="-2"/>
                <w:sz w:val="14"/>
              </w:rPr>
              <w:t>.</w:t>
            </w:r>
          </w:p>
        </w:tc>
        <w:tc>
          <w:tcPr>
            <w:tcW w:w="8620" w:type="dxa"/>
          </w:tcPr>
          <w:p>
            <w:pPr>
              <w:pStyle w:val="TableParagraph"/>
              <w:spacing w:before="114"/>
              <w:rPr>
                <w:sz w:val="20"/>
              </w:rPr>
            </w:pPr>
            <w:r>
              <w:rPr>
                <w:sz w:val="20"/>
              </w:rPr>
              <w:t>See, for example, above para.4-</w:t>
            </w:r>
            <w:r>
              <w:rPr>
                <w:spacing w:val="-4"/>
                <w:sz w:val="20"/>
              </w:rPr>
              <w:t>141.</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1092</w:t>
            </w:r>
            <w:r>
              <w:rPr>
                <w:spacing w:val="-2"/>
                <w:sz w:val="14"/>
              </w:rPr>
              <w:t>.</w:t>
            </w:r>
          </w:p>
        </w:tc>
        <w:tc>
          <w:tcPr>
            <w:tcW w:w="8620" w:type="dxa"/>
          </w:tcPr>
          <w:p>
            <w:pPr>
              <w:pStyle w:val="TableParagraph"/>
              <w:spacing w:before="114"/>
              <w:rPr>
                <w:sz w:val="20"/>
              </w:rPr>
            </w:pPr>
            <w:r>
              <w:rPr>
                <w:rFonts w:ascii="Arial" w:hAnsi="Arial"/>
                <w:i/>
                <w:sz w:val="20"/>
              </w:rPr>
              <w:t>Cobbe v Yeoman’s Row Management Ltd [2008] UKHL 55, [2008] 1 W.L.R. 1752</w:t>
            </w:r>
            <w:r>
              <w:rPr>
                <w:rFonts w:ascii="Arial" w:hAnsi="Arial"/>
                <w:i/>
                <w:spacing w:val="-1"/>
                <w:sz w:val="20"/>
              </w:rPr>
              <w:t> </w:t>
            </w:r>
            <w:r>
              <w:rPr>
                <w:sz w:val="20"/>
              </w:rPr>
              <w:t>at </w:t>
            </w:r>
            <w:r>
              <w:rPr>
                <w:spacing w:val="-2"/>
                <w:sz w:val="20"/>
              </w:rPr>
              <w:t>[29].</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1093</w:t>
            </w:r>
            <w:r>
              <w:rPr>
                <w:spacing w:val="-2"/>
                <w:sz w:val="14"/>
              </w:rPr>
              <w:t>.</w:t>
            </w:r>
          </w:p>
        </w:tc>
        <w:tc>
          <w:tcPr>
            <w:tcW w:w="8620" w:type="dxa"/>
          </w:tcPr>
          <w:p>
            <w:pPr>
              <w:pStyle w:val="TableParagraph"/>
              <w:spacing w:before="114"/>
              <w:rPr>
                <w:sz w:val="20"/>
              </w:rPr>
            </w:pPr>
            <w:r>
              <w:rPr>
                <w:rFonts w:ascii="Arial"/>
                <w:i/>
                <w:sz w:val="20"/>
              </w:rPr>
              <w:t>Thorner v Major [2009] UKHL 15, [2009] 1 W.L.R. 776</w:t>
            </w:r>
            <w:r>
              <w:rPr>
                <w:rFonts w:ascii="Arial"/>
                <w:i/>
                <w:spacing w:val="-1"/>
                <w:sz w:val="20"/>
              </w:rPr>
              <w:t> </w:t>
            </w:r>
            <w:r>
              <w:rPr>
                <w:sz w:val="20"/>
              </w:rPr>
              <w:t>at [99]; above, para.4-</w:t>
            </w:r>
            <w:r>
              <w:rPr>
                <w:spacing w:val="-4"/>
                <w:sz w:val="20"/>
              </w:rPr>
              <w:t>115.</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1094</w:t>
            </w:r>
            <w:r>
              <w:rPr>
                <w:spacing w:val="-2"/>
                <w:sz w:val="14"/>
              </w:rPr>
              <w:t>.</w:t>
            </w:r>
          </w:p>
        </w:tc>
        <w:tc>
          <w:tcPr>
            <w:tcW w:w="8620" w:type="dxa"/>
          </w:tcPr>
          <w:p>
            <w:pPr>
              <w:pStyle w:val="TableParagraph"/>
              <w:spacing w:before="114"/>
              <w:rPr>
                <w:sz w:val="20"/>
              </w:rPr>
            </w:pPr>
            <w:r>
              <w:rPr>
                <w:rFonts w:ascii="Arial"/>
                <w:i/>
                <w:sz w:val="20"/>
              </w:rPr>
              <w:t>[2008] UKHL 55, [2008] 1 W.L.R. </w:t>
            </w:r>
            <w:r>
              <w:rPr>
                <w:rFonts w:ascii="Arial"/>
                <w:i/>
                <w:spacing w:val="-2"/>
                <w:sz w:val="20"/>
              </w:rPr>
              <w:t>1752</w:t>
            </w:r>
            <w:r>
              <w:rPr>
                <w:spacing w:val="-2"/>
                <w:sz w:val="20"/>
              </w:rPr>
              <w:t>.</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1095</w:t>
            </w:r>
            <w:r>
              <w:rPr>
                <w:spacing w:val="-2"/>
                <w:sz w:val="14"/>
              </w:rPr>
              <w:t>.</w:t>
            </w:r>
          </w:p>
        </w:tc>
        <w:tc>
          <w:tcPr>
            <w:tcW w:w="8620" w:type="dxa"/>
          </w:tcPr>
          <w:p>
            <w:pPr>
              <w:pStyle w:val="TableParagraph"/>
              <w:spacing w:before="114"/>
              <w:rPr>
                <w:sz w:val="20"/>
              </w:rPr>
            </w:pPr>
            <w:r>
              <w:rPr>
                <w:sz w:val="20"/>
              </w:rPr>
              <w:t>ibid., at [40] and see below at nn.1046 and </w:t>
            </w:r>
            <w:r>
              <w:rPr>
                <w:spacing w:val="-2"/>
                <w:sz w:val="20"/>
              </w:rPr>
              <w:t>1047.</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1096</w:t>
            </w:r>
            <w:r>
              <w:rPr>
                <w:spacing w:val="-2"/>
                <w:sz w:val="14"/>
              </w:rPr>
              <w:t>.</w:t>
            </w:r>
          </w:p>
        </w:tc>
        <w:tc>
          <w:tcPr>
            <w:tcW w:w="8620" w:type="dxa"/>
          </w:tcPr>
          <w:p>
            <w:pPr>
              <w:pStyle w:val="TableParagraph"/>
              <w:spacing w:before="114"/>
              <w:rPr>
                <w:sz w:val="20"/>
              </w:rPr>
            </w:pPr>
            <w:r>
              <w:rPr>
                <w:rFonts w:ascii="Arial"/>
                <w:i/>
                <w:sz w:val="20"/>
              </w:rPr>
              <w:t>[2008] UKHL 55, [2008] 1 W.L.R. 1752</w:t>
            </w:r>
            <w:r>
              <w:rPr>
                <w:rFonts w:ascii="Arial"/>
                <w:i/>
                <w:spacing w:val="-1"/>
                <w:sz w:val="20"/>
              </w:rPr>
              <w:t> </w:t>
            </w:r>
            <w:r>
              <w:rPr>
                <w:sz w:val="20"/>
              </w:rPr>
              <w:t>at </w:t>
            </w:r>
            <w:r>
              <w:rPr>
                <w:spacing w:val="-2"/>
                <w:sz w:val="20"/>
              </w:rPr>
              <w:t>[42].</w:t>
            </w:r>
          </w:p>
        </w:tc>
      </w:tr>
      <w:tr>
        <w:trPr>
          <w:trHeight w:val="344" w:hRule="atLeast"/>
        </w:trPr>
        <w:tc>
          <w:tcPr>
            <w:tcW w:w="496" w:type="dxa"/>
          </w:tcPr>
          <w:p>
            <w:pPr>
              <w:pStyle w:val="TableParagraph"/>
              <w:ind w:left="0" w:right="43"/>
              <w:jc w:val="center"/>
              <w:rPr>
                <w:sz w:val="14"/>
              </w:rPr>
            </w:pPr>
            <w:r>
              <w:rPr>
                <w:color w:val="005DA1"/>
                <w:spacing w:val="-2"/>
                <w:sz w:val="14"/>
                <w:u w:val="single" w:color="005DA1"/>
              </w:rPr>
              <w:t>1097</w:t>
            </w:r>
            <w:r>
              <w:rPr>
                <w:spacing w:val="-2"/>
                <w:sz w:val="14"/>
              </w:rPr>
              <w:t>.</w:t>
            </w:r>
          </w:p>
        </w:tc>
        <w:tc>
          <w:tcPr>
            <w:tcW w:w="8620" w:type="dxa"/>
          </w:tcPr>
          <w:p>
            <w:pPr>
              <w:pStyle w:val="TableParagraph"/>
              <w:spacing w:line="210" w:lineRule="exact" w:before="114"/>
              <w:rPr>
                <w:sz w:val="20"/>
              </w:rPr>
            </w:pPr>
            <w:r>
              <w:rPr>
                <w:sz w:val="20"/>
              </w:rPr>
              <w:t>ibid., at [45] and </w:t>
            </w:r>
            <w:r>
              <w:rPr>
                <w:spacing w:val="-2"/>
                <w:sz w:val="20"/>
              </w:rPr>
              <w:t>[93].</w:t>
            </w:r>
          </w:p>
        </w:tc>
      </w:tr>
    </w:tbl>
    <w:p>
      <w:pPr>
        <w:pStyle w:val="TableParagraph"/>
        <w:spacing w:after="0" w:line="210" w:lineRule="exact"/>
        <w:rPr>
          <w:sz w:val="20"/>
        </w:rPr>
        <w:sectPr>
          <w:pgSz w:w="11900" w:h="16840"/>
          <w:pgMar w:header="971" w:footer="0" w:top="1160" w:bottom="280" w:left="1275" w:right="1275"/>
        </w:sectPr>
      </w:pPr>
    </w:p>
    <w:p>
      <w:pPr>
        <w:pStyle w:val="BodyText"/>
        <w:spacing w:before="87"/>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19"/>
      </w:tblGrid>
      <w:tr>
        <w:trPr>
          <w:trHeight w:val="344" w:hRule="atLeast"/>
        </w:trPr>
        <w:tc>
          <w:tcPr>
            <w:tcW w:w="496" w:type="dxa"/>
          </w:tcPr>
          <w:p>
            <w:pPr>
              <w:pStyle w:val="TableParagraph"/>
              <w:spacing w:before="0"/>
              <w:ind w:left="0" w:right="43"/>
              <w:jc w:val="center"/>
              <w:rPr>
                <w:sz w:val="14"/>
              </w:rPr>
            </w:pPr>
            <w:r>
              <w:rPr>
                <w:color w:val="005DA1"/>
                <w:spacing w:val="-2"/>
                <w:sz w:val="14"/>
                <w:u w:val="single" w:color="005DA1"/>
              </w:rPr>
              <w:t>1098</w:t>
            </w:r>
            <w:r>
              <w:rPr>
                <w:spacing w:val="-2"/>
                <w:sz w:val="14"/>
              </w:rPr>
              <w:t>.</w:t>
            </w:r>
          </w:p>
        </w:tc>
        <w:tc>
          <w:tcPr>
            <w:tcW w:w="8619" w:type="dxa"/>
          </w:tcPr>
          <w:p>
            <w:pPr>
              <w:pStyle w:val="TableParagraph"/>
              <w:spacing w:line="223" w:lineRule="exact" w:before="0"/>
              <w:rPr>
                <w:sz w:val="20"/>
              </w:rPr>
            </w:pPr>
            <w:r>
              <w:rPr>
                <w:sz w:val="20"/>
              </w:rPr>
              <w:t>ibid., at </w:t>
            </w:r>
            <w:r>
              <w:rPr>
                <w:spacing w:val="-4"/>
                <w:sz w:val="20"/>
              </w:rPr>
              <w:t>[6].</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1099</w:t>
            </w:r>
            <w:r>
              <w:rPr>
                <w:spacing w:val="-2"/>
                <w:sz w:val="14"/>
              </w:rPr>
              <w:t>.</w:t>
            </w:r>
          </w:p>
        </w:tc>
        <w:tc>
          <w:tcPr>
            <w:tcW w:w="8619" w:type="dxa"/>
          </w:tcPr>
          <w:p>
            <w:pPr>
              <w:pStyle w:val="TableParagraph"/>
              <w:spacing w:before="114"/>
              <w:rPr>
                <w:sz w:val="20"/>
              </w:rPr>
            </w:pPr>
            <w:r>
              <w:rPr>
                <w:sz w:val="20"/>
              </w:rPr>
              <w:t>ibid., at [91]; above, para.4-</w:t>
            </w:r>
            <w:r>
              <w:rPr>
                <w:spacing w:val="-4"/>
                <w:sz w:val="20"/>
              </w:rPr>
              <w:t>164.</w:t>
            </w:r>
          </w:p>
        </w:tc>
      </w:tr>
      <w:tr>
        <w:trPr>
          <w:trHeight w:val="690" w:hRule="atLeast"/>
        </w:trPr>
        <w:tc>
          <w:tcPr>
            <w:tcW w:w="496" w:type="dxa"/>
          </w:tcPr>
          <w:p>
            <w:pPr>
              <w:pStyle w:val="TableParagraph"/>
              <w:ind w:left="0" w:right="43"/>
              <w:jc w:val="center"/>
              <w:rPr>
                <w:sz w:val="14"/>
              </w:rPr>
            </w:pPr>
            <w:r>
              <w:rPr>
                <w:color w:val="005DA1"/>
                <w:spacing w:val="-2"/>
                <w:sz w:val="14"/>
                <w:u w:val="single" w:color="005DA1"/>
              </w:rPr>
              <w:t>1100</w:t>
            </w:r>
            <w:r>
              <w:rPr>
                <w:spacing w:val="-2"/>
                <w:sz w:val="14"/>
              </w:rPr>
              <w:t>.</w:t>
            </w:r>
          </w:p>
        </w:tc>
        <w:tc>
          <w:tcPr>
            <w:tcW w:w="8619" w:type="dxa"/>
          </w:tcPr>
          <w:p>
            <w:pPr>
              <w:pStyle w:val="TableParagraph"/>
              <w:spacing w:line="235" w:lineRule="auto" w:before="118"/>
              <w:rPr>
                <w:sz w:val="20"/>
              </w:rPr>
            </w:pPr>
            <w:r>
              <w:rPr>
                <w:rFonts w:ascii="Arial" w:hAnsi="Arial"/>
                <w:i/>
                <w:sz w:val="20"/>
              </w:rPr>
              <w:t>[2008] UKHL 55, [2008] 1 W.L.R. 1752 </w:t>
            </w:r>
            <w:r>
              <w:rPr>
                <w:sz w:val="20"/>
              </w:rPr>
              <w:t>at [40], where “the circumstances that I need not again rehearse” (per Lord Scott) seem to refer back to [13] and [16].</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1101</w:t>
            </w:r>
            <w:r>
              <w:rPr>
                <w:spacing w:val="-2"/>
                <w:sz w:val="14"/>
              </w:rPr>
              <w:t>.</w:t>
            </w:r>
          </w:p>
        </w:tc>
        <w:tc>
          <w:tcPr>
            <w:tcW w:w="8619" w:type="dxa"/>
          </w:tcPr>
          <w:p>
            <w:pPr>
              <w:pStyle w:val="TableParagraph"/>
              <w:spacing w:before="114"/>
              <w:rPr>
                <w:sz w:val="20"/>
              </w:rPr>
            </w:pPr>
            <w:r>
              <w:rPr>
                <w:sz w:val="20"/>
              </w:rPr>
              <w:t>ibid., at [92] (per Lord </w:t>
            </w:r>
            <w:r>
              <w:rPr>
                <w:spacing w:val="-2"/>
                <w:sz w:val="20"/>
              </w:rPr>
              <w:t>Walker).</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1102</w:t>
            </w:r>
            <w:r>
              <w:rPr>
                <w:spacing w:val="-2"/>
                <w:sz w:val="14"/>
              </w:rPr>
              <w:t>.</w:t>
            </w:r>
          </w:p>
        </w:tc>
        <w:tc>
          <w:tcPr>
            <w:tcW w:w="8619" w:type="dxa"/>
          </w:tcPr>
          <w:p>
            <w:pPr>
              <w:pStyle w:val="TableParagraph"/>
              <w:spacing w:before="114"/>
              <w:rPr>
                <w:sz w:val="20"/>
              </w:rPr>
            </w:pPr>
            <w:r>
              <w:rPr>
                <w:rFonts w:ascii="Arial"/>
                <w:i/>
                <w:sz w:val="20"/>
              </w:rPr>
              <w:t>Walsh v Singh [2009] EWHC 3219 (Ch), [2010] F.L.R. 1658</w:t>
            </w:r>
            <w:r>
              <w:rPr>
                <w:rFonts w:ascii="Arial"/>
                <w:i/>
                <w:spacing w:val="-1"/>
                <w:sz w:val="20"/>
              </w:rPr>
              <w:t> </w:t>
            </w:r>
            <w:r>
              <w:rPr>
                <w:sz w:val="20"/>
              </w:rPr>
              <w:t>at [65], </w:t>
            </w:r>
            <w:r>
              <w:rPr>
                <w:spacing w:val="-2"/>
                <w:sz w:val="20"/>
              </w:rPr>
              <w:t>[67].</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1103</w:t>
            </w:r>
            <w:r>
              <w:rPr>
                <w:spacing w:val="-2"/>
                <w:sz w:val="14"/>
              </w:rPr>
              <w:t>.</w:t>
            </w:r>
          </w:p>
        </w:tc>
        <w:tc>
          <w:tcPr>
            <w:tcW w:w="8619" w:type="dxa"/>
          </w:tcPr>
          <w:p>
            <w:pPr>
              <w:pStyle w:val="TableParagraph"/>
              <w:spacing w:before="114"/>
              <w:rPr>
                <w:sz w:val="20"/>
              </w:rPr>
            </w:pPr>
            <w:r>
              <w:rPr>
                <w:sz w:val="20"/>
              </w:rPr>
              <w:t>ibid., at </w:t>
            </w:r>
            <w:r>
              <w:rPr>
                <w:spacing w:val="-2"/>
                <w:sz w:val="20"/>
              </w:rPr>
              <w:t>[65].</w:t>
            </w:r>
          </w:p>
        </w:tc>
      </w:tr>
      <w:tr>
        <w:trPr>
          <w:trHeight w:val="344" w:hRule="atLeast"/>
        </w:trPr>
        <w:tc>
          <w:tcPr>
            <w:tcW w:w="496" w:type="dxa"/>
          </w:tcPr>
          <w:p>
            <w:pPr>
              <w:pStyle w:val="TableParagraph"/>
              <w:ind w:left="0" w:right="43"/>
              <w:jc w:val="center"/>
              <w:rPr>
                <w:sz w:val="14"/>
              </w:rPr>
            </w:pPr>
            <w:r>
              <w:rPr>
                <w:color w:val="005DA1"/>
                <w:spacing w:val="-2"/>
                <w:sz w:val="14"/>
                <w:u w:val="single" w:color="005DA1"/>
              </w:rPr>
              <w:t>1104</w:t>
            </w:r>
            <w:r>
              <w:rPr>
                <w:spacing w:val="-2"/>
                <w:sz w:val="14"/>
              </w:rPr>
              <w:t>.</w:t>
            </w:r>
          </w:p>
        </w:tc>
        <w:tc>
          <w:tcPr>
            <w:tcW w:w="8619" w:type="dxa"/>
          </w:tcPr>
          <w:p>
            <w:pPr>
              <w:pStyle w:val="TableParagraph"/>
              <w:spacing w:line="210" w:lineRule="exact" w:before="114"/>
              <w:rPr>
                <w:sz w:val="20"/>
              </w:rPr>
            </w:pPr>
            <w:r>
              <w:rPr>
                <w:rFonts w:ascii="Arial"/>
                <w:i/>
                <w:sz w:val="20"/>
              </w:rPr>
              <w:t>Cobbe</w:t>
            </w:r>
            <w:r>
              <w:rPr>
                <w:rFonts w:ascii="Arial"/>
                <w:i/>
                <w:spacing w:val="-1"/>
                <w:sz w:val="20"/>
              </w:rPr>
              <w:t> </w:t>
            </w:r>
            <w:r>
              <w:rPr>
                <w:sz w:val="20"/>
              </w:rPr>
              <w:t>case, above n.1046 at </w:t>
            </w:r>
            <w:r>
              <w:rPr>
                <w:spacing w:val="-2"/>
                <w:sz w:val="20"/>
              </w:rPr>
              <w:t>[42].</w:t>
            </w:r>
          </w:p>
        </w:tc>
      </w:tr>
    </w:tbl>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726" w:right="2730"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2243072">
                <wp:simplePos x="0" y="0"/>
                <wp:positionH relativeFrom="page">
                  <wp:posOffset>4707940</wp:posOffset>
                </wp:positionH>
                <wp:positionV relativeFrom="paragraph">
                  <wp:posOffset>377436</wp:posOffset>
                </wp:positionV>
                <wp:extent cx="42545" cy="127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73408" from="370.70401pt,29.719406pt" to="374.04001pt,29.719406pt" stroked="true" strokeweight=".428pt" strokecolor="#005da1">
                <v:stroke dashstyle="solid"/>
                <w10:wrap type="none"/>
              </v:line>
            </w:pict>
          </mc:Fallback>
        </mc:AlternateContent>
      </w:r>
      <w:r>
        <w:rPr>
          <w:rFonts w:ascii="Arial"/>
          <w:b/>
          <w:sz w:val="24"/>
        </w:rPr>
        <w:t>Part 2 - Formation of Contract Chapter 4 - Consideration </w:t>
      </w:r>
      <w:r>
        <w:rPr>
          <w:rFonts w:ascii="Arial"/>
          <w:b/>
          <w:color w:val="005DA1"/>
          <w:position w:val="11"/>
          <w:sz w:val="12"/>
        </w:rPr>
        <w:t>1</w:t>
      </w:r>
      <w:r>
        <w:rPr>
          <w:rFonts w:ascii="Arial"/>
          <w:b/>
          <w:color w:val="005DA1"/>
          <w:spacing w:val="40"/>
          <w:position w:val="11"/>
          <w:sz w:val="12"/>
        </w:rPr>
        <w:t> </w:t>
      </w:r>
      <w:r>
        <w:rPr>
          <w:rFonts w:ascii="Arial"/>
          <w:b/>
          <w:sz w:val="24"/>
        </w:rPr>
        <w:t>Section</w:t>
      </w:r>
      <w:r>
        <w:rPr>
          <w:rFonts w:ascii="Arial"/>
          <w:b/>
          <w:spacing w:val="-10"/>
          <w:sz w:val="24"/>
        </w:rPr>
        <w:t> </w:t>
      </w:r>
      <w:r>
        <w:rPr>
          <w:rFonts w:ascii="Arial"/>
          <w:b/>
          <w:sz w:val="24"/>
        </w:rPr>
        <w:t>11.</w:t>
      </w:r>
      <w:r>
        <w:rPr>
          <w:rFonts w:ascii="Arial"/>
          <w:b/>
          <w:spacing w:val="-10"/>
          <w:sz w:val="24"/>
        </w:rPr>
        <w:t> </w:t>
      </w:r>
      <w:r>
        <w:rPr>
          <w:rFonts w:ascii="Arial"/>
          <w:b/>
          <w:sz w:val="24"/>
        </w:rPr>
        <w:t>-</w:t>
      </w:r>
      <w:r>
        <w:rPr>
          <w:rFonts w:ascii="Arial"/>
          <w:b/>
          <w:spacing w:val="-10"/>
          <w:sz w:val="24"/>
        </w:rPr>
        <w:t> </w:t>
      </w:r>
      <w:r>
        <w:rPr>
          <w:rFonts w:ascii="Arial"/>
          <w:b/>
          <w:sz w:val="24"/>
        </w:rPr>
        <w:t>Proprietary</w:t>
      </w:r>
      <w:r>
        <w:rPr>
          <w:rFonts w:ascii="Arial"/>
          <w:b/>
          <w:spacing w:val="-10"/>
          <w:sz w:val="24"/>
        </w:rPr>
        <w:t> </w:t>
      </w:r>
      <w:r>
        <w:rPr>
          <w:rFonts w:ascii="Arial"/>
          <w:b/>
          <w:sz w:val="24"/>
        </w:rPr>
        <w:t>Estoppel</w:t>
      </w:r>
    </w:p>
    <w:p>
      <w:pPr>
        <w:pStyle w:val="ListParagraph"/>
        <w:numPr>
          <w:ilvl w:val="0"/>
          <w:numId w:val="8"/>
        </w:numPr>
        <w:tabs>
          <w:tab w:pos="3505" w:val="left" w:leader="none"/>
        </w:tabs>
        <w:spacing w:line="240" w:lineRule="auto" w:before="2" w:after="0"/>
        <w:ind w:left="3505" w:right="0" w:hanging="373"/>
        <w:jc w:val="left"/>
        <w:rPr>
          <w:rFonts w:ascii="Arial"/>
          <w:b/>
          <w:sz w:val="24"/>
        </w:rPr>
      </w:pPr>
      <w:r>
        <w:rPr>
          <w:rFonts w:ascii="Arial"/>
          <w:b/>
          <w:sz w:val="24"/>
        </w:rPr>
        <w:t>- Effects of the </w:t>
      </w:r>
      <w:r>
        <w:rPr>
          <w:rFonts w:ascii="Arial"/>
          <w:b/>
          <w:spacing w:val="-2"/>
          <w:sz w:val="24"/>
        </w:rPr>
        <w:t>Doctrine</w:t>
      </w:r>
    </w:p>
    <w:p>
      <w:pPr>
        <w:pStyle w:val="BodyText"/>
        <w:rPr>
          <w:rFonts w:ascii="Arial"/>
          <w:b/>
          <w:sz w:val="24"/>
        </w:rPr>
      </w:pPr>
    </w:p>
    <w:p>
      <w:pPr>
        <w:pStyle w:val="BodyText"/>
        <w:spacing w:before="89"/>
        <w:rPr>
          <w:rFonts w:ascii="Arial"/>
          <w:b/>
          <w:sz w:val="24"/>
        </w:rPr>
      </w:pPr>
    </w:p>
    <w:p>
      <w:pPr>
        <w:spacing w:before="1"/>
        <w:ind w:left="165" w:right="0" w:firstLine="0"/>
        <w:jc w:val="left"/>
        <w:rPr>
          <w:rFonts w:ascii="Arial"/>
          <w:b/>
          <w:sz w:val="18"/>
        </w:rPr>
      </w:pPr>
      <w:r>
        <w:rPr>
          <w:rFonts w:ascii="Arial"/>
          <w:b/>
          <w:spacing w:val="-2"/>
          <w:sz w:val="18"/>
        </w:rPr>
        <w:t>Revocability</w:t>
      </w:r>
    </w:p>
    <w:p>
      <w:pPr>
        <w:pStyle w:val="BodyText"/>
        <w:spacing w:before="41"/>
        <w:rPr>
          <w:rFonts w:ascii="Arial"/>
          <w:b/>
          <w:sz w:val="18"/>
        </w:rPr>
      </w:pPr>
    </w:p>
    <w:p>
      <w:pPr>
        <w:pStyle w:val="Heading2"/>
      </w:pPr>
      <w:r>
        <w:rPr/>
        <w:t>4-</w:t>
      </w:r>
      <w:r>
        <w:rPr>
          <w:spacing w:val="-5"/>
        </w:rPr>
        <w:t>168</w:t>
      </w:r>
    </w:p>
    <w:p>
      <w:pPr>
        <w:pStyle w:val="BodyText"/>
        <w:spacing w:line="235" w:lineRule="auto" w:before="203"/>
        <w:ind w:left="164" w:right="167"/>
        <w:jc w:val="both"/>
      </w:pPr>
      <w:r>
        <w:rPr/>
        <w:t>We have seen that proprietary estoppel will not arise at all where the promise to confer a benefit </w:t>
      </w:r>
      <w:r>
        <w:rPr/>
        <w:t>on the promisee is revocable in the sense that it reserves a power to the promisor wholly to deprive the promisee of that benefit. </w:t>
      </w:r>
      <w:r>
        <w:rPr>
          <w:color w:val="005DA1"/>
          <w:u w:val="single" w:color="005DA1"/>
          <w:vertAlign w:val="superscript"/>
        </w:rPr>
        <w:t>1105</w:t>
      </w:r>
      <w:r>
        <w:rPr>
          <w:color w:val="005DA1"/>
          <w:vertAlign w:val="baseline"/>
        </w:rPr>
        <w:t> </w:t>
      </w:r>
      <w:r>
        <w:rPr>
          <w:vertAlign w:val="baseline"/>
        </w:rPr>
        <w:t>But even where the promise does not allow the promisor do this, and so is capable of giving rise to a proprietary estoppel, the extent of the promisee’s rights under the estoppel may be limited by terms of the promise giving the promisor a power of putting an end to those rights. Thus if the landowner promises to allow the promisee to stay on the land “until I decide</w:t>
      </w:r>
      <w:r>
        <w:rPr>
          <w:spacing w:val="40"/>
          <w:vertAlign w:val="baseline"/>
        </w:rPr>
        <w:t> </w:t>
      </w:r>
      <w:r>
        <w:rPr>
          <w:vertAlign w:val="baseline"/>
        </w:rPr>
        <w:t>to sell,” then the promisee cannot, merely by spending money on improvements to the land, acquire any right to stay there for a longer period. </w:t>
      </w:r>
      <w:r>
        <w:rPr>
          <w:color w:val="005DA1"/>
          <w:u w:val="single" w:color="005DA1"/>
          <w:vertAlign w:val="superscript"/>
        </w:rPr>
        <w:t>1106</w:t>
      </w:r>
      <w:r>
        <w:rPr>
          <w:color w:val="005DA1"/>
          <w:vertAlign w:val="baseline"/>
        </w:rPr>
        <w:t> </w:t>
      </w:r>
      <w:r>
        <w:rPr>
          <w:vertAlign w:val="baseline"/>
        </w:rPr>
        <w:t>Even where the promise is not expressed to be revocable, it can be revoked before the promisee has acted on it. Thus in </w:t>
      </w:r>
      <w:r>
        <w:rPr>
          <w:rFonts w:ascii="Arial" w:hAnsi="Arial"/>
          <w:i/>
          <w:vertAlign w:val="baseline"/>
        </w:rPr>
        <w:t>Dillwyn v Llewelyn </w:t>
      </w:r>
      <w:r>
        <w:rPr>
          <w:color w:val="005DA1"/>
          <w:u w:val="single" w:color="005DA1"/>
          <w:vertAlign w:val="superscript"/>
        </w:rPr>
        <w:t>1107</w:t>
      </w:r>
      <w:r>
        <w:rPr>
          <w:color w:val="005DA1"/>
          <w:vertAlign w:val="baseline"/>
        </w:rPr>
        <w:t> </w:t>
      </w:r>
      <w:r>
        <w:rPr>
          <w:vertAlign w:val="baseline"/>
        </w:rPr>
        <w:t>it seems that the father could have revoked his promise before the son had started to build on the land </w:t>
      </w:r>
      <w:r>
        <w:rPr>
          <w:color w:val="005DA1"/>
          <w:u w:val="single" w:color="005DA1"/>
          <w:vertAlign w:val="superscript"/>
        </w:rPr>
        <w:t>1108</w:t>
      </w:r>
      <w:r>
        <w:rPr>
          <w:vertAlign w:val="baseline"/>
        </w:rPr>
        <w:t>; in </w:t>
      </w:r>
      <w:r>
        <w:rPr>
          <w:rFonts w:ascii="Arial" w:hAnsi="Arial"/>
          <w:i/>
          <w:vertAlign w:val="baseline"/>
        </w:rPr>
        <w:t>Crabb v Arun DC </w:t>
      </w:r>
      <w:r>
        <w:rPr>
          <w:color w:val="005DA1"/>
          <w:u w:val="single" w:color="005DA1"/>
          <w:vertAlign w:val="superscript"/>
        </w:rPr>
        <w:t>1109</w:t>
      </w:r>
      <w:r>
        <w:rPr>
          <w:color w:val="005DA1"/>
          <w:vertAlign w:val="baseline"/>
        </w:rPr>
        <w:t> </w:t>
      </w:r>
      <w:r>
        <w:rPr>
          <w:vertAlign w:val="baseline"/>
        </w:rPr>
        <w:t>the promise to grant a right of way could have been revoked before the promisee, by selling off part of his land, had made it impossible for himself to obtain access to the retained land except by means of the promised right of way </w:t>
      </w:r>
      <w:r>
        <w:rPr>
          <w:color w:val="005DA1"/>
          <w:u w:val="single" w:color="005DA1"/>
          <w:vertAlign w:val="superscript"/>
        </w:rPr>
        <w:t>1110</w:t>
      </w:r>
      <w:r>
        <w:rPr>
          <w:vertAlign w:val="baseline"/>
        </w:rPr>
        <w:t>; and in </w:t>
      </w:r>
      <w:r>
        <w:rPr>
          <w:rFonts w:ascii="Arial" w:hAnsi="Arial"/>
          <w:i/>
          <w:vertAlign w:val="baseline"/>
        </w:rPr>
        <w:t>Thorner v Major </w:t>
      </w:r>
      <w:r>
        <w:rPr>
          <w:color w:val="005DA1"/>
          <w:u w:val="single" w:color="005DA1"/>
          <w:vertAlign w:val="superscript"/>
        </w:rPr>
        <w:t>1111</w:t>
      </w:r>
      <w:r>
        <w:rPr>
          <w:color w:val="005DA1"/>
          <w:vertAlign w:val="baseline"/>
        </w:rPr>
        <w:t> </w:t>
      </w:r>
      <w:r>
        <w:rPr>
          <w:vertAlign w:val="baseline"/>
        </w:rPr>
        <w:t>Peter could not, in the absence of any “clear indication that [his] statement was revocable”, “freely” have gone back on it “once [it] … had been maintained by Peter and acted on by David for a substantial period.”</w:t>
      </w:r>
      <w:r>
        <w:rPr>
          <w:spacing w:val="-4"/>
          <w:vertAlign w:val="baseline"/>
        </w:rPr>
        <w:t> </w:t>
      </w:r>
      <w:r>
        <w:rPr>
          <w:color w:val="005DA1"/>
          <w:u w:val="single" w:color="005DA1"/>
          <w:vertAlign w:val="superscript"/>
        </w:rPr>
        <w:t>1112</w:t>
      </w:r>
      <w:r>
        <w:rPr>
          <w:color w:val="005DA1"/>
          <w:spacing w:val="-4"/>
          <w:vertAlign w:val="baseline"/>
        </w:rPr>
        <w:t> </w:t>
      </w:r>
      <w:r>
        <w:rPr>
          <w:vertAlign w:val="baseline"/>
        </w:rPr>
        <w:t>In</w:t>
      </w:r>
      <w:r>
        <w:rPr>
          <w:spacing w:val="-4"/>
          <w:vertAlign w:val="baseline"/>
        </w:rPr>
        <w:t> </w:t>
      </w:r>
      <w:r>
        <w:rPr>
          <w:vertAlign w:val="baseline"/>
        </w:rPr>
        <w:t>this</w:t>
      </w:r>
      <w:r>
        <w:rPr>
          <w:spacing w:val="-4"/>
          <w:vertAlign w:val="baseline"/>
        </w:rPr>
        <w:t> </w:t>
      </w:r>
      <w:r>
        <w:rPr>
          <w:vertAlign w:val="baseline"/>
        </w:rPr>
        <w:t>respect</w:t>
      </w:r>
      <w:r>
        <w:rPr>
          <w:spacing w:val="-4"/>
          <w:vertAlign w:val="baseline"/>
        </w:rPr>
        <w:t> </w:t>
      </w:r>
      <w:r>
        <w:rPr>
          <w:vertAlign w:val="baseline"/>
        </w:rPr>
        <w:t>proprietary</w:t>
      </w:r>
      <w:r>
        <w:rPr>
          <w:spacing w:val="-4"/>
          <w:vertAlign w:val="baseline"/>
        </w:rPr>
        <w:t> </w:t>
      </w:r>
      <w:r>
        <w:rPr>
          <w:vertAlign w:val="baseline"/>
        </w:rPr>
        <w:t>estoppel</w:t>
      </w:r>
      <w:r>
        <w:rPr>
          <w:spacing w:val="-4"/>
          <w:vertAlign w:val="baseline"/>
        </w:rPr>
        <w:t> </w:t>
      </w:r>
      <w:r>
        <w:rPr>
          <w:vertAlign w:val="baseline"/>
        </w:rPr>
        <w:t>resembles</w:t>
      </w:r>
      <w:r>
        <w:rPr>
          <w:spacing w:val="-4"/>
          <w:vertAlign w:val="baseline"/>
        </w:rPr>
        <w:t> </w:t>
      </w:r>
      <w:r>
        <w:rPr>
          <w:vertAlign w:val="baseline"/>
        </w:rPr>
        <w:t>so-called</w:t>
      </w:r>
      <w:r>
        <w:rPr>
          <w:spacing w:val="-4"/>
          <w:vertAlign w:val="baseline"/>
        </w:rPr>
        <w:t> </w:t>
      </w:r>
      <w:r>
        <w:rPr>
          <w:vertAlign w:val="baseline"/>
        </w:rPr>
        <w:t>promissory</w:t>
      </w:r>
      <w:r>
        <w:rPr>
          <w:spacing w:val="-4"/>
          <w:vertAlign w:val="baseline"/>
        </w:rPr>
        <w:t> </w:t>
      </w:r>
      <w:r>
        <w:rPr>
          <w:vertAlign w:val="baseline"/>
        </w:rPr>
        <w:t>estoppel</w:t>
      </w:r>
      <w:r>
        <w:rPr>
          <w:spacing w:val="-4"/>
          <w:vertAlign w:val="baseline"/>
        </w:rPr>
        <w:t> </w:t>
      </w:r>
      <w:r>
        <w:rPr>
          <w:vertAlign w:val="baseline"/>
        </w:rPr>
        <w:t>(under</w:t>
      </w:r>
      <w:r>
        <w:rPr>
          <w:spacing w:val="-4"/>
          <w:vertAlign w:val="baseline"/>
        </w:rPr>
        <w:t> </w:t>
      </w:r>
      <w:r>
        <w:rPr>
          <w:vertAlign w:val="baseline"/>
        </w:rPr>
        <w:t>which promises are similarly revocable </w:t>
      </w:r>
      <w:r>
        <w:rPr>
          <w:color w:val="005DA1"/>
          <w:u w:val="single" w:color="005DA1"/>
          <w:vertAlign w:val="superscript"/>
        </w:rPr>
        <w:t>1113</w:t>
      </w:r>
      <w:r>
        <w:rPr>
          <w:vertAlign w:val="baseline"/>
        </w:rPr>
        <w:t>) and differs from contractually binding promises which are not revocable unless they expressly, or impliedly, provide that they are revocable. The cases on proprietary estoppel assume that, once the requisite action in reliance on the representation has</w:t>
      </w:r>
      <w:r>
        <w:rPr>
          <w:spacing w:val="40"/>
          <w:vertAlign w:val="baseline"/>
        </w:rPr>
        <w:t> </w:t>
      </w:r>
      <w:r>
        <w:rPr>
          <w:vertAlign w:val="baseline"/>
        </w:rPr>
        <w:t>taken place, the promisee cannot be restored to his original position. Where he has made improvements to land, this will generally be the case. Where a restoration of the status quo is physically possible, it seems that a promise giving rise to a proprietary estoppel could be revoked, even after the promisee had acted on it, if the promisor had in fact restored the promisee to the position in which he was before he had acted in reliance on the promise, or (it seems) if the promisee has made it clear that he does not wish to be restored to that position. </w:t>
      </w:r>
      <w:r>
        <w:rPr>
          <w:color w:val="005DA1"/>
          <w:u w:val="single" w:color="005DA1"/>
          <w:vertAlign w:val="superscript"/>
        </w:rPr>
        <w:t>1114</w:t>
      </w:r>
    </w:p>
    <w:p>
      <w:pPr>
        <w:pStyle w:val="BodyText"/>
        <w:spacing w:before="80"/>
      </w:pPr>
    </w:p>
    <w:p>
      <w:pPr>
        <w:pStyle w:val="BodyText"/>
        <w:spacing w:line="235" w:lineRule="auto"/>
        <w:ind w:left="165" w:right="167"/>
        <w:jc w:val="both"/>
      </w:pPr>
      <w:r>
        <w:rPr/>
        <w:t>A promise which has given rise to proprietary estoppel may also be none the less revocable, because the court considers it appropriate in this way to limit the effect to be given to the promise. This situation is discussed in para.4-170 below. </w:t>
      </w:r>
      <w:r>
        <w:rPr>
          <w:color w:val="005DA1"/>
          <w:u w:val="single" w:color="005DA1"/>
          <w:vertAlign w:val="superscript"/>
        </w:rPr>
        <w:t>1115</w:t>
      </w:r>
    </w:p>
    <w:p>
      <w:pPr>
        <w:pStyle w:val="BodyText"/>
      </w:pPr>
    </w:p>
    <w:p>
      <w:pPr>
        <w:pStyle w:val="BodyText"/>
        <w:spacing w:before="37"/>
      </w:pPr>
    </w:p>
    <w:p>
      <w:pPr>
        <w:spacing w:before="1"/>
        <w:ind w:left="165" w:right="0" w:firstLine="0"/>
        <w:jc w:val="left"/>
        <w:rPr>
          <w:rFonts w:ascii="Arial"/>
          <w:b/>
          <w:sz w:val="18"/>
        </w:rPr>
      </w:pPr>
      <w:r>
        <w:rPr>
          <w:rFonts w:ascii="Arial"/>
          <w:b/>
          <w:sz w:val="18"/>
        </w:rPr>
        <w:t>Operation of a proprietary </w:t>
      </w:r>
      <w:r>
        <w:rPr>
          <w:rFonts w:ascii="Arial"/>
          <w:b/>
          <w:spacing w:val="-2"/>
          <w:sz w:val="18"/>
        </w:rPr>
        <w:t>estoppel</w:t>
      </w:r>
    </w:p>
    <w:p>
      <w:pPr>
        <w:pStyle w:val="BodyText"/>
        <w:spacing w:before="41"/>
        <w:rPr>
          <w:rFonts w:ascii="Arial"/>
          <w:b/>
          <w:sz w:val="18"/>
        </w:rPr>
      </w:pPr>
    </w:p>
    <w:p>
      <w:pPr>
        <w:pStyle w:val="Heading2"/>
      </w:pPr>
      <w:r>
        <w:rPr/>
        <w:t>4-</w:t>
      </w:r>
      <w:r>
        <w:rPr>
          <w:spacing w:val="-5"/>
        </w:rPr>
        <w:t>169</w:t>
      </w:r>
    </w:p>
    <w:p>
      <w:pPr>
        <w:pStyle w:val="BodyText"/>
        <w:spacing w:before="89"/>
        <w:rPr>
          <w:rFonts w:ascii="Arial"/>
          <w:b/>
        </w:rPr>
      </w:pPr>
    </w:p>
    <w:p>
      <w:pPr>
        <w:pStyle w:val="BodyText"/>
        <w:ind w:left="165"/>
      </w:pPr>
      <w:r>
        <w:rPr>
          <w:position w:val="-2"/>
        </w:rPr>
        <w:drawing>
          <wp:inline distT="0" distB="0" distL="0" distR="0">
            <wp:extent cx="107988" cy="107988"/>
            <wp:effectExtent l="0" t="0" r="0" b="0"/>
            <wp:docPr id="356" name="Image 356"/>
            <wp:cNvGraphicFramePr>
              <a:graphicFrameLocks/>
            </wp:cNvGraphicFramePr>
            <a:graphic>
              <a:graphicData uri="http://schemas.openxmlformats.org/drawingml/2006/picture">
                <pic:pic>
                  <pic:nvPicPr>
                    <pic:cNvPr id="356" name="Image 35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7"/>
        </w:rPr>
        <w:t> </w:t>
      </w:r>
      <w:r>
        <w:rPr/>
        <w:t>Where</w:t>
      </w:r>
      <w:r>
        <w:rPr>
          <w:spacing w:val="11"/>
        </w:rPr>
        <w:t> </w:t>
      </w:r>
      <w:r>
        <w:rPr/>
        <w:t>the</w:t>
      </w:r>
      <w:r>
        <w:rPr>
          <w:spacing w:val="11"/>
        </w:rPr>
        <w:t> </w:t>
      </w:r>
      <w:r>
        <w:rPr/>
        <w:t>conditions</w:t>
      </w:r>
      <w:r>
        <w:rPr>
          <w:spacing w:val="11"/>
        </w:rPr>
        <w:t> </w:t>
      </w:r>
      <w:r>
        <w:rPr/>
        <w:t>required</w:t>
      </w:r>
      <w:r>
        <w:rPr>
          <w:spacing w:val="11"/>
        </w:rPr>
        <w:t> </w:t>
      </w:r>
      <w:r>
        <w:rPr/>
        <w:t>to</w:t>
      </w:r>
      <w:r>
        <w:rPr>
          <w:spacing w:val="11"/>
        </w:rPr>
        <w:t> </w:t>
      </w:r>
      <w:r>
        <w:rPr/>
        <w:t>give</w:t>
      </w:r>
      <w:r>
        <w:rPr>
          <w:spacing w:val="11"/>
        </w:rPr>
        <w:t> </w:t>
      </w:r>
      <w:r>
        <w:rPr/>
        <w:t>rise</w:t>
      </w:r>
      <w:r>
        <w:rPr>
          <w:spacing w:val="11"/>
        </w:rPr>
        <w:t> </w:t>
      </w:r>
      <w:r>
        <w:rPr/>
        <w:t>to</w:t>
      </w:r>
      <w:r>
        <w:rPr>
          <w:spacing w:val="11"/>
        </w:rPr>
        <w:t> </w:t>
      </w:r>
      <w:r>
        <w:rPr/>
        <w:t>a</w:t>
      </w:r>
      <w:r>
        <w:rPr>
          <w:spacing w:val="11"/>
        </w:rPr>
        <w:t> </w:t>
      </w:r>
      <w:r>
        <w:rPr/>
        <w:t>proprietary</w:t>
      </w:r>
      <w:r>
        <w:rPr>
          <w:spacing w:val="11"/>
        </w:rPr>
        <w:t> </w:t>
      </w:r>
      <w:r>
        <w:rPr/>
        <w:t>estoppel</w:t>
      </w:r>
      <w:r>
        <w:rPr>
          <w:spacing w:val="11"/>
        </w:rPr>
        <w:t> </w:t>
      </w:r>
      <w:r>
        <w:rPr/>
        <w:t>have</w:t>
      </w:r>
      <w:r>
        <w:rPr>
          <w:spacing w:val="11"/>
        </w:rPr>
        <w:t> </w:t>
      </w:r>
      <w:r>
        <w:rPr/>
        <w:t>been</w:t>
      </w:r>
      <w:r>
        <w:rPr>
          <w:spacing w:val="11"/>
        </w:rPr>
        <w:t> </w:t>
      </w:r>
      <w:r>
        <w:rPr/>
        <w:t>satisfied,</w:t>
      </w:r>
      <w:r>
        <w:rPr>
          <w:spacing w:val="11"/>
        </w:rPr>
        <w:t> </w:t>
      </w:r>
      <w:r>
        <w:rPr/>
        <w:t>the</w:t>
      </w:r>
      <w:r>
        <w:rPr>
          <w:spacing w:val="11"/>
        </w:rPr>
        <w:t> </w:t>
      </w:r>
      <w:r>
        <w:rPr/>
        <w:t>effect</w:t>
      </w:r>
    </w:p>
    <w:p>
      <w:pPr>
        <w:pStyle w:val="BodyText"/>
        <w:spacing w:line="235" w:lineRule="auto" w:before="119"/>
        <w:ind w:left="165"/>
      </w:pPr>
      <w:r>
        <w:rPr/>
        <w:t>of the doctrine is said to be to confer an “equity” </w:t>
      </w:r>
      <w:r>
        <w:rPr>
          <w:color w:val="005DA1"/>
          <w:u w:val="single" w:color="005DA1"/>
          <w:vertAlign w:val="superscript"/>
        </w:rPr>
        <w:t>1116</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11"/>
          <w:vertAlign w:val="baseline"/>
        </w:rPr>
        <w:t> </w:t>
      </w:r>
      <w:r>
        <w:rPr>
          <w:vertAlign w:val="baseline"/>
        </w:rPr>
        <w:t>on the promisee. Two further questions then arise:</w:t>
      </w:r>
      <w:r>
        <w:rPr>
          <w:spacing w:val="-1"/>
          <w:vertAlign w:val="baseline"/>
        </w:rPr>
        <w:t> </w:t>
      </w:r>
      <w:r>
        <w:rPr>
          <w:vertAlign w:val="baseline"/>
        </w:rPr>
        <w:t>namely, what is</w:t>
      </w:r>
      <w:r>
        <w:rPr>
          <w:spacing w:val="-1"/>
          <w:vertAlign w:val="baseline"/>
        </w:rPr>
        <w:t> </w:t>
      </w:r>
      <w:r>
        <w:rPr>
          <w:vertAlign w:val="baseline"/>
        </w:rPr>
        <w:t>the extent of that</w:t>
      </w:r>
      <w:r>
        <w:rPr>
          <w:spacing w:val="-1"/>
          <w:vertAlign w:val="baseline"/>
        </w:rPr>
        <w:t> </w:t>
      </w:r>
      <w:r>
        <w:rPr>
          <w:vertAlign w:val="baseline"/>
        </w:rPr>
        <w:t>“equity,” and what</w:t>
      </w:r>
      <w:r>
        <w:rPr>
          <w:spacing w:val="-1"/>
          <w:vertAlign w:val="baseline"/>
        </w:rPr>
        <w:t> </w:t>
      </w:r>
      <w:r>
        <w:rPr>
          <w:vertAlign w:val="baseline"/>
        </w:rPr>
        <w:t>are the remedies</w:t>
      </w:r>
      <w:r>
        <w:rPr>
          <w:spacing w:val="-1"/>
          <w:vertAlign w:val="baseline"/>
        </w:rPr>
        <w:t> </w:t>
      </w:r>
      <w:r>
        <w:rPr>
          <w:vertAlign w:val="baseline"/>
        </w:rPr>
        <w:t>for its enforcement.</w:t>
      </w:r>
      <w:r>
        <w:rPr>
          <w:spacing w:val="-1"/>
          <w:vertAlign w:val="baseline"/>
        </w:rPr>
        <w:t> </w:t>
      </w:r>
      <w:r>
        <w:rPr>
          <w:color w:val="005DA1"/>
          <w:u w:val="single" w:color="005DA1"/>
          <w:vertAlign w:val="superscript"/>
        </w:rPr>
        <w:t>1117</w:t>
      </w:r>
      <w:r>
        <w:rPr>
          <w:color w:val="005DA1"/>
          <w:spacing w:val="-1"/>
          <w:vertAlign w:val="baseline"/>
        </w:rPr>
        <w:t> </w:t>
      </w:r>
      <w:r>
        <w:rPr>
          <w:spacing w:val="-5"/>
          <w:vertAlign w:val="baseline"/>
        </w:rPr>
        <w:t>In</w:t>
      </w:r>
    </w:p>
    <w:p>
      <w:pPr>
        <w:pStyle w:val="BodyText"/>
        <w:spacing w:after="0" w:line="235" w:lineRule="auto"/>
        <w:sectPr>
          <w:headerReference w:type="default" r:id="rId56"/>
          <w:headerReference w:type="even" r:id="rId57"/>
          <w:pgSz w:w="11900" w:h="16840"/>
          <w:pgMar w:header="971" w:footer="0" w:top="1160" w:bottom="280" w:left="1275" w:right="1275"/>
          <w:pgNumType w:start="1"/>
        </w:sectPr>
      </w:pPr>
    </w:p>
    <w:p>
      <w:pPr>
        <w:pStyle w:val="BodyText"/>
        <w:spacing w:before="24"/>
      </w:pPr>
    </w:p>
    <w:p>
      <w:pPr>
        <w:pStyle w:val="BodyText"/>
        <w:spacing w:line="235" w:lineRule="auto" w:before="1"/>
        <w:ind w:left="165" w:right="167"/>
        <w:jc w:val="both"/>
      </w:pPr>
      <w:r>
        <w:rPr/>
        <w:t>practice these questions tend to merge into each other; but an attempt to discuss them in turn will </w:t>
      </w:r>
      <w:r>
        <w:rPr/>
        <w:t>be made in paras 4-170 to 4-172 and 4-173 to 4-180 below.</w:t>
      </w:r>
    </w:p>
    <w:p>
      <w:pPr>
        <w:pStyle w:val="BodyText"/>
      </w:pPr>
    </w:p>
    <w:p>
      <w:pPr>
        <w:pStyle w:val="BodyText"/>
        <w:spacing w:before="37"/>
      </w:pPr>
    </w:p>
    <w:p>
      <w:pPr>
        <w:spacing w:before="1"/>
        <w:ind w:left="165" w:right="0" w:firstLine="0"/>
        <w:jc w:val="left"/>
        <w:rPr>
          <w:rFonts w:ascii="Arial"/>
          <w:b/>
          <w:sz w:val="18"/>
        </w:rPr>
      </w:pPr>
      <w:r>
        <w:rPr>
          <w:rFonts w:ascii="Arial"/>
          <w:b/>
          <w:sz w:val="18"/>
        </w:rPr>
        <w:t>Extent of the </w:t>
      </w:r>
      <w:r>
        <w:rPr>
          <w:rFonts w:ascii="Arial"/>
          <w:b/>
          <w:spacing w:val="-2"/>
          <w:sz w:val="18"/>
        </w:rPr>
        <w:t>equity</w:t>
      </w:r>
    </w:p>
    <w:p>
      <w:pPr>
        <w:pStyle w:val="BodyText"/>
        <w:spacing w:before="41"/>
        <w:rPr>
          <w:rFonts w:ascii="Arial"/>
          <w:b/>
          <w:sz w:val="18"/>
        </w:rPr>
      </w:pPr>
    </w:p>
    <w:p>
      <w:pPr>
        <w:pStyle w:val="Heading2"/>
      </w:pPr>
      <w:r>
        <w:rPr/>
        <w:t>4-</w:t>
      </w:r>
      <w:r>
        <w:rPr>
          <w:spacing w:val="-5"/>
        </w:rPr>
        <w:t>170</w:t>
      </w:r>
    </w:p>
    <w:p>
      <w:pPr>
        <w:pStyle w:val="BodyText"/>
        <w:spacing w:line="235" w:lineRule="auto" w:before="203"/>
        <w:ind w:left="164" w:right="167"/>
        <w:jc w:val="both"/>
      </w:pPr>
      <w:r>
        <w:rPr/>
        <w:t>At</w:t>
      </w:r>
      <w:r>
        <w:rPr>
          <w:spacing w:val="-2"/>
        </w:rPr>
        <w:t> </w:t>
      </w:r>
      <w:r>
        <w:rPr/>
        <w:t>one</w:t>
      </w:r>
      <w:r>
        <w:rPr>
          <w:spacing w:val="-2"/>
        </w:rPr>
        <w:t> </w:t>
      </w:r>
      <w:r>
        <w:rPr/>
        <w:t>extreme,</w:t>
      </w:r>
      <w:r>
        <w:rPr>
          <w:spacing w:val="-2"/>
        </w:rPr>
        <w:t> </w:t>
      </w:r>
      <w:r>
        <w:rPr/>
        <w:t>the</w:t>
      </w:r>
      <w:r>
        <w:rPr>
          <w:spacing w:val="-2"/>
        </w:rPr>
        <w:t> </w:t>
      </w:r>
      <w:r>
        <w:rPr/>
        <w:t>promisee</w:t>
      </w:r>
      <w:r>
        <w:rPr>
          <w:spacing w:val="-2"/>
        </w:rPr>
        <w:t> </w:t>
      </w:r>
      <w:r>
        <w:rPr/>
        <w:t>may</w:t>
      </w:r>
      <w:r>
        <w:rPr>
          <w:spacing w:val="-2"/>
        </w:rPr>
        <w:t> </w:t>
      </w:r>
      <w:r>
        <w:rPr/>
        <w:t>be</w:t>
      </w:r>
      <w:r>
        <w:rPr>
          <w:spacing w:val="-2"/>
        </w:rPr>
        <w:t> </w:t>
      </w:r>
      <w:r>
        <w:rPr/>
        <w:t>entitled</w:t>
      </w:r>
      <w:r>
        <w:rPr>
          <w:spacing w:val="-2"/>
        </w:rPr>
        <w:t> </w:t>
      </w:r>
      <w:r>
        <w:rPr/>
        <w:t>to</w:t>
      </w:r>
      <w:r>
        <w:rPr>
          <w:spacing w:val="-2"/>
        </w:rPr>
        <w:t> </w:t>
      </w:r>
      <w:r>
        <w:rPr/>
        <w:t>conveyance</w:t>
      </w:r>
      <w:r>
        <w:rPr>
          <w:spacing w:val="-2"/>
        </w:rPr>
        <w:t> </w:t>
      </w:r>
      <w:r>
        <w:rPr/>
        <w:t>of</w:t>
      </w:r>
      <w:r>
        <w:rPr>
          <w:spacing w:val="-2"/>
        </w:rPr>
        <w:t> </w:t>
      </w:r>
      <w:r>
        <w:rPr/>
        <w:t>the</w:t>
      </w:r>
      <w:r>
        <w:rPr>
          <w:spacing w:val="-2"/>
        </w:rPr>
        <w:t> </w:t>
      </w:r>
      <w:r>
        <w:rPr/>
        <w:t>fee</w:t>
      </w:r>
      <w:r>
        <w:rPr>
          <w:spacing w:val="-2"/>
        </w:rPr>
        <w:t> </w:t>
      </w:r>
      <w:r>
        <w:rPr/>
        <w:t>simple</w:t>
      </w:r>
      <w:r>
        <w:rPr>
          <w:spacing w:val="-2"/>
        </w:rPr>
        <w:t> </w:t>
      </w:r>
      <w:r>
        <w:rPr/>
        <w:t>in</w:t>
      </w:r>
      <w:r>
        <w:rPr>
          <w:spacing w:val="-2"/>
        </w:rPr>
        <w:t> </w:t>
      </w:r>
      <w:r>
        <w:rPr/>
        <w:t>the</w:t>
      </w:r>
      <w:r>
        <w:rPr>
          <w:spacing w:val="-2"/>
        </w:rPr>
        <w:t> </w:t>
      </w:r>
      <w:r>
        <w:rPr/>
        <w:t>property</w:t>
      </w:r>
      <w:r>
        <w:rPr>
          <w:spacing w:val="-2"/>
        </w:rPr>
        <w:t> </w:t>
      </w:r>
      <w:r>
        <w:rPr/>
        <w:t>which</w:t>
      </w:r>
      <w:r>
        <w:rPr>
          <w:spacing w:val="-2"/>
        </w:rPr>
        <w:t> </w:t>
      </w:r>
      <w:r>
        <w:rPr/>
        <w:t>is the</w:t>
      </w:r>
      <w:r>
        <w:rPr>
          <w:spacing w:val="-2"/>
        </w:rPr>
        <w:t> </w:t>
      </w:r>
      <w:r>
        <w:rPr/>
        <w:t>subject-matter</w:t>
      </w:r>
      <w:r>
        <w:rPr>
          <w:spacing w:val="-2"/>
        </w:rPr>
        <w:t> </w:t>
      </w:r>
      <w:r>
        <w:rPr/>
        <w:t>of</w:t>
      </w:r>
      <w:r>
        <w:rPr>
          <w:spacing w:val="-2"/>
        </w:rPr>
        <w:t> </w:t>
      </w:r>
      <w:r>
        <w:rPr/>
        <w:t>the</w:t>
      </w:r>
      <w:r>
        <w:rPr>
          <w:spacing w:val="-2"/>
        </w:rPr>
        <w:t> </w:t>
      </w:r>
      <w:r>
        <w:rPr/>
        <w:t>promise,</w:t>
      </w:r>
      <w:r>
        <w:rPr>
          <w:spacing w:val="-2"/>
        </w:rPr>
        <w:t> </w:t>
      </w:r>
      <w:r>
        <w:rPr/>
        <w:t>as</w:t>
      </w:r>
      <w:r>
        <w:rPr>
          <w:spacing w:val="-2"/>
        </w:rPr>
        <w:t> </w:t>
      </w:r>
      <w:r>
        <w:rPr/>
        <w:t>in</w:t>
      </w:r>
      <w:r>
        <w:rPr>
          <w:spacing w:val="-3"/>
        </w:rPr>
        <w:t> </w:t>
      </w:r>
      <w:r>
        <w:rPr>
          <w:rFonts w:ascii="Arial" w:hAnsi="Arial"/>
          <w:i/>
        </w:rPr>
        <w:t>Dillwyn</w:t>
      </w:r>
      <w:r>
        <w:rPr>
          <w:rFonts w:ascii="Arial" w:hAnsi="Arial"/>
          <w:i/>
          <w:spacing w:val="-2"/>
        </w:rPr>
        <w:t> </w:t>
      </w:r>
      <w:r>
        <w:rPr>
          <w:rFonts w:ascii="Arial" w:hAnsi="Arial"/>
          <w:i/>
        </w:rPr>
        <w:t>v</w:t>
      </w:r>
      <w:r>
        <w:rPr>
          <w:rFonts w:ascii="Arial" w:hAnsi="Arial"/>
          <w:i/>
          <w:spacing w:val="-2"/>
        </w:rPr>
        <w:t> </w:t>
      </w:r>
      <w:r>
        <w:rPr>
          <w:rFonts w:ascii="Arial" w:hAnsi="Arial"/>
          <w:i/>
        </w:rPr>
        <w:t>Llewelyn</w:t>
      </w:r>
      <w:r>
        <w:rPr/>
        <w:t>.</w:t>
      </w:r>
      <w:r>
        <w:rPr>
          <w:spacing w:val="-2"/>
        </w:rPr>
        <w:t> </w:t>
      </w:r>
      <w:r>
        <w:rPr>
          <w:color w:val="005DA1"/>
          <w:u w:val="single" w:color="005DA1"/>
          <w:vertAlign w:val="superscript"/>
        </w:rPr>
        <w:t>1118</w:t>
      </w:r>
      <w:r>
        <w:rPr>
          <w:color w:val="005DA1"/>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hand,</w:t>
      </w:r>
      <w:r>
        <w:rPr>
          <w:spacing w:val="-2"/>
          <w:vertAlign w:val="baseline"/>
        </w:rPr>
        <w:t> </w:t>
      </w:r>
      <w:r>
        <w:rPr>
          <w:vertAlign w:val="baseline"/>
        </w:rPr>
        <w:t>in</w:t>
      </w:r>
      <w:r>
        <w:rPr>
          <w:spacing w:val="-2"/>
          <w:vertAlign w:val="baseline"/>
        </w:rPr>
        <w:t> </w:t>
      </w:r>
      <w:r>
        <w:rPr>
          <w:rFonts w:ascii="Arial" w:hAnsi="Arial"/>
          <w:i/>
          <w:vertAlign w:val="baseline"/>
        </w:rPr>
        <w:t>Inwards</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Baker</w:t>
      </w:r>
      <w:r>
        <w:rPr>
          <w:vertAlign w:val="baseline"/>
        </w:rPr>
        <w:t>, </w:t>
      </w:r>
      <w:r>
        <w:rPr>
          <w:color w:val="005DA1"/>
          <w:u w:val="single" w:color="005DA1"/>
          <w:vertAlign w:val="superscript"/>
        </w:rPr>
        <w:t>1119</w:t>
      </w:r>
      <w:r>
        <w:rPr>
          <w:color w:val="005DA1"/>
          <w:vertAlign w:val="baseline"/>
        </w:rPr>
        <w:t> </w:t>
      </w:r>
      <w:r>
        <w:rPr>
          <w:vertAlign w:val="baseline"/>
        </w:rPr>
        <w:t>where a son had also built a house for himself at his father’s suggestion on the latter’s land, the result of the estoppel was only to entitle the son to occupy the house for life. Similar results were reached in a number of later cases in which the promisee made improvements to the promisor’s property (or otherwise acted to his detriment) in reliance on a promise, or common </w:t>
      </w:r>
      <w:r>
        <w:rPr>
          <w:vertAlign w:val="baseline"/>
        </w:rPr>
        <w:t>understanding,</w:t>
      </w:r>
      <w:r>
        <w:rPr>
          <w:spacing w:val="40"/>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promisee</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able</w:t>
      </w:r>
      <w:r>
        <w:rPr>
          <w:spacing w:val="-1"/>
          <w:vertAlign w:val="baseline"/>
        </w:rPr>
        <w:t> </w:t>
      </w:r>
      <w:r>
        <w:rPr>
          <w:vertAlign w:val="baseline"/>
        </w:rPr>
        <w:t>to</w:t>
      </w:r>
      <w:r>
        <w:rPr>
          <w:spacing w:val="-1"/>
          <w:vertAlign w:val="baseline"/>
        </w:rPr>
        <w:t> </w:t>
      </w:r>
      <w:r>
        <w:rPr>
          <w:vertAlign w:val="baseline"/>
        </w:rPr>
        <w:t>reside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property</w:t>
      </w:r>
      <w:r>
        <w:rPr>
          <w:spacing w:val="-1"/>
          <w:vertAlign w:val="baseline"/>
        </w:rPr>
        <w:t> </w:t>
      </w:r>
      <w:r>
        <w:rPr>
          <w:vertAlign w:val="baseline"/>
        </w:rPr>
        <w:t>for</w:t>
      </w:r>
      <w:r>
        <w:rPr>
          <w:spacing w:val="-1"/>
          <w:vertAlign w:val="baseline"/>
        </w:rPr>
        <w:t> </w:t>
      </w:r>
      <w:r>
        <w:rPr>
          <w:vertAlign w:val="baseline"/>
        </w:rPr>
        <w:t>as</w:t>
      </w:r>
      <w:r>
        <w:rPr>
          <w:spacing w:val="-1"/>
          <w:vertAlign w:val="baseline"/>
        </w:rPr>
        <w:t> </w:t>
      </w:r>
      <w:r>
        <w:rPr>
          <w:vertAlign w:val="baseline"/>
        </w:rPr>
        <w:t>long</w:t>
      </w:r>
      <w:r>
        <w:rPr>
          <w:spacing w:val="-1"/>
          <w:vertAlign w:val="baseline"/>
        </w:rPr>
        <w:t> </w:t>
      </w:r>
      <w:r>
        <w:rPr>
          <w:vertAlign w:val="baseline"/>
        </w:rPr>
        <w:t>as</w:t>
      </w:r>
      <w:r>
        <w:rPr>
          <w:spacing w:val="-1"/>
          <w:vertAlign w:val="baseline"/>
        </w:rPr>
        <w:t> </w:t>
      </w:r>
      <w:r>
        <w:rPr>
          <w:vertAlign w:val="baseline"/>
        </w:rPr>
        <w:t>he</w:t>
      </w:r>
      <w:r>
        <w:rPr>
          <w:spacing w:val="-1"/>
          <w:vertAlign w:val="baseline"/>
        </w:rPr>
        <w:t> </w:t>
      </w:r>
      <w:r>
        <w:rPr>
          <w:vertAlign w:val="baseline"/>
        </w:rPr>
        <w:t>or</w:t>
      </w:r>
      <w:r>
        <w:rPr>
          <w:spacing w:val="-1"/>
          <w:vertAlign w:val="baseline"/>
        </w:rPr>
        <w:t> </w:t>
      </w:r>
      <w:r>
        <w:rPr>
          <w:vertAlign w:val="baseline"/>
        </w:rPr>
        <w:t>she</w:t>
      </w:r>
      <w:r>
        <w:rPr>
          <w:spacing w:val="-1"/>
          <w:vertAlign w:val="baseline"/>
        </w:rPr>
        <w:t> </w:t>
      </w:r>
      <w:r>
        <w:rPr>
          <w:vertAlign w:val="baseline"/>
        </w:rPr>
        <w:t>wished</w:t>
      </w:r>
      <w:r>
        <w:rPr>
          <w:spacing w:val="-1"/>
          <w:vertAlign w:val="baseline"/>
        </w:rPr>
        <w:t> </w:t>
      </w:r>
      <w:r>
        <w:rPr>
          <w:vertAlign w:val="baseline"/>
        </w:rPr>
        <w:t>to</w:t>
      </w:r>
      <w:r>
        <w:rPr>
          <w:spacing w:val="-1"/>
          <w:vertAlign w:val="baseline"/>
        </w:rPr>
        <w:t> </w:t>
      </w:r>
      <w:r>
        <w:rPr>
          <w:vertAlign w:val="baseline"/>
        </w:rPr>
        <w:t>do</w:t>
      </w:r>
      <w:r>
        <w:rPr>
          <w:spacing w:val="-1"/>
          <w:vertAlign w:val="baseline"/>
        </w:rPr>
        <w:t> </w:t>
      </w:r>
      <w:r>
        <w:rPr>
          <w:vertAlign w:val="baseline"/>
        </w:rPr>
        <w:t>so,</w:t>
      </w:r>
      <w:r>
        <w:rPr>
          <w:spacing w:val="-2"/>
          <w:vertAlign w:val="baseline"/>
        </w:rPr>
        <w:t> </w:t>
      </w:r>
      <w:r>
        <w:rPr>
          <w:color w:val="005DA1"/>
          <w:u w:val="single" w:color="005DA1"/>
          <w:vertAlign w:val="superscript"/>
        </w:rPr>
        <w:t>1120</w:t>
      </w:r>
      <w:r>
        <w:rPr>
          <w:color w:val="005DA1"/>
          <w:vertAlign w:val="baseline"/>
        </w:rPr>
        <w:t> </w:t>
      </w:r>
      <w:r>
        <w:rPr>
          <w:vertAlign w:val="baseline"/>
        </w:rPr>
        <w:t>or for some shorter period: e.g. until her children had left school </w:t>
      </w:r>
      <w:r>
        <w:rPr>
          <w:color w:val="005DA1"/>
          <w:u w:val="single" w:color="005DA1"/>
          <w:vertAlign w:val="superscript"/>
        </w:rPr>
        <w:t>1121</w:t>
      </w:r>
      <w:r>
        <w:rPr>
          <w:vertAlign w:val="baseline"/>
        </w:rPr>
        <w:t>; or that a lease of the premises would be granted to him </w:t>
      </w:r>
      <w:r>
        <w:rPr>
          <w:color w:val="005DA1"/>
          <w:u w:val="single" w:color="005DA1"/>
          <w:vertAlign w:val="superscript"/>
        </w:rPr>
        <w:t>1122</w:t>
      </w:r>
      <w:r>
        <w:rPr>
          <w:vertAlign w:val="baseline"/>
        </w:rPr>
        <w:t>; or that he was entitled to an equitable charge on the land. </w:t>
      </w:r>
      <w:r>
        <w:rPr>
          <w:color w:val="005DA1"/>
          <w:u w:val="single" w:color="005DA1"/>
          <w:vertAlign w:val="superscript"/>
        </w:rPr>
        <w:t>1123</w:t>
      </w:r>
      <w:r>
        <w:rPr>
          <w:color w:val="005DA1"/>
          <w:vertAlign w:val="baseline"/>
        </w:rPr>
        <w:t> </w:t>
      </w:r>
      <w:r>
        <w:rPr>
          <w:vertAlign w:val="baseline"/>
        </w:rPr>
        <w:t>Such cases can be reconciled with </w:t>
      </w:r>
      <w:r>
        <w:rPr>
          <w:rFonts w:ascii="Arial" w:hAnsi="Arial"/>
          <w:i/>
          <w:vertAlign w:val="baseline"/>
        </w:rPr>
        <w:t>Dillwyn v Llewelyn </w:t>
      </w:r>
      <w:r>
        <w:rPr>
          <w:vertAlign w:val="baseline"/>
        </w:rPr>
        <w:t>by reference to the terms of the respective promises </w:t>
      </w:r>
      <w:r>
        <w:rPr>
          <w:color w:val="005DA1"/>
          <w:u w:val="single" w:color="005DA1"/>
          <w:vertAlign w:val="superscript"/>
        </w:rPr>
        <w:t>1124</w:t>
      </w:r>
      <w:r>
        <w:rPr>
          <w:vertAlign w:val="baseline"/>
        </w:rPr>
        <w:t>:</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former</w:t>
      </w:r>
      <w:r>
        <w:rPr>
          <w:spacing w:val="-1"/>
          <w:vertAlign w:val="baseline"/>
        </w:rPr>
        <w:t> </w:t>
      </w:r>
      <w:r>
        <w:rPr>
          <w:vertAlign w:val="baseline"/>
        </w:rPr>
        <w:t>case,</w:t>
      </w:r>
      <w:r>
        <w:rPr>
          <w:spacing w:val="-1"/>
          <w:vertAlign w:val="baseline"/>
        </w:rPr>
        <w:t> </w:t>
      </w:r>
      <w:r>
        <w:rPr>
          <w:vertAlign w:val="baseline"/>
        </w:rPr>
        <w:t>the</w:t>
      </w:r>
      <w:r>
        <w:rPr>
          <w:spacing w:val="-1"/>
          <w:vertAlign w:val="baseline"/>
        </w:rPr>
        <w:t> </w:t>
      </w:r>
      <w:r>
        <w:rPr>
          <w:vertAlign w:val="baseline"/>
        </w:rPr>
        <w:t>promise</w:t>
      </w:r>
      <w:r>
        <w:rPr>
          <w:spacing w:val="-1"/>
          <w:vertAlign w:val="baseline"/>
        </w:rPr>
        <w:t> </w:t>
      </w:r>
      <w:r>
        <w:rPr>
          <w:vertAlign w:val="baseline"/>
        </w:rPr>
        <w:t>was</w:t>
      </w:r>
      <w:r>
        <w:rPr>
          <w:spacing w:val="-1"/>
          <w:vertAlign w:val="baseline"/>
        </w:rPr>
        <w:t> </w:t>
      </w:r>
      <w:r>
        <w:rPr>
          <w:vertAlign w:val="baseline"/>
        </w:rPr>
        <w:t>expressed</w:t>
      </w:r>
      <w:r>
        <w:rPr>
          <w:spacing w:val="-1"/>
          <w:vertAlign w:val="baseline"/>
        </w:rPr>
        <w:t> </w:t>
      </w:r>
      <w:r>
        <w:rPr>
          <w:vertAlign w:val="baseline"/>
        </w:rPr>
        <w:t>in</w:t>
      </w:r>
      <w:r>
        <w:rPr>
          <w:spacing w:val="-1"/>
          <w:vertAlign w:val="baseline"/>
        </w:rPr>
        <w:t> </w:t>
      </w:r>
      <w:r>
        <w:rPr>
          <w:vertAlign w:val="baseline"/>
        </w:rPr>
        <w:t>terms</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gift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property,</w:t>
      </w:r>
      <w:r>
        <w:rPr>
          <w:spacing w:val="-1"/>
          <w:vertAlign w:val="baseline"/>
        </w:rPr>
        <w:t> </w:t>
      </w:r>
      <w:r>
        <w:rPr>
          <w:vertAlign w:val="baseline"/>
        </w:rPr>
        <w:t>while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latter cases it amounted to no more than an assurance that the promisee would be entitled to reside in the property for the specified period. Another way of giving effect to a promise of the latter kind is by the grant of a long, non-assignable lease at a nominal rent, on terms that ensured that the right of occupation was personal to the promisee. </w:t>
      </w:r>
      <w:r>
        <w:rPr>
          <w:color w:val="005DA1"/>
          <w:u w:val="single" w:color="005DA1"/>
          <w:vertAlign w:val="superscript"/>
        </w:rPr>
        <w:t>1125</w:t>
      </w:r>
      <w:r>
        <w:rPr>
          <w:color w:val="005DA1"/>
          <w:vertAlign w:val="baseline"/>
        </w:rPr>
        <w:t> </w:t>
      </w:r>
      <w:r>
        <w:rPr>
          <w:vertAlign w:val="baseline"/>
        </w:rPr>
        <w:t>In other cases, not concerned with rights of personal occupation but with the right to keep and use structures on promisor’s land, the promisee has been held entitled only to a revocable licence. </w:t>
      </w:r>
      <w:r>
        <w:rPr>
          <w:color w:val="005DA1"/>
          <w:u w:val="single" w:color="005DA1"/>
          <w:vertAlign w:val="superscript"/>
        </w:rPr>
        <w:t>1126</w:t>
      </w:r>
      <w:r>
        <w:rPr>
          <w:color w:val="005DA1"/>
          <w:vertAlign w:val="baseline"/>
        </w:rPr>
        <w:t> </w:t>
      </w:r>
      <w:r>
        <w:rPr>
          <w:vertAlign w:val="baseline"/>
        </w:rPr>
        <w:t>On a similar principle, it has been held that, where proprietary estoppel gave rise to a right of way over the promisor’s land, that right was limited to serving the single house which existed on the original promisee’s land at the time when the circumstances giving rise to the estoppel arose</w:t>
      </w:r>
      <w:r>
        <w:rPr>
          <w:spacing w:val="-1"/>
          <w:vertAlign w:val="baseline"/>
        </w:rPr>
        <w:t> </w:t>
      </w:r>
      <w:r>
        <w:rPr>
          <w:color w:val="005DA1"/>
          <w:u w:val="single" w:color="005DA1"/>
          <w:vertAlign w:val="superscript"/>
        </w:rPr>
        <w:t>1127</w:t>
      </w:r>
      <w:r>
        <w:rPr>
          <w:color w:val="005DA1"/>
          <w:vertAlign w:val="baseline"/>
        </w:rPr>
        <w:t> </w:t>
      </w:r>
      <w:r>
        <w:rPr>
          <w:vertAlign w:val="baseline"/>
        </w:rPr>
        <w:t>and did not extend to buildings which the claimant </w:t>
      </w:r>
      <w:r>
        <w:rPr>
          <w:color w:val="005DA1"/>
          <w:u w:val="single" w:color="005DA1"/>
          <w:vertAlign w:val="superscript"/>
        </w:rPr>
        <w:t>1128</w:t>
      </w:r>
      <w:r>
        <w:rPr>
          <w:color w:val="005DA1"/>
          <w:vertAlign w:val="baseline"/>
        </w:rPr>
        <w:t> </w:t>
      </w:r>
      <w:r>
        <w:rPr>
          <w:vertAlign w:val="baseline"/>
        </w:rPr>
        <w:t>might wish to erect on the dominant land, no such development having been</w:t>
      </w:r>
    </w:p>
    <w:p>
      <w:pPr>
        <w:pStyle w:val="BodyText"/>
        <w:spacing w:before="81"/>
      </w:pPr>
    </w:p>
    <w:p>
      <w:pPr>
        <w:pStyle w:val="BodyText"/>
        <w:spacing w:line="235" w:lineRule="auto" w:before="1"/>
        <w:ind w:left="165" w:right="167"/>
        <w:jc w:val="both"/>
      </w:pPr>
      <w:r>
        <w:rPr/>
        <w:t>contemplated at that time. </w:t>
      </w:r>
      <w:r>
        <w:rPr>
          <w:color w:val="005DA1"/>
          <w:u w:val="single" w:color="005DA1"/>
          <w:vertAlign w:val="superscript"/>
        </w:rPr>
        <w:t>1129</w:t>
      </w:r>
      <w:r>
        <w:rPr>
          <w:color w:val="005DA1"/>
          <w:vertAlign w:val="baseline"/>
        </w:rPr>
        <w:t> </w:t>
      </w:r>
      <w:r>
        <w:rPr>
          <w:vertAlign w:val="baseline"/>
        </w:rPr>
        <w:t>There is also the possibility that “a statement relied on to found an estoppel </w:t>
      </w:r>
      <w:r>
        <w:rPr>
          <w:color w:val="005DA1"/>
          <w:u w:val="single" w:color="005DA1"/>
          <w:vertAlign w:val="superscript"/>
        </w:rPr>
        <w:t>1130</w:t>
      </w:r>
      <w:r>
        <w:rPr>
          <w:color w:val="005DA1"/>
          <w:vertAlign w:val="baseline"/>
        </w:rPr>
        <w:t> </w:t>
      </w:r>
      <w:r>
        <w:rPr>
          <w:vertAlign w:val="baseline"/>
        </w:rPr>
        <w:t>could amount to an assurance which could reasonably be understood as having </w:t>
      </w:r>
      <w:r>
        <w:rPr>
          <w:vertAlign w:val="baseline"/>
        </w:rPr>
        <w:t>more than</w:t>
      </w:r>
      <w:r>
        <w:rPr>
          <w:spacing w:val="-5"/>
          <w:vertAlign w:val="baseline"/>
        </w:rPr>
        <w:t> </w:t>
      </w:r>
      <w:r>
        <w:rPr>
          <w:vertAlign w:val="baseline"/>
        </w:rPr>
        <w:t>one</w:t>
      </w:r>
      <w:r>
        <w:rPr>
          <w:spacing w:val="-5"/>
          <w:vertAlign w:val="baseline"/>
        </w:rPr>
        <w:t> </w:t>
      </w:r>
      <w:r>
        <w:rPr>
          <w:vertAlign w:val="baseline"/>
        </w:rPr>
        <w:t>possible</w:t>
      </w:r>
      <w:r>
        <w:rPr>
          <w:spacing w:val="-5"/>
          <w:vertAlign w:val="baseline"/>
        </w:rPr>
        <w:t> </w:t>
      </w:r>
      <w:r>
        <w:rPr>
          <w:vertAlign w:val="baseline"/>
        </w:rPr>
        <w:t>meaning.”</w:t>
      </w:r>
      <w:r>
        <w:rPr>
          <w:spacing w:val="-5"/>
          <w:vertAlign w:val="baseline"/>
        </w:rPr>
        <w:t> </w:t>
      </w:r>
      <w:r>
        <w:rPr>
          <w:color w:val="005DA1"/>
          <w:u w:val="single" w:color="005DA1"/>
          <w:vertAlign w:val="superscript"/>
        </w:rPr>
        <w:t>1131</w:t>
      </w:r>
      <w:r>
        <w:rPr>
          <w:color w:val="005DA1"/>
          <w:spacing w:val="-5"/>
          <w:vertAlign w:val="baseline"/>
        </w:rPr>
        <w:t> </w:t>
      </w:r>
      <w:r>
        <w:rPr>
          <w:vertAlign w:val="baseline"/>
        </w:rPr>
        <w:t>In</w:t>
      </w:r>
      <w:r>
        <w:rPr>
          <w:spacing w:val="-5"/>
          <w:vertAlign w:val="baseline"/>
        </w:rPr>
        <w:t> </w:t>
      </w:r>
      <w:r>
        <w:rPr>
          <w:rFonts w:ascii="Arial" w:hAnsi="Arial"/>
          <w:i/>
          <w:vertAlign w:val="baseline"/>
        </w:rPr>
        <w:t>Thorner</w:t>
      </w:r>
      <w:r>
        <w:rPr>
          <w:rFonts w:ascii="Arial" w:hAnsi="Arial"/>
          <w:i/>
          <w:spacing w:val="-5"/>
          <w:vertAlign w:val="baseline"/>
        </w:rPr>
        <w:t> </w:t>
      </w:r>
      <w:r>
        <w:rPr>
          <w:rFonts w:ascii="Arial" w:hAnsi="Arial"/>
          <w:i/>
          <w:vertAlign w:val="baseline"/>
        </w:rPr>
        <w:t>v</w:t>
      </w:r>
      <w:r>
        <w:rPr>
          <w:rFonts w:ascii="Arial" w:hAnsi="Arial"/>
          <w:i/>
          <w:spacing w:val="-5"/>
          <w:vertAlign w:val="baseline"/>
        </w:rPr>
        <w:t> </w:t>
      </w:r>
      <w:r>
        <w:rPr>
          <w:rFonts w:ascii="Arial" w:hAnsi="Arial"/>
          <w:i/>
          <w:vertAlign w:val="baseline"/>
        </w:rPr>
        <w:t>Major</w:t>
      </w:r>
      <w:r>
        <w:rPr>
          <w:rFonts w:ascii="Arial" w:hAnsi="Arial"/>
          <w:i/>
          <w:spacing w:val="-5"/>
          <w:vertAlign w:val="baseline"/>
        </w:rPr>
        <w:t> </w:t>
      </w:r>
      <w:r>
        <w:rPr>
          <w:color w:val="005DA1"/>
          <w:u w:val="single" w:color="005DA1"/>
          <w:vertAlign w:val="superscript"/>
        </w:rPr>
        <w:t>1132</w:t>
      </w:r>
      <w:r>
        <w:rPr>
          <w:color w:val="005DA1"/>
          <w:spacing w:val="-5"/>
          <w:vertAlign w:val="baseline"/>
        </w:rPr>
        <w:t> </w:t>
      </w:r>
      <w:r>
        <w:rPr>
          <w:vertAlign w:val="baseline"/>
        </w:rPr>
        <w:t>Lord</w:t>
      </w:r>
      <w:r>
        <w:rPr>
          <w:spacing w:val="-5"/>
          <w:vertAlign w:val="baseline"/>
        </w:rPr>
        <w:t> </w:t>
      </w:r>
      <w:r>
        <w:rPr>
          <w:vertAlign w:val="baseline"/>
        </w:rPr>
        <w:t>Neuberger</w:t>
      </w:r>
      <w:r>
        <w:rPr>
          <w:spacing w:val="-5"/>
          <w:vertAlign w:val="baseline"/>
        </w:rPr>
        <w:t> </w:t>
      </w:r>
      <w:r>
        <w:rPr>
          <w:vertAlign w:val="baseline"/>
        </w:rPr>
        <w:t>suggested</w:t>
      </w:r>
      <w:r>
        <w:rPr>
          <w:spacing w:val="-5"/>
          <w:vertAlign w:val="baseline"/>
        </w:rPr>
        <w:t> </w:t>
      </w:r>
      <w:r>
        <w:rPr>
          <w:vertAlign w:val="baseline"/>
        </w:rPr>
        <w:t>that</w:t>
      </w:r>
      <w:r>
        <w:rPr>
          <w:spacing w:val="-5"/>
          <w:vertAlign w:val="baseline"/>
        </w:rPr>
        <w:t> </w:t>
      </w:r>
      <w:r>
        <w:rPr>
          <w:vertAlign w:val="baseline"/>
        </w:rPr>
        <w:t>at</w:t>
      </w:r>
      <w:r>
        <w:rPr>
          <w:spacing w:val="-5"/>
          <w:vertAlign w:val="baseline"/>
        </w:rPr>
        <w:t> </w:t>
      </w:r>
      <w:r>
        <w:rPr>
          <w:vertAlign w:val="baseline"/>
        </w:rPr>
        <w:t>least</w:t>
      </w:r>
      <w:r>
        <w:rPr>
          <w:spacing w:val="-5"/>
          <w:vertAlign w:val="baseline"/>
        </w:rPr>
        <w:t> </w:t>
      </w:r>
      <w:r>
        <w:rPr>
          <w:vertAlign w:val="baseline"/>
        </w:rPr>
        <w:t>limited relief should be available to a person who had acted in reliance on such an ambiguous</w:t>
      </w:r>
      <w:r>
        <w:rPr>
          <w:spacing w:val="40"/>
          <w:vertAlign w:val="baseline"/>
        </w:rPr>
        <w:t> </w:t>
      </w:r>
      <w:r>
        <w:rPr>
          <w:vertAlign w:val="baseline"/>
        </w:rPr>
        <w:t>representation. The extent of such relief is discussed in para.4-151 above. </w:t>
      </w:r>
      <w:r>
        <w:rPr>
          <w:color w:val="005DA1"/>
          <w:u w:val="single" w:color="005DA1"/>
          <w:vertAlign w:val="superscript"/>
        </w:rPr>
        <w:t>1133</w:t>
      </w:r>
    </w:p>
    <w:p>
      <w:pPr>
        <w:pStyle w:val="BodyText"/>
      </w:pPr>
    </w:p>
    <w:p>
      <w:pPr>
        <w:pStyle w:val="BodyText"/>
        <w:spacing w:before="36"/>
      </w:pPr>
    </w:p>
    <w:p>
      <w:pPr>
        <w:spacing w:before="0"/>
        <w:ind w:left="165" w:right="0" w:firstLine="0"/>
        <w:jc w:val="left"/>
        <w:rPr>
          <w:rFonts w:ascii="Arial"/>
          <w:b/>
          <w:sz w:val="18"/>
        </w:rPr>
      </w:pPr>
      <w:r>
        <w:rPr>
          <w:rFonts w:ascii="Arial"/>
          <w:b/>
          <w:sz w:val="18"/>
        </w:rPr>
        <w:t>Availability of estoppel against third </w:t>
      </w:r>
      <w:r>
        <w:rPr>
          <w:rFonts w:ascii="Arial"/>
          <w:b/>
          <w:spacing w:val="-2"/>
          <w:sz w:val="18"/>
        </w:rPr>
        <w:t>parties</w:t>
      </w:r>
    </w:p>
    <w:p>
      <w:pPr>
        <w:pStyle w:val="BodyText"/>
        <w:spacing w:before="41"/>
        <w:rPr>
          <w:rFonts w:ascii="Arial"/>
          <w:b/>
          <w:sz w:val="18"/>
        </w:rPr>
      </w:pPr>
    </w:p>
    <w:p>
      <w:pPr>
        <w:pStyle w:val="Heading2"/>
        <w:spacing w:before="1"/>
      </w:pPr>
      <w:r>
        <w:rPr/>
        <w:t>4-</w:t>
      </w:r>
      <w:r>
        <w:rPr>
          <w:spacing w:val="-5"/>
        </w:rPr>
        <w:t>171</w:t>
      </w:r>
    </w:p>
    <w:p>
      <w:pPr>
        <w:pStyle w:val="BodyText"/>
        <w:spacing w:line="235" w:lineRule="auto" w:before="202"/>
        <w:ind w:left="165" w:right="167"/>
        <w:jc w:val="both"/>
      </w:pPr>
      <w:r>
        <w:rPr/>
        <w:t>Where the circumstances are such as to give rise to an estoppel against the landowner, the estoppel is equally available against a third party who claims later to have obtained title to the land by way of gift from the landowner. </w:t>
      </w:r>
      <w:r>
        <w:rPr>
          <w:color w:val="005DA1"/>
          <w:u w:val="single" w:color="005DA1"/>
          <w:vertAlign w:val="superscript"/>
        </w:rPr>
        <w:t>1134</w:t>
      </w:r>
      <w:r>
        <w:rPr>
          <w:color w:val="005DA1"/>
          <w:vertAlign w:val="baseline"/>
        </w:rPr>
        <w:t> </w:t>
      </w:r>
      <w:r>
        <w:rPr>
          <w:vertAlign w:val="baseline"/>
        </w:rPr>
        <w:t>Proprietary estoppel may also be available against a purchaser from the promisor: e.g. where the purchaser had notice of the promisee’s equity or knew of facts giving rise, under legislation governing land registration, to an overriding interest. </w:t>
      </w:r>
      <w:r>
        <w:rPr>
          <w:color w:val="005DA1"/>
          <w:u w:val="single" w:color="005DA1"/>
          <w:vertAlign w:val="superscript"/>
        </w:rPr>
        <w:t>1135</w:t>
      </w:r>
    </w:p>
    <w:p>
      <w:pPr>
        <w:pStyle w:val="BodyText"/>
      </w:pPr>
    </w:p>
    <w:p>
      <w:pPr>
        <w:pStyle w:val="BodyText"/>
        <w:spacing w:before="37"/>
      </w:pPr>
    </w:p>
    <w:p>
      <w:pPr>
        <w:spacing w:before="0"/>
        <w:ind w:left="165" w:right="0" w:firstLine="0"/>
        <w:jc w:val="left"/>
        <w:rPr>
          <w:rFonts w:ascii="Arial"/>
          <w:b/>
          <w:sz w:val="18"/>
        </w:rPr>
      </w:pPr>
      <w:r>
        <w:rPr>
          <w:rFonts w:ascii="Arial"/>
          <w:b/>
          <w:sz w:val="18"/>
        </w:rPr>
        <w:t>Estoppel may operate </w:t>
      </w:r>
      <w:r>
        <w:rPr>
          <w:rFonts w:ascii="Arial"/>
          <w:b/>
          <w:spacing w:val="-2"/>
          <w:sz w:val="18"/>
        </w:rPr>
        <w:t>conditionally</w:t>
      </w:r>
    </w:p>
    <w:p>
      <w:pPr>
        <w:pStyle w:val="BodyText"/>
        <w:spacing w:before="41"/>
        <w:rPr>
          <w:rFonts w:ascii="Arial"/>
          <w:b/>
          <w:sz w:val="18"/>
        </w:rPr>
      </w:pPr>
    </w:p>
    <w:p>
      <w:pPr>
        <w:pStyle w:val="Heading2"/>
      </w:pPr>
      <w:r>
        <w:rPr/>
        <w:t>4-</w:t>
      </w:r>
      <w:r>
        <w:rPr>
          <w:spacing w:val="-5"/>
        </w:rPr>
        <w:t>172</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58" name="Image 358"/>
            <wp:cNvGraphicFramePr>
              <a:graphicFrameLocks/>
            </wp:cNvGraphicFramePr>
            <a:graphic>
              <a:graphicData uri="http://schemas.openxmlformats.org/drawingml/2006/picture">
                <pic:pic>
                  <pic:nvPicPr>
                    <pic:cNvPr id="358" name="Image 358"/>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estoppel may operate conditionally where the promisee has acted in reliance on the </w:t>
      </w:r>
      <w:r>
        <w:rPr/>
        <w:t>promise but the terms of the promise show that the promisor did not intend to give up his title to the land gratuitously.</w:t>
      </w:r>
      <w:r>
        <w:rPr>
          <w:spacing w:val="-2"/>
        </w:rPr>
        <w:t> </w:t>
      </w:r>
      <w:r>
        <w:rPr/>
        <w:t>This</w:t>
      </w:r>
      <w:r>
        <w:rPr>
          <w:spacing w:val="-2"/>
        </w:rPr>
        <w:t> </w:t>
      </w:r>
      <w:r>
        <w:rPr/>
        <w:t>was</w:t>
      </w:r>
      <w:r>
        <w:rPr>
          <w:spacing w:val="-2"/>
        </w:rPr>
        <w:t> </w:t>
      </w:r>
      <w:r>
        <w:rPr/>
        <w:t>the</w:t>
      </w:r>
      <w:r>
        <w:rPr>
          <w:spacing w:val="-2"/>
        </w:rPr>
        <w:t> </w:t>
      </w:r>
      <w:r>
        <w:rPr/>
        <w:t>position</w:t>
      </w:r>
      <w:r>
        <w:rPr>
          <w:spacing w:val="-2"/>
        </w:rPr>
        <w:t> </w:t>
      </w:r>
      <w:r>
        <w:rPr/>
        <w:t>in</w:t>
      </w:r>
      <w:r>
        <w:rPr>
          <w:spacing w:val="-2"/>
        </w:rPr>
        <w:t> </w:t>
      </w:r>
      <w:r>
        <w:rPr>
          <w:rFonts w:ascii="Arial"/>
          <w:i/>
        </w:rPr>
        <w:t>Lim</w:t>
      </w:r>
      <w:r>
        <w:rPr>
          <w:rFonts w:ascii="Arial"/>
          <w:i/>
          <w:spacing w:val="-2"/>
        </w:rPr>
        <w:t> </w:t>
      </w:r>
      <w:r>
        <w:rPr>
          <w:rFonts w:ascii="Arial"/>
          <w:i/>
        </w:rPr>
        <w:t>Teng</w:t>
      </w:r>
      <w:r>
        <w:rPr>
          <w:rFonts w:ascii="Arial"/>
          <w:i/>
          <w:spacing w:val="-2"/>
        </w:rPr>
        <w:t> </w:t>
      </w:r>
      <w:r>
        <w:rPr>
          <w:rFonts w:ascii="Arial"/>
          <w:i/>
        </w:rPr>
        <w:t>Huan</w:t>
      </w:r>
      <w:r>
        <w:rPr>
          <w:rFonts w:ascii="Arial"/>
          <w:i/>
          <w:spacing w:val="-2"/>
        </w:rPr>
        <w:t> </w:t>
      </w:r>
      <w:r>
        <w:rPr>
          <w:rFonts w:ascii="Arial"/>
          <w:i/>
        </w:rPr>
        <w:t>v</w:t>
      </w:r>
      <w:r>
        <w:rPr>
          <w:rFonts w:ascii="Arial"/>
          <w:i/>
          <w:spacing w:val="-2"/>
        </w:rPr>
        <w:t> </w:t>
      </w:r>
      <w:r>
        <w:rPr>
          <w:rFonts w:ascii="Arial"/>
          <w:i/>
        </w:rPr>
        <w:t>Ang</w:t>
      </w:r>
      <w:r>
        <w:rPr>
          <w:rFonts w:ascii="Arial"/>
          <w:i/>
          <w:spacing w:val="-2"/>
        </w:rPr>
        <w:t> </w:t>
      </w:r>
      <w:r>
        <w:rPr>
          <w:rFonts w:ascii="Arial"/>
          <w:i/>
        </w:rPr>
        <w:t>Swee</w:t>
      </w:r>
      <w:r>
        <w:rPr>
          <w:rFonts w:ascii="Arial"/>
          <w:i/>
          <w:spacing w:val="-2"/>
        </w:rPr>
        <w:t> </w:t>
      </w:r>
      <w:r>
        <w:rPr>
          <w:rFonts w:ascii="Arial"/>
          <w:i/>
        </w:rPr>
        <w:t>Chuan</w:t>
      </w:r>
      <w:r>
        <w:rPr>
          <w:rFonts w:ascii="Arial"/>
          <w:i/>
          <w:spacing w:val="-2"/>
        </w:rPr>
        <w:t> </w:t>
      </w:r>
      <w:r>
        <w:rPr>
          <w:color w:val="005DA1"/>
          <w:u w:val="single" w:color="005DA1"/>
          <w:vertAlign w:val="superscript"/>
        </w:rPr>
        <w:t>1136</w:t>
      </w:r>
      <w:r>
        <w:rPr>
          <w:color w:val="005DA1"/>
          <w:spacing w:val="-2"/>
          <w:vertAlign w:val="baseline"/>
        </w:rPr>
        <w:t> </w:t>
      </w:r>
      <w:r>
        <w:rPr>
          <w:vertAlign w:val="baseline"/>
        </w:rPr>
        <w:t>where</w:t>
      </w:r>
      <w:r>
        <w:rPr>
          <w:spacing w:val="-2"/>
          <w:vertAlign w:val="baseline"/>
        </w:rPr>
        <w:t> </w:t>
      </w:r>
      <w:r>
        <w:rPr>
          <w:vertAlign w:val="baseline"/>
        </w:rPr>
        <w:t>A</w:t>
      </w:r>
      <w:r>
        <w:rPr>
          <w:spacing w:val="-2"/>
          <w:vertAlign w:val="baseline"/>
        </w:rPr>
        <w:t> </w:t>
      </w:r>
      <w:r>
        <w:rPr>
          <w:vertAlign w:val="baseline"/>
        </w:rPr>
        <w:t>built</w:t>
      </w:r>
      <w:r>
        <w:rPr>
          <w:spacing w:val="-2"/>
          <w:vertAlign w:val="baseline"/>
        </w:rPr>
        <w:t> </w:t>
      </w:r>
      <w:r>
        <w:rPr>
          <w:vertAlign w:val="baseline"/>
        </w:rPr>
        <w:t>a</w:t>
      </w:r>
      <w:r>
        <w:rPr>
          <w:spacing w:val="-2"/>
          <w:vertAlign w:val="baseline"/>
        </w:rPr>
        <w:t> </w:t>
      </w:r>
      <w:r>
        <w:rPr>
          <w:vertAlign w:val="baseline"/>
        </w:rPr>
        <w:t>house</w:t>
      </w:r>
      <w:r>
        <w:rPr>
          <w:spacing w:val="-2"/>
          <w:vertAlign w:val="baseline"/>
        </w:rPr>
        <w:t> </w:t>
      </w:r>
      <w:r>
        <w:rPr>
          <w:vertAlign w:val="baseline"/>
        </w:rPr>
        <w:t>on land owned by him jointly with L, who had agreed that he was to have no title to the house and would exchange his share in the land for other land. The arrangement had no contractual force as the other land was not identified with sufficient certainty; and it was held that L was estopped from asserting</w:t>
      </w:r>
      <w:r>
        <w:rPr>
          <w:spacing w:val="40"/>
          <w:vertAlign w:val="baseline"/>
        </w:rPr>
        <w:t> </w:t>
      </w:r>
      <w:r>
        <w:rPr>
          <w:vertAlign w:val="baseline"/>
        </w:rPr>
        <w:t>title</w:t>
      </w:r>
      <w:r>
        <w:rPr>
          <w:spacing w:val="26"/>
          <w:vertAlign w:val="baseline"/>
        </w:rPr>
        <w:t> </w:t>
      </w:r>
      <w:r>
        <w:rPr>
          <w:vertAlign w:val="baseline"/>
        </w:rPr>
        <w:t>to</w:t>
      </w:r>
      <w:r>
        <w:rPr>
          <w:spacing w:val="26"/>
          <w:vertAlign w:val="baseline"/>
        </w:rPr>
        <w:t> </w:t>
      </w:r>
      <w:r>
        <w:rPr>
          <w:vertAlign w:val="baseline"/>
        </w:rPr>
        <w:t>the</w:t>
      </w:r>
      <w:r>
        <w:rPr>
          <w:spacing w:val="26"/>
          <w:vertAlign w:val="baseline"/>
        </w:rPr>
        <w:t> </w:t>
      </w:r>
      <w:r>
        <w:rPr>
          <w:vertAlign w:val="baseline"/>
        </w:rPr>
        <w:t>house</w:t>
      </w:r>
      <w:r>
        <w:rPr>
          <w:spacing w:val="26"/>
          <w:vertAlign w:val="baseline"/>
        </w:rPr>
        <w:t> </w:t>
      </w:r>
      <w:r>
        <w:rPr>
          <w:vertAlign w:val="baseline"/>
        </w:rPr>
        <w:t>but</w:t>
      </w:r>
      <w:r>
        <w:rPr>
          <w:spacing w:val="26"/>
          <w:vertAlign w:val="baseline"/>
        </w:rPr>
        <w:t> </w:t>
      </w:r>
      <w:r>
        <w:rPr>
          <w:vertAlign w:val="baseline"/>
        </w:rPr>
        <w:t>that</w:t>
      </w:r>
      <w:r>
        <w:rPr>
          <w:spacing w:val="26"/>
          <w:vertAlign w:val="baseline"/>
        </w:rPr>
        <w:t> </w:t>
      </w:r>
      <w:r>
        <w:rPr>
          <w:vertAlign w:val="baseline"/>
        </w:rPr>
        <w:t>he</w:t>
      </w:r>
      <w:r>
        <w:rPr>
          <w:spacing w:val="26"/>
          <w:vertAlign w:val="baseline"/>
        </w:rPr>
        <w:t> </w:t>
      </w:r>
      <w:r>
        <w:rPr>
          <w:vertAlign w:val="baseline"/>
        </w:rPr>
        <w:t>was</w:t>
      </w:r>
      <w:r>
        <w:rPr>
          <w:spacing w:val="26"/>
          <w:vertAlign w:val="baseline"/>
        </w:rPr>
        <w:t> </w:t>
      </w:r>
      <w:r>
        <w:rPr>
          <w:vertAlign w:val="baseline"/>
        </w:rPr>
        <w:t>entitled</w:t>
      </w:r>
      <w:r>
        <w:rPr>
          <w:spacing w:val="26"/>
          <w:vertAlign w:val="baseline"/>
        </w:rPr>
        <w:t> </w:t>
      </w:r>
      <w:r>
        <w:rPr>
          <w:vertAlign w:val="baseline"/>
        </w:rPr>
        <w:t>to</w:t>
      </w:r>
      <w:r>
        <w:rPr>
          <w:spacing w:val="26"/>
          <w:vertAlign w:val="baseline"/>
        </w:rPr>
        <w:t> </w:t>
      </w:r>
      <w:r>
        <w:rPr>
          <w:vertAlign w:val="baseline"/>
        </w:rPr>
        <w:t>be</w:t>
      </w:r>
      <w:r>
        <w:rPr>
          <w:spacing w:val="26"/>
          <w:vertAlign w:val="baseline"/>
        </w:rPr>
        <w:t> </w:t>
      </w:r>
      <w:r>
        <w:rPr>
          <w:vertAlign w:val="baseline"/>
        </w:rPr>
        <w:t>compensated</w:t>
      </w:r>
      <w:r>
        <w:rPr>
          <w:spacing w:val="26"/>
          <w:vertAlign w:val="baseline"/>
        </w:rPr>
        <w:t> </w:t>
      </w:r>
      <w:r>
        <w:rPr>
          <w:vertAlign w:val="baseline"/>
        </w:rPr>
        <w:t>for</w:t>
      </w:r>
      <w:r>
        <w:rPr>
          <w:spacing w:val="26"/>
          <w:vertAlign w:val="baseline"/>
        </w:rPr>
        <w:t> </w:t>
      </w:r>
      <w:r>
        <w:rPr>
          <w:vertAlign w:val="baseline"/>
        </w:rPr>
        <w:t>the</w:t>
      </w:r>
      <w:r>
        <w:rPr>
          <w:spacing w:val="26"/>
          <w:vertAlign w:val="baseline"/>
        </w:rPr>
        <w:t> </w:t>
      </w:r>
      <w:r>
        <w:rPr>
          <w:vertAlign w:val="baseline"/>
        </w:rPr>
        <w:t>loss</w:t>
      </w:r>
      <w:r>
        <w:rPr>
          <w:spacing w:val="26"/>
          <w:vertAlign w:val="baseline"/>
        </w:rPr>
        <w:t> </w:t>
      </w:r>
      <w:r>
        <w:rPr>
          <w:vertAlign w:val="baseline"/>
        </w:rPr>
        <w:t>of</w:t>
      </w:r>
      <w:r>
        <w:rPr>
          <w:spacing w:val="26"/>
          <w:vertAlign w:val="baseline"/>
        </w:rPr>
        <w:t> </w:t>
      </w:r>
      <w:r>
        <w:rPr>
          <w:vertAlign w:val="baseline"/>
        </w:rPr>
        <w:t>his</w:t>
      </w:r>
      <w:r>
        <w:rPr>
          <w:spacing w:val="26"/>
          <w:vertAlign w:val="baseline"/>
        </w:rPr>
        <w:t> </w:t>
      </w:r>
      <w:r>
        <w:rPr>
          <w:vertAlign w:val="baseline"/>
        </w:rPr>
        <w:t>share</w:t>
      </w:r>
      <w:r>
        <w:rPr>
          <w:spacing w:val="26"/>
          <w:vertAlign w:val="baseline"/>
        </w:rPr>
        <w:t> </w:t>
      </w:r>
      <w:r>
        <w:rPr>
          <w:vertAlign w:val="baseline"/>
        </w:rPr>
        <w:t>in</w:t>
      </w:r>
      <w:r>
        <w:rPr>
          <w:spacing w:val="26"/>
          <w:vertAlign w:val="baseline"/>
        </w:rPr>
        <w:t> </w:t>
      </w:r>
      <w:r>
        <w:rPr>
          <w:vertAlign w:val="baseline"/>
        </w:rPr>
        <w:t>the</w:t>
      </w:r>
      <w:r>
        <w:rPr>
          <w:spacing w:val="26"/>
          <w:vertAlign w:val="baseline"/>
        </w:rPr>
        <w:t> </w:t>
      </w:r>
      <w:r>
        <w:rPr>
          <w:spacing w:val="-2"/>
          <w:vertAlign w:val="baseline"/>
        </w:rPr>
        <w:t>land.</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Similarly, where the promise is one to allow the promisee access to his own land over that of the promisor, the effect of the proprietary estoppel will be to entitle the promisee to an easement </w:t>
      </w:r>
      <w:r>
        <w:rPr/>
        <w:t>or licence </w:t>
      </w:r>
      <w:r>
        <w:rPr>
          <w:color w:val="005DA1"/>
          <w:u w:val="single" w:color="005DA1"/>
          <w:vertAlign w:val="superscript"/>
        </w:rPr>
        <w:t>1137</w:t>
      </w:r>
      <w:r>
        <w:rPr>
          <w:color w:val="005DA1"/>
          <w:vertAlign w:val="baseline"/>
        </w:rPr>
        <w:t> </w:t>
      </w:r>
      <w:r>
        <w:rPr>
          <w:vertAlign w:val="baseline"/>
        </w:rPr>
        <w:t>which may be subject to terms. Such terms, if not agreed between the parties, may be imposed by the court: they can specify the extent of the permitted user </w:t>
      </w:r>
      <w:r>
        <w:rPr>
          <w:color w:val="005DA1"/>
          <w:u w:val="single" w:color="005DA1"/>
          <w:vertAlign w:val="superscript"/>
        </w:rPr>
        <w:t>1138</w:t>
      </w:r>
      <w:r>
        <w:rPr>
          <w:color w:val="005DA1"/>
          <w:vertAlign w:val="baseline"/>
        </w:rPr>
        <w:t> </w:t>
      </w:r>
      <w:r>
        <w:rPr>
          <w:vertAlign w:val="baseline"/>
        </w:rPr>
        <w:t>as well as any payment that</w:t>
      </w:r>
      <w:r>
        <w:rPr>
          <w:spacing w:val="-2"/>
          <w:vertAlign w:val="baseline"/>
        </w:rPr>
        <w:t> </w:t>
      </w:r>
      <w:r>
        <w:rPr>
          <w:vertAlign w:val="baseline"/>
        </w:rPr>
        <w:t>the</w:t>
      </w:r>
      <w:r>
        <w:rPr>
          <w:spacing w:val="-2"/>
          <w:vertAlign w:val="baseline"/>
        </w:rPr>
        <w:t> </w:t>
      </w:r>
      <w:r>
        <w:rPr>
          <w:vertAlign w:val="baseline"/>
        </w:rPr>
        <w:t>promisee</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required</w:t>
      </w:r>
      <w:r>
        <w:rPr>
          <w:spacing w:val="-2"/>
          <w:vertAlign w:val="baseline"/>
        </w:rPr>
        <w:t> </w:t>
      </w:r>
      <w:r>
        <w:rPr>
          <w:vertAlign w:val="baseline"/>
        </w:rPr>
        <w:t>to</w:t>
      </w:r>
      <w:r>
        <w:rPr>
          <w:spacing w:val="-2"/>
          <w:vertAlign w:val="baseline"/>
        </w:rPr>
        <w:t> </w:t>
      </w:r>
      <w:r>
        <w:rPr>
          <w:vertAlign w:val="baseline"/>
        </w:rPr>
        <w:t>make</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exercise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right.</w:t>
      </w:r>
      <w:r>
        <w:rPr>
          <w:spacing w:val="-2"/>
          <w:vertAlign w:val="baseline"/>
        </w:rPr>
        <w:t> </w:t>
      </w:r>
      <w:r>
        <w:rPr>
          <w:color w:val="005DA1"/>
          <w:u w:val="single" w:color="005DA1"/>
          <w:vertAlign w:val="superscript"/>
        </w:rPr>
        <w:t>1139</w:t>
      </w:r>
      <w:r>
        <w:rPr>
          <w:color w:val="005DA1"/>
          <w:spacing w:val="-2"/>
          <w:vertAlign w:val="baseline"/>
        </w:rPr>
        <w:t> </w:t>
      </w:r>
      <w:r>
        <w:rPr>
          <w:vertAlign w:val="baseline"/>
        </w:rPr>
        <w:t>In</w:t>
      </w:r>
      <w:r>
        <w:rPr>
          <w:spacing w:val="-2"/>
          <w:vertAlign w:val="baseline"/>
        </w:rPr>
        <w:t> </w:t>
      </w:r>
      <w:r>
        <w:rPr>
          <w:rFonts w:ascii="Arial"/>
          <w:i/>
          <w:vertAlign w:val="baseline"/>
        </w:rPr>
        <w:t>Thorner</w:t>
      </w:r>
      <w:r>
        <w:rPr>
          <w:rFonts w:ascii="Arial"/>
          <w:i/>
          <w:spacing w:val="-2"/>
          <w:vertAlign w:val="baseline"/>
        </w:rPr>
        <w:t> </w:t>
      </w:r>
      <w:r>
        <w:rPr>
          <w:rFonts w:ascii="Arial"/>
          <w:i/>
          <w:vertAlign w:val="baseline"/>
        </w:rPr>
        <w:t>v</w:t>
      </w:r>
      <w:r>
        <w:rPr>
          <w:rFonts w:ascii="Arial"/>
          <w:i/>
          <w:spacing w:val="-2"/>
          <w:vertAlign w:val="baseline"/>
        </w:rPr>
        <w:t> </w:t>
      </w:r>
      <w:r>
        <w:rPr>
          <w:rFonts w:ascii="Arial"/>
          <w:i/>
          <w:vertAlign w:val="baseline"/>
        </w:rPr>
        <w:t>Major</w:t>
      </w:r>
      <w:r>
        <w:rPr>
          <w:rFonts w:ascii="Arial"/>
          <w:i/>
          <w:spacing w:val="-2"/>
          <w:vertAlign w:val="baseline"/>
        </w:rPr>
        <w:t> </w:t>
      </w:r>
      <w:r>
        <w:rPr>
          <w:color w:val="005DA1"/>
          <w:u w:val="single" w:color="005DA1"/>
          <w:vertAlign w:val="superscript"/>
        </w:rPr>
        <w:t>1140</w:t>
      </w:r>
      <w:r>
        <w:rPr>
          <w:color w:val="005DA1"/>
          <w:spacing w:val="-2"/>
          <w:vertAlign w:val="baseline"/>
        </w:rPr>
        <w:t> </w:t>
      </w:r>
      <w:r>
        <w:rPr>
          <w:vertAlign w:val="baseline"/>
        </w:rPr>
        <w:t>the order</w:t>
      </w:r>
      <w:r>
        <w:rPr>
          <w:spacing w:val="3"/>
          <w:vertAlign w:val="baseline"/>
        </w:rPr>
        <w:t> </w:t>
      </w:r>
      <w:r>
        <w:rPr>
          <w:vertAlign w:val="baseline"/>
        </w:rPr>
        <w:t>stated</w:t>
      </w:r>
      <w:r>
        <w:rPr>
          <w:spacing w:val="5"/>
          <w:vertAlign w:val="baseline"/>
        </w:rPr>
        <w:t> </w:t>
      </w:r>
      <w:r>
        <w:rPr>
          <w:vertAlign w:val="baseline"/>
        </w:rPr>
        <w:t>that</w:t>
      </w:r>
      <w:r>
        <w:rPr>
          <w:spacing w:val="5"/>
          <w:vertAlign w:val="baseline"/>
        </w:rPr>
        <w:t> </w:t>
      </w:r>
      <w:r>
        <w:rPr>
          <w:vertAlign w:val="baseline"/>
        </w:rPr>
        <w:t>David</w:t>
      </w:r>
      <w:r>
        <w:rPr>
          <w:spacing w:val="5"/>
          <w:vertAlign w:val="baseline"/>
        </w:rPr>
        <w:t> </w:t>
      </w:r>
      <w:r>
        <w:rPr>
          <w:vertAlign w:val="baseline"/>
        </w:rPr>
        <w:t>should</w:t>
      </w:r>
      <w:r>
        <w:rPr>
          <w:spacing w:val="5"/>
          <w:vertAlign w:val="baseline"/>
        </w:rPr>
        <w:t> </w:t>
      </w:r>
      <w:r>
        <w:rPr>
          <w:vertAlign w:val="baseline"/>
        </w:rPr>
        <w:t>receive</w:t>
      </w:r>
      <w:r>
        <w:rPr>
          <w:spacing w:val="5"/>
          <w:vertAlign w:val="baseline"/>
        </w:rPr>
        <w:t> </w:t>
      </w:r>
      <w:r>
        <w:rPr>
          <w:vertAlign w:val="baseline"/>
        </w:rPr>
        <w:t>Steart</w:t>
      </w:r>
      <w:r>
        <w:rPr>
          <w:spacing w:val="5"/>
          <w:vertAlign w:val="baseline"/>
        </w:rPr>
        <w:t> </w:t>
      </w:r>
      <w:r>
        <w:rPr>
          <w:vertAlign w:val="baseline"/>
        </w:rPr>
        <w:t>Farm</w:t>
      </w:r>
      <w:r>
        <w:rPr>
          <w:spacing w:val="5"/>
          <w:vertAlign w:val="baseline"/>
        </w:rPr>
        <w:t> </w:t>
      </w:r>
      <w:r>
        <w:rPr>
          <w:vertAlign w:val="baseline"/>
        </w:rPr>
        <w:t>(and</w:t>
      </w:r>
      <w:r>
        <w:rPr>
          <w:spacing w:val="5"/>
          <w:vertAlign w:val="baseline"/>
        </w:rPr>
        <w:t> </w:t>
      </w:r>
      <w:r>
        <w:rPr>
          <w:vertAlign w:val="baseline"/>
        </w:rPr>
        <w:t>related</w:t>
      </w:r>
      <w:r>
        <w:rPr>
          <w:spacing w:val="5"/>
          <w:vertAlign w:val="baseline"/>
        </w:rPr>
        <w:t> </w:t>
      </w:r>
      <w:r>
        <w:rPr>
          <w:vertAlign w:val="baseline"/>
        </w:rPr>
        <w:t>assets)</w:t>
      </w:r>
      <w:r>
        <w:rPr>
          <w:spacing w:val="5"/>
          <w:vertAlign w:val="baseline"/>
        </w:rPr>
        <w:t> </w:t>
      </w:r>
      <w:r>
        <w:rPr>
          <w:vertAlign w:val="baseline"/>
        </w:rPr>
        <w:t>but</w:t>
      </w:r>
      <w:r>
        <w:rPr>
          <w:spacing w:val="5"/>
          <w:vertAlign w:val="baseline"/>
        </w:rPr>
        <w:t> </w:t>
      </w:r>
      <w:r>
        <w:rPr>
          <w:vertAlign w:val="baseline"/>
        </w:rPr>
        <w:t>required</w:t>
      </w:r>
      <w:r>
        <w:rPr>
          <w:spacing w:val="5"/>
          <w:vertAlign w:val="baseline"/>
        </w:rPr>
        <w:t> </w:t>
      </w:r>
      <w:r>
        <w:rPr>
          <w:vertAlign w:val="baseline"/>
        </w:rPr>
        <w:t>him</w:t>
      </w:r>
      <w:r>
        <w:rPr>
          <w:spacing w:val="5"/>
          <w:vertAlign w:val="baseline"/>
        </w:rPr>
        <w:t> </w:t>
      </w:r>
      <w:r>
        <w:rPr>
          <w:vertAlign w:val="baseline"/>
        </w:rPr>
        <w:t>to</w:t>
      </w:r>
      <w:r>
        <w:rPr>
          <w:spacing w:val="5"/>
          <w:vertAlign w:val="baseline"/>
        </w:rPr>
        <w:t> </w:t>
      </w:r>
      <w:r>
        <w:rPr>
          <w:spacing w:val="-2"/>
          <w:vertAlign w:val="baseline"/>
        </w:rPr>
        <w:t>indemnify</w:t>
      </w:r>
    </w:p>
    <w:p>
      <w:pPr>
        <w:pStyle w:val="BodyText"/>
        <w:spacing w:line="235" w:lineRule="auto" w:before="117"/>
        <w:ind w:left="165" w:right="167"/>
        <w:jc w:val="both"/>
      </w:pPr>
      <w:r>
        <w:rPr/>
        <w:t>Peter’s</w:t>
      </w:r>
      <w:r>
        <w:rPr>
          <w:spacing w:val="-3"/>
        </w:rPr>
        <w:t> </w:t>
      </w:r>
      <w:r>
        <w:rPr/>
        <w:t>personal</w:t>
      </w:r>
      <w:r>
        <w:rPr>
          <w:spacing w:val="-3"/>
        </w:rPr>
        <w:t> </w:t>
      </w:r>
      <w:r>
        <w:rPr/>
        <w:t>representatives</w:t>
      </w:r>
      <w:r>
        <w:rPr>
          <w:spacing w:val="-3"/>
        </w:rPr>
        <w:t> </w:t>
      </w:r>
      <w:r>
        <w:rPr/>
        <w:t>“in</w:t>
      </w:r>
      <w:r>
        <w:rPr>
          <w:spacing w:val="-3"/>
        </w:rPr>
        <w:t> </w:t>
      </w:r>
      <w:r>
        <w:rPr/>
        <w:t>respect</w:t>
      </w:r>
      <w:r>
        <w:rPr>
          <w:spacing w:val="-3"/>
        </w:rPr>
        <w:t> </w:t>
      </w:r>
      <w:r>
        <w:rPr/>
        <w:t>of</w:t>
      </w:r>
      <w:r>
        <w:rPr>
          <w:spacing w:val="-3"/>
        </w:rPr>
        <w:t> </w:t>
      </w:r>
      <w:r>
        <w:rPr/>
        <w:t>inheritance</w:t>
      </w:r>
      <w:r>
        <w:rPr>
          <w:spacing w:val="-3"/>
        </w:rPr>
        <w:t> </w:t>
      </w:r>
      <w:r>
        <w:rPr/>
        <w:t>tax</w:t>
      </w:r>
      <w:r>
        <w:rPr>
          <w:spacing w:val="-3"/>
        </w:rPr>
        <w:t> </w:t>
      </w:r>
      <w:r>
        <w:rPr/>
        <w:t>payable</w:t>
      </w:r>
      <w:r>
        <w:rPr>
          <w:spacing w:val="-3"/>
        </w:rPr>
        <w:t> </w:t>
      </w:r>
      <w:r>
        <w:rPr/>
        <w:t>on</w:t>
      </w:r>
      <w:r>
        <w:rPr>
          <w:spacing w:val="-3"/>
        </w:rPr>
        <w:t> </w:t>
      </w:r>
      <w:r>
        <w:rPr/>
        <w:t>Steart</w:t>
      </w:r>
      <w:r>
        <w:rPr>
          <w:spacing w:val="-3"/>
        </w:rPr>
        <w:t> </w:t>
      </w:r>
      <w:r>
        <w:rPr/>
        <w:t>Farm.”</w:t>
      </w:r>
      <w:r>
        <w:rPr>
          <w:spacing w:val="-4"/>
        </w:rPr>
        <w:t> </w:t>
      </w:r>
      <w:r>
        <w:rPr>
          <w:color w:val="005DA1"/>
          <w:u w:val="single" w:color="005DA1"/>
          <w:vertAlign w:val="superscript"/>
        </w:rPr>
        <w:t>1141</w:t>
      </w:r>
      <w:r>
        <w:rPr>
          <w:color w:val="005DA1"/>
          <w:spacing w:val="80"/>
          <w:vertAlign w:val="baseline"/>
        </w:rPr>
        <w:t> </w:t>
      </w:r>
      <w:r>
        <w:rPr>
          <w:color w:val="005DA1"/>
          <w:spacing w:val="3"/>
          <w:position w:val="-2"/>
          <w:vertAlign w:val="baseline"/>
        </w:rPr>
        <w:drawing>
          <wp:inline distT="0" distB="0" distL="0" distR="0">
            <wp:extent cx="107988" cy="107988"/>
            <wp:effectExtent l="0" t="0" r="0" b="0"/>
            <wp:docPr id="359" name="Image 359"/>
            <wp:cNvGraphicFramePr>
              <a:graphicFrameLocks/>
            </wp:cNvGraphicFramePr>
            <a:graphic>
              <a:graphicData uri="http://schemas.openxmlformats.org/drawingml/2006/picture">
                <pic:pic>
                  <pic:nvPicPr>
                    <pic:cNvPr id="359" name="Image 35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hAnsi="Times New Roman"/>
          <w:color w:val="005DA1"/>
          <w:vertAlign w:val="baseline"/>
        </w:rPr>
        <w:t> </w:t>
      </w:r>
      <w:r>
        <w:rPr>
          <w:vertAlign w:val="baseline"/>
        </w:rPr>
        <w:t>But</w:t>
      </w:r>
      <w:r>
        <w:rPr>
          <w:spacing w:val="-3"/>
          <w:vertAlign w:val="baseline"/>
        </w:rPr>
        <w:t> </w:t>
      </w:r>
      <w:r>
        <w:rPr>
          <w:vertAlign w:val="baseline"/>
        </w:rPr>
        <w:t>an order for a payment by the promisee may not be appropriate where the promisor has already</w:t>
      </w:r>
      <w:r>
        <w:rPr>
          <w:spacing w:val="80"/>
          <w:vertAlign w:val="baseline"/>
        </w:rPr>
        <w:t> </w:t>
      </w:r>
      <w:r>
        <w:rPr>
          <w:vertAlign w:val="baseline"/>
        </w:rPr>
        <w:t>obtained other benefits under the agreement. </w:t>
      </w:r>
      <w:r>
        <w:rPr>
          <w:color w:val="005DA1"/>
          <w:u w:val="single" w:color="005DA1"/>
          <w:vertAlign w:val="superscript"/>
        </w:rPr>
        <w:t>1142</w:t>
      </w:r>
      <w:r>
        <w:rPr>
          <w:color w:val="005DA1"/>
          <w:vertAlign w:val="baseline"/>
        </w:rPr>
        <w:t> </w:t>
      </w:r>
      <w:r>
        <w:rPr>
          <w:vertAlign w:val="baseline"/>
        </w:rPr>
        <w:t>It may also be inappropriate for other reasons to be discussed in para.4-176 below. </w:t>
      </w:r>
      <w:r>
        <w:rPr>
          <w:color w:val="005DA1"/>
          <w:u w:val="single" w:color="005DA1"/>
          <w:vertAlign w:val="superscript"/>
        </w:rPr>
        <w:t>1143</w:t>
      </w:r>
    </w:p>
    <w:p>
      <w:pPr>
        <w:pStyle w:val="BodyText"/>
      </w:pPr>
    </w:p>
    <w:p>
      <w:pPr>
        <w:pStyle w:val="BodyText"/>
        <w:spacing w:before="37"/>
      </w:pPr>
    </w:p>
    <w:p>
      <w:pPr>
        <w:spacing w:before="1"/>
        <w:ind w:left="165" w:right="0" w:firstLine="0"/>
        <w:jc w:val="both"/>
        <w:rPr>
          <w:rFonts w:ascii="Arial"/>
          <w:b/>
          <w:sz w:val="18"/>
        </w:rPr>
      </w:pPr>
      <w:r>
        <w:rPr>
          <w:rFonts w:ascii="Arial"/>
          <w:b/>
          <w:sz w:val="18"/>
        </w:rPr>
        <w:t>Remedy: principled </w:t>
      </w:r>
      <w:r>
        <w:rPr>
          <w:rFonts w:ascii="Arial"/>
          <w:b/>
          <w:spacing w:val="-2"/>
          <w:sz w:val="18"/>
        </w:rPr>
        <w:t>discretion</w:t>
      </w:r>
    </w:p>
    <w:p>
      <w:pPr>
        <w:pStyle w:val="BodyText"/>
        <w:spacing w:before="41"/>
        <w:rPr>
          <w:rFonts w:ascii="Arial"/>
          <w:b/>
          <w:sz w:val="18"/>
        </w:rPr>
      </w:pPr>
    </w:p>
    <w:p>
      <w:pPr>
        <w:pStyle w:val="Heading2"/>
      </w:pPr>
      <w:r>
        <w:rPr/>
        <w:t>4-</w:t>
      </w:r>
      <w:r>
        <w:rPr>
          <w:spacing w:val="-5"/>
        </w:rPr>
        <w:t>173</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remedy in cases of proprietary estoppel is “extremely flexible”, its object being “to do what is equitable in all the circumstances.” </w:t>
      </w:r>
      <w:r>
        <w:rPr>
          <w:color w:val="005DA1"/>
          <w:u w:val="single" w:color="005DA1"/>
          <w:vertAlign w:val="superscript"/>
        </w:rPr>
        <w:t>1144</w:t>
      </w:r>
      <w:r>
        <w:rPr>
          <w:color w:val="005DA1"/>
          <w:vertAlign w:val="baseline"/>
        </w:rPr>
        <w:t> </w:t>
      </w:r>
      <w:r>
        <w:rPr>
          <w:vertAlign w:val="baseline"/>
        </w:rPr>
        <w:t>Although the court thus has a considerable discretion with regard to the remedy in cases of proprietary estoppel, that discretion is not a “completely </w:t>
      </w:r>
      <w:r>
        <w:rPr>
          <w:vertAlign w:val="baseline"/>
        </w:rPr>
        <w:t>unfettered” </w:t>
      </w:r>
      <w:r>
        <w:rPr>
          <w:color w:val="005DA1"/>
          <w:u w:val="single" w:color="005DA1"/>
          <w:vertAlign w:val="superscript"/>
        </w:rPr>
        <w:t>1145</w:t>
      </w:r>
      <w:r>
        <w:rPr>
          <w:color w:val="005DA1"/>
          <w:vertAlign w:val="baseline"/>
        </w:rPr>
        <w:t> </w:t>
      </w:r>
      <w:r>
        <w:rPr>
          <w:vertAlign w:val="baseline"/>
        </w:rPr>
        <w:t>one and a “principled approach” </w:t>
      </w:r>
      <w:r>
        <w:rPr>
          <w:color w:val="005DA1"/>
          <w:u w:val="single" w:color="005DA1"/>
          <w:vertAlign w:val="superscript"/>
        </w:rPr>
        <w:t>1146</w:t>
      </w:r>
      <w:r>
        <w:rPr>
          <w:color w:val="005DA1"/>
          <w:vertAlign w:val="baseline"/>
        </w:rPr>
        <w:t> </w:t>
      </w:r>
      <w:r>
        <w:rPr>
          <w:vertAlign w:val="baseline"/>
        </w:rPr>
        <w:t>must be taken to its exercise. In giving effect to the “equity” </w:t>
      </w:r>
      <w:r>
        <w:rPr>
          <w:color w:val="005DA1"/>
          <w:u w:val="single" w:color="005DA1"/>
          <w:vertAlign w:val="superscript"/>
        </w:rPr>
        <w:t>1147</w:t>
      </w:r>
      <w:r>
        <w:rPr>
          <w:color w:val="005DA1"/>
          <w:vertAlign w:val="baseline"/>
        </w:rPr>
        <w:t> </w:t>
      </w:r>
      <w:r>
        <w:rPr>
          <w:vertAlign w:val="baseline"/>
        </w:rPr>
        <w:t>account must be taken, not only of the claimant’s expectations “but also of the extent of his detrimental</w:t>
      </w:r>
      <w:r>
        <w:rPr>
          <w:spacing w:val="29"/>
          <w:vertAlign w:val="baseline"/>
        </w:rPr>
        <w:t> </w:t>
      </w:r>
      <w:r>
        <w:rPr>
          <w:vertAlign w:val="baseline"/>
        </w:rPr>
        <w:t>reliance”</w:t>
      </w:r>
      <w:r>
        <w:rPr>
          <w:spacing w:val="28"/>
          <w:vertAlign w:val="baseline"/>
        </w:rPr>
        <w:t> </w:t>
      </w:r>
      <w:r>
        <w:rPr>
          <w:color w:val="005DA1"/>
          <w:u w:val="single" w:color="005DA1"/>
          <w:vertAlign w:val="superscript"/>
        </w:rPr>
        <w:t>1148</w:t>
      </w:r>
      <w:r>
        <w:rPr>
          <w:vertAlign w:val="baseline"/>
        </w:rPr>
        <w:t>;</w:t>
      </w:r>
      <w:r>
        <w:rPr>
          <w:spacing w:val="29"/>
          <w:vertAlign w:val="baseline"/>
        </w:rPr>
        <w:t> </w:t>
      </w:r>
      <w:r>
        <w:rPr>
          <w:vertAlign w:val="baseline"/>
        </w:rPr>
        <w:t>and</w:t>
      </w:r>
      <w:r>
        <w:rPr>
          <w:spacing w:val="29"/>
          <w:vertAlign w:val="baseline"/>
        </w:rPr>
        <w:t> </w:t>
      </w:r>
      <w:r>
        <w:rPr>
          <w:vertAlign w:val="baseline"/>
        </w:rPr>
        <w:t>there</w:t>
      </w:r>
      <w:r>
        <w:rPr>
          <w:spacing w:val="29"/>
          <w:vertAlign w:val="baseline"/>
        </w:rPr>
        <w:t> </w:t>
      </w:r>
      <w:r>
        <w:rPr>
          <w:vertAlign w:val="baseline"/>
        </w:rPr>
        <w:t>must</w:t>
      </w:r>
      <w:r>
        <w:rPr>
          <w:spacing w:val="29"/>
          <w:vertAlign w:val="baseline"/>
        </w:rPr>
        <w:t> </w:t>
      </w:r>
      <w:r>
        <w:rPr>
          <w:vertAlign w:val="baseline"/>
        </w:rPr>
        <w:t>also</w:t>
      </w:r>
      <w:r>
        <w:rPr>
          <w:spacing w:val="30"/>
          <w:vertAlign w:val="baseline"/>
        </w:rPr>
        <w:t> </w:t>
      </w:r>
      <w:r>
        <w:rPr>
          <w:vertAlign w:val="baseline"/>
        </w:rPr>
        <w:t>be</w:t>
      </w:r>
      <w:r>
        <w:rPr>
          <w:spacing w:val="29"/>
          <w:vertAlign w:val="baseline"/>
        </w:rPr>
        <w:t> </w:t>
      </w:r>
      <w:r>
        <w:rPr>
          <w:vertAlign w:val="baseline"/>
        </w:rPr>
        <w:t>“proportionality</w:t>
      </w:r>
      <w:r>
        <w:rPr>
          <w:spacing w:val="29"/>
          <w:vertAlign w:val="baseline"/>
        </w:rPr>
        <w:t> </w:t>
      </w:r>
      <w:r>
        <w:rPr>
          <w:vertAlign w:val="baseline"/>
        </w:rPr>
        <w:t>between</w:t>
      </w:r>
      <w:r>
        <w:rPr>
          <w:spacing w:val="29"/>
          <w:vertAlign w:val="baseline"/>
        </w:rPr>
        <w:t> </w:t>
      </w:r>
      <w:r>
        <w:rPr>
          <w:vertAlign w:val="baseline"/>
        </w:rPr>
        <w:t>the</w:t>
      </w:r>
      <w:r>
        <w:rPr>
          <w:spacing w:val="29"/>
          <w:vertAlign w:val="baseline"/>
        </w:rPr>
        <w:t> </w:t>
      </w:r>
      <w:r>
        <w:rPr>
          <w:vertAlign w:val="baseline"/>
        </w:rPr>
        <w:t>expectation</w:t>
      </w:r>
      <w:r>
        <w:rPr>
          <w:spacing w:val="29"/>
          <w:vertAlign w:val="baseline"/>
        </w:rPr>
        <w:t> </w:t>
      </w:r>
      <w:r>
        <w:rPr>
          <w:vertAlign w:val="baseline"/>
        </w:rPr>
        <w:t>and</w:t>
      </w:r>
      <w:r>
        <w:rPr>
          <w:spacing w:val="29"/>
          <w:vertAlign w:val="baseline"/>
        </w:rPr>
        <w:t> </w:t>
      </w:r>
      <w:r>
        <w:rPr>
          <w:spacing w:val="-5"/>
          <w:vertAlign w:val="baseline"/>
        </w:rPr>
        <w:t>the</w:t>
      </w:r>
    </w:p>
    <w:p>
      <w:pPr>
        <w:pStyle w:val="BodyText"/>
        <w:spacing w:line="235" w:lineRule="auto" w:before="118"/>
        <w:ind w:left="164" w:right="167"/>
        <w:jc w:val="both"/>
      </w:pPr>
      <w:r>
        <w:rPr/>
        <w:t>detriment.” </w:t>
      </w:r>
      <w:r>
        <w:rPr>
          <w:color w:val="005DA1"/>
          <w:u w:val="single" w:color="005DA1"/>
          <w:vertAlign w:val="superscript"/>
        </w:rPr>
        <w:t>1149</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361" name="Image 361"/>
            <wp:cNvGraphicFramePr>
              <a:graphicFrameLocks/>
            </wp:cNvGraphicFramePr>
            <a:graphic>
              <a:graphicData uri="http://schemas.openxmlformats.org/drawingml/2006/picture">
                <pic:pic>
                  <pic:nvPicPr>
                    <pic:cNvPr id="361" name="Image 36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40"/>
          <w:vertAlign w:val="baseline"/>
        </w:rPr>
        <w:t> </w:t>
      </w:r>
      <w:r>
        <w:rPr>
          <w:vertAlign w:val="baseline"/>
        </w:rPr>
        <w:t>For the purpose of achieving such “proportionality” regard must be had to </w:t>
      </w:r>
      <w:r>
        <w:rPr>
          <w:vertAlign w:val="baseline"/>
        </w:rPr>
        <w:t>the degree</w:t>
      </w:r>
      <w:r>
        <w:rPr>
          <w:spacing w:val="-1"/>
          <w:vertAlign w:val="baseline"/>
        </w:rPr>
        <w:t> </w:t>
      </w:r>
      <w:r>
        <w:rPr>
          <w:vertAlign w:val="baseline"/>
        </w:rPr>
        <w:t>of</w:t>
      </w:r>
      <w:r>
        <w:rPr>
          <w:spacing w:val="-1"/>
          <w:vertAlign w:val="baseline"/>
        </w:rPr>
        <w:t> </w:t>
      </w:r>
      <w:r>
        <w:rPr>
          <w:vertAlign w:val="baseline"/>
        </w:rPr>
        <w:t>precision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promise</w:t>
      </w:r>
      <w:r>
        <w:rPr>
          <w:spacing w:val="-1"/>
          <w:vertAlign w:val="baseline"/>
        </w:rPr>
        <w:t> </w:t>
      </w:r>
      <w:r>
        <w:rPr>
          <w:vertAlign w:val="baseline"/>
        </w:rPr>
        <w:t>giving</w:t>
      </w:r>
      <w:r>
        <w:rPr>
          <w:spacing w:val="-1"/>
          <w:vertAlign w:val="baseline"/>
        </w:rPr>
        <w:t> </w:t>
      </w:r>
      <w:r>
        <w:rPr>
          <w:vertAlign w:val="baseline"/>
        </w:rPr>
        <w:t>rise</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expectation.</w:t>
      </w:r>
      <w:r>
        <w:rPr>
          <w:spacing w:val="-1"/>
          <w:vertAlign w:val="baseline"/>
        </w:rPr>
        <w:t> </w:t>
      </w:r>
      <w:r>
        <w:rPr>
          <w:vertAlign w:val="baseline"/>
        </w:rPr>
        <w:t>Where</w:t>
      </w:r>
      <w:r>
        <w:rPr>
          <w:spacing w:val="-1"/>
          <w:vertAlign w:val="baseline"/>
        </w:rPr>
        <w:t> </w:t>
      </w:r>
      <w:r>
        <w:rPr>
          <w:vertAlign w:val="baseline"/>
        </w:rPr>
        <w:t>this</w:t>
      </w:r>
      <w:r>
        <w:rPr>
          <w:spacing w:val="-1"/>
          <w:vertAlign w:val="baseline"/>
        </w:rPr>
        <w:t> </w:t>
      </w:r>
      <w:r>
        <w:rPr>
          <w:vertAlign w:val="baseline"/>
        </w:rPr>
        <w:t>amounts</w:t>
      </w:r>
      <w:r>
        <w:rPr>
          <w:spacing w:val="-1"/>
          <w:vertAlign w:val="baseline"/>
        </w:rPr>
        <w:t> </w:t>
      </w:r>
      <w:r>
        <w:rPr>
          <w:vertAlign w:val="baseline"/>
        </w:rPr>
        <w:t>to</w:t>
      </w:r>
      <w:r>
        <w:rPr>
          <w:spacing w:val="-1"/>
          <w:vertAlign w:val="baseline"/>
        </w:rPr>
        <w:t> </w:t>
      </w:r>
      <w:r>
        <w:rPr>
          <w:vertAlign w:val="baseline"/>
        </w:rPr>
        <w:t>an</w:t>
      </w:r>
      <w:r>
        <w:rPr>
          <w:spacing w:val="-1"/>
          <w:vertAlign w:val="baseline"/>
        </w:rPr>
        <w:t> </w:t>
      </w:r>
      <w:r>
        <w:rPr>
          <w:vertAlign w:val="baseline"/>
        </w:rPr>
        <w:t>assurance that an interest in specific property will be transferred in return for specified acts, then an order for the specific enforcement of that promise (once the acts have been done) may be the appropriate remedy. </w:t>
      </w:r>
      <w:r>
        <w:rPr>
          <w:color w:val="005DA1"/>
          <w:u w:val="single" w:color="005DA1"/>
          <w:vertAlign w:val="superscript"/>
        </w:rPr>
        <w:t>1150</w:t>
      </w:r>
      <w:r>
        <w:rPr>
          <w:color w:val="005DA1"/>
          <w:vertAlign w:val="baseline"/>
        </w:rPr>
        <w:t> </w:t>
      </w:r>
      <w:r>
        <w:rPr>
          <w:vertAlign w:val="baseline"/>
        </w:rPr>
        <w:t>Where, on the other hand, the terms of the promise are less precise, amounting only to an assurance</w:t>
      </w:r>
      <w:r>
        <w:rPr>
          <w:spacing w:val="-2"/>
          <w:vertAlign w:val="baseline"/>
        </w:rPr>
        <w:t> </w:t>
      </w:r>
      <w:r>
        <w:rPr>
          <w:vertAlign w:val="baseline"/>
        </w:rPr>
        <w:t>that</w:t>
      </w:r>
      <w:r>
        <w:rPr>
          <w:spacing w:val="-2"/>
          <w:vertAlign w:val="baseline"/>
        </w:rPr>
        <w:t> </w:t>
      </w:r>
      <w:r>
        <w:rPr>
          <w:vertAlign w:val="baseline"/>
        </w:rPr>
        <w:t>some</w:t>
      </w:r>
      <w:r>
        <w:rPr>
          <w:spacing w:val="-2"/>
          <w:vertAlign w:val="baseline"/>
        </w:rPr>
        <w:t> </w:t>
      </w:r>
      <w:r>
        <w:rPr>
          <w:vertAlign w:val="baseline"/>
        </w:rPr>
        <w:t>indeterminate</w:t>
      </w:r>
      <w:r>
        <w:rPr>
          <w:spacing w:val="-2"/>
          <w:vertAlign w:val="baseline"/>
        </w:rPr>
        <w:t> </w:t>
      </w:r>
      <w:r>
        <w:rPr>
          <w:vertAlign w:val="baseline"/>
        </w:rPr>
        <w:t>benefit</w:t>
      </w:r>
      <w:r>
        <w:rPr>
          <w:spacing w:val="-2"/>
          <w:vertAlign w:val="baseline"/>
        </w:rPr>
        <w:t> </w:t>
      </w:r>
      <w:r>
        <w:rPr>
          <w:vertAlign w:val="baseline"/>
        </w:rPr>
        <w:t>will</w:t>
      </w:r>
      <w:r>
        <w:rPr>
          <w:spacing w:val="-2"/>
          <w:vertAlign w:val="baseline"/>
        </w:rPr>
        <w:t> </w:t>
      </w:r>
      <w:r>
        <w:rPr>
          <w:vertAlign w:val="baseline"/>
        </w:rPr>
        <w:t>be</w:t>
      </w:r>
      <w:r>
        <w:rPr>
          <w:spacing w:val="-2"/>
          <w:vertAlign w:val="baseline"/>
        </w:rPr>
        <w:t> </w:t>
      </w:r>
      <w:r>
        <w:rPr>
          <w:vertAlign w:val="baseline"/>
        </w:rPr>
        <w:t>conferred</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promisee,</w:t>
      </w:r>
      <w:r>
        <w:rPr>
          <w:spacing w:val="-2"/>
          <w:vertAlign w:val="baseline"/>
        </w:rPr>
        <w:t> </w:t>
      </w:r>
      <w:r>
        <w:rPr>
          <w:vertAlign w:val="baseline"/>
        </w:rPr>
        <w:t>so</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expectations reasonably arising from it are, at least objectively, uncertain, then the court will not give effect in full to expectations which the promisee may in fact have formed if they are “uncertain or extravagant or out of</w:t>
      </w:r>
      <w:r>
        <w:rPr>
          <w:spacing w:val="-1"/>
          <w:vertAlign w:val="baseline"/>
        </w:rPr>
        <w:t> </w:t>
      </w:r>
      <w:r>
        <w:rPr>
          <w:vertAlign w:val="baseline"/>
        </w:rPr>
        <w:t>all</w:t>
      </w:r>
      <w:r>
        <w:rPr>
          <w:spacing w:val="-1"/>
          <w:vertAlign w:val="baseline"/>
        </w:rPr>
        <w:t> </w:t>
      </w:r>
      <w:r>
        <w:rPr>
          <w:vertAlign w:val="baseline"/>
        </w:rPr>
        <w:t>proportion</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detriment</w:t>
      </w:r>
      <w:r>
        <w:rPr>
          <w:spacing w:val="-1"/>
          <w:vertAlign w:val="baseline"/>
        </w:rPr>
        <w:t> </w:t>
      </w:r>
      <w:r>
        <w:rPr>
          <w:vertAlign w:val="baseline"/>
        </w:rPr>
        <w:t>which</w:t>
      </w:r>
      <w:r>
        <w:rPr>
          <w:spacing w:val="-1"/>
          <w:vertAlign w:val="baseline"/>
        </w:rPr>
        <w:t> </w:t>
      </w:r>
      <w:r>
        <w:rPr>
          <w:vertAlign w:val="baseline"/>
        </w:rPr>
        <w:t>the</w:t>
      </w:r>
      <w:r>
        <w:rPr>
          <w:spacing w:val="-1"/>
          <w:vertAlign w:val="baseline"/>
        </w:rPr>
        <w:t> </w:t>
      </w:r>
      <w:r>
        <w:rPr>
          <w:vertAlign w:val="baseline"/>
        </w:rPr>
        <w:t>claimant</w:t>
      </w:r>
      <w:r>
        <w:rPr>
          <w:spacing w:val="-1"/>
          <w:vertAlign w:val="baseline"/>
        </w:rPr>
        <w:t> </w:t>
      </w:r>
      <w:r>
        <w:rPr>
          <w:vertAlign w:val="baseline"/>
        </w:rPr>
        <w:t>has</w:t>
      </w:r>
      <w:r>
        <w:rPr>
          <w:spacing w:val="-1"/>
          <w:vertAlign w:val="baseline"/>
        </w:rPr>
        <w:t> </w:t>
      </w:r>
      <w:r>
        <w:rPr>
          <w:vertAlign w:val="baseline"/>
        </w:rPr>
        <w:t>suffered.”</w:t>
      </w:r>
      <w:r>
        <w:rPr>
          <w:spacing w:val="-1"/>
          <w:vertAlign w:val="baseline"/>
        </w:rPr>
        <w:t> </w:t>
      </w:r>
      <w:r>
        <w:rPr>
          <w:color w:val="005DA1"/>
          <w:u w:val="single" w:color="005DA1"/>
          <w:vertAlign w:val="superscript"/>
        </w:rPr>
        <w:t>1151</w:t>
      </w:r>
      <w:r>
        <w:rPr>
          <w:color w:val="005DA1"/>
          <w:spacing w:val="-1"/>
          <w:vertAlign w:val="baseline"/>
        </w:rPr>
        <w:t> </w:t>
      </w:r>
      <w:r>
        <w:rPr>
          <w:vertAlign w:val="baseline"/>
        </w:rPr>
        <w:t>In</w:t>
      </w:r>
      <w:r>
        <w:rPr>
          <w:spacing w:val="-1"/>
          <w:vertAlign w:val="baseline"/>
        </w:rPr>
        <w:t> </w:t>
      </w:r>
      <w:r>
        <w:rPr>
          <w:vertAlign w:val="baseline"/>
        </w:rPr>
        <w:t>such</w:t>
      </w:r>
      <w:r>
        <w:rPr>
          <w:spacing w:val="-1"/>
          <w:vertAlign w:val="baseline"/>
        </w:rPr>
        <w:t> </w:t>
      </w:r>
      <w:r>
        <w:rPr>
          <w:vertAlign w:val="baseline"/>
        </w:rPr>
        <w:t>cases,</w:t>
      </w:r>
      <w:r>
        <w:rPr>
          <w:spacing w:val="-1"/>
          <w:vertAlign w:val="baseline"/>
        </w:rPr>
        <w:t> </w:t>
      </w:r>
      <w:r>
        <w:rPr>
          <w:vertAlign w:val="baseline"/>
        </w:rPr>
        <w:t>compensation</w:t>
      </w:r>
      <w:r>
        <w:rPr>
          <w:spacing w:val="-1"/>
          <w:vertAlign w:val="baseline"/>
        </w:rPr>
        <w:t> </w:t>
      </w:r>
      <w:r>
        <w:rPr>
          <w:vertAlign w:val="baseline"/>
        </w:rPr>
        <w:t>in money is likely to be the more appropriate remedy. That compensation must be proportionate to the detriment, but need not be its precise equivalent </w:t>
      </w:r>
      <w:r>
        <w:rPr>
          <w:color w:val="005DA1"/>
          <w:u w:val="single" w:color="005DA1"/>
          <w:vertAlign w:val="superscript"/>
        </w:rPr>
        <w:t>1152</w:t>
      </w:r>
      <w:r>
        <w:rPr>
          <w:vertAlign w:val="baseline"/>
        </w:rPr>
        <w:t>: the fact that the detriment was incurred in response to a promise indicating (though in vague terms) some higher level of recompense is also to be taken into account.</w:t>
      </w:r>
    </w:p>
    <w:p>
      <w:pPr>
        <w:pStyle w:val="BodyText"/>
      </w:pPr>
    </w:p>
    <w:p>
      <w:pPr>
        <w:pStyle w:val="BodyText"/>
        <w:spacing w:before="34"/>
      </w:pPr>
    </w:p>
    <w:p>
      <w:pPr>
        <w:spacing w:before="0"/>
        <w:ind w:left="164" w:right="0" w:firstLine="0"/>
        <w:jc w:val="both"/>
        <w:rPr>
          <w:rFonts w:ascii="Arial"/>
          <w:b/>
          <w:sz w:val="18"/>
        </w:rPr>
      </w:pPr>
      <w:r>
        <w:rPr>
          <w:rFonts w:ascii="Arial"/>
          <w:b/>
          <w:sz w:val="18"/>
        </w:rPr>
        <w:t>Starting point: terms of the </w:t>
      </w:r>
      <w:r>
        <w:rPr>
          <w:rFonts w:ascii="Arial"/>
          <w:b/>
          <w:spacing w:val="-2"/>
          <w:sz w:val="18"/>
        </w:rPr>
        <w:t>promise</w:t>
      </w:r>
    </w:p>
    <w:p>
      <w:pPr>
        <w:pStyle w:val="BodyText"/>
        <w:spacing w:before="41"/>
        <w:rPr>
          <w:rFonts w:ascii="Arial"/>
          <w:b/>
          <w:sz w:val="18"/>
        </w:rPr>
      </w:pPr>
    </w:p>
    <w:p>
      <w:pPr>
        <w:pStyle w:val="Heading2"/>
        <w:ind w:left="164"/>
      </w:pPr>
      <w:r>
        <w:rPr/>
        <w:t>4-</w:t>
      </w:r>
      <w:r>
        <w:rPr>
          <w:spacing w:val="-5"/>
        </w:rPr>
        <w:t>174</w:t>
      </w:r>
    </w:p>
    <w:p>
      <w:pPr>
        <w:pStyle w:val="BodyText"/>
        <w:spacing w:line="235" w:lineRule="auto" w:before="203"/>
        <w:ind w:left="164" w:right="167"/>
        <w:jc w:val="both"/>
      </w:pPr>
      <w:r>
        <w:rPr/>
        <w:t>In exercising its discretion with regard to the proper remedy in cases of proprietary estoppel, the court will obviously take as its starting point the terms of the assurance or promise, as </w:t>
      </w:r>
      <w:r>
        <w:rPr/>
        <w:t>reasonably interpreted by the promisee. Thus in </w:t>
      </w:r>
      <w:r>
        <w:rPr>
          <w:rFonts w:ascii="Arial" w:hAnsi="Arial"/>
          <w:i/>
        </w:rPr>
        <w:t>Thorner v Major </w:t>
      </w:r>
      <w:r>
        <w:rPr>
          <w:color w:val="005DA1"/>
          <w:u w:val="single" w:color="005DA1"/>
          <w:vertAlign w:val="superscript"/>
        </w:rPr>
        <w:t>1153</w:t>
      </w:r>
      <w:r>
        <w:rPr>
          <w:color w:val="005DA1"/>
          <w:vertAlign w:val="baseline"/>
        </w:rPr>
        <w:t> </w:t>
      </w:r>
      <w:r>
        <w:rPr>
          <w:vertAlign w:val="baseline"/>
        </w:rPr>
        <w:t>the promise made by Peter to David was that David would on Peter’s death inherit the farm owned by Peter (Steart Farm). David’s proprietary estoppel</w:t>
      </w:r>
      <w:r>
        <w:rPr>
          <w:spacing w:val="-3"/>
          <w:vertAlign w:val="baseline"/>
        </w:rPr>
        <w:t> </w:t>
      </w:r>
      <w:r>
        <w:rPr>
          <w:vertAlign w:val="baseline"/>
        </w:rPr>
        <w:t>claim</w:t>
      </w:r>
      <w:r>
        <w:rPr>
          <w:spacing w:val="-3"/>
          <w:vertAlign w:val="baseline"/>
        </w:rPr>
        <w:t> </w:t>
      </w:r>
      <w:r>
        <w:rPr>
          <w:vertAlign w:val="baseline"/>
        </w:rPr>
        <w:t>had</w:t>
      </w:r>
      <w:r>
        <w:rPr>
          <w:spacing w:val="-3"/>
          <w:vertAlign w:val="baseline"/>
        </w:rPr>
        <w:t> </w:t>
      </w:r>
      <w:r>
        <w:rPr>
          <w:vertAlign w:val="baseline"/>
        </w:rPr>
        <w:t>originally</w:t>
      </w:r>
      <w:r>
        <w:rPr>
          <w:spacing w:val="-3"/>
          <w:vertAlign w:val="baseline"/>
        </w:rPr>
        <w:t> </w:t>
      </w:r>
      <w:r>
        <w:rPr>
          <w:vertAlign w:val="baseline"/>
        </w:rPr>
        <w:t>extended</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whole</w:t>
      </w:r>
      <w:r>
        <w:rPr>
          <w:spacing w:val="-3"/>
          <w:vertAlign w:val="baseline"/>
        </w:rPr>
        <w:t> </w:t>
      </w:r>
      <w:r>
        <w:rPr>
          <w:vertAlign w:val="baseline"/>
        </w:rPr>
        <w:t>of</w:t>
      </w:r>
      <w:r>
        <w:rPr>
          <w:spacing w:val="-3"/>
          <w:vertAlign w:val="baseline"/>
        </w:rPr>
        <w:t> </w:t>
      </w:r>
      <w:r>
        <w:rPr>
          <w:vertAlign w:val="baseline"/>
        </w:rPr>
        <w:t>Peter’s</w:t>
      </w:r>
      <w:r>
        <w:rPr>
          <w:spacing w:val="-3"/>
          <w:vertAlign w:val="baseline"/>
        </w:rPr>
        <w:t> </w:t>
      </w:r>
      <w:r>
        <w:rPr>
          <w:vertAlign w:val="baseline"/>
        </w:rPr>
        <w:t>net</w:t>
      </w:r>
      <w:r>
        <w:rPr>
          <w:spacing w:val="-3"/>
          <w:vertAlign w:val="baseline"/>
        </w:rPr>
        <w:t> </w:t>
      </w:r>
      <w:r>
        <w:rPr>
          <w:vertAlign w:val="baseline"/>
        </w:rPr>
        <w:t>estate</w:t>
      </w:r>
      <w:r>
        <w:rPr>
          <w:spacing w:val="-4"/>
          <w:vertAlign w:val="baseline"/>
        </w:rPr>
        <w:t> </w:t>
      </w:r>
      <w:r>
        <w:rPr>
          <w:color w:val="005DA1"/>
          <w:u w:val="single" w:color="005DA1"/>
          <w:vertAlign w:val="superscript"/>
        </w:rPr>
        <w:t>1154</w:t>
      </w:r>
      <w:r>
        <w:rPr>
          <w:color w:val="005DA1"/>
          <w:spacing w:val="-3"/>
          <w:vertAlign w:val="baseline"/>
        </w:rPr>
        <w:t> </w:t>
      </w:r>
      <w:r>
        <w:rPr>
          <w:vertAlign w:val="baseline"/>
        </w:rPr>
        <w:t>but</w:t>
      </w:r>
      <w:r>
        <w:rPr>
          <w:spacing w:val="-3"/>
          <w:vertAlign w:val="baseline"/>
        </w:rPr>
        <w:t> </w:t>
      </w:r>
      <w:r>
        <w:rPr>
          <w:vertAlign w:val="baseline"/>
        </w:rPr>
        <w:t>the</w:t>
      </w:r>
      <w:r>
        <w:rPr>
          <w:spacing w:val="-3"/>
          <w:vertAlign w:val="baseline"/>
        </w:rPr>
        <w:t> </w:t>
      </w:r>
      <w:r>
        <w:rPr>
          <w:vertAlign w:val="baseline"/>
        </w:rPr>
        <w:t>order</w:t>
      </w:r>
      <w:r>
        <w:rPr>
          <w:spacing w:val="-3"/>
          <w:vertAlign w:val="baseline"/>
        </w:rPr>
        <w:t> </w:t>
      </w:r>
      <w:r>
        <w:rPr>
          <w:vertAlign w:val="baseline"/>
        </w:rPr>
        <w:t>in</w:t>
      </w:r>
      <w:r>
        <w:rPr>
          <w:spacing w:val="-3"/>
          <w:vertAlign w:val="baseline"/>
        </w:rPr>
        <w:t> </w:t>
      </w:r>
      <w:r>
        <w:rPr>
          <w:vertAlign w:val="baseline"/>
        </w:rPr>
        <w:t>his</w:t>
      </w:r>
      <w:r>
        <w:rPr>
          <w:spacing w:val="-3"/>
          <w:vertAlign w:val="baseline"/>
        </w:rPr>
        <w:t> </w:t>
      </w:r>
      <w:r>
        <w:rPr>
          <w:vertAlign w:val="baseline"/>
        </w:rPr>
        <w:t>favour was</w:t>
      </w:r>
      <w:r>
        <w:rPr>
          <w:spacing w:val="-1"/>
          <w:vertAlign w:val="baseline"/>
        </w:rPr>
        <w:t> </w:t>
      </w:r>
      <w:r>
        <w:rPr>
          <w:vertAlign w:val="baseline"/>
        </w:rPr>
        <w:t>confined</w:t>
      </w:r>
      <w:r>
        <w:rPr>
          <w:spacing w:val="-1"/>
          <w:vertAlign w:val="baseline"/>
        </w:rPr>
        <w:t> </w:t>
      </w:r>
      <w:r>
        <w:rPr>
          <w:vertAlign w:val="baseline"/>
        </w:rPr>
        <w:t>to</w:t>
      </w:r>
      <w:r>
        <w:rPr>
          <w:spacing w:val="-1"/>
          <w:vertAlign w:val="baseline"/>
        </w:rPr>
        <w:t> </w:t>
      </w:r>
      <w:r>
        <w:rPr>
          <w:vertAlign w:val="baseline"/>
        </w:rPr>
        <w:t>Steart</w:t>
      </w:r>
      <w:r>
        <w:rPr>
          <w:spacing w:val="-1"/>
          <w:vertAlign w:val="baseline"/>
        </w:rPr>
        <w:t> </w:t>
      </w:r>
      <w:r>
        <w:rPr>
          <w:vertAlign w:val="baseline"/>
        </w:rPr>
        <w:t>Farm</w:t>
      </w:r>
      <w:r>
        <w:rPr>
          <w:spacing w:val="-1"/>
          <w:vertAlign w:val="baseline"/>
        </w:rPr>
        <w:t> </w:t>
      </w:r>
      <w:r>
        <w:rPr>
          <w:vertAlign w:val="baseline"/>
        </w:rPr>
        <w:t>and</w:t>
      </w:r>
      <w:r>
        <w:rPr>
          <w:spacing w:val="-1"/>
          <w:vertAlign w:val="baseline"/>
        </w:rPr>
        <w:t> </w:t>
      </w:r>
      <w:r>
        <w:rPr>
          <w:vertAlign w:val="baseline"/>
        </w:rPr>
        <w:t>certain</w:t>
      </w:r>
      <w:r>
        <w:rPr>
          <w:spacing w:val="-1"/>
          <w:vertAlign w:val="baseline"/>
        </w:rPr>
        <w:t> </w:t>
      </w:r>
      <w:r>
        <w:rPr>
          <w:vertAlign w:val="baseline"/>
        </w:rPr>
        <w:t>related</w:t>
      </w:r>
      <w:r>
        <w:rPr>
          <w:spacing w:val="-1"/>
          <w:vertAlign w:val="baseline"/>
        </w:rPr>
        <w:t> </w:t>
      </w:r>
      <w:r>
        <w:rPr>
          <w:vertAlign w:val="baseline"/>
        </w:rPr>
        <w:t>assets.</w:t>
      </w:r>
      <w:r>
        <w:rPr>
          <w:spacing w:val="-1"/>
          <w:vertAlign w:val="baseline"/>
        </w:rPr>
        <w:t> </w:t>
      </w:r>
      <w:r>
        <w:rPr>
          <w:color w:val="005DA1"/>
          <w:u w:val="single" w:color="005DA1"/>
          <w:vertAlign w:val="superscript"/>
        </w:rPr>
        <w:t>1155</w:t>
      </w:r>
      <w:r>
        <w:rPr>
          <w:color w:val="005DA1"/>
          <w:spacing w:val="-1"/>
          <w:vertAlign w:val="baseline"/>
        </w:rPr>
        <w:t> </w:t>
      </w:r>
      <w:r>
        <w:rPr>
          <w:vertAlign w:val="baseline"/>
        </w:rPr>
        <w:t>Peter</w:t>
      </w:r>
      <w:r>
        <w:rPr>
          <w:spacing w:val="-1"/>
          <w:vertAlign w:val="baseline"/>
        </w:rPr>
        <w:t> </w:t>
      </w:r>
      <w:r>
        <w:rPr>
          <w:vertAlign w:val="baseline"/>
        </w:rPr>
        <w:t>had</w:t>
      </w:r>
      <w:r>
        <w:rPr>
          <w:spacing w:val="-1"/>
          <w:vertAlign w:val="baseline"/>
        </w:rPr>
        <w:t> </w:t>
      </w:r>
      <w:r>
        <w:rPr>
          <w:vertAlign w:val="baseline"/>
        </w:rPr>
        <w:t>indeed</w:t>
      </w:r>
      <w:r>
        <w:rPr>
          <w:spacing w:val="-1"/>
          <w:vertAlign w:val="baseline"/>
        </w:rPr>
        <w:t> </w:t>
      </w:r>
      <w:r>
        <w:rPr>
          <w:vertAlign w:val="baseline"/>
        </w:rPr>
        <w:t>at</w:t>
      </w:r>
      <w:r>
        <w:rPr>
          <w:spacing w:val="-1"/>
          <w:vertAlign w:val="baseline"/>
        </w:rPr>
        <w:t> </w:t>
      </w:r>
      <w:r>
        <w:rPr>
          <w:vertAlign w:val="baseline"/>
        </w:rPr>
        <w:t>one</w:t>
      </w:r>
      <w:r>
        <w:rPr>
          <w:spacing w:val="-1"/>
          <w:vertAlign w:val="baseline"/>
        </w:rPr>
        <w:t> </w:t>
      </w:r>
      <w:r>
        <w:rPr>
          <w:vertAlign w:val="baseline"/>
        </w:rPr>
        <w:t>stage</w:t>
      </w:r>
      <w:r>
        <w:rPr>
          <w:spacing w:val="-1"/>
          <w:vertAlign w:val="baseline"/>
        </w:rPr>
        <w:t> </w:t>
      </w:r>
      <w:r>
        <w:rPr>
          <w:vertAlign w:val="baseline"/>
        </w:rPr>
        <w:t>made</w:t>
      </w:r>
      <w:r>
        <w:rPr>
          <w:spacing w:val="-1"/>
          <w:vertAlign w:val="baseline"/>
        </w:rPr>
        <w:t> </w:t>
      </w:r>
      <w:r>
        <w:rPr>
          <w:vertAlign w:val="baseline"/>
        </w:rPr>
        <w:t>(and then revoked) a will leaving the whole of his residuary estate to David but as “David knew nothing about this” </w:t>
      </w:r>
      <w:r>
        <w:rPr>
          <w:color w:val="005DA1"/>
          <w:u w:val="single" w:color="005DA1"/>
          <w:vertAlign w:val="superscript"/>
        </w:rPr>
        <w:t>1156</w:t>
      </w:r>
      <w:r>
        <w:rPr>
          <w:color w:val="005DA1"/>
          <w:vertAlign w:val="baseline"/>
        </w:rPr>
        <w:t> </w:t>
      </w:r>
      <w:r>
        <w:rPr>
          <w:vertAlign w:val="baseline"/>
        </w:rPr>
        <w:t>the estoppel did not extend to parts of that estate unconnected with the farm.</w:t>
      </w:r>
    </w:p>
    <w:p>
      <w:pPr>
        <w:pStyle w:val="BodyText"/>
      </w:pPr>
    </w:p>
    <w:p>
      <w:pPr>
        <w:pStyle w:val="BodyText"/>
        <w:spacing w:before="35"/>
      </w:pPr>
    </w:p>
    <w:p>
      <w:pPr>
        <w:spacing w:before="0"/>
        <w:ind w:left="165" w:right="0" w:firstLine="0"/>
        <w:jc w:val="left"/>
        <w:rPr>
          <w:rFonts w:ascii="Arial"/>
          <w:b/>
          <w:sz w:val="18"/>
        </w:rPr>
      </w:pPr>
      <w:r>
        <w:rPr>
          <w:rFonts w:ascii="Arial"/>
          <w:b/>
          <w:sz w:val="18"/>
        </w:rPr>
        <w:t>Illustrations of exercise of the </w:t>
      </w:r>
      <w:r>
        <w:rPr>
          <w:rFonts w:ascii="Arial"/>
          <w:b/>
          <w:spacing w:val="-2"/>
          <w:sz w:val="18"/>
        </w:rPr>
        <w:t>discretion</w:t>
      </w:r>
    </w:p>
    <w:p>
      <w:pPr>
        <w:pStyle w:val="BodyText"/>
        <w:spacing w:before="42"/>
        <w:rPr>
          <w:rFonts w:ascii="Arial"/>
          <w:b/>
          <w:sz w:val="18"/>
        </w:rPr>
      </w:pPr>
    </w:p>
    <w:p>
      <w:pPr>
        <w:pStyle w:val="Heading2"/>
      </w:pPr>
      <w:r>
        <w:rPr/>
        <w:t>4-</w:t>
      </w:r>
      <w:r>
        <w:rPr>
          <w:spacing w:val="-5"/>
        </w:rPr>
        <w:t>175</w:t>
      </w:r>
    </w:p>
    <w:p>
      <w:pPr>
        <w:pStyle w:val="BodyText"/>
        <w:spacing w:line="235" w:lineRule="auto" w:before="202"/>
        <w:ind w:left="165" w:right="167"/>
        <w:jc w:val="both"/>
      </w:pPr>
      <w:r>
        <w:rPr/>
        <w:t>The</w:t>
      </w:r>
      <w:r>
        <w:rPr>
          <w:spacing w:val="-2"/>
        </w:rPr>
        <w:t> </w:t>
      </w:r>
      <w:r>
        <w:rPr/>
        <w:t>balancing</w:t>
      </w:r>
      <w:r>
        <w:rPr>
          <w:spacing w:val="-2"/>
        </w:rPr>
        <w:t> </w:t>
      </w:r>
      <w:r>
        <w:rPr/>
        <w:t>of</w:t>
      </w:r>
      <w:r>
        <w:rPr>
          <w:spacing w:val="-2"/>
        </w:rPr>
        <w:t> </w:t>
      </w:r>
      <w:r>
        <w:rPr/>
        <w:t>the</w:t>
      </w:r>
      <w:r>
        <w:rPr>
          <w:spacing w:val="-2"/>
        </w:rPr>
        <w:t> </w:t>
      </w:r>
      <w:r>
        <w:rPr/>
        <w:t>factors</w:t>
      </w:r>
      <w:r>
        <w:rPr>
          <w:spacing w:val="-2"/>
        </w:rPr>
        <w:t> </w:t>
      </w:r>
      <w:r>
        <w:rPr/>
        <w:t>discussed</w:t>
      </w:r>
      <w:r>
        <w:rPr>
          <w:spacing w:val="-2"/>
        </w:rPr>
        <w:t> </w:t>
      </w:r>
      <w:r>
        <w:rPr/>
        <w:t>in</w:t>
      </w:r>
      <w:r>
        <w:rPr>
          <w:spacing w:val="-2"/>
        </w:rPr>
        <w:t> </w:t>
      </w:r>
      <w:r>
        <w:rPr/>
        <w:t>paragraph</w:t>
      </w:r>
      <w:r>
        <w:rPr>
          <w:spacing w:val="-2"/>
        </w:rPr>
        <w:t> </w:t>
      </w:r>
      <w:r>
        <w:rPr/>
        <w:t>4-173</w:t>
      </w:r>
      <w:r>
        <w:rPr>
          <w:spacing w:val="-2"/>
        </w:rPr>
        <w:t> </w:t>
      </w:r>
      <w:r>
        <w:rPr/>
        <w:t>above</w:t>
      </w:r>
      <w:r>
        <w:rPr>
          <w:spacing w:val="-2"/>
        </w:rPr>
        <w:t> </w:t>
      </w:r>
      <w:r>
        <w:rPr/>
        <w:t>is</w:t>
      </w:r>
      <w:r>
        <w:rPr>
          <w:spacing w:val="-2"/>
        </w:rPr>
        <w:t> </w:t>
      </w:r>
      <w:r>
        <w:rPr/>
        <w:t>well</w:t>
      </w:r>
      <w:r>
        <w:rPr>
          <w:spacing w:val="-2"/>
        </w:rPr>
        <w:t> </w:t>
      </w:r>
      <w:r>
        <w:rPr/>
        <w:t>illustrated</w:t>
      </w:r>
      <w:r>
        <w:rPr>
          <w:spacing w:val="-2"/>
        </w:rPr>
        <w:t> </w:t>
      </w:r>
      <w:r>
        <w:rPr/>
        <w:t>by</w:t>
      </w:r>
      <w:r>
        <w:rPr>
          <w:spacing w:val="-3"/>
        </w:rPr>
        <w:t> </w:t>
      </w:r>
      <w:r>
        <w:rPr>
          <w:rFonts w:ascii="Arial" w:hAnsi="Arial"/>
          <w:i/>
        </w:rPr>
        <w:t>Jennings</w:t>
      </w:r>
      <w:r>
        <w:rPr>
          <w:rFonts w:ascii="Arial" w:hAnsi="Arial"/>
          <w:i/>
          <w:spacing w:val="-2"/>
        </w:rPr>
        <w:t> </w:t>
      </w:r>
      <w:r>
        <w:rPr>
          <w:rFonts w:ascii="Arial" w:hAnsi="Arial"/>
          <w:i/>
        </w:rPr>
        <w:t>v</w:t>
      </w:r>
      <w:r>
        <w:rPr>
          <w:rFonts w:ascii="Arial" w:hAnsi="Arial"/>
          <w:i/>
          <w:spacing w:val="-2"/>
        </w:rPr>
        <w:t> </w:t>
      </w:r>
      <w:r>
        <w:rPr>
          <w:rFonts w:ascii="Arial" w:hAnsi="Arial"/>
          <w:i/>
        </w:rPr>
        <w:t>Rice </w:t>
      </w:r>
      <w:r>
        <w:rPr>
          <w:color w:val="005DA1"/>
          <w:u w:val="single" w:color="005DA1"/>
          <w:vertAlign w:val="superscript"/>
        </w:rPr>
        <w:t>1157</w:t>
      </w:r>
      <w:r>
        <w:rPr>
          <w:color w:val="005DA1"/>
          <w:vertAlign w:val="baseline"/>
        </w:rPr>
        <w:t> </w:t>
      </w:r>
      <w:r>
        <w:rPr>
          <w:vertAlign w:val="baseline"/>
        </w:rPr>
        <w:t>where for some 17 years the claimant had worked as gardener-handyman for an elderly </w:t>
      </w:r>
      <w:r>
        <w:rPr>
          <w:vertAlign w:val="baseline"/>
        </w:rPr>
        <w:t>widow without pay and had also provided personal care for her in the years of increasing frailty towards the end</w:t>
      </w:r>
      <w:r>
        <w:rPr>
          <w:spacing w:val="11"/>
          <w:vertAlign w:val="baseline"/>
        </w:rPr>
        <w:t> </w:t>
      </w:r>
      <w:r>
        <w:rPr>
          <w:vertAlign w:val="baseline"/>
        </w:rPr>
        <w:t>of</w:t>
      </w:r>
      <w:r>
        <w:rPr>
          <w:spacing w:val="11"/>
          <w:vertAlign w:val="baseline"/>
        </w:rPr>
        <w:t> </w:t>
      </w:r>
      <w:r>
        <w:rPr>
          <w:vertAlign w:val="baseline"/>
        </w:rPr>
        <w:t>her</w:t>
      </w:r>
      <w:r>
        <w:rPr>
          <w:spacing w:val="11"/>
          <w:vertAlign w:val="baseline"/>
        </w:rPr>
        <w:t> </w:t>
      </w:r>
      <w:r>
        <w:rPr>
          <w:vertAlign w:val="baseline"/>
        </w:rPr>
        <w:t>life.</w:t>
      </w:r>
      <w:r>
        <w:rPr>
          <w:spacing w:val="11"/>
          <w:vertAlign w:val="baseline"/>
        </w:rPr>
        <w:t> </w:t>
      </w:r>
      <w:r>
        <w:rPr>
          <w:vertAlign w:val="baseline"/>
        </w:rPr>
        <w:t>He</w:t>
      </w:r>
      <w:r>
        <w:rPr>
          <w:spacing w:val="11"/>
          <w:vertAlign w:val="baseline"/>
        </w:rPr>
        <w:t> </w:t>
      </w:r>
      <w:r>
        <w:rPr>
          <w:vertAlign w:val="baseline"/>
        </w:rPr>
        <w:t>had</w:t>
      </w:r>
      <w:r>
        <w:rPr>
          <w:spacing w:val="11"/>
          <w:vertAlign w:val="baseline"/>
        </w:rPr>
        <w:t> </w:t>
      </w:r>
      <w:r>
        <w:rPr>
          <w:vertAlign w:val="baseline"/>
        </w:rPr>
        <w:t>done</w:t>
      </w:r>
      <w:r>
        <w:rPr>
          <w:spacing w:val="11"/>
          <w:vertAlign w:val="baseline"/>
        </w:rPr>
        <w:t> </w:t>
      </w:r>
      <w:r>
        <w:rPr>
          <w:vertAlign w:val="baseline"/>
        </w:rPr>
        <w:t>so</w:t>
      </w:r>
      <w:r>
        <w:rPr>
          <w:spacing w:val="11"/>
          <w:vertAlign w:val="baseline"/>
        </w:rPr>
        <w:t> </w:t>
      </w:r>
      <w:r>
        <w:rPr>
          <w:vertAlign w:val="baseline"/>
        </w:rPr>
        <w:t>in</w:t>
      </w:r>
      <w:r>
        <w:rPr>
          <w:spacing w:val="11"/>
          <w:vertAlign w:val="baseline"/>
        </w:rPr>
        <w:t> </w:t>
      </w:r>
      <w:r>
        <w:rPr>
          <w:vertAlign w:val="baseline"/>
        </w:rPr>
        <w:t>response</w:t>
      </w:r>
      <w:r>
        <w:rPr>
          <w:spacing w:val="11"/>
          <w:vertAlign w:val="baseline"/>
        </w:rPr>
        <w:t> </w:t>
      </w:r>
      <w:r>
        <w:rPr>
          <w:vertAlign w:val="baseline"/>
        </w:rPr>
        <w:t>to</w:t>
      </w:r>
      <w:r>
        <w:rPr>
          <w:spacing w:val="11"/>
          <w:vertAlign w:val="baseline"/>
        </w:rPr>
        <w:t> </w:t>
      </w:r>
      <w:r>
        <w:rPr>
          <w:vertAlign w:val="baseline"/>
        </w:rPr>
        <w:t>her</w:t>
      </w:r>
      <w:r>
        <w:rPr>
          <w:spacing w:val="11"/>
          <w:vertAlign w:val="baseline"/>
        </w:rPr>
        <w:t> </w:t>
      </w:r>
      <w:r>
        <w:rPr>
          <w:vertAlign w:val="baseline"/>
        </w:rPr>
        <w:t>statements</w:t>
      </w:r>
      <w:r>
        <w:rPr>
          <w:spacing w:val="11"/>
          <w:vertAlign w:val="baseline"/>
        </w:rPr>
        <w:t> </w:t>
      </w:r>
      <w:r>
        <w:rPr>
          <w:vertAlign w:val="baseline"/>
        </w:rPr>
        <w:t>that</w:t>
      </w:r>
      <w:r>
        <w:rPr>
          <w:spacing w:val="11"/>
          <w:vertAlign w:val="baseline"/>
        </w:rPr>
        <w:t> </w:t>
      </w:r>
      <w:r>
        <w:rPr>
          <w:vertAlign w:val="baseline"/>
        </w:rPr>
        <w:t>“he</w:t>
      </w:r>
      <w:r>
        <w:rPr>
          <w:spacing w:val="11"/>
          <w:vertAlign w:val="baseline"/>
        </w:rPr>
        <w:t> </w:t>
      </w:r>
      <w:r>
        <w:rPr>
          <w:vertAlign w:val="baseline"/>
        </w:rPr>
        <w:t>would</w:t>
      </w:r>
      <w:r>
        <w:rPr>
          <w:spacing w:val="11"/>
          <w:vertAlign w:val="baseline"/>
        </w:rPr>
        <w:t> </w:t>
      </w:r>
      <w:r>
        <w:rPr>
          <w:vertAlign w:val="baseline"/>
        </w:rPr>
        <w:t>be</w:t>
      </w:r>
      <w:r>
        <w:rPr>
          <w:spacing w:val="11"/>
          <w:vertAlign w:val="baseline"/>
        </w:rPr>
        <w:t> </w:t>
      </w:r>
      <w:r>
        <w:rPr>
          <w:vertAlign w:val="baseline"/>
        </w:rPr>
        <w:t>alright”</w:t>
      </w:r>
      <w:r>
        <w:rPr>
          <w:spacing w:val="11"/>
          <w:vertAlign w:val="baseline"/>
        </w:rPr>
        <w:t> </w:t>
      </w:r>
      <w:r>
        <w:rPr>
          <w:vertAlign w:val="baseline"/>
        </w:rPr>
        <w:t>and</w:t>
      </w:r>
      <w:r>
        <w:rPr>
          <w:spacing w:val="11"/>
          <w:vertAlign w:val="baseline"/>
        </w:rPr>
        <w:t> </w:t>
      </w:r>
      <w:r>
        <w:rPr>
          <w:vertAlign w:val="baseline"/>
        </w:rPr>
        <w:t>that</w:t>
      </w:r>
      <w:r>
        <w:rPr>
          <w:spacing w:val="11"/>
          <w:vertAlign w:val="baseline"/>
        </w:rPr>
        <w:t> </w:t>
      </w:r>
      <w:r>
        <w:rPr>
          <w:spacing w:val="-4"/>
          <w:vertAlign w:val="baseline"/>
        </w:rPr>
        <w:t>“all</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this will be yours one day”. </w:t>
      </w:r>
      <w:r>
        <w:rPr>
          <w:color w:val="005DA1"/>
          <w:u w:val="single" w:color="005DA1"/>
          <w:vertAlign w:val="superscript"/>
        </w:rPr>
        <w:t>1158</w:t>
      </w:r>
      <w:r>
        <w:rPr>
          <w:color w:val="005DA1"/>
          <w:vertAlign w:val="baseline"/>
        </w:rPr>
        <w:t> </w:t>
      </w:r>
      <w:r>
        <w:rPr>
          <w:vertAlign w:val="baseline"/>
        </w:rPr>
        <w:t>The latter statement referred to her house and its contents, valued </w:t>
      </w:r>
      <w:r>
        <w:rPr>
          <w:vertAlign w:val="baseline"/>
        </w:rPr>
        <w:t>on her</w:t>
      </w:r>
      <w:r>
        <w:rPr>
          <w:spacing w:val="6"/>
          <w:vertAlign w:val="baseline"/>
        </w:rPr>
        <w:t> </w:t>
      </w:r>
      <w:r>
        <w:rPr>
          <w:vertAlign w:val="baseline"/>
        </w:rPr>
        <w:t>death</w:t>
      </w:r>
      <w:r>
        <w:rPr>
          <w:spacing w:val="6"/>
          <w:vertAlign w:val="baseline"/>
        </w:rPr>
        <w:t> </w:t>
      </w:r>
      <w:r>
        <w:rPr>
          <w:vertAlign w:val="baseline"/>
        </w:rPr>
        <w:t>at</w:t>
      </w:r>
      <w:r>
        <w:rPr>
          <w:spacing w:val="6"/>
          <w:vertAlign w:val="baseline"/>
        </w:rPr>
        <w:t> </w:t>
      </w:r>
      <w:r>
        <w:rPr>
          <w:vertAlign w:val="baseline"/>
        </w:rPr>
        <w:t>£435,000</w:t>
      </w:r>
      <w:r>
        <w:rPr>
          <w:spacing w:val="6"/>
          <w:vertAlign w:val="baseline"/>
        </w:rPr>
        <w:t> </w:t>
      </w:r>
      <w:r>
        <w:rPr>
          <w:vertAlign w:val="baseline"/>
        </w:rPr>
        <w:t>out</w:t>
      </w:r>
      <w:r>
        <w:rPr>
          <w:spacing w:val="6"/>
          <w:vertAlign w:val="baseline"/>
        </w:rPr>
        <w:t> </w:t>
      </w:r>
      <w:r>
        <w:rPr>
          <w:vertAlign w:val="baseline"/>
        </w:rPr>
        <w:t>of</w:t>
      </w:r>
      <w:r>
        <w:rPr>
          <w:spacing w:val="6"/>
          <w:vertAlign w:val="baseline"/>
        </w:rPr>
        <w:t> </w:t>
      </w:r>
      <w:r>
        <w:rPr>
          <w:vertAlign w:val="baseline"/>
        </w:rPr>
        <w:t>a</w:t>
      </w:r>
      <w:r>
        <w:rPr>
          <w:spacing w:val="6"/>
          <w:vertAlign w:val="baseline"/>
        </w:rPr>
        <w:t> </w:t>
      </w:r>
      <w:r>
        <w:rPr>
          <w:vertAlign w:val="baseline"/>
        </w:rPr>
        <w:t>total</w:t>
      </w:r>
      <w:r>
        <w:rPr>
          <w:spacing w:val="6"/>
          <w:vertAlign w:val="baseline"/>
        </w:rPr>
        <w:t> </w:t>
      </w:r>
      <w:r>
        <w:rPr>
          <w:vertAlign w:val="baseline"/>
        </w:rPr>
        <w:t>estate</w:t>
      </w:r>
      <w:r>
        <w:rPr>
          <w:spacing w:val="6"/>
          <w:vertAlign w:val="baseline"/>
        </w:rPr>
        <w:t> </w:t>
      </w:r>
      <w:r>
        <w:rPr>
          <w:vertAlign w:val="baseline"/>
        </w:rPr>
        <w:t>of</w:t>
      </w:r>
      <w:r>
        <w:rPr>
          <w:spacing w:val="6"/>
          <w:vertAlign w:val="baseline"/>
        </w:rPr>
        <w:t> </w:t>
      </w:r>
      <w:r>
        <w:rPr>
          <w:vertAlign w:val="baseline"/>
        </w:rPr>
        <w:t>£1.285</w:t>
      </w:r>
      <w:r>
        <w:rPr>
          <w:spacing w:val="6"/>
          <w:vertAlign w:val="baseline"/>
        </w:rPr>
        <w:t> </w:t>
      </w:r>
      <w:r>
        <w:rPr>
          <w:vertAlign w:val="baseline"/>
        </w:rPr>
        <w:t>million.</w:t>
      </w:r>
      <w:r>
        <w:rPr>
          <w:spacing w:val="6"/>
          <w:vertAlign w:val="baseline"/>
        </w:rPr>
        <w:t> </w:t>
      </w:r>
      <w:r>
        <w:rPr>
          <w:vertAlign w:val="baseline"/>
        </w:rPr>
        <w:t>The</w:t>
      </w:r>
      <w:r>
        <w:rPr>
          <w:spacing w:val="6"/>
          <w:vertAlign w:val="baseline"/>
        </w:rPr>
        <w:t> </w:t>
      </w:r>
      <w:r>
        <w:rPr>
          <w:vertAlign w:val="baseline"/>
        </w:rPr>
        <w:t>Court</w:t>
      </w:r>
      <w:r>
        <w:rPr>
          <w:spacing w:val="6"/>
          <w:vertAlign w:val="baseline"/>
        </w:rPr>
        <w:t> </w:t>
      </w:r>
      <w:r>
        <w:rPr>
          <w:vertAlign w:val="baseline"/>
        </w:rPr>
        <w:t>of</w:t>
      </w:r>
      <w:r>
        <w:rPr>
          <w:spacing w:val="6"/>
          <w:vertAlign w:val="baseline"/>
        </w:rPr>
        <w:t> </w:t>
      </w:r>
      <w:r>
        <w:rPr>
          <w:vertAlign w:val="baseline"/>
        </w:rPr>
        <w:t>Appeal</w:t>
      </w:r>
      <w:r>
        <w:rPr>
          <w:spacing w:val="6"/>
          <w:vertAlign w:val="baseline"/>
        </w:rPr>
        <w:t> </w:t>
      </w:r>
      <w:r>
        <w:rPr>
          <w:vertAlign w:val="baseline"/>
        </w:rPr>
        <w:t>upheld</w:t>
      </w:r>
      <w:r>
        <w:rPr>
          <w:spacing w:val="6"/>
          <w:vertAlign w:val="baseline"/>
        </w:rPr>
        <w:t> </w:t>
      </w:r>
      <w:r>
        <w:rPr>
          <w:vertAlign w:val="baseline"/>
        </w:rPr>
        <w:t>an</w:t>
      </w:r>
      <w:r>
        <w:rPr>
          <w:spacing w:val="6"/>
          <w:vertAlign w:val="baseline"/>
        </w:rPr>
        <w:t> </w:t>
      </w:r>
      <w:r>
        <w:rPr>
          <w:vertAlign w:val="baseline"/>
        </w:rPr>
        <w:t>award</w:t>
      </w:r>
      <w:r>
        <w:rPr>
          <w:spacing w:val="6"/>
          <w:vertAlign w:val="baseline"/>
        </w:rPr>
        <w:t> </w:t>
      </w:r>
      <w:r>
        <w:rPr>
          <w:spacing w:val="-5"/>
          <w:vertAlign w:val="baseline"/>
        </w:rPr>
        <w:t>of</w:t>
      </w:r>
    </w:p>
    <w:p>
      <w:pPr>
        <w:pStyle w:val="BodyText"/>
        <w:spacing w:line="235" w:lineRule="auto"/>
        <w:ind w:left="164" w:right="167"/>
        <w:jc w:val="both"/>
      </w:pPr>
      <w:r>
        <w:rPr/>
        <w:t>£200,000 as being properly proportionate to the detriment suffered by the claimant in reliance on </w:t>
      </w:r>
      <w:r>
        <w:rPr/>
        <w:t>the assurances given to him. In cases of this kind, the amount recoverable may be further reduced by the amount of life-time gifts made by the promisor to the promisee. </w:t>
      </w:r>
      <w:r>
        <w:rPr>
          <w:color w:val="005DA1"/>
          <w:u w:val="single" w:color="005DA1"/>
          <w:vertAlign w:val="superscript"/>
        </w:rPr>
        <w:t>1159</w:t>
      </w:r>
      <w:r>
        <w:rPr>
          <w:color w:val="005DA1"/>
          <w:vertAlign w:val="baseline"/>
        </w:rPr>
        <w:t> </w:t>
      </w:r>
      <w:r>
        <w:rPr>
          <w:vertAlign w:val="baseline"/>
        </w:rPr>
        <w:t>The court may also take account of other benefits derived by the promisee as a result of his action in reliance on the promise, even though they may not fall readily into the category of gifts from the promisee. This was the position in </w:t>
      </w:r>
      <w:r>
        <w:rPr>
          <w:rFonts w:ascii="Arial" w:hAnsi="Arial"/>
          <w:i/>
          <w:vertAlign w:val="baseline"/>
        </w:rPr>
        <w:t>Henry v Henry</w:t>
      </w:r>
      <w:r>
        <w:rPr>
          <w:vertAlign w:val="baseline"/>
        </w:rPr>
        <w:t>. </w:t>
      </w:r>
      <w:r>
        <w:rPr>
          <w:color w:val="005DA1"/>
          <w:u w:val="single" w:color="005DA1"/>
          <w:vertAlign w:val="superscript"/>
        </w:rPr>
        <w:t>1160</w:t>
      </w:r>
      <w:r>
        <w:rPr>
          <w:color w:val="005DA1"/>
          <w:vertAlign w:val="baseline"/>
        </w:rPr>
        <w:t> </w:t>
      </w:r>
      <w:r>
        <w:rPr>
          <w:vertAlign w:val="baseline"/>
        </w:rPr>
        <w:t>The promise in that case was that the whole of the promisor’s share of the land in question would be the promisee’s if he cultivated it and looked after the promisor. His acting in reliance on the promise to his detriment </w:t>
      </w:r>
      <w:r>
        <w:rPr>
          <w:color w:val="005DA1"/>
          <w:u w:val="single" w:color="005DA1"/>
          <w:vertAlign w:val="superscript"/>
        </w:rPr>
        <w:t>1161</w:t>
      </w:r>
      <w:r>
        <w:rPr>
          <w:color w:val="005DA1"/>
          <w:vertAlign w:val="baseline"/>
        </w:rPr>
        <w:t> </w:t>
      </w:r>
      <w:r>
        <w:rPr>
          <w:vertAlign w:val="baseline"/>
        </w:rPr>
        <w:t>gave rise to a proprietary estoppel; but his “equity” was “satisfied” by an award of one half of the promisor’s share in the land. The reason for so reducing the award below the amount specified in the promise appears (though this is not expressly stated in the Privy Council’s advice) to be that the promisee had not only suffered detriment, but also derived benefits from his action in reliance on the promise: in particular, he had occupied the land for many years rent free and had been allowed to keep some of the produce of it, to sell any surplus, and to keep the proceeds.</w:t>
      </w:r>
    </w:p>
    <w:p>
      <w:pPr>
        <w:pStyle w:val="BodyText"/>
      </w:pPr>
    </w:p>
    <w:p>
      <w:pPr>
        <w:pStyle w:val="BodyText"/>
        <w:spacing w:before="32"/>
      </w:pPr>
    </w:p>
    <w:p>
      <w:pPr>
        <w:spacing w:before="0"/>
        <w:ind w:left="165" w:right="0" w:firstLine="0"/>
        <w:jc w:val="both"/>
        <w:rPr>
          <w:rFonts w:ascii="Arial"/>
          <w:b/>
          <w:sz w:val="18"/>
        </w:rPr>
      </w:pPr>
      <w:r>
        <w:rPr>
          <w:rFonts w:ascii="Arial"/>
          <w:b/>
          <w:sz w:val="18"/>
        </w:rPr>
        <w:t>Conduct of </w:t>
      </w:r>
      <w:r>
        <w:rPr>
          <w:rFonts w:ascii="Arial"/>
          <w:b/>
          <w:spacing w:val="-2"/>
          <w:sz w:val="18"/>
        </w:rPr>
        <w:t>promisor</w:t>
      </w:r>
    </w:p>
    <w:p>
      <w:pPr>
        <w:pStyle w:val="BodyText"/>
        <w:spacing w:before="41"/>
        <w:rPr>
          <w:rFonts w:ascii="Arial"/>
          <w:b/>
          <w:sz w:val="18"/>
        </w:rPr>
      </w:pPr>
    </w:p>
    <w:p>
      <w:pPr>
        <w:pStyle w:val="Heading2"/>
        <w:spacing w:before="1"/>
      </w:pPr>
      <w:r>
        <w:rPr/>
        <w:t>4-</w:t>
      </w:r>
      <w:r>
        <w:rPr>
          <w:spacing w:val="-5"/>
        </w:rPr>
        <w:t>176</w:t>
      </w:r>
    </w:p>
    <w:p>
      <w:pPr>
        <w:pStyle w:val="BodyText"/>
        <w:spacing w:line="235" w:lineRule="auto" w:before="202"/>
        <w:ind w:left="165" w:right="167"/>
        <w:jc w:val="both"/>
      </w:pPr>
      <w:r>
        <w:rPr/>
        <w:t>Apart from the factors discussed in paras 4-173 to 4-175 above the court may also take into account the conduct of the promisor after the facts giving rise to the estoppel. Thus in </w:t>
      </w:r>
      <w:r>
        <w:rPr>
          <w:rFonts w:ascii="Arial" w:hAnsi="Arial"/>
          <w:i/>
        </w:rPr>
        <w:t>Crabb v Arun DC </w:t>
      </w:r>
      <w:r>
        <w:rPr>
          <w:color w:val="005DA1"/>
          <w:u w:val="single" w:color="005DA1"/>
          <w:vertAlign w:val="superscript"/>
        </w:rPr>
        <w:t>1162</w:t>
      </w:r>
      <w:r>
        <w:rPr>
          <w:color w:val="005DA1"/>
          <w:spacing w:val="40"/>
          <w:vertAlign w:val="baseline"/>
        </w:rPr>
        <w:t> </w:t>
      </w:r>
      <w:r>
        <w:rPr>
          <w:vertAlign w:val="baseline"/>
        </w:rPr>
        <w:t>the defendants had acted without warning in blocking the claimant’s access to his land. In view of this “high-handedness” </w:t>
      </w:r>
      <w:r>
        <w:rPr>
          <w:color w:val="005DA1"/>
          <w:u w:val="single" w:color="005DA1"/>
          <w:vertAlign w:val="superscript"/>
        </w:rPr>
        <w:t>1163</w:t>
      </w:r>
      <w:r>
        <w:rPr>
          <w:color w:val="005DA1"/>
          <w:vertAlign w:val="baseline"/>
        </w:rPr>
        <w:t> </w:t>
      </w:r>
      <w:r>
        <w:rPr>
          <w:vertAlign w:val="baseline"/>
        </w:rPr>
        <w:t>and the resulting loss to the claimant, he was not required to make the payment that would otherwise have been a condition of the exercise of the right of way. Similarly, in </w:t>
      </w:r>
      <w:r>
        <w:rPr>
          <w:rFonts w:ascii="Arial" w:hAnsi="Arial"/>
          <w:i/>
          <w:vertAlign w:val="baseline"/>
        </w:rPr>
        <w:t>Pascoe v Turner </w:t>
      </w:r>
      <w:r>
        <w:rPr>
          <w:color w:val="005DA1"/>
          <w:u w:val="single" w:color="005DA1"/>
          <w:vertAlign w:val="superscript"/>
        </w:rPr>
        <w:t>1164</w:t>
      </w:r>
      <w:r>
        <w:rPr>
          <w:color w:val="005DA1"/>
          <w:vertAlign w:val="baseline"/>
        </w:rPr>
        <w:t> </w:t>
      </w:r>
      <w:r>
        <w:rPr>
          <w:vertAlign w:val="baseline"/>
        </w:rPr>
        <w:t>a proprietary estoppel arose when a man told a woman with whom he </w:t>
      </w:r>
      <w:r>
        <w:rPr>
          <w:vertAlign w:val="baseline"/>
        </w:rPr>
        <w:t>had formerly cohabited that the house in which they had lived was hers, and she later spent some £230 of her limited resources on repairs and improvements to it. The Court of Appeal relied on the man’s “ruthlessness” </w:t>
      </w:r>
      <w:r>
        <w:rPr>
          <w:color w:val="005DA1"/>
          <w:u w:val="single" w:color="005DA1"/>
          <w:vertAlign w:val="superscript"/>
        </w:rPr>
        <w:t>1165</w:t>
      </w:r>
      <w:r>
        <w:rPr>
          <w:color w:val="005DA1"/>
          <w:vertAlign w:val="baseline"/>
        </w:rPr>
        <w:t> </w:t>
      </w:r>
      <w:r>
        <w:rPr>
          <w:vertAlign w:val="baseline"/>
        </w:rPr>
        <w:t>in seeking to evict the promisee as a ground for ordering him to convey the fee simple to her. The submission that she should have no more than a licence to occupy the house was rejected since this would not protect her against a bona fide purchaser from the promisor. The result seems,</w:t>
      </w:r>
      <w:r>
        <w:rPr>
          <w:spacing w:val="-2"/>
          <w:vertAlign w:val="baseline"/>
        </w:rPr>
        <w:t> </w:t>
      </w:r>
      <w:r>
        <w:rPr>
          <w:vertAlign w:val="baseline"/>
        </w:rPr>
        <w:t>with</w:t>
      </w:r>
      <w:r>
        <w:rPr>
          <w:spacing w:val="-2"/>
          <w:vertAlign w:val="baseline"/>
        </w:rPr>
        <w:t> </w:t>
      </w:r>
      <w:r>
        <w:rPr>
          <w:vertAlign w:val="baseline"/>
        </w:rPr>
        <w:t>respect,</w:t>
      </w:r>
      <w:r>
        <w:rPr>
          <w:spacing w:val="-2"/>
          <w:vertAlign w:val="baseline"/>
        </w:rPr>
        <w:t> </w:t>
      </w:r>
      <w:r>
        <w:rPr>
          <w:vertAlign w:val="baseline"/>
        </w:rPr>
        <w:t>unduly</w:t>
      </w:r>
      <w:r>
        <w:rPr>
          <w:spacing w:val="-2"/>
          <w:vertAlign w:val="baseline"/>
        </w:rPr>
        <w:t> </w:t>
      </w:r>
      <w:r>
        <w:rPr>
          <w:vertAlign w:val="baseline"/>
        </w:rPr>
        <w:t>punitive;</w:t>
      </w:r>
      <w:r>
        <w:rPr>
          <w:spacing w:val="-2"/>
          <w:vertAlign w:val="baseline"/>
        </w:rPr>
        <w:t> </w:t>
      </w:r>
      <w:r>
        <w:rPr>
          <w:vertAlign w:val="baseline"/>
        </w:rPr>
        <w:t>and</w:t>
      </w:r>
      <w:r>
        <w:rPr>
          <w:spacing w:val="-2"/>
          <w:vertAlign w:val="baseline"/>
        </w:rPr>
        <w:t> </w:t>
      </w:r>
      <w:r>
        <w:rPr>
          <w:vertAlign w:val="baseline"/>
        </w:rPr>
        <w:t>it</w:t>
      </w:r>
      <w:r>
        <w:rPr>
          <w:spacing w:val="-2"/>
          <w:vertAlign w:val="baseline"/>
        </w:rPr>
        <w:t> </w:t>
      </w:r>
      <w:r>
        <w:rPr>
          <w:vertAlign w:val="baseline"/>
        </w:rPr>
        <w:t>seems</w:t>
      </w:r>
      <w:r>
        <w:rPr>
          <w:spacing w:val="-2"/>
          <w:vertAlign w:val="baseline"/>
        </w:rPr>
        <w:t> </w:t>
      </w:r>
      <w:r>
        <w:rPr>
          <w:vertAlign w:val="baseline"/>
        </w:rPr>
        <w:t>that</w:t>
      </w:r>
      <w:r>
        <w:rPr>
          <w:spacing w:val="-2"/>
          <w:vertAlign w:val="baseline"/>
        </w:rPr>
        <w:t> </w:t>
      </w:r>
      <w:r>
        <w:rPr>
          <w:vertAlign w:val="baseline"/>
        </w:rPr>
        <w:t>intermediate</w:t>
      </w:r>
      <w:r>
        <w:rPr>
          <w:spacing w:val="-2"/>
          <w:vertAlign w:val="baseline"/>
        </w:rPr>
        <w:t> </w:t>
      </w:r>
      <w:r>
        <w:rPr>
          <w:vertAlign w:val="baseline"/>
        </w:rPr>
        <w:t>possibilities</w:t>
      </w:r>
      <w:r>
        <w:rPr>
          <w:spacing w:val="-2"/>
          <w:vertAlign w:val="baseline"/>
        </w:rPr>
        <w:t> </w:t>
      </w:r>
      <w:r>
        <w:rPr>
          <w:vertAlign w:val="baseline"/>
        </w:rPr>
        <w:t>(such</w:t>
      </w:r>
      <w:r>
        <w:rPr>
          <w:spacing w:val="-2"/>
          <w:vertAlign w:val="baseline"/>
        </w:rPr>
        <w:t> </w:t>
      </w:r>
      <w:r>
        <w:rPr>
          <w:vertAlign w:val="baseline"/>
        </w:rPr>
        <w:t>as</w:t>
      </w:r>
      <w:r>
        <w:rPr>
          <w:spacing w:val="-2"/>
          <w:vertAlign w:val="baseline"/>
        </w:rPr>
        <w:t> </w:t>
      </w:r>
      <w:r>
        <w:rPr>
          <w:vertAlign w:val="baseline"/>
        </w:rPr>
        <w:t>granting</w:t>
      </w:r>
      <w:r>
        <w:rPr>
          <w:spacing w:val="-2"/>
          <w:vertAlign w:val="baseline"/>
        </w:rPr>
        <w:t> </w:t>
      </w:r>
      <w:r>
        <w:rPr>
          <w:vertAlign w:val="baseline"/>
        </w:rPr>
        <w:t>the promisee a long lease </w:t>
      </w:r>
      <w:r>
        <w:rPr>
          <w:color w:val="005DA1"/>
          <w:u w:val="single" w:color="005DA1"/>
          <w:vertAlign w:val="superscript"/>
        </w:rPr>
        <w:t>1166</w:t>
      </w:r>
      <w:r>
        <w:rPr>
          <w:vertAlign w:val="baseline"/>
        </w:rPr>
        <w:t>) were not put before the court.</w:t>
      </w:r>
    </w:p>
    <w:p>
      <w:pPr>
        <w:pStyle w:val="BodyText"/>
      </w:pPr>
    </w:p>
    <w:p>
      <w:pPr>
        <w:pStyle w:val="BodyText"/>
        <w:spacing w:before="34"/>
      </w:pPr>
    </w:p>
    <w:p>
      <w:pPr>
        <w:spacing w:before="0"/>
        <w:ind w:left="164" w:right="0" w:firstLine="0"/>
        <w:jc w:val="left"/>
        <w:rPr>
          <w:rFonts w:ascii="Arial"/>
          <w:b/>
          <w:sz w:val="18"/>
        </w:rPr>
      </w:pPr>
      <w:r>
        <w:rPr>
          <w:rFonts w:ascii="Arial"/>
          <w:b/>
          <w:sz w:val="18"/>
        </w:rPr>
        <w:t>Compensation in </w:t>
      </w:r>
      <w:r>
        <w:rPr>
          <w:rFonts w:ascii="Arial"/>
          <w:b/>
          <w:spacing w:val="-2"/>
          <w:sz w:val="18"/>
        </w:rPr>
        <w:t>money</w:t>
      </w:r>
    </w:p>
    <w:p>
      <w:pPr>
        <w:pStyle w:val="BodyText"/>
        <w:spacing w:before="41"/>
        <w:rPr>
          <w:rFonts w:ascii="Arial"/>
          <w:b/>
          <w:sz w:val="18"/>
        </w:rPr>
      </w:pPr>
    </w:p>
    <w:p>
      <w:pPr>
        <w:pStyle w:val="Heading2"/>
        <w:ind w:left="164"/>
      </w:pPr>
      <w:r>
        <w:rPr/>
        <w:t>4-</w:t>
      </w:r>
      <w:r>
        <w:rPr>
          <w:spacing w:val="-5"/>
        </w:rPr>
        <w:t>177</w:t>
      </w:r>
    </w:p>
    <w:p>
      <w:pPr>
        <w:pStyle w:val="BodyText"/>
        <w:spacing w:line="235" w:lineRule="auto" w:before="203"/>
        <w:ind w:left="164" w:right="167"/>
        <w:jc w:val="both"/>
      </w:pPr>
      <w:r>
        <w:rPr>
          <w:rFonts w:ascii="Arial" w:hAnsi="Arial"/>
          <w:i/>
        </w:rPr>
        <w:t>Pascoe v Turner </w:t>
      </w:r>
      <w:r>
        <w:rPr/>
        <w:t>illustrates the possibility that the grant of an irrevocable licence to remain on the property may constitute an unsatisfactory remedy because it will not adequately secure the</w:t>
      </w:r>
      <w:r>
        <w:rPr>
          <w:spacing w:val="40"/>
        </w:rPr>
        <w:t> </w:t>
      </w:r>
      <w:r>
        <w:rPr/>
        <w:t>promisee’s possession. It may also be unsatisfactory on account of its inflexibility: thus in </w:t>
      </w:r>
      <w:r>
        <w:rPr>
          <w:rFonts w:ascii="Arial" w:hAnsi="Arial"/>
          <w:i/>
        </w:rPr>
        <w:t>Inwards </w:t>
      </w:r>
      <w:r>
        <w:rPr>
          <w:rFonts w:ascii="Arial" w:hAnsi="Arial"/>
          <w:i/>
        </w:rPr>
        <w:t>v Baker </w:t>
      </w:r>
      <w:r>
        <w:rPr>
          <w:color w:val="005DA1"/>
          <w:u w:val="single" w:color="005DA1"/>
          <w:vertAlign w:val="superscript"/>
        </w:rPr>
        <w:t>1167</w:t>
      </w:r>
      <w:r>
        <w:rPr>
          <w:color w:val="005DA1"/>
          <w:vertAlign w:val="baseline"/>
        </w:rPr>
        <w:t> </w:t>
      </w:r>
      <w:r>
        <w:rPr>
          <w:vertAlign w:val="baseline"/>
        </w:rPr>
        <w:t>this remedy would have been of no use to the promisee, had he wanted to move</w:t>
      </w:r>
      <w:r>
        <w:rPr>
          <w:spacing w:val="40"/>
          <w:vertAlign w:val="baseline"/>
        </w:rPr>
        <w:t> </w:t>
      </w:r>
      <w:r>
        <w:rPr>
          <w:vertAlign w:val="baseline"/>
        </w:rPr>
        <w:t>elsewhere; nor would his dependants have had any remedy, had he died shortly after completing the house. In such cases a remedy by way of compensation in money would be more satisfactory for the promisee; and it would also have the advantage for the promisor that he would not be impeded in dealing with the property for an indefinite time. </w:t>
      </w:r>
      <w:r>
        <w:rPr>
          <w:color w:val="005DA1"/>
          <w:u w:val="single" w:color="005DA1"/>
          <w:vertAlign w:val="superscript"/>
        </w:rPr>
        <w:t>1168</w:t>
      </w:r>
      <w:r>
        <w:rPr>
          <w:color w:val="005DA1"/>
          <w:vertAlign w:val="baseline"/>
        </w:rPr>
        <w:t> </w:t>
      </w:r>
      <w:r>
        <w:rPr>
          <w:vertAlign w:val="baseline"/>
        </w:rPr>
        <w:t>Such a remedy was granted in </w:t>
      </w:r>
      <w:r>
        <w:rPr>
          <w:rFonts w:ascii="Arial" w:hAnsi="Arial"/>
          <w:i/>
          <w:vertAlign w:val="baseline"/>
        </w:rPr>
        <w:t>Dodsworth v Dodsworth </w:t>
      </w:r>
      <w:r>
        <w:rPr>
          <w:color w:val="005DA1"/>
          <w:u w:val="single" w:color="005DA1"/>
          <w:vertAlign w:val="superscript"/>
        </w:rPr>
        <w:t>1169</w:t>
      </w:r>
      <w:r>
        <w:rPr>
          <w:color w:val="005DA1"/>
          <w:vertAlign w:val="baseline"/>
        </w:rPr>
        <w:t> </w:t>
      </w:r>
      <w:r>
        <w:rPr>
          <w:vertAlign w:val="baseline"/>
        </w:rPr>
        <w:t>where the promisees spent £700 on improvements to the promisor’s bungalow in reliance on an implied promise (not intended to have contractual force) that they could live there as if</w:t>
      </w:r>
      <w:r>
        <w:rPr>
          <w:spacing w:val="40"/>
          <w:vertAlign w:val="baseline"/>
        </w:rPr>
        <w:t> </w:t>
      </w:r>
      <w:r>
        <w:rPr>
          <w:vertAlign w:val="baseline"/>
        </w:rPr>
        <w:t>it were their home. The Court of Appeal held that to give the promisees a right of occupation for an indefinite time would confer on them a greater interest than had been contemplated by the parties; and that the most appropriate remedy was to repay them their outlay on the improvements. Compensation in money will also be the more appropriate remedy where, as a practical matter, the promise which gave rise to the estoppel cannot be specifically enforced: for example, where its performance would involve joint occupation of premises by, and co-operation between, members of a family who later quarrel, </w:t>
      </w:r>
      <w:r>
        <w:rPr>
          <w:color w:val="005DA1"/>
          <w:u w:val="single" w:color="005DA1"/>
          <w:vertAlign w:val="superscript"/>
        </w:rPr>
        <w:t>1170</w:t>
      </w:r>
      <w:r>
        <w:rPr>
          <w:color w:val="005DA1"/>
          <w:vertAlign w:val="baseline"/>
        </w:rPr>
        <w:t> </w:t>
      </w:r>
      <w:r>
        <w:rPr>
          <w:vertAlign w:val="baseline"/>
        </w:rPr>
        <w:t>or between a couple whose relationship has broken down. </w:t>
      </w:r>
      <w:r>
        <w:rPr>
          <w:color w:val="005DA1"/>
          <w:u w:val="single" w:color="005DA1"/>
          <w:vertAlign w:val="superscript"/>
        </w:rPr>
        <w:t>1171</w:t>
      </w:r>
      <w:r>
        <w:rPr>
          <w:color w:val="005DA1"/>
          <w:vertAlign w:val="baseline"/>
        </w:rPr>
        <w:t> </w:t>
      </w:r>
      <w:r>
        <w:rPr>
          <w:vertAlign w:val="baseline"/>
        </w:rPr>
        <w:t>Compensation in money may, again, be the most appropriate remedy because it will achieve a result that is fair, not only between the promisee and the deceased promisor’s estate, but also between beneficiaries</w:t>
      </w:r>
      <w:r>
        <w:rPr>
          <w:spacing w:val="28"/>
          <w:vertAlign w:val="baseline"/>
        </w:rPr>
        <w:t> </w:t>
      </w:r>
      <w:r>
        <w:rPr>
          <w:vertAlign w:val="baseline"/>
        </w:rPr>
        <w:t>who</w:t>
      </w:r>
      <w:r>
        <w:rPr>
          <w:spacing w:val="28"/>
          <w:vertAlign w:val="baseline"/>
        </w:rPr>
        <w:t> </w:t>
      </w:r>
      <w:r>
        <w:rPr>
          <w:vertAlign w:val="baseline"/>
        </w:rPr>
        <w:t>share</w:t>
      </w:r>
      <w:r>
        <w:rPr>
          <w:spacing w:val="29"/>
          <w:vertAlign w:val="baseline"/>
        </w:rPr>
        <w:t> </w:t>
      </w:r>
      <w:r>
        <w:rPr>
          <w:vertAlign w:val="baseline"/>
        </w:rPr>
        <w:t>that</w:t>
      </w:r>
      <w:r>
        <w:rPr>
          <w:spacing w:val="28"/>
          <w:vertAlign w:val="baseline"/>
        </w:rPr>
        <w:t> </w:t>
      </w:r>
      <w:r>
        <w:rPr>
          <w:vertAlign w:val="baseline"/>
        </w:rPr>
        <w:t>estate</w:t>
      </w:r>
      <w:r>
        <w:rPr>
          <w:spacing w:val="29"/>
          <w:vertAlign w:val="baseline"/>
        </w:rPr>
        <w:t> </w:t>
      </w:r>
      <w:r>
        <w:rPr>
          <w:vertAlign w:val="baseline"/>
        </w:rPr>
        <w:t>on</w:t>
      </w:r>
      <w:r>
        <w:rPr>
          <w:spacing w:val="28"/>
          <w:vertAlign w:val="baseline"/>
        </w:rPr>
        <w:t> </w:t>
      </w:r>
      <w:r>
        <w:rPr>
          <w:vertAlign w:val="baseline"/>
        </w:rPr>
        <w:t>the</w:t>
      </w:r>
      <w:r>
        <w:rPr>
          <w:spacing w:val="29"/>
          <w:vertAlign w:val="baseline"/>
        </w:rPr>
        <w:t> </w:t>
      </w:r>
      <w:r>
        <w:rPr>
          <w:vertAlign w:val="baseline"/>
        </w:rPr>
        <w:t>promisor’s</w:t>
      </w:r>
      <w:r>
        <w:rPr>
          <w:spacing w:val="28"/>
          <w:vertAlign w:val="baseline"/>
        </w:rPr>
        <w:t> </w:t>
      </w:r>
      <w:r>
        <w:rPr>
          <w:vertAlign w:val="baseline"/>
        </w:rPr>
        <w:t>death.</w:t>
      </w:r>
      <w:r>
        <w:rPr>
          <w:spacing w:val="28"/>
          <w:vertAlign w:val="baseline"/>
        </w:rPr>
        <w:t> </w:t>
      </w:r>
      <w:r>
        <w:rPr>
          <w:color w:val="005DA1"/>
          <w:u w:val="single" w:color="005DA1"/>
          <w:vertAlign w:val="superscript"/>
        </w:rPr>
        <w:t>1172</w:t>
      </w:r>
      <w:r>
        <w:rPr>
          <w:color w:val="005DA1"/>
          <w:spacing w:val="28"/>
          <w:vertAlign w:val="baseline"/>
        </w:rPr>
        <w:t> </w:t>
      </w:r>
      <w:r>
        <w:rPr>
          <w:vertAlign w:val="baseline"/>
        </w:rPr>
        <w:t>Where</w:t>
      </w:r>
      <w:r>
        <w:rPr>
          <w:spacing w:val="29"/>
          <w:vertAlign w:val="baseline"/>
        </w:rPr>
        <w:t> </w:t>
      </w:r>
      <w:r>
        <w:rPr>
          <w:vertAlign w:val="baseline"/>
        </w:rPr>
        <w:t>there</w:t>
      </w:r>
      <w:r>
        <w:rPr>
          <w:spacing w:val="28"/>
          <w:vertAlign w:val="baseline"/>
        </w:rPr>
        <w:t> </w:t>
      </w:r>
      <w:r>
        <w:rPr>
          <w:vertAlign w:val="baseline"/>
        </w:rPr>
        <w:t>is</w:t>
      </w:r>
      <w:r>
        <w:rPr>
          <w:spacing w:val="28"/>
          <w:vertAlign w:val="baseline"/>
        </w:rPr>
        <w:t> </w:t>
      </w:r>
      <w:r>
        <w:rPr>
          <w:vertAlign w:val="baseline"/>
        </w:rPr>
        <w:t>evidence</w:t>
      </w:r>
      <w:r>
        <w:rPr>
          <w:spacing w:val="29"/>
          <w:vertAlign w:val="baseline"/>
        </w:rPr>
        <w:t> </w:t>
      </w:r>
      <w:r>
        <w:rPr>
          <w:vertAlign w:val="baseline"/>
        </w:rPr>
        <w:t>that</w:t>
      </w:r>
      <w:r>
        <w:rPr>
          <w:spacing w:val="28"/>
          <w:vertAlign w:val="baseline"/>
        </w:rPr>
        <w:t> </w:t>
      </w:r>
      <w:r>
        <w:rPr>
          <w:spacing w:val="-5"/>
          <w:vertAlign w:val="baseline"/>
        </w:rPr>
        <w:t>the</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improved property has increased in value by reason of market fluctuations, it is submitted that </w:t>
      </w:r>
      <w:r>
        <w:rPr/>
        <w:t>the amount recoverable by the promisee should be increased correspondingly; conversely, it should be reduced where the market value of the property has declined. </w:t>
      </w:r>
      <w:r>
        <w:rPr>
          <w:color w:val="005DA1"/>
          <w:u w:val="single" w:color="005DA1"/>
          <w:vertAlign w:val="superscript"/>
        </w:rPr>
        <w:t>1173</w:t>
      </w:r>
    </w:p>
    <w:p>
      <w:pPr>
        <w:pStyle w:val="BodyText"/>
        <w:spacing w:before="80"/>
      </w:pPr>
    </w:p>
    <w:p>
      <w:pPr>
        <w:pStyle w:val="Heading2"/>
      </w:pPr>
      <w:r>
        <w:rPr/>
        <w:t>4-</w:t>
      </w:r>
      <w:r>
        <w:rPr>
          <w:spacing w:val="-5"/>
        </w:rPr>
        <w:t>178</w:t>
      </w:r>
    </w:p>
    <w:p>
      <w:pPr>
        <w:pStyle w:val="BodyText"/>
        <w:spacing w:line="235" w:lineRule="auto" w:before="203"/>
        <w:ind w:left="164" w:right="167"/>
        <w:jc w:val="both"/>
      </w:pPr>
      <w:r>
        <w:rPr/>
        <w:t>In </w:t>
      </w:r>
      <w:r>
        <w:rPr>
          <w:rFonts w:ascii="Arial" w:hAnsi="Arial"/>
          <w:i/>
        </w:rPr>
        <w:t>Dodsworth v Dodsworth </w:t>
      </w:r>
      <w:r>
        <w:rPr>
          <w:color w:val="005DA1"/>
          <w:u w:val="single" w:color="005DA1"/>
          <w:vertAlign w:val="superscript"/>
        </w:rPr>
        <w:t>1174</w:t>
      </w:r>
      <w:r>
        <w:rPr>
          <w:color w:val="005DA1"/>
          <w:vertAlign w:val="baseline"/>
        </w:rPr>
        <w:t> </w:t>
      </w:r>
      <w:r>
        <w:rPr>
          <w:vertAlign w:val="baseline"/>
        </w:rPr>
        <w:t>the court awarded compensation even though, when the action </w:t>
      </w:r>
      <w:r>
        <w:rPr>
          <w:vertAlign w:val="baseline"/>
        </w:rPr>
        <w:t>was brought, the promisee was still in possession of the improved property. More commonly this form of remedy is granted where the promisee is no longer in possession, having either left voluntarily </w:t>
      </w:r>
      <w:r>
        <w:rPr>
          <w:color w:val="005DA1"/>
          <w:u w:val="single" w:color="005DA1"/>
          <w:vertAlign w:val="superscript"/>
        </w:rPr>
        <w:t>1175</w:t>
      </w:r>
      <w:r>
        <w:rPr>
          <w:color w:val="005DA1"/>
          <w:vertAlign w:val="baseline"/>
        </w:rPr>
        <w:t> </w:t>
      </w:r>
      <w:r>
        <w:rPr>
          <w:vertAlign w:val="baseline"/>
        </w:rPr>
        <w:t>or been lawfully ejected as a result of legal proceedings. </w:t>
      </w:r>
      <w:r>
        <w:rPr>
          <w:color w:val="005DA1"/>
          <w:u w:val="single" w:color="005DA1"/>
          <w:vertAlign w:val="superscript"/>
        </w:rPr>
        <w:t>1176</w:t>
      </w:r>
      <w:r>
        <w:rPr>
          <w:color w:val="005DA1"/>
          <w:vertAlign w:val="baseline"/>
        </w:rPr>
        <w:t> </w:t>
      </w:r>
      <w:r>
        <w:rPr>
          <w:vertAlign w:val="baseline"/>
        </w:rPr>
        <w:t>Where the promisee has been wrongly ordered to give up possession, compensation in money is similarly available, </w:t>
      </w:r>
      <w:r>
        <w:rPr>
          <w:color w:val="005DA1"/>
          <w:u w:val="single" w:color="005DA1"/>
          <w:vertAlign w:val="superscript"/>
        </w:rPr>
        <w:t>1177</w:t>
      </w:r>
      <w:r>
        <w:rPr>
          <w:color w:val="005DA1"/>
          <w:vertAlign w:val="baseline"/>
        </w:rPr>
        <w:t> </w:t>
      </w:r>
      <w:r>
        <w:rPr>
          <w:vertAlign w:val="baseline"/>
        </w:rPr>
        <w:t>though in such a case the court may alternatively order the promisee to be put back into possession of the premises. </w:t>
      </w:r>
      <w:r>
        <w:rPr>
          <w:color w:val="005DA1"/>
          <w:u w:val="single" w:color="005DA1"/>
          <w:vertAlign w:val="superscript"/>
        </w:rPr>
        <w:t>1178</w:t>
      </w:r>
      <w:r>
        <w:rPr>
          <w:color w:val="005DA1"/>
          <w:vertAlign w:val="baseline"/>
        </w:rPr>
        <w:t> </w:t>
      </w:r>
      <w:r>
        <w:rPr>
          <w:vertAlign w:val="baseline"/>
        </w:rPr>
        <w:t>The compensation has been assessed in a variety of ways: at the cost of improvements made with the promisee’s money </w:t>
      </w:r>
      <w:r>
        <w:rPr>
          <w:color w:val="005DA1"/>
          <w:u w:val="single" w:color="005DA1"/>
          <w:vertAlign w:val="superscript"/>
        </w:rPr>
        <w:t>1179</w:t>
      </w:r>
      <w:r>
        <w:rPr>
          <w:vertAlign w:val="baseline"/>
        </w:rPr>
        <w:t>; at a proportionate interest in the property </w:t>
      </w:r>
      <w:r>
        <w:rPr>
          <w:color w:val="005DA1"/>
          <w:u w:val="single" w:color="005DA1"/>
          <w:vertAlign w:val="superscript"/>
        </w:rPr>
        <w:t>1180</w:t>
      </w:r>
      <w:r>
        <w:rPr>
          <w:vertAlign w:val="baseline"/>
        </w:rPr>
        <w:t>; at the reasonable value of the right of occupation, based (presumably) on the cost to the promisee of equivalent alternative accommodation </w:t>
      </w:r>
      <w:r>
        <w:rPr>
          <w:color w:val="005DA1"/>
          <w:u w:val="single" w:color="005DA1"/>
          <w:vertAlign w:val="superscript"/>
        </w:rPr>
        <w:t>1181</w:t>
      </w:r>
      <w:r>
        <w:rPr>
          <w:vertAlign w:val="baseline"/>
        </w:rPr>
        <w:t>; or by applying the more general principle that the remedy in cases of proprietary estoppel must reflect the reasonable expectations of the promisee and the detriment suffered by him in reliance on the promise. </w:t>
      </w:r>
      <w:r>
        <w:rPr>
          <w:color w:val="005DA1"/>
          <w:u w:val="single" w:color="005DA1"/>
          <w:vertAlign w:val="superscript"/>
        </w:rPr>
        <w:t>1182</w:t>
      </w:r>
      <w:r>
        <w:rPr>
          <w:color w:val="005DA1"/>
          <w:vertAlign w:val="baseline"/>
        </w:rPr>
        <w:t> </w:t>
      </w:r>
      <w:r>
        <w:rPr>
          <w:vertAlign w:val="baseline"/>
        </w:rPr>
        <w:t>The flexibility of the remedy also enables the court to combine monetary compensation with specific relief: for example, in </w:t>
      </w:r>
      <w:r>
        <w:rPr>
          <w:rFonts w:ascii="Arial" w:hAnsi="Arial"/>
          <w:i/>
          <w:vertAlign w:val="baseline"/>
        </w:rPr>
        <w:t>Gillett v Holt </w:t>
      </w:r>
      <w:r>
        <w:rPr>
          <w:color w:val="005DA1"/>
          <w:u w:val="single" w:color="005DA1"/>
          <w:vertAlign w:val="superscript"/>
        </w:rPr>
        <w:t>1183</w:t>
      </w:r>
      <w:r>
        <w:rPr>
          <w:color w:val="005DA1"/>
          <w:vertAlign w:val="baseline"/>
        </w:rPr>
        <w:t> </w:t>
      </w:r>
      <w:r>
        <w:rPr>
          <w:vertAlign w:val="baseline"/>
        </w:rPr>
        <w:t>the promisee was awarded part of the property to which the promise referred, together with a cash payment to compensate him for his exclusion from the farming business on that property.</w:t>
      </w:r>
    </w:p>
    <w:p>
      <w:pPr>
        <w:pStyle w:val="BodyText"/>
      </w:pPr>
    </w:p>
    <w:p>
      <w:pPr>
        <w:pStyle w:val="BodyText"/>
        <w:spacing w:before="32"/>
      </w:pPr>
    </w:p>
    <w:p>
      <w:pPr>
        <w:spacing w:before="1"/>
        <w:ind w:left="165" w:right="0" w:firstLine="0"/>
        <w:jc w:val="left"/>
        <w:rPr>
          <w:rFonts w:ascii="Arial"/>
          <w:b/>
          <w:sz w:val="18"/>
        </w:rPr>
      </w:pPr>
      <w:r>
        <w:rPr>
          <w:rFonts w:ascii="Arial"/>
          <w:b/>
          <w:sz w:val="18"/>
        </w:rPr>
        <w:t>Balance of </w:t>
      </w:r>
      <w:r>
        <w:rPr>
          <w:rFonts w:ascii="Arial"/>
          <w:b/>
          <w:spacing w:val="-2"/>
          <w:sz w:val="18"/>
        </w:rPr>
        <w:t>hardship</w:t>
      </w:r>
    </w:p>
    <w:p>
      <w:pPr>
        <w:pStyle w:val="BodyText"/>
        <w:spacing w:before="41"/>
        <w:rPr>
          <w:rFonts w:ascii="Arial"/>
          <w:b/>
          <w:sz w:val="18"/>
        </w:rPr>
      </w:pPr>
    </w:p>
    <w:p>
      <w:pPr>
        <w:pStyle w:val="Heading2"/>
      </w:pPr>
      <w:r>
        <w:rPr/>
        <w:t>4-</w:t>
      </w:r>
      <w:r>
        <w:rPr>
          <w:spacing w:val="-5"/>
        </w:rPr>
        <w:t>179</w:t>
      </w:r>
    </w:p>
    <w:p>
      <w:pPr>
        <w:pStyle w:val="BodyText"/>
        <w:spacing w:line="235" w:lineRule="auto" w:before="202"/>
        <w:ind w:left="164" w:right="167"/>
        <w:jc w:val="both"/>
      </w:pPr>
      <w:r>
        <w:rPr/>
        <w:t>The court may deny the promisee a remedy where, on balance, greater hardship would be produced by giving effect to the promise than by allowing the promisor to go back on it. This was the position </w:t>
      </w:r>
      <w:r>
        <w:rPr/>
        <w:t>in </w:t>
      </w:r>
      <w:r>
        <w:rPr>
          <w:rFonts w:ascii="Arial" w:hAnsi="Arial"/>
          <w:i/>
        </w:rPr>
        <w:t>Sledmore</w:t>
      </w:r>
      <w:r>
        <w:rPr>
          <w:rFonts w:ascii="Arial" w:hAnsi="Arial"/>
          <w:i/>
          <w:spacing w:val="-1"/>
        </w:rPr>
        <w:t> </w:t>
      </w:r>
      <w:r>
        <w:rPr>
          <w:rFonts w:ascii="Arial" w:hAnsi="Arial"/>
          <w:i/>
        </w:rPr>
        <w:t>v</w:t>
      </w:r>
      <w:r>
        <w:rPr>
          <w:rFonts w:ascii="Arial" w:hAnsi="Arial"/>
          <w:i/>
          <w:spacing w:val="-1"/>
        </w:rPr>
        <w:t> </w:t>
      </w:r>
      <w:r>
        <w:rPr>
          <w:rFonts w:ascii="Arial" w:hAnsi="Arial"/>
          <w:i/>
        </w:rPr>
        <w:t>Dalby</w:t>
      </w:r>
      <w:r>
        <w:rPr/>
        <w:t>,</w:t>
      </w:r>
      <w:r>
        <w:rPr>
          <w:spacing w:val="-1"/>
        </w:rPr>
        <w:t> </w:t>
      </w:r>
      <w:r>
        <w:rPr>
          <w:color w:val="005DA1"/>
          <w:u w:val="single" w:color="005DA1"/>
          <w:vertAlign w:val="superscript"/>
        </w:rPr>
        <w:t>1184</w:t>
      </w:r>
      <w:r>
        <w:rPr>
          <w:color w:val="005DA1"/>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promisee</w:t>
      </w:r>
      <w:r>
        <w:rPr>
          <w:spacing w:val="-1"/>
          <w:vertAlign w:val="baseline"/>
        </w:rPr>
        <w:t> </w:t>
      </w:r>
      <w:r>
        <w:rPr>
          <w:vertAlign w:val="baseline"/>
        </w:rPr>
        <w:t>had</w:t>
      </w:r>
      <w:r>
        <w:rPr>
          <w:spacing w:val="-1"/>
          <w:vertAlign w:val="baseline"/>
        </w:rPr>
        <w:t> </w:t>
      </w:r>
      <w:r>
        <w:rPr>
          <w:vertAlign w:val="baseline"/>
        </w:rPr>
        <w:t>contributed</w:t>
      </w:r>
      <w:r>
        <w:rPr>
          <w:spacing w:val="-1"/>
          <w:vertAlign w:val="baseline"/>
        </w:rPr>
        <w:t> </w:t>
      </w:r>
      <w:r>
        <w:rPr>
          <w:vertAlign w:val="baseline"/>
        </w:rPr>
        <w:t>to</w:t>
      </w:r>
      <w:r>
        <w:rPr>
          <w:spacing w:val="-1"/>
          <w:vertAlign w:val="baseline"/>
        </w:rPr>
        <w:t> </w:t>
      </w:r>
      <w:r>
        <w:rPr>
          <w:vertAlign w:val="baseline"/>
        </w:rPr>
        <w:t>major</w:t>
      </w:r>
      <w:r>
        <w:rPr>
          <w:spacing w:val="-1"/>
          <w:vertAlign w:val="baseline"/>
        </w:rPr>
        <w:t> </w:t>
      </w:r>
      <w:r>
        <w:rPr>
          <w:vertAlign w:val="baseline"/>
        </w:rPr>
        <w:t>improvements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property</w:t>
      </w:r>
      <w:r>
        <w:rPr>
          <w:spacing w:val="-1"/>
          <w:vertAlign w:val="baseline"/>
        </w:rPr>
        <w:t> </w:t>
      </w:r>
      <w:r>
        <w:rPr>
          <w:vertAlign w:val="baseline"/>
        </w:rPr>
        <w:t>but at the time of the proceedings had already enjoyed 20 years’ rent-free occupation and was gainfully employed, while the promisor was a widow living on social security benefits. The promisee’s claim to be entitled to a licence for life to stay in the house was in these circumstances rejected and the promisor was held entitled to possession. The case may be compared with </w:t>
      </w:r>
      <w:r>
        <w:rPr>
          <w:rFonts w:ascii="Arial" w:hAnsi="Arial"/>
          <w:i/>
          <w:vertAlign w:val="baseline"/>
        </w:rPr>
        <w:t>Henry v Henry </w:t>
      </w:r>
      <w:r>
        <w:rPr>
          <w:color w:val="005DA1"/>
          <w:u w:val="single" w:color="005DA1"/>
          <w:vertAlign w:val="superscript"/>
        </w:rPr>
        <w:t>1185</w:t>
      </w:r>
      <w:r>
        <w:rPr>
          <w:color w:val="005DA1"/>
          <w:vertAlign w:val="baseline"/>
        </w:rPr>
        <w:t> </w:t>
      </w:r>
      <w:r>
        <w:rPr>
          <w:vertAlign w:val="baseline"/>
        </w:rPr>
        <w:t>where the</w:t>
      </w:r>
      <w:r>
        <w:rPr>
          <w:spacing w:val="-3"/>
          <w:vertAlign w:val="baseline"/>
        </w:rPr>
        <w:t> </w:t>
      </w:r>
      <w:r>
        <w:rPr>
          <w:vertAlign w:val="baseline"/>
        </w:rPr>
        <w:t>benefits</w:t>
      </w:r>
      <w:r>
        <w:rPr>
          <w:spacing w:val="-3"/>
          <w:vertAlign w:val="baseline"/>
        </w:rPr>
        <w:t> </w:t>
      </w:r>
      <w:r>
        <w:rPr>
          <w:vertAlign w:val="baseline"/>
        </w:rPr>
        <w:t>obtained</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claimant</w:t>
      </w:r>
      <w:r>
        <w:rPr>
          <w:spacing w:val="-4"/>
          <w:vertAlign w:val="baseline"/>
        </w:rPr>
        <w:t> </w:t>
      </w:r>
      <w:r>
        <w:rPr>
          <w:color w:val="005DA1"/>
          <w:u w:val="single" w:color="005DA1"/>
          <w:vertAlign w:val="superscript"/>
        </w:rPr>
        <w:t>1186</w:t>
      </w:r>
      <w:r>
        <w:rPr>
          <w:color w:val="005DA1"/>
          <w:spacing w:val="-3"/>
          <w:vertAlign w:val="baseline"/>
        </w:rPr>
        <w:t> </w:t>
      </w:r>
      <w:r>
        <w:rPr>
          <w:vertAlign w:val="baseline"/>
        </w:rPr>
        <w:t>in</w:t>
      </w:r>
      <w:r>
        <w:rPr>
          <w:spacing w:val="-3"/>
          <w:vertAlign w:val="baseline"/>
        </w:rPr>
        <w:t> </w:t>
      </w:r>
      <w:r>
        <w:rPr>
          <w:vertAlign w:val="baseline"/>
        </w:rPr>
        <w:t>consequence</w:t>
      </w:r>
      <w:r>
        <w:rPr>
          <w:spacing w:val="-3"/>
          <w:vertAlign w:val="baseline"/>
        </w:rPr>
        <w:t> </w:t>
      </w:r>
      <w:r>
        <w:rPr>
          <w:vertAlign w:val="baseline"/>
        </w:rPr>
        <w:t>of</w:t>
      </w:r>
      <w:r>
        <w:rPr>
          <w:spacing w:val="-3"/>
          <w:vertAlign w:val="baseline"/>
        </w:rPr>
        <w:t> </w:t>
      </w:r>
      <w:r>
        <w:rPr>
          <w:vertAlign w:val="baseline"/>
        </w:rPr>
        <w:t>his</w:t>
      </w:r>
      <w:r>
        <w:rPr>
          <w:spacing w:val="-3"/>
          <w:vertAlign w:val="baseline"/>
        </w:rPr>
        <w:t> </w:t>
      </w:r>
      <w:r>
        <w:rPr>
          <w:vertAlign w:val="baseline"/>
        </w:rPr>
        <w:t>action</w:t>
      </w:r>
      <w:r>
        <w:rPr>
          <w:spacing w:val="-3"/>
          <w:vertAlign w:val="baseline"/>
        </w:rPr>
        <w:t> </w:t>
      </w:r>
      <w:r>
        <w:rPr>
          <w:vertAlign w:val="baseline"/>
        </w:rPr>
        <w:t>in</w:t>
      </w:r>
      <w:r>
        <w:rPr>
          <w:spacing w:val="-3"/>
          <w:vertAlign w:val="baseline"/>
        </w:rPr>
        <w:t> </w:t>
      </w:r>
      <w:r>
        <w:rPr>
          <w:vertAlign w:val="baseline"/>
        </w:rPr>
        <w:t>reliance</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promise</w:t>
      </w:r>
      <w:r>
        <w:rPr>
          <w:spacing w:val="-3"/>
          <w:vertAlign w:val="baseline"/>
        </w:rPr>
        <w:t> </w:t>
      </w:r>
      <w:r>
        <w:rPr>
          <w:vertAlign w:val="baseline"/>
        </w:rPr>
        <w:t>were taken into account in reduction, but not in extinction of his proprietary estoppel claim. </w:t>
      </w:r>
      <w:r>
        <w:rPr>
          <w:rFonts w:ascii="Arial" w:hAnsi="Arial"/>
          <w:i/>
          <w:vertAlign w:val="baseline"/>
        </w:rPr>
        <w:t>Sledmore v Dalby </w:t>
      </w:r>
      <w:r>
        <w:rPr>
          <w:color w:val="005DA1"/>
          <w:u w:val="single" w:color="005DA1"/>
          <w:vertAlign w:val="superscript"/>
        </w:rPr>
        <w:t>1187</w:t>
      </w:r>
      <w:r>
        <w:rPr>
          <w:color w:val="005DA1"/>
          <w:vertAlign w:val="baseline"/>
        </w:rPr>
        <w:t> </w:t>
      </w:r>
      <w:r>
        <w:rPr>
          <w:vertAlign w:val="baseline"/>
        </w:rPr>
        <w:t>was not cited; but the two cases can be reconciled on the ground that in </w:t>
      </w:r>
      <w:r>
        <w:rPr>
          <w:rFonts w:ascii="Arial" w:hAnsi="Arial"/>
          <w:i/>
          <w:vertAlign w:val="baseline"/>
        </w:rPr>
        <w:t>Henry v Henry </w:t>
      </w:r>
      <w:r>
        <w:rPr>
          <w:vertAlign w:val="baseline"/>
        </w:rPr>
        <w:t>the detriment suffered by the promise was “not outweighed by the advantages” </w:t>
      </w:r>
      <w:r>
        <w:rPr>
          <w:color w:val="005DA1"/>
          <w:u w:val="single" w:color="005DA1"/>
          <w:vertAlign w:val="superscript"/>
        </w:rPr>
        <w:t>1188</w:t>
      </w:r>
      <w:r>
        <w:rPr>
          <w:color w:val="005DA1"/>
          <w:vertAlign w:val="baseline"/>
        </w:rPr>
        <w:t> </w:t>
      </w:r>
      <w:r>
        <w:rPr>
          <w:vertAlign w:val="baseline"/>
        </w:rPr>
        <w:t>obtained by him. In fashioning the appropriate remedy, the court can also take account of the interests of third parties, for example, of blood relatives of the promisor with whom the latter had been on close terms </w:t>
      </w:r>
      <w:r>
        <w:rPr>
          <w:color w:val="005DA1"/>
          <w:u w:val="single" w:color="005DA1"/>
          <w:vertAlign w:val="superscript"/>
        </w:rPr>
        <w:t>1189</w:t>
      </w:r>
      <w:r>
        <w:rPr>
          <w:vertAlign w:val="baseline"/>
        </w:rPr>
        <w:t>; of the promisor’s wife, who, as well as the promisee, lived in the house which was the subject of the</w:t>
      </w:r>
      <w:r>
        <w:rPr>
          <w:spacing w:val="40"/>
          <w:vertAlign w:val="baseline"/>
        </w:rPr>
        <w:t> </w:t>
      </w:r>
      <w:r>
        <w:rPr>
          <w:vertAlign w:val="baseline"/>
        </w:rPr>
        <w:t>estoppel </w:t>
      </w:r>
      <w:r>
        <w:rPr>
          <w:color w:val="005DA1"/>
          <w:u w:val="single" w:color="005DA1"/>
          <w:vertAlign w:val="superscript"/>
        </w:rPr>
        <w:t>1190</w:t>
      </w:r>
      <w:r>
        <w:rPr>
          <w:vertAlign w:val="baseline"/>
        </w:rPr>
        <w:t>; and of one of the promisor’s daughters where the promise had given rise to a</w:t>
      </w:r>
      <w:r>
        <w:rPr>
          <w:spacing w:val="40"/>
          <w:vertAlign w:val="baseline"/>
        </w:rPr>
        <w:t> </w:t>
      </w:r>
      <w:r>
        <w:rPr>
          <w:vertAlign w:val="baseline"/>
        </w:rPr>
        <w:t>proprietary estoppel in favour of his son. </w:t>
      </w:r>
      <w:r>
        <w:rPr>
          <w:color w:val="005DA1"/>
          <w:u w:val="single" w:color="005DA1"/>
          <w:vertAlign w:val="superscript"/>
        </w:rPr>
        <w:t>1191</w:t>
      </w:r>
    </w:p>
    <w:p>
      <w:pPr>
        <w:pStyle w:val="BodyText"/>
      </w:pPr>
    </w:p>
    <w:p>
      <w:pPr>
        <w:pStyle w:val="BodyText"/>
        <w:spacing w:before="33"/>
      </w:pPr>
    </w:p>
    <w:p>
      <w:pPr>
        <w:spacing w:before="0"/>
        <w:ind w:left="165" w:right="0" w:firstLine="0"/>
        <w:jc w:val="left"/>
        <w:rPr>
          <w:rFonts w:ascii="Arial"/>
          <w:b/>
          <w:sz w:val="18"/>
        </w:rPr>
      </w:pPr>
      <w:r>
        <w:rPr>
          <w:rFonts w:ascii="Arial"/>
          <w:b/>
          <w:sz w:val="18"/>
        </w:rPr>
        <w:t>Change of </w:t>
      </w:r>
      <w:r>
        <w:rPr>
          <w:rFonts w:ascii="Arial"/>
          <w:b/>
          <w:spacing w:val="-2"/>
          <w:sz w:val="18"/>
        </w:rPr>
        <w:t>circumstances</w:t>
      </w:r>
    </w:p>
    <w:p>
      <w:pPr>
        <w:pStyle w:val="BodyText"/>
        <w:spacing w:before="41"/>
        <w:rPr>
          <w:rFonts w:ascii="Arial"/>
          <w:b/>
          <w:sz w:val="18"/>
        </w:rPr>
      </w:pPr>
    </w:p>
    <w:p>
      <w:pPr>
        <w:pStyle w:val="Heading2"/>
      </w:pPr>
      <w:r>
        <w:rPr/>
        <w:t>4-</w:t>
      </w:r>
      <w:r>
        <w:rPr>
          <w:spacing w:val="-5"/>
        </w:rPr>
        <w:t>180</w:t>
      </w:r>
    </w:p>
    <w:p>
      <w:pPr>
        <w:pStyle w:val="BodyText"/>
        <w:spacing w:line="235" w:lineRule="auto" w:before="203"/>
        <w:ind w:left="165" w:right="167"/>
        <w:jc w:val="both"/>
      </w:pPr>
      <w:r>
        <w:rPr/>
        <w:t>One situation in which a change of circumstances, after the events capable of giving rise to </w:t>
      </w:r>
      <w:r>
        <w:rPr/>
        <w:t>a proprietary estoppel, may affect either the existence or the extent of the promisee’s remedies for proprietary estoppel is that discussed in para.4-179 above, in which the relevant change was that the promisee had not only suffered detriment but had also obtained benefits in consequence of the</w:t>
      </w:r>
      <w:r>
        <w:rPr>
          <w:spacing w:val="80"/>
        </w:rPr>
        <w:t> </w:t>
      </w:r>
      <w:r>
        <w:rPr/>
        <w:t>events relied on to establish the estoppel. Other situations in which different changes of circumstances may either curtail </w:t>
      </w:r>
      <w:r>
        <w:rPr>
          <w:color w:val="005DA1"/>
          <w:u w:val="single" w:color="005DA1"/>
          <w:vertAlign w:val="superscript"/>
        </w:rPr>
        <w:t>1192</w:t>
      </w:r>
      <w:r>
        <w:rPr>
          <w:color w:val="005DA1"/>
          <w:vertAlign w:val="baseline"/>
        </w:rPr>
        <w:t> </w:t>
      </w:r>
      <w:r>
        <w:rPr>
          <w:vertAlign w:val="baseline"/>
        </w:rPr>
        <w:t>or extend </w:t>
      </w:r>
      <w:r>
        <w:rPr>
          <w:color w:val="005DA1"/>
          <w:u w:val="single" w:color="005DA1"/>
          <w:vertAlign w:val="superscript"/>
        </w:rPr>
        <w:t>1193</w:t>
      </w:r>
      <w:r>
        <w:rPr>
          <w:color w:val="005DA1"/>
          <w:vertAlign w:val="baseline"/>
        </w:rPr>
        <w:t> </w:t>
      </w:r>
      <w:r>
        <w:rPr>
          <w:vertAlign w:val="baseline"/>
        </w:rPr>
        <w:t>the rights of the person relying on the estoppel were discussed in </w:t>
      </w:r>
      <w:r>
        <w:rPr>
          <w:rFonts w:ascii="Arial" w:hAnsi="Arial"/>
          <w:i/>
          <w:vertAlign w:val="baseline"/>
        </w:rPr>
        <w:t>Thorner v Major </w:t>
      </w:r>
      <w:r>
        <w:rPr>
          <w:color w:val="005DA1"/>
          <w:u w:val="single" w:color="005DA1"/>
          <w:vertAlign w:val="superscript"/>
        </w:rPr>
        <w:t>1194</w:t>
      </w:r>
      <w:r>
        <w:rPr>
          <w:color w:val="005DA1"/>
          <w:vertAlign w:val="baseline"/>
        </w:rPr>
        <w:t> </w:t>
      </w:r>
      <w:r>
        <w:rPr>
          <w:vertAlign w:val="baseline"/>
        </w:rPr>
        <w:t>in the context of the argument there advanced that the area of land comprised in “Steart Farm” (the property to which Peter’s assurance related) varied between the time when Peter first made that assurance and the time when it fell to be performed, i.e. at Peter’s death. That argument was there rejected for the reasons discussed in para.4-163 above. The overriding</w:t>
      </w:r>
      <w:r>
        <w:rPr>
          <w:spacing w:val="43"/>
          <w:vertAlign w:val="baseline"/>
        </w:rPr>
        <w:t> </w:t>
      </w:r>
      <w:r>
        <w:rPr>
          <w:vertAlign w:val="baseline"/>
        </w:rPr>
        <w:t>principle</w:t>
      </w:r>
      <w:r>
        <w:rPr>
          <w:spacing w:val="43"/>
          <w:vertAlign w:val="baseline"/>
        </w:rPr>
        <w:t> </w:t>
      </w:r>
      <w:r>
        <w:rPr>
          <w:vertAlign w:val="baseline"/>
        </w:rPr>
        <w:t>there</w:t>
      </w:r>
      <w:r>
        <w:rPr>
          <w:spacing w:val="43"/>
          <w:vertAlign w:val="baseline"/>
        </w:rPr>
        <w:t> </w:t>
      </w:r>
      <w:r>
        <w:rPr>
          <w:vertAlign w:val="baseline"/>
        </w:rPr>
        <w:t>stated</w:t>
      </w:r>
      <w:r>
        <w:rPr>
          <w:spacing w:val="43"/>
          <w:vertAlign w:val="baseline"/>
        </w:rPr>
        <w:t> </w:t>
      </w:r>
      <w:r>
        <w:rPr>
          <w:vertAlign w:val="baseline"/>
        </w:rPr>
        <w:t>was</w:t>
      </w:r>
      <w:r>
        <w:rPr>
          <w:spacing w:val="43"/>
          <w:vertAlign w:val="baseline"/>
        </w:rPr>
        <w:t> </w:t>
      </w:r>
      <w:r>
        <w:rPr>
          <w:vertAlign w:val="baseline"/>
        </w:rPr>
        <w:t>that</w:t>
      </w:r>
      <w:r>
        <w:rPr>
          <w:spacing w:val="43"/>
          <w:vertAlign w:val="baseline"/>
        </w:rPr>
        <w:t> </w:t>
      </w:r>
      <w:r>
        <w:rPr>
          <w:vertAlign w:val="baseline"/>
        </w:rPr>
        <w:t>proprietary</w:t>
      </w:r>
      <w:r>
        <w:rPr>
          <w:spacing w:val="43"/>
          <w:vertAlign w:val="baseline"/>
        </w:rPr>
        <w:t> </w:t>
      </w:r>
      <w:r>
        <w:rPr>
          <w:vertAlign w:val="baseline"/>
        </w:rPr>
        <w:t>estoppel</w:t>
      </w:r>
      <w:r>
        <w:rPr>
          <w:spacing w:val="43"/>
          <w:vertAlign w:val="baseline"/>
        </w:rPr>
        <w:t> </w:t>
      </w:r>
      <w:r>
        <w:rPr>
          <w:vertAlign w:val="baseline"/>
        </w:rPr>
        <w:t>“looks</w:t>
      </w:r>
      <w:r>
        <w:rPr>
          <w:spacing w:val="43"/>
          <w:vertAlign w:val="baseline"/>
        </w:rPr>
        <w:t> </w:t>
      </w:r>
      <w:r>
        <w:rPr>
          <w:vertAlign w:val="baseline"/>
        </w:rPr>
        <w:t>backward</w:t>
      </w:r>
      <w:r>
        <w:rPr>
          <w:spacing w:val="43"/>
          <w:vertAlign w:val="baseline"/>
        </w:rPr>
        <w:t> </w:t>
      </w:r>
      <w:r>
        <w:rPr>
          <w:vertAlign w:val="baseline"/>
        </w:rPr>
        <w:t>from</w:t>
      </w:r>
      <w:r>
        <w:rPr>
          <w:spacing w:val="43"/>
          <w:vertAlign w:val="baseline"/>
        </w:rPr>
        <w:t> </w:t>
      </w:r>
      <w:r>
        <w:rPr>
          <w:vertAlign w:val="baseline"/>
        </w:rPr>
        <w:t>the</w:t>
      </w:r>
      <w:r>
        <w:rPr>
          <w:spacing w:val="43"/>
          <w:vertAlign w:val="baseline"/>
        </w:rPr>
        <w:t> </w:t>
      </w:r>
      <w:r>
        <w:rPr>
          <w:spacing w:val="-2"/>
          <w:vertAlign w:val="baseline"/>
        </w:rPr>
        <w:t>moment</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1827" w:id="1829"/>
      <w:bookmarkEnd w:id="1829"/>
      <w:r>
        <w:rPr/>
      </w:r>
      <w:r>
        <w:rPr/>
        <w:t>when the promise falls due to be performed”, as opposed to the time when it was made, and “asks whether, in the circumstances which have actually happened, it would be unconscionable for the promise</w:t>
      </w:r>
      <w:r>
        <w:rPr>
          <w:spacing w:val="-1"/>
        </w:rPr>
        <w:t> </w:t>
      </w:r>
      <w:r>
        <w:rPr/>
        <w:t>not</w:t>
      </w:r>
      <w:r>
        <w:rPr>
          <w:spacing w:val="-1"/>
        </w:rPr>
        <w:t> </w:t>
      </w:r>
      <w:r>
        <w:rPr/>
        <w:t>to</w:t>
      </w:r>
      <w:r>
        <w:rPr>
          <w:spacing w:val="-1"/>
        </w:rPr>
        <w:t> </w:t>
      </w:r>
      <w:r>
        <w:rPr/>
        <w:t>be</w:t>
      </w:r>
      <w:r>
        <w:rPr>
          <w:spacing w:val="-1"/>
        </w:rPr>
        <w:t> </w:t>
      </w:r>
      <w:r>
        <w:rPr/>
        <w:t>kept”</w:t>
      </w:r>
      <w:r>
        <w:rPr>
          <w:spacing w:val="-1"/>
        </w:rPr>
        <w:t> </w:t>
      </w:r>
      <w:r>
        <w:rPr>
          <w:color w:val="005DA1"/>
          <w:u w:val="single" w:color="005DA1"/>
          <w:vertAlign w:val="superscript"/>
        </w:rPr>
        <w:t>1195</w:t>
      </w:r>
      <w:r>
        <w:rPr>
          <w:vertAlign w:val="baseline"/>
        </w:rPr>
        <w:t>;</w:t>
      </w:r>
      <w:r>
        <w:rPr>
          <w:spacing w:val="-1"/>
          <w:vertAlign w:val="baseline"/>
        </w:rPr>
        <w:t> </w:t>
      </w:r>
      <w:r>
        <w:rPr>
          <w:vertAlign w:val="baseline"/>
        </w:rPr>
        <w:t>another</w:t>
      </w:r>
      <w:r>
        <w:rPr>
          <w:spacing w:val="-1"/>
          <w:vertAlign w:val="baseline"/>
        </w:rPr>
        <w:t> </w:t>
      </w:r>
      <w:r>
        <w:rPr>
          <w:vertAlign w:val="baseline"/>
        </w:rPr>
        <w:t>way</w:t>
      </w:r>
      <w:r>
        <w:rPr>
          <w:spacing w:val="-1"/>
          <w:vertAlign w:val="baseline"/>
        </w:rPr>
        <w:t> </w:t>
      </w:r>
      <w:r>
        <w:rPr>
          <w:vertAlign w:val="baseline"/>
        </w:rPr>
        <w:t>the</w:t>
      </w:r>
      <w:r>
        <w:rPr>
          <w:spacing w:val="-1"/>
          <w:vertAlign w:val="baseline"/>
        </w:rPr>
        <w:t> </w:t>
      </w:r>
      <w:r>
        <w:rPr>
          <w:vertAlign w:val="baseline"/>
        </w:rPr>
        <w:t>point</w:t>
      </w:r>
      <w:r>
        <w:rPr>
          <w:spacing w:val="-1"/>
          <w:vertAlign w:val="baseline"/>
        </w:rPr>
        <w:t> </w:t>
      </w:r>
      <w:r>
        <w:rPr>
          <w:vertAlign w:val="baseline"/>
        </w:rPr>
        <w:t>was</w:t>
      </w:r>
      <w:r>
        <w:rPr>
          <w:spacing w:val="-1"/>
          <w:vertAlign w:val="baseline"/>
        </w:rPr>
        <w:t> </w:t>
      </w:r>
      <w:r>
        <w:rPr>
          <w:vertAlign w:val="baseline"/>
        </w:rPr>
        <w:t>put</w:t>
      </w:r>
      <w:r>
        <w:rPr>
          <w:spacing w:val="-1"/>
          <w:vertAlign w:val="baseline"/>
        </w:rPr>
        <w:t> </w:t>
      </w:r>
      <w:r>
        <w:rPr>
          <w:vertAlign w:val="baseline"/>
        </w:rPr>
        <w:t>was</w:t>
      </w:r>
      <w:r>
        <w:rPr>
          <w:spacing w:val="-1"/>
          <w:vertAlign w:val="baseline"/>
        </w:rPr>
        <w:t> </w:t>
      </w:r>
      <w:r>
        <w:rPr>
          <w:vertAlign w:val="baseline"/>
        </w:rPr>
        <w:t>that</w:t>
      </w:r>
      <w:r>
        <w:rPr>
          <w:spacing w:val="-1"/>
          <w:vertAlign w:val="baseline"/>
        </w:rPr>
        <w:t> </w:t>
      </w:r>
      <w:r>
        <w:rPr>
          <w:vertAlign w:val="baseline"/>
        </w:rPr>
        <w:t>“Peter’s</w:t>
      </w:r>
      <w:r>
        <w:rPr>
          <w:spacing w:val="-1"/>
          <w:vertAlign w:val="baseline"/>
        </w:rPr>
        <w:t> </w:t>
      </w:r>
      <w:r>
        <w:rPr>
          <w:vertAlign w:val="baseline"/>
        </w:rPr>
        <w:t>representation</w:t>
      </w:r>
      <w:r>
        <w:rPr>
          <w:spacing w:val="-1"/>
          <w:vertAlign w:val="baseline"/>
        </w:rPr>
        <w:t> </w:t>
      </w:r>
      <w:r>
        <w:rPr>
          <w:vertAlign w:val="baseline"/>
        </w:rPr>
        <w:t>that</w:t>
      </w:r>
      <w:r>
        <w:rPr>
          <w:spacing w:val="-1"/>
          <w:vertAlign w:val="baseline"/>
        </w:rPr>
        <w:t> </w:t>
      </w:r>
      <w:r>
        <w:rPr>
          <w:vertAlign w:val="baseline"/>
        </w:rPr>
        <w:t>David would inherit Steart Farm speaks, at least where Peter remained the owner of an agricultural entity known as Steart Farm, as from his death”. </w:t>
      </w:r>
      <w:r>
        <w:rPr>
          <w:color w:val="005DA1"/>
          <w:u w:val="single" w:color="005DA1"/>
          <w:vertAlign w:val="superscript"/>
        </w:rPr>
        <w:t>1196</w:t>
      </w:r>
      <w:r>
        <w:rPr>
          <w:color w:val="005DA1"/>
          <w:vertAlign w:val="baseline"/>
        </w:rPr>
        <w:t> </w:t>
      </w:r>
      <w:r>
        <w:rPr>
          <w:vertAlign w:val="baseline"/>
        </w:rPr>
        <w:t>It is inherent in these formulations that, in cases of proprietary estoppel, events between the making of the promise and the time when the promise falls to be performed are relevant to the extent of the promisee’s equity. In </w:t>
      </w:r>
      <w:r>
        <w:rPr>
          <w:rFonts w:ascii="Arial" w:hAnsi="Arial"/>
          <w:i/>
          <w:vertAlign w:val="baseline"/>
        </w:rPr>
        <w:t>Thorner v Major </w:t>
      </w:r>
      <w:r>
        <w:rPr>
          <w:vertAlign w:val="baseline"/>
        </w:rPr>
        <w:t>this </w:t>
      </w:r>
      <w:r>
        <w:rPr>
          <w:vertAlign w:val="baseline"/>
        </w:rPr>
        <w:t>principle operated in David’s favour, Steart Farm having increased (if only slightly) in size between the time when Peter first made the promise and the time when he died; but the speeches in that case also consider</w:t>
      </w:r>
      <w:r>
        <w:rPr>
          <w:spacing w:val="2"/>
          <w:vertAlign w:val="baseline"/>
        </w:rPr>
        <w:t> </w:t>
      </w:r>
      <w:r>
        <w:rPr>
          <w:vertAlign w:val="baseline"/>
        </w:rPr>
        <w:t>the</w:t>
      </w:r>
      <w:r>
        <w:rPr>
          <w:spacing w:val="2"/>
          <w:vertAlign w:val="baseline"/>
        </w:rPr>
        <w:t> </w:t>
      </w:r>
      <w:r>
        <w:rPr>
          <w:vertAlign w:val="baseline"/>
        </w:rPr>
        <w:t>possibility</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converse</w:t>
      </w:r>
      <w:r>
        <w:rPr>
          <w:spacing w:val="2"/>
          <w:vertAlign w:val="baseline"/>
        </w:rPr>
        <w:t> </w:t>
      </w:r>
      <w:r>
        <w:rPr>
          <w:vertAlign w:val="baseline"/>
        </w:rPr>
        <w:t>situation</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decrease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size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farm</w:t>
      </w:r>
      <w:r>
        <w:rPr>
          <w:spacing w:val="2"/>
          <w:vertAlign w:val="baseline"/>
        </w:rPr>
        <w:t> </w:t>
      </w:r>
      <w:r>
        <w:rPr>
          <w:vertAlign w:val="baseline"/>
        </w:rPr>
        <w:t>during</w:t>
      </w:r>
      <w:r>
        <w:rPr>
          <w:spacing w:val="2"/>
          <w:vertAlign w:val="baseline"/>
        </w:rPr>
        <w:t> </w:t>
      </w:r>
      <w:r>
        <w:rPr>
          <w:vertAlign w:val="baseline"/>
        </w:rPr>
        <w:t>that</w:t>
      </w:r>
      <w:r>
        <w:rPr>
          <w:spacing w:val="2"/>
          <w:vertAlign w:val="baseline"/>
        </w:rPr>
        <w:t> </w:t>
      </w:r>
      <w:r>
        <w:rPr>
          <w:spacing w:val="-2"/>
          <w:vertAlign w:val="baseline"/>
        </w:rPr>
        <w:t>time:</w:t>
      </w:r>
    </w:p>
    <w:p>
      <w:pPr>
        <w:pStyle w:val="BodyText"/>
        <w:spacing w:line="235" w:lineRule="auto"/>
        <w:ind w:left="164" w:right="167"/>
        <w:jc w:val="both"/>
      </w:pPr>
      <w:r>
        <w:rPr/>
        <w:t>e.g. because Peter had needed to dispose of part of the land to pay for nursing care “in a decrepit </w:t>
      </w:r>
      <w:r>
        <w:rPr/>
        <w:t>old age.” </w:t>
      </w:r>
      <w:r>
        <w:rPr>
          <w:color w:val="005DA1"/>
          <w:u w:val="single" w:color="005DA1"/>
          <w:vertAlign w:val="superscript"/>
        </w:rPr>
        <w:t>1197</w:t>
      </w:r>
      <w:r>
        <w:rPr>
          <w:color w:val="005DA1"/>
          <w:vertAlign w:val="baseline"/>
        </w:rPr>
        <w:t> </w:t>
      </w:r>
      <w:r>
        <w:rPr>
          <w:vertAlign w:val="baseline"/>
        </w:rPr>
        <w:t>No definite answer needed to be, or was, given to such questions in </w:t>
      </w:r>
      <w:r>
        <w:rPr>
          <w:rFonts w:ascii="Arial" w:hAnsi="Arial"/>
          <w:i/>
          <w:vertAlign w:val="baseline"/>
        </w:rPr>
        <w:t>Thorner v Major</w:t>
      </w:r>
      <w:r>
        <w:rPr>
          <w:vertAlign w:val="baseline"/>
        </w:rPr>
        <w:t>, but</w:t>
      </w:r>
      <w:r>
        <w:rPr>
          <w:spacing w:val="40"/>
          <w:vertAlign w:val="baseline"/>
        </w:rPr>
        <w:t> </w:t>
      </w:r>
      <w:r>
        <w:rPr>
          <w:vertAlign w:val="baseline"/>
        </w:rPr>
        <w:t>the discussions there of such hypotheses seem to accept the possibility that such changes of circumstances could be taken into account in shaping the remedy for proprietary estoppel. This view</w:t>
      </w:r>
      <w:r>
        <w:rPr>
          <w:spacing w:val="40"/>
          <w:vertAlign w:val="baseline"/>
        </w:rPr>
        <w:t> </w:t>
      </w:r>
      <w:r>
        <w:rPr>
          <w:vertAlign w:val="baseline"/>
        </w:rPr>
        <w:t>is also supported by a number of factors recognised in the earlier authorities as being relevant to that issue. For example, in the cases discussed in para.4-176 above the rights of the promisee </w:t>
      </w:r>
      <w:r>
        <w:rPr>
          <w:vertAlign w:val="baseline"/>
        </w:rPr>
        <w:t>were extended (perhaps sometimes unduly) because, after making the promise, the promisor </w:t>
      </w:r>
      <w:r>
        <w:rPr>
          <w:vertAlign w:val="baseline"/>
        </w:rPr>
        <w:t>had conducted himself in a way that had incurred the disapproval of the court. Conversely, those </w:t>
      </w:r>
      <w:r>
        <w:rPr>
          <w:vertAlign w:val="baseline"/>
        </w:rPr>
        <w:t>rights could be curtailed in the exercise of the “principled discretion” described in paras 4-173 and 4-175 above, and in particular by the principle that there must be “proportionality between the </w:t>
      </w:r>
      <w:r>
        <w:rPr>
          <w:vertAlign w:val="baseline"/>
        </w:rPr>
        <w:t>[promisee’s] expectation and the detriment [suffered by him].” </w:t>
      </w:r>
      <w:r>
        <w:rPr>
          <w:color w:val="005DA1"/>
          <w:u w:val="single" w:color="005DA1"/>
          <w:vertAlign w:val="superscript"/>
        </w:rPr>
        <w:t>1198</w:t>
      </w:r>
      <w:r>
        <w:rPr>
          <w:color w:val="005DA1"/>
          <w:vertAlign w:val="baseline"/>
        </w:rPr>
        <w:t> </w:t>
      </w:r>
      <w:r>
        <w:rPr>
          <w:vertAlign w:val="baseline"/>
        </w:rPr>
        <w:t>If, for example, in </w:t>
      </w:r>
      <w:r>
        <w:rPr>
          <w:rFonts w:ascii="Arial" w:hAnsi="Arial"/>
          <w:i/>
          <w:vertAlign w:val="baseline"/>
        </w:rPr>
        <w:t>Thorner v Major </w:t>
      </w:r>
      <w:r>
        <w:rPr>
          <w:vertAlign w:val="baseline"/>
        </w:rPr>
        <w:t>the value </w:t>
      </w:r>
      <w:r>
        <w:rPr>
          <w:vertAlign w:val="baseline"/>
        </w:rPr>
        <w:t>of Steart Farm had, after Peter’s original assurance but before his death, increased by a </w:t>
      </w:r>
      <w:r>
        <w:rPr>
          <w:vertAlign w:val="baseline"/>
        </w:rPr>
        <w:t>hundredfold because planning permission had in that interval been given to develop the whole of Steart Farm as a new</w:t>
      </w:r>
      <w:r>
        <w:rPr>
          <w:spacing w:val="-1"/>
          <w:vertAlign w:val="baseline"/>
        </w:rPr>
        <w:t> </w:t>
      </w:r>
      <w:r>
        <w:rPr>
          <w:vertAlign w:val="baseline"/>
        </w:rPr>
        <w:t>housing</w:t>
      </w:r>
      <w:r>
        <w:rPr>
          <w:spacing w:val="-1"/>
          <w:vertAlign w:val="baseline"/>
        </w:rPr>
        <w:t> </w:t>
      </w:r>
      <w:r>
        <w:rPr>
          <w:vertAlign w:val="baseline"/>
        </w:rPr>
        <w:t>estate,</w:t>
      </w:r>
      <w:r>
        <w:rPr>
          <w:spacing w:val="-1"/>
          <w:vertAlign w:val="baseline"/>
        </w:rPr>
        <w:t> </w:t>
      </w:r>
      <w:r>
        <w:rPr>
          <w:color w:val="005DA1"/>
          <w:u w:val="single" w:color="005DA1"/>
          <w:vertAlign w:val="superscript"/>
        </w:rPr>
        <w:t>1199</w:t>
      </w:r>
      <w:r>
        <w:rPr>
          <w:color w:val="005DA1"/>
          <w:spacing w:val="-1"/>
          <w:vertAlign w:val="baseline"/>
        </w:rPr>
        <w:t> </w:t>
      </w:r>
      <w:r>
        <w:rPr>
          <w:vertAlign w:val="baseline"/>
        </w:rPr>
        <w:t>then</w:t>
      </w:r>
      <w:r>
        <w:rPr>
          <w:spacing w:val="-1"/>
          <w:vertAlign w:val="baseline"/>
        </w:rPr>
        <w:t> </w:t>
      </w:r>
      <w:r>
        <w:rPr>
          <w:vertAlign w:val="baseline"/>
        </w:rPr>
        <w:t>it</w:t>
      </w:r>
      <w:r>
        <w:rPr>
          <w:spacing w:val="-1"/>
          <w:vertAlign w:val="baseline"/>
        </w:rPr>
        <w:t> </w:t>
      </w:r>
      <w:r>
        <w:rPr>
          <w:vertAlign w:val="baseline"/>
        </w:rPr>
        <w:t>might</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arguable</w:t>
      </w:r>
      <w:r>
        <w:rPr>
          <w:spacing w:val="-1"/>
          <w:vertAlign w:val="baseline"/>
        </w:rPr>
        <w:t> </w:t>
      </w:r>
      <w:r>
        <w:rPr>
          <w:vertAlign w:val="baseline"/>
        </w:rPr>
        <w:t>that</w:t>
      </w:r>
      <w:r>
        <w:rPr>
          <w:spacing w:val="-1"/>
          <w:vertAlign w:val="baseline"/>
        </w:rPr>
        <w:t> </w:t>
      </w:r>
      <w:r>
        <w:rPr>
          <w:vertAlign w:val="baseline"/>
        </w:rPr>
        <w:t>David’s</w:t>
      </w:r>
      <w:r>
        <w:rPr>
          <w:spacing w:val="-1"/>
          <w:vertAlign w:val="baseline"/>
        </w:rPr>
        <w:t> </w:t>
      </w:r>
      <w:r>
        <w:rPr>
          <w:vertAlign w:val="baseline"/>
        </w:rPr>
        <w:t>claim</w:t>
      </w:r>
      <w:r>
        <w:rPr>
          <w:spacing w:val="-1"/>
          <w:vertAlign w:val="baseline"/>
        </w:rPr>
        <w:t> </w:t>
      </w:r>
      <w:r>
        <w:rPr>
          <w:vertAlign w:val="baseline"/>
        </w:rPr>
        <w:t>should</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scaled down so as to give him reasonable, or even generous, compensation for his detrimental reliance on Peter’s promise, or at least that the resulting windfall should be shared in reasonable or fair proportions between David and the persons entitled to Peter’s estate on his intestacy. Where A’s promise leads B to form an expectation of inheriting A’s property, there is also the possibility that the promise might be subject to an express or implied condition of survivorship so that B’s death during A’s</w:t>
      </w:r>
      <w:r>
        <w:rPr>
          <w:spacing w:val="-3"/>
          <w:vertAlign w:val="baseline"/>
        </w:rPr>
        <w:t> </w:t>
      </w:r>
      <w:r>
        <w:rPr>
          <w:vertAlign w:val="baseline"/>
        </w:rPr>
        <w:t>life-time</w:t>
      </w:r>
      <w:r>
        <w:rPr>
          <w:spacing w:val="-3"/>
          <w:vertAlign w:val="baseline"/>
        </w:rPr>
        <w:t> </w:t>
      </w:r>
      <w:r>
        <w:rPr>
          <w:vertAlign w:val="baseline"/>
        </w:rPr>
        <w:t>would</w:t>
      </w:r>
      <w:r>
        <w:rPr>
          <w:spacing w:val="-3"/>
          <w:vertAlign w:val="baseline"/>
        </w:rPr>
        <w:t> </w:t>
      </w:r>
      <w:r>
        <w:rPr>
          <w:vertAlign w:val="baseline"/>
        </w:rPr>
        <w:t>defeat</w:t>
      </w:r>
      <w:r>
        <w:rPr>
          <w:spacing w:val="-3"/>
          <w:vertAlign w:val="baseline"/>
        </w:rPr>
        <w:t> </w:t>
      </w:r>
      <w:r>
        <w:rPr>
          <w:vertAlign w:val="baseline"/>
        </w:rPr>
        <w:t>the</w:t>
      </w:r>
      <w:r>
        <w:rPr>
          <w:spacing w:val="-3"/>
          <w:vertAlign w:val="baseline"/>
        </w:rPr>
        <w:t> </w:t>
      </w:r>
      <w:r>
        <w:rPr>
          <w:vertAlign w:val="baseline"/>
        </w:rPr>
        <w:t>proprietary</w:t>
      </w:r>
      <w:r>
        <w:rPr>
          <w:spacing w:val="-3"/>
          <w:vertAlign w:val="baseline"/>
        </w:rPr>
        <w:t> </w:t>
      </w:r>
      <w:r>
        <w:rPr>
          <w:vertAlign w:val="baseline"/>
        </w:rPr>
        <w:t>estoppel</w:t>
      </w:r>
      <w:r>
        <w:rPr>
          <w:spacing w:val="-3"/>
          <w:vertAlign w:val="baseline"/>
        </w:rPr>
        <w:t> </w:t>
      </w:r>
      <w:r>
        <w:rPr>
          <w:vertAlign w:val="baseline"/>
        </w:rPr>
        <w:t>claim</w:t>
      </w:r>
      <w:r>
        <w:rPr>
          <w:spacing w:val="-3"/>
          <w:vertAlign w:val="baseline"/>
        </w:rPr>
        <w:t> </w:t>
      </w:r>
      <w:r>
        <w:rPr>
          <w:vertAlign w:val="baseline"/>
        </w:rPr>
        <w:t>on</w:t>
      </w:r>
      <w:r>
        <w:rPr>
          <w:spacing w:val="-3"/>
          <w:vertAlign w:val="baseline"/>
        </w:rPr>
        <w:t> </w:t>
      </w:r>
      <w:r>
        <w:rPr>
          <w:vertAlign w:val="baseline"/>
        </w:rPr>
        <w:t>behalf</w:t>
      </w:r>
      <w:r>
        <w:rPr>
          <w:spacing w:val="-3"/>
          <w:vertAlign w:val="baseline"/>
        </w:rPr>
        <w:t> </w:t>
      </w:r>
      <w:r>
        <w:rPr>
          <w:vertAlign w:val="baseline"/>
        </w:rPr>
        <w:t>of</w:t>
      </w:r>
      <w:r>
        <w:rPr>
          <w:spacing w:val="-3"/>
          <w:vertAlign w:val="baseline"/>
        </w:rPr>
        <w:t> </w:t>
      </w:r>
      <w:r>
        <w:rPr>
          <w:vertAlign w:val="baseline"/>
        </w:rPr>
        <w:t>B’s</w:t>
      </w:r>
      <w:r>
        <w:rPr>
          <w:spacing w:val="-3"/>
          <w:vertAlign w:val="baseline"/>
        </w:rPr>
        <w:t> </w:t>
      </w:r>
      <w:r>
        <w:rPr>
          <w:vertAlign w:val="baseline"/>
        </w:rPr>
        <w:t>estate.</w:t>
      </w:r>
      <w:r>
        <w:rPr>
          <w:spacing w:val="-4"/>
          <w:vertAlign w:val="baseline"/>
        </w:rPr>
        <w:t> </w:t>
      </w:r>
      <w:r>
        <w:rPr>
          <w:color w:val="005DA1"/>
          <w:u w:val="single" w:color="005DA1"/>
          <w:vertAlign w:val="superscript"/>
        </w:rPr>
        <w:t>1200</w:t>
      </w:r>
      <w:r>
        <w:rPr>
          <w:color w:val="005DA1"/>
          <w:spacing w:val="-3"/>
          <w:vertAlign w:val="baseline"/>
        </w:rPr>
        <w:t> </w:t>
      </w:r>
      <w:r>
        <w:rPr>
          <w:vertAlign w:val="baseline"/>
        </w:rPr>
        <w:t>There</w:t>
      </w:r>
      <w:r>
        <w:rPr>
          <w:spacing w:val="-3"/>
          <w:vertAlign w:val="baseline"/>
        </w:rPr>
        <w:t> </w:t>
      </w:r>
      <w:r>
        <w:rPr>
          <w:vertAlign w:val="baseline"/>
        </w:rPr>
        <w:t>is</w:t>
      </w:r>
      <w:r>
        <w:rPr>
          <w:spacing w:val="-3"/>
          <w:vertAlign w:val="baseline"/>
        </w:rPr>
        <w:t> </w:t>
      </w:r>
      <w:r>
        <w:rPr>
          <w:vertAlign w:val="baseline"/>
        </w:rPr>
        <w:t>finally</w:t>
      </w:r>
      <w:r>
        <w:rPr>
          <w:spacing w:val="-3"/>
          <w:vertAlign w:val="baseline"/>
        </w:rPr>
        <w:t> </w:t>
      </w:r>
      <w:r>
        <w:rPr>
          <w:vertAlign w:val="baseline"/>
        </w:rPr>
        <w:t>the point that a promise giving rise to proprietary estoppel may, within the limits discussed in para.4-168 above, be revocable; and, where this is the position, the revocation of the promise within those limits will prevent the operation of the estoppel.</w:t>
      </w:r>
    </w:p>
    <w:p>
      <w:pPr>
        <w:pStyle w:val="BodyText"/>
      </w:pPr>
    </w:p>
    <w:p>
      <w:pPr>
        <w:pStyle w:val="BodyText"/>
        <w:spacing w:before="27"/>
      </w:pPr>
      <w:r>
        <w:rPr/>
        <mc:AlternateContent>
          <mc:Choice Requires="wps">
            <w:drawing>
              <wp:anchor distT="0" distB="0" distL="0" distR="0" allowOverlap="1" layoutInCell="1" locked="0" behindDoc="1" simplePos="0" relativeHeight="487676928">
                <wp:simplePos x="0" y="0"/>
                <wp:positionH relativeFrom="page">
                  <wp:posOffset>914400</wp:posOffset>
                </wp:positionH>
                <wp:positionV relativeFrom="paragraph">
                  <wp:posOffset>178615</wp:posOffset>
                </wp:positionV>
                <wp:extent cx="5724525" cy="1270"/>
                <wp:effectExtent l="0" t="0" r="0" b="0"/>
                <wp:wrapTopAndBottom/>
                <wp:docPr id="362" name="Graphic 362"/>
                <wp:cNvGraphicFramePr>
                  <a:graphicFrameLocks/>
                </wp:cNvGraphicFramePr>
                <a:graphic>
                  <a:graphicData uri="http://schemas.microsoft.com/office/word/2010/wordprocessingShape">
                    <wps:wsp>
                      <wps:cNvPr id="362" name="Graphic 36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064222pt;width:450.75pt;height:.1pt;mso-position-horizontal-relative:page;mso-position-vertical-relative:paragraph;z-index:-15639552;mso-wrap-distance-left:0;mso-wrap-distance-right:0" id="docshape82" coordorigin="1440,281" coordsize="9015,0" path="m1440,281l10454,281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569" w:hRule="atLeast"/>
        </w:trPr>
        <w:tc>
          <w:tcPr>
            <w:tcW w:w="496" w:type="dxa"/>
          </w:tcPr>
          <w:p>
            <w:pPr>
              <w:pStyle w:val="TableParagraph"/>
              <w:spacing w:before="0"/>
              <w:ind w:left="50"/>
              <w:rPr>
                <w:sz w:val="14"/>
              </w:rPr>
            </w:pPr>
            <w:r>
              <w:rPr>
                <w:sz w:val="14"/>
              </w:rPr>
              <mc:AlternateContent>
                <mc:Choice Requires="wps">
                  <w:drawing>
                    <wp:anchor distT="0" distB="0" distL="0" distR="0" allowOverlap="1" layoutInCell="1" locked="0" behindDoc="1" simplePos="0" relativeHeight="482244096">
                      <wp:simplePos x="0" y="0"/>
                      <wp:positionH relativeFrom="column">
                        <wp:posOffset>31750</wp:posOffset>
                      </wp:positionH>
                      <wp:positionV relativeFrom="paragraph">
                        <wp:posOffset>89102</wp:posOffset>
                      </wp:positionV>
                      <wp:extent cx="49530" cy="6350"/>
                      <wp:effectExtent l="0" t="0" r="0" b="0"/>
                      <wp:wrapNone/>
                      <wp:docPr id="363" name="Group 363"/>
                      <wp:cNvGraphicFramePr>
                        <a:graphicFrameLocks/>
                      </wp:cNvGraphicFramePr>
                      <a:graphic>
                        <a:graphicData uri="http://schemas.microsoft.com/office/word/2010/wordprocessingGroup">
                          <wpg:wgp>
                            <wpg:cNvPr id="363" name="Group 363"/>
                            <wpg:cNvGrpSpPr/>
                            <wpg:grpSpPr>
                              <a:xfrm>
                                <a:off x="0" y="0"/>
                                <a:ext cx="49530" cy="6350"/>
                                <a:chExt cx="49530" cy="6350"/>
                              </a:xfrm>
                            </wpg:grpSpPr>
                            <wps:wsp>
                              <wps:cNvPr id="364" name="Graphic 364"/>
                              <wps:cNvSpPr/>
                              <wps:spPr>
                                <a:xfrm>
                                  <a:off x="0" y="3175"/>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pt;margin-top:7.015928pt;width:3.9pt;height:.5pt;mso-position-horizontal-relative:column;mso-position-vertical-relative:paragraph;z-index:-21072384" id="docshapegroup83" coordorigin="50,140" coordsize="78,10">
                      <v:line style="position:absolute" from="50,145" to="128,145" stroked="true" strokeweight=".5pt" strokecolor="#005da1">
                        <v:stroke dashstyle="solid"/>
                      </v:line>
                      <w10:wrap type="none"/>
                    </v:group>
                  </w:pict>
                </mc:Fallback>
              </mc:AlternateContent>
            </w:r>
            <w:hyperlink w:history="true" w:anchor="_bookmark1834">
              <w:r>
                <w:rPr>
                  <w:color w:val="005DA1"/>
                  <w:spacing w:val="-5"/>
                  <w:sz w:val="14"/>
                </w:rPr>
                <w:t>1</w:t>
              </w:r>
            </w:hyperlink>
            <w:r>
              <w:rPr>
                <w:spacing w:val="-5"/>
                <w:sz w:val="14"/>
              </w:rPr>
              <w:t>.</w:t>
            </w:r>
          </w:p>
        </w:tc>
        <w:tc>
          <w:tcPr>
            <w:tcW w:w="8620" w:type="dxa"/>
          </w:tcPr>
          <w:p>
            <w:pPr>
              <w:pStyle w:val="TableParagraph"/>
              <w:spacing w:line="221" w:lineRule="exact" w:before="0"/>
              <w:rPr>
                <w:rFonts w:ascii="Arial"/>
                <w:i/>
                <w:sz w:val="20"/>
              </w:rPr>
            </w:pPr>
            <w:r>
              <w:rPr>
                <w:sz w:val="20"/>
              </w:rPr>
              <w:t>Sutton,</w:t>
            </w:r>
            <w:r>
              <w:rPr>
                <w:spacing w:val="23"/>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TableParagraph"/>
              <w:spacing w:line="227" w:lineRule="exact" w:before="0"/>
              <w:rPr>
                <w:sz w:val="20"/>
              </w:rPr>
            </w:pPr>
            <w:r>
              <w:rPr>
                <w:sz w:val="20"/>
              </w:rPr>
              <w:t>(2014); Shatwell (1955) 1 Sydney Law Review </w:t>
            </w:r>
            <w:r>
              <w:rPr>
                <w:spacing w:val="-4"/>
                <w:sz w:val="20"/>
              </w:rPr>
              <w:t>289.</w:t>
            </w:r>
          </w:p>
        </w:tc>
      </w:tr>
      <w:tr>
        <w:trPr>
          <w:trHeight w:val="465" w:hRule="atLeast"/>
        </w:trPr>
        <w:tc>
          <w:tcPr>
            <w:tcW w:w="496" w:type="dxa"/>
          </w:tcPr>
          <w:p>
            <w:pPr>
              <w:pStyle w:val="TableParagraph"/>
              <w:ind w:left="50"/>
              <w:rPr>
                <w:sz w:val="14"/>
              </w:rPr>
            </w:pPr>
            <w:r>
              <w:rPr>
                <w:color w:val="005DA1"/>
                <w:spacing w:val="-2"/>
                <w:sz w:val="14"/>
                <w:u w:val="single" w:color="005DA1"/>
              </w:rPr>
              <w:t>1105</w:t>
            </w:r>
            <w:r>
              <w:rPr>
                <w:spacing w:val="-2"/>
                <w:sz w:val="14"/>
              </w:rPr>
              <w:t>.</w:t>
            </w:r>
          </w:p>
        </w:tc>
        <w:tc>
          <w:tcPr>
            <w:tcW w:w="8620" w:type="dxa"/>
          </w:tcPr>
          <w:p>
            <w:pPr>
              <w:pStyle w:val="TableParagraph"/>
              <w:spacing w:before="114"/>
              <w:rPr>
                <w:sz w:val="20"/>
              </w:rPr>
            </w:pPr>
            <w:r>
              <w:rPr>
                <w:sz w:val="20"/>
              </w:rPr>
              <w:t>Above, para.4-</w:t>
            </w:r>
            <w:r>
              <w:rPr>
                <w:spacing w:val="-4"/>
                <w:sz w:val="20"/>
              </w:rPr>
              <w:t>147.</w:t>
            </w:r>
          </w:p>
        </w:tc>
      </w:tr>
      <w:tr>
        <w:trPr>
          <w:trHeight w:val="465" w:hRule="atLeast"/>
        </w:trPr>
        <w:tc>
          <w:tcPr>
            <w:tcW w:w="496" w:type="dxa"/>
          </w:tcPr>
          <w:p>
            <w:pPr>
              <w:pStyle w:val="TableParagraph"/>
              <w:ind w:left="50"/>
              <w:rPr>
                <w:sz w:val="14"/>
              </w:rPr>
            </w:pPr>
            <w:r>
              <w:rPr>
                <w:color w:val="005DA1"/>
                <w:spacing w:val="-2"/>
                <w:sz w:val="14"/>
                <w:u w:val="single" w:color="005DA1"/>
              </w:rPr>
              <w:t>1106</w:t>
            </w:r>
            <w:r>
              <w:rPr>
                <w:spacing w:val="-2"/>
                <w:sz w:val="14"/>
              </w:rPr>
              <w:t>.</w:t>
            </w:r>
          </w:p>
        </w:tc>
        <w:tc>
          <w:tcPr>
            <w:tcW w:w="8620" w:type="dxa"/>
          </w:tcPr>
          <w:p>
            <w:pPr>
              <w:pStyle w:val="TableParagraph"/>
              <w:spacing w:before="114"/>
              <w:rPr>
                <w:sz w:val="20"/>
              </w:rPr>
            </w:pPr>
            <w:r>
              <w:rPr>
                <w:rFonts w:ascii="Arial"/>
                <w:i/>
                <w:sz w:val="20"/>
              </w:rPr>
              <w:t>E. &amp; L. Berg Homes v Gray (1979) 253 E.G. </w:t>
            </w:r>
            <w:r>
              <w:rPr>
                <w:rFonts w:ascii="Arial"/>
                <w:i/>
                <w:spacing w:val="-4"/>
                <w:sz w:val="20"/>
              </w:rPr>
              <w:t>473</w:t>
            </w:r>
            <w:r>
              <w:rPr>
                <w:spacing w:val="-4"/>
                <w:sz w:val="20"/>
              </w:rPr>
              <w:t>.</w:t>
            </w:r>
          </w:p>
        </w:tc>
      </w:tr>
      <w:tr>
        <w:trPr>
          <w:trHeight w:val="465" w:hRule="atLeast"/>
        </w:trPr>
        <w:tc>
          <w:tcPr>
            <w:tcW w:w="496" w:type="dxa"/>
          </w:tcPr>
          <w:p>
            <w:pPr>
              <w:pStyle w:val="TableParagraph"/>
              <w:ind w:left="50"/>
              <w:rPr>
                <w:sz w:val="14"/>
              </w:rPr>
            </w:pPr>
            <w:r>
              <w:rPr>
                <w:color w:val="005DA1"/>
                <w:spacing w:val="-2"/>
                <w:sz w:val="14"/>
                <w:u w:val="single" w:color="005DA1"/>
              </w:rPr>
              <w:t>1107</w:t>
            </w:r>
            <w:r>
              <w:rPr>
                <w:spacing w:val="-2"/>
                <w:sz w:val="14"/>
              </w:rPr>
              <w:t>.</w:t>
            </w:r>
          </w:p>
        </w:tc>
        <w:tc>
          <w:tcPr>
            <w:tcW w:w="8620" w:type="dxa"/>
          </w:tcPr>
          <w:p>
            <w:pPr>
              <w:pStyle w:val="TableParagraph"/>
              <w:spacing w:before="114"/>
              <w:rPr>
                <w:sz w:val="20"/>
              </w:rPr>
            </w:pPr>
            <w:r>
              <w:rPr>
                <w:rFonts w:ascii="Arial"/>
                <w:i/>
                <w:sz w:val="20"/>
              </w:rPr>
              <w:t>(1862)</w:t>
            </w:r>
            <w:r>
              <w:rPr>
                <w:rFonts w:ascii="Arial"/>
                <w:i/>
                <w:spacing w:val="-1"/>
                <w:sz w:val="20"/>
              </w:rPr>
              <w:t> </w:t>
            </w:r>
            <w:r>
              <w:rPr>
                <w:rFonts w:ascii="Arial"/>
                <w:i/>
                <w:sz w:val="20"/>
              </w:rPr>
              <w:t>D. F. &amp; G. 517</w:t>
            </w:r>
            <w:r>
              <w:rPr>
                <w:sz w:val="20"/>
              </w:rPr>
              <w:t>; above, para.4-</w:t>
            </w:r>
            <w:r>
              <w:rPr>
                <w:spacing w:val="-4"/>
                <w:sz w:val="20"/>
              </w:rPr>
              <w:t>141.</w:t>
            </w:r>
          </w:p>
        </w:tc>
      </w:tr>
      <w:tr>
        <w:trPr>
          <w:trHeight w:val="690" w:hRule="atLeast"/>
        </w:trPr>
        <w:tc>
          <w:tcPr>
            <w:tcW w:w="496" w:type="dxa"/>
          </w:tcPr>
          <w:p>
            <w:pPr>
              <w:pStyle w:val="TableParagraph"/>
              <w:ind w:left="50"/>
              <w:rPr>
                <w:sz w:val="14"/>
              </w:rPr>
            </w:pPr>
            <w:r>
              <w:rPr>
                <w:color w:val="005DA1"/>
                <w:spacing w:val="-2"/>
                <w:sz w:val="14"/>
                <w:u w:val="single" w:color="005DA1"/>
              </w:rPr>
              <w:t>1108</w:t>
            </w:r>
            <w:r>
              <w:rPr>
                <w:spacing w:val="-2"/>
                <w:sz w:val="14"/>
              </w:rPr>
              <w:t>.</w:t>
            </w:r>
          </w:p>
        </w:tc>
        <w:tc>
          <w:tcPr>
            <w:tcW w:w="8620" w:type="dxa"/>
          </w:tcPr>
          <w:p>
            <w:pPr>
              <w:pStyle w:val="TableParagraph"/>
              <w:spacing w:line="235" w:lineRule="auto" w:before="118"/>
              <w:ind w:right="88"/>
              <w:rPr>
                <w:sz w:val="20"/>
              </w:rPr>
            </w:pPr>
            <w:r>
              <w:rPr>
                <w:sz w:val="20"/>
              </w:rPr>
              <w:t>cf. </w:t>
            </w:r>
            <w:r>
              <w:rPr>
                <w:rFonts w:ascii="Arial" w:hAnsi="Arial"/>
                <w:i/>
                <w:sz w:val="20"/>
              </w:rPr>
              <w:t>Pascoe v Turner [1979] 1 W.L.R. 431, 435 </w:t>
            </w:r>
            <w:r>
              <w:rPr>
                <w:sz w:val="20"/>
              </w:rPr>
              <w:t>(where before the promisee’s action in </w:t>
            </w:r>
            <w:r>
              <w:rPr>
                <w:sz w:val="20"/>
              </w:rPr>
              <w:t>reliance</w:t>
            </w:r>
            <w:r>
              <w:rPr>
                <w:spacing w:val="40"/>
                <w:sz w:val="20"/>
              </w:rPr>
              <w:t> </w:t>
            </w:r>
            <w:r>
              <w:rPr>
                <w:sz w:val="20"/>
              </w:rPr>
              <w:t>on the promise she was said to have been only a licensee at will).</w:t>
            </w:r>
          </w:p>
        </w:tc>
      </w:tr>
      <w:tr>
        <w:trPr>
          <w:trHeight w:val="465" w:hRule="atLeast"/>
        </w:trPr>
        <w:tc>
          <w:tcPr>
            <w:tcW w:w="496" w:type="dxa"/>
          </w:tcPr>
          <w:p>
            <w:pPr>
              <w:pStyle w:val="TableParagraph"/>
              <w:ind w:left="50"/>
              <w:rPr>
                <w:sz w:val="14"/>
              </w:rPr>
            </w:pPr>
            <w:r>
              <w:rPr>
                <w:color w:val="005DA1"/>
                <w:spacing w:val="-2"/>
                <w:sz w:val="14"/>
                <w:u w:val="single" w:color="005DA1"/>
              </w:rPr>
              <w:t>1109</w:t>
            </w:r>
            <w:r>
              <w:rPr>
                <w:spacing w:val="-2"/>
                <w:sz w:val="14"/>
              </w:rPr>
              <w:t>.</w:t>
            </w:r>
          </w:p>
        </w:tc>
        <w:tc>
          <w:tcPr>
            <w:tcW w:w="8620" w:type="dxa"/>
          </w:tcPr>
          <w:p>
            <w:pPr>
              <w:pStyle w:val="TableParagraph"/>
              <w:spacing w:before="114"/>
              <w:rPr>
                <w:sz w:val="20"/>
              </w:rPr>
            </w:pPr>
            <w:r>
              <w:rPr>
                <w:rFonts w:ascii="Arial"/>
                <w:i/>
                <w:sz w:val="20"/>
              </w:rPr>
              <w:t>[1976]</w:t>
            </w:r>
            <w:r>
              <w:rPr>
                <w:rFonts w:ascii="Arial"/>
                <w:i/>
                <w:spacing w:val="-1"/>
                <w:sz w:val="20"/>
              </w:rPr>
              <w:t> </w:t>
            </w:r>
            <w:r>
              <w:rPr>
                <w:rFonts w:ascii="Arial"/>
                <w:i/>
                <w:sz w:val="20"/>
              </w:rPr>
              <w:t>Ch. 179</w:t>
            </w:r>
            <w:r>
              <w:rPr>
                <w:sz w:val="20"/>
              </w:rPr>
              <w:t>; above, para.4-</w:t>
            </w:r>
            <w:r>
              <w:rPr>
                <w:spacing w:val="-4"/>
                <w:sz w:val="20"/>
              </w:rPr>
              <w:t>142.</w:t>
            </w:r>
          </w:p>
        </w:tc>
      </w:tr>
      <w:tr>
        <w:trPr>
          <w:trHeight w:val="690" w:hRule="atLeast"/>
        </w:trPr>
        <w:tc>
          <w:tcPr>
            <w:tcW w:w="496" w:type="dxa"/>
          </w:tcPr>
          <w:p>
            <w:pPr>
              <w:pStyle w:val="TableParagraph"/>
              <w:ind w:left="50"/>
              <w:rPr>
                <w:sz w:val="14"/>
              </w:rPr>
            </w:pPr>
            <w:r>
              <w:rPr>
                <w:color w:val="005DA1"/>
                <w:spacing w:val="-2"/>
                <w:sz w:val="14"/>
                <w:u w:val="single" w:color="005DA1"/>
              </w:rPr>
              <w:t>1110</w:t>
            </w:r>
            <w:r>
              <w:rPr>
                <w:spacing w:val="-2"/>
                <w:sz w:val="14"/>
              </w:rPr>
              <w:t>.</w:t>
            </w:r>
          </w:p>
        </w:tc>
        <w:tc>
          <w:tcPr>
            <w:tcW w:w="8620" w:type="dxa"/>
          </w:tcPr>
          <w:p>
            <w:pPr>
              <w:pStyle w:val="TableParagraph"/>
              <w:spacing w:line="227" w:lineRule="exact" w:before="114"/>
              <w:rPr>
                <w:rFonts w:ascii="Arial"/>
                <w:i/>
                <w:sz w:val="20"/>
              </w:rPr>
            </w:pPr>
            <w:r>
              <w:rPr>
                <w:sz w:val="20"/>
              </w:rPr>
              <w:t>Cf.</w:t>
            </w:r>
            <w:r>
              <w:rPr>
                <w:spacing w:val="22"/>
                <w:sz w:val="20"/>
              </w:rPr>
              <w:t> </w:t>
            </w:r>
            <w:r>
              <w:rPr>
                <w:rFonts w:ascii="Arial"/>
                <w:i/>
                <w:sz w:val="20"/>
              </w:rPr>
              <w:t>Thorner</w:t>
            </w:r>
            <w:r>
              <w:rPr>
                <w:rFonts w:ascii="Arial"/>
                <w:i/>
                <w:spacing w:val="22"/>
                <w:sz w:val="20"/>
              </w:rPr>
              <w:t> </w:t>
            </w:r>
            <w:r>
              <w:rPr>
                <w:rFonts w:ascii="Arial"/>
                <w:i/>
                <w:sz w:val="20"/>
              </w:rPr>
              <w:t>v</w:t>
            </w:r>
            <w:r>
              <w:rPr>
                <w:rFonts w:ascii="Arial"/>
                <w:i/>
                <w:spacing w:val="22"/>
                <w:sz w:val="20"/>
              </w:rPr>
              <w:t> </w:t>
            </w:r>
            <w:r>
              <w:rPr>
                <w:rFonts w:ascii="Arial"/>
                <w:i/>
                <w:sz w:val="20"/>
              </w:rPr>
              <w:t>Major</w:t>
            </w:r>
            <w:r>
              <w:rPr>
                <w:rFonts w:ascii="Arial"/>
                <w:i/>
                <w:spacing w:val="22"/>
                <w:sz w:val="20"/>
              </w:rPr>
              <w:t> </w:t>
            </w:r>
            <w:r>
              <w:rPr>
                <w:rFonts w:ascii="Arial"/>
                <w:i/>
                <w:sz w:val="20"/>
              </w:rPr>
              <w:t>[2009]</w:t>
            </w:r>
            <w:r>
              <w:rPr>
                <w:rFonts w:ascii="Arial"/>
                <w:i/>
                <w:spacing w:val="22"/>
                <w:sz w:val="20"/>
              </w:rPr>
              <w:t> </w:t>
            </w:r>
            <w:r>
              <w:rPr>
                <w:rFonts w:ascii="Arial"/>
                <w:i/>
                <w:sz w:val="20"/>
              </w:rPr>
              <w:t>UKHL</w:t>
            </w:r>
            <w:r>
              <w:rPr>
                <w:rFonts w:ascii="Arial"/>
                <w:i/>
                <w:spacing w:val="22"/>
                <w:sz w:val="20"/>
              </w:rPr>
              <w:t> </w:t>
            </w:r>
            <w:r>
              <w:rPr>
                <w:rFonts w:ascii="Arial"/>
                <w:i/>
                <w:sz w:val="20"/>
              </w:rPr>
              <w:t>18,</w:t>
            </w:r>
            <w:r>
              <w:rPr>
                <w:rFonts w:ascii="Arial"/>
                <w:i/>
                <w:spacing w:val="22"/>
                <w:sz w:val="20"/>
              </w:rPr>
              <w:t> </w:t>
            </w:r>
            <w:r>
              <w:rPr>
                <w:rFonts w:ascii="Arial"/>
                <w:i/>
                <w:sz w:val="20"/>
              </w:rPr>
              <w:t>[2009]</w:t>
            </w:r>
            <w:r>
              <w:rPr>
                <w:rFonts w:ascii="Arial"/>
                <w:i/>
                <w:spacing w:val="22"/>
                <w:sz w:val="20"/>
              </w:rPr>
              <w:t> </w:t>
            </w:r>
            <w:r>
              <w:rPr>
                <w:rFonts w:ascii="Arial"/>
                <w:i/>
                <w:sz w:val="20"/>
              </w:rPr>
              <w:t>1</w:t>
            </w:r>
            <w:r>
              <w:rPr>
                <w:rFonts w:ascii="Arial"/>
                <w:i/>
                <w:spacing w:val="22"/>
                <w:sz w:val="20"/>
              </w:rPr>
              <w:t> </w:t>
            </w:r>
            <w:r>
              <w:rPr>
                <w:rFonts w:ascii="Arial"/>
                <w:i/>
                <w:sz w:val="20"/>
              </w:rPr>
              <w:t>W.L.R.</w:t>
            </w:r>
            <w:r>
              <w:rPr>
                <w:rFonts w:ascii="Arial"/>
                <w:i/>
                <w:spacing w:val="22"/>
                <w:sz w:val="20"/>
              </w:rPr>
              <w:t> </w:t>
            </w:r>
            <w:r>
              <w:rPr>
                <w:rFonts w:ascii="Arial"/>
                <w:i/>
                <w:sz w:val="20"/>
              </w:rPr>
              <w:t>776</w:t>
            </w:r>
            <w:r>
              <w:rPr>
                <w:rFonts w:ascii="Arial"/>
                <w:i/>
                <w:spacing w:val="21"/>
                <w:sz w:val="20"/>
              </w:rPr>
              <w:t> </w:t>
            </w:r>
            <w:r>
              <w:rPr>
                <w:sz w:val="20"/>
              </w:rPr>
              <w:t>at</w:t>
            </w:r>
            <w:r>
              <w:rPr>
                <w:spacing w:val="22"/>
                <w:sz w:val="20"/>
              </w:rPr>
              <w:t> </w:t>
            </w:r>
            <w:r>
              <w:rPr>
                <w:sz w:val="20"/>
              </w:rPr>
              <w:t>[20],</w:t>
            </w:r>
            <w:r>
              <w:rPr>
                <w:spacing w:val="22"/>
                <w:sz w:val="20"/>
              </w:rPr>
              <w:t> </w:t>
            </w:r>
            <w:r>
              <w:rPr>
                <w:sz w:val="20"/>
              </w:rPr>
              <w:t>commenting</w:t>
            </w:r>
            <w:r>
              <w:rPr>
                <w:spacing w:val="22"/>
                <w:sz w:val="20"/>
              </w:rPr>
              <w:t> </w:t>
            </w:r>
            <w:r>
              <w:rPr>
                <w:sz w:val="20"/>
              </w:rPr>
              <w:t>on</w:t>
            </w:r>
            <w:r>
              <w:rPr>
                <w:spacing w:val="22"/>
                <w:sz w:val="20"/>
              </w:rPr>
              <w:t> </w:t>
            </w:r>
            <w:r>
              <w:rPr>
                <w:sz w:val="20"/>
              </w:rPr>
              <w:t>the</w:t>
            </w:r>
            <w:r>
              <w:rPr>
                <w:spacing w:val="22"/>
                <w:sz w:val="20"/>
              </w:rPr>
              <w:t> </w:t>
            </w:r>
            <w:r>
              <w:rPr>
                <w:rFonts w:ascii="Arial"/>
                <w:i/>
                <w:spacing w:val="-2"/>
                <w:sz w:val="20"/>
              </w:rPr>
              <w:t>Crabb</w:t>
            </w:r>
          </w:p>
          <w:p>
            <w:pPr>
              <w:pStyle w:val="TableParagraph"/>
              <w:spacing w:line="227" w:lineRule="exact" w:before="0"/>
              <w:rPr>
                <w:sz w:val="20"/>
              </w:rPr>
            </w:pPr>
            <w:r>
              <w:rPr>
                <w:sz w:val="20"/>
              </w:rPr>
              <w:t>case (above at n.1055) and specifying when “it was too late for the Council to change its </w:t>
            </w:r>
            <w:r>
              <w:rPr>
                <w:spacing w:val="-2"/>
                <w:sz w:val="20"/>
              </w:rPr>
              <w:t>mind.”</w:t>
            </w:r>
          </w:p>
        </w:tc>
      </w:tr>
      <w:tr>
        <w:trPr>
          <w:trHeight w:val="465" w:hRule="atLeast"/>
        </w:trPr>
        <w:tc>
          <w:tcPr>
            <w:tcW w:w="496" w:type="dxa"/>
          </w:tcPr>
          <w:p>
            <w:pPr>
              <w:pStyle w:val="TableParagraph"/>
              <w:ind w:left="50"/>
              <w:rPr>
                <w:sz w:val="14"/>
              </w:rPr>
            </w:pPr>
            <w:r>
              <w:rPr>
                <w:color w:val="005DA1"/>
                <w:spacing w:val="-2"/>
                <w:sz w:val="14"/>
                <w:u w:val="single" w:color="005DA1"/>
              </w:rPr>
              <w:t>1111</w:t>
            </w:r>
            <w:r>
              <w:rPr>
                <w:spacing w:val="-2"/>
                <w:sz w:val="14"/>
              </w:rPr>
              <w:t>.</w:t>
            </w:r>
          </w:p>
        </w:tc>
        <w:tc>
          <w:tcPr>
            <w:tcW w:w="8620" w:type="dxa"/>
          </w:tcPr>
          <w:p>
            <w:pPr>
              <w:pStyle w:val="TableParagraph"/>
              <w:spacing w:before="114"/>
              <w:rPr>
                <w:sz w:val="20"/>
              </w:rPr>
            </w:pPr>
            <w:r>
              <w:rPr>
                <w:sz w:val="20"/>
              </w:rPr>
              <w:t>Above, n.1056; for the facts of this case, see above, para.4-</w:t>
            </w:r>
            <w:r>
              <w:rPr>
                <w:spacing w:val="-4"/>
                <w:sz w:val="20"/>
              </w:rPr>
              <w:t>149.</w:t>
            </w:r>
          </w:p>
        </w:tc>
      </w:tr>
      <w:tr>
        <w:trPr>
          <w:trHeight w:val="465" w:hRule="atLeast"/>
        </w:trPr>
        <w:tc>
          <w:tcPr>
            <w:tcW w:w="496" w:type="dxa"/>
          </w:tcPr>
          <w:p>
            <w:pPr>
              <w:pStyle w:val="TableParagraph"/>
              <w:ind w:left="50"/>
              <w:rPr>
                <w:sz w:val="14"/>
              </w:rPr>
            </w:pPr>
            <w:r>
              <w:rPr>
                <w:color w:val="005DA1"/>
                <w:spacing w:val="-2"/>
                <w:sz w:val="14"/>
                <w:u w:val="single" w:color="005DA1"/>
              </w:rPr>
              <w:t>1112</w:t>
            </w:r>
            <w:r>
              <w:rPr>
                <w:spacing w:val="-2"/>
                <w:sz w:val="14"/>
              </w:rPr>
              <w:t>.</w:t>
            </w:r>
          </w:p>
        </w:tc>
        <w:tc>
          <w:tcPr>
            <w:tcW w:w="8620" w:type="dxa"/>
          </w:tcPr>
          <w:p>
            <w:pPr>
              <w:pStyle w:val="TableParagraph"/>
              <w:spacing w:before="114"/>
              <w:rPr>
                <w:sz w:val="20"/>
              </w:rPr>
            </w:pPr>
            <w:r>
              <w:rPr>
                <w:rFonts w:ascii="Arial"/>
                <w:i/>
                <w:sz w:val="20"/>
              </w:rPr>
              <w:t>Thorner</w:t>
            </w:r>
            <w:r>
              <w:rPr>
                <w:rFonts w:ascii="Arial"/>
                <w:i/>
                <w:spacing w:val="-1"/>
                <w:sz w:val="20"/>
              </w:rPr>
              <w:t> </w:t>
            </w:r>
            <w:r>
              <w:rPr>
                <w:rFonts w:ascii="Arial"/>
                <w:i/>
                <w:sz w:val="20"/>
              </w:rPr>
              <w:t>v Major</w:t>
            </w:r>
            <w:r>
              <w:rPr>
                <w:sz w:val="20"/>
              </w:rPr>
              <w:t>, above n.1056 at </w:t>
            </w:r>
            <w:r>
              <w:rPr>
                <w:spacing w:val="-2"/>
                <w:sz w:val="20"/>
              </w:rPr>
              <w:t>[89].</w:t>
            </w:r>
          </w:p>
        </w:tc>
      </w:tr>
      <w:tr>
        <w:trPr>
          <w:trHeight w:val="794" w:hRule="atLeast"/>
        </w:trPr>
        <w:tc>
          <w:tcPr>
            <w:tcW w:w="496" w:type="dxa"/>
          </w:tcPr>
          <w:p>
            <w:pPr>
              <w:pStyle w:val="TableParagraph"/>
              <w:ind w:left="50"/>
              <w:rPr>
                <w:sz w:val="14"/>
              </w:rPr>
            </w:pPr>
            <w:r>
              <w:rPr>
                <w:color w:val="005DA1"/>
                <w:spacing w:val="-2"/>
                <w:sz w:val="14"/>
                <w:u w:val="single" w:color="005DA1"/>
              </w:rPr>
              <w:t>1113</w:t>
            </w:r>
            <w:r>
              <w:rPr>
                <w:spacing w:val="-2"/>
                <w:sz w:val="14"/>
              </w:rPr>
              <w:t>.</w:t>
            </w:r>
          </w:p>
        </w:tc>
        <w:tc>
          <w:tcPr>
            <w:tcW w:w="8620" w:type="dxa"/>
          </w:tcPr>
          <w:p>
            <w:pPr>
              <w:pStyle w:val="TableParagraph"/>
              <w:spacing w:line="226" w:lineRule="exact" w:before="96"/>
              <w:ind w:right="48"/>
              <w:jc w:val="both"/>
              <w:rPr>
                <w:sz w:val="20"/>
              </w:rPr>
            </w:pPr>
            <w:r>
              <w:rPr>
                <w:sz w:val="20"/>
              </w:rPr>
              <w:t>Above, para.4-097. The point that the promise giving rise to proprietary estoppel may be revocable may, at first sight, appear to be inconsistent with the statement in </w:t>
            </w:r>
            <w:r>
              <w:rPr>
                <w:rFonts w:ascii="Arial" w:hAnsi="Arial"/>
                <w:i/>
                <w:sz w:val="20"/>
              </w:rPr>
              <w:t>Kim v </w:t>
            </w:r>
            <w:r>
              <w:rPr>
                <w:rFonts w:ascii="Arial" w:hAnsi="Arial"/>
                <w:i/>
                <w:sz w:val="20"/>
              </w:rPr>
              <w:t>Chasewood Park</w:t>
            </w:r>
            <w:r>
              <w:rPr>
                <w:rFonts w:ascii="Arial" w:hAnsi="Arial"/>
                <w:i/>
                <w:spacing w:val="62"/>
                <w:sz w:val="20"/>
              </w:rPr>
              <w:t> </w:t>
            </w:r>
            <w:r>
              <w:rPr>
                <w:rFonts w:ascii="Arial" w:hAnsi="Arial"/>
                <w:i/>
                <w:sz w:val="20"/>
              </w:rPr>
              <w:t>Residents</w:t>
            </w:r>
            <w:r>
              <w:rPr>
                <w:rFonts w:ascii="Arial" w:hAnsi="Arial"/>
                <w:i/>
                <w:spacing w:val="62"/>
                <w:sz w:val="20"/>
              </w:rPr>
              <w:t> </w:t>
            </w:r>
            <w:r>
              <w:rPr>
                <w:rFonts w:ascii="Arial" w:hAnsi="Arial"/>
                <w:i/>
                <w:sz w:val="20"/>
              </w:rPr>
              <w:t>Ltd</w:t>
            </w:r>
            <w:r>
              <w:rPr>
                <w:rFonts w:ascii="Arial" w:hAnsi="Arial"/>
                <w:i/>
                <w:spacing w:val="62"/>
                <w:sz w:val="20"/>
              </w:rPr>
              <w:t> </w:t>
            </w:r>
            <w:r>
              <w:rPr>
                <w:rFonts w:ascii="Arial" w:hAnsi="Arial"/>
                <w:i/>
                <w:sz w:val="20"/>
              </w:rPr>
              <w:t>[2013]</w:t>
            </w:r>
            <w:r>
              <w:rPr>
                <w:rFonts w:ascii="Arial" w:hAnsi="Arial"/>
                <w:i/>
                <w:spacing w:val="62"/>
                <w:sz w:val="20"/>
              </w:rPr>
              <w:t> </w:t>
            </w:r>
            <w:r>
              <w:rPr>
                <w:rFonts w:ascii="Arial" w:hAnsi="Arial"/>
                <w:i/>
                <w:sz w:val="20"/>
              </w:rPr>
              <w:t>EWCA</w:t>
            </w:r>
            <w:r>
              <w:rPr>
                <w:rFonts w:ascii="Arial" w:hAnsi="Arial"/>
                <w:i/>
                <w:spacing w:val="62"/>
                <w:sz w:val="20"/>
              </w:rPr>
              <w:t> </w:t>
            </w:r>
            <w:r>
              <w:rPr>
                <w:rFonts w:ascii="Arial" w:hAnsi="Arial"/>
                <w:i/>
                <w:sz w:val="20"/>
              </w:rPr>
              <w:t>Civ</w:t>
            </w:r>
            <w:r>
              <w:rPr>
                <w:rFonts w:ascii="Arial" w:hAnsi="Arial"/>
                <w:i/>
                <w:spacing w:val="62"/>
                <w:sz w:val="20"/>
              </w:rPr>
              <w:t> </w:t>
            </w:r>
            <w:r>
              <w:rPr>
                <w:rFonts w:ascii="Arial" w:hAnsi="Arial"/>
                <w:i/>
                <w:sz w:val="20"/>
              </w:rPr>
              <w:t>239,</w:t>
            </w:r>
            <w:r>
              <w:rPr>
                <w:rFonts w:ascii="Arial" w:hAnsi="Arial"/>
                <w:i/>
                <w:spacing w:val="62"/>
                <w:sz w:val="20"/>
              </w:rPr>
              <w:t> </w:t>
            </w:r>
            <w:r>
              <w:rPr>
                <w:rFonts w:ascii="Arial" w:hAnsi="Arial"/>
                <w:i/>
                <w:sz w:val="20"/>
              </w:rPr>
              <w:t>[2013]</w:t>
            </w:r>
            <w:r>
              <w:rPr>
                <w:rFonts w:ascii="Arial" w:hAnsi="Arial"/>
                <w:i/>
                <w:spacing w:val="62"/>
                <w:sz w:val="20"/>
              </w:rPr>
              <w:t> </w:t>
            </w:r>
            <w:r>
              <w:rPr>
                <w:rFonts w:ascii="Arial" w:hAnsi="Arial"/>
                <w:i/>
                <w:sz w:val="20"/>
              </w:rPr>
              <w:t>H.L.R.</w:t>
            </w:r>
            <w:r>
              <w:rPr>
                <w:rFonts w:ascii="Arial" w:hAnsi="Arial"/>
                <w:i/>
                <w:spacing w:val="62"/>
                <w:sz w:val="20"/>
              </w:rPr>
              <w:t> </w:t>
            </w:r>
            <w:r>
              <w:rPr>
                <w:rFonts w:ascii="Arial" w:hAnsi="Arial"/>
                <w:i/>
                <w:sz w:val="20"/>
              </w:rPr>
              <w:t>24</w:t>
            </w:r>
            <w:r>
              <w:rPr>
                <w:rFonts w:ascii="Arial" w:hAnsi="Arial"/>
                <w:i/>
                <w:spacing w:val="62"/>
                <w:sz w:val="20"/>
              </w:rPr>
              <w:t> </w:t>
            </w:r>
            <w:r>
              <w:rPr>
                <w:sz w:val="20"/>
              </w:rPr>
              <w:t>at</w:t>
            </w:r>
            <w:r>
              <w:rPr>
                <w:spacing w:val="62"/>
                <w:sz w:val="20"/>
              </w:rPr>
              <w:t> </w:t>
            </w:r>
            <w:r>
              <w:rPr>
                <w:sz w:val="20"/>
              </w:rPr>
              <w:t>[43]</w:t>
            </w:r>
            <w:r>
              <w:rPr>
                <w:spacing w:val="62"/>
                <w:sz w:val="20"/>
              </w:rPr>
              <w:t> </w:t>
            </w:r>
            <w:r>
              <w:rPr>
                <w:sz w:val="20"/>
              </w:rPr>
              <w:t>that</w:t>
            </w:r>
            <w:r>
              <w:rPr>
                <w:spacing w:val="62"/>
                <w:sz w:val="20"/>
              </w:rPr>
              <w:t> </w:t>
            </w:r>
            <w:r>
              <w:rPr>
                <w:sz w:val="20"/>
              </w:rPr>
              <w:t>“the</w:t>
            </w:r>
            <w:r>
              <w:rPr>
                <w:spacing w:val="62"/>
                <w:sz w:val="20"/>
              </w:rPr>
              <w:t> </w:t>
            </w:r>
            <w:r>
              <w:rPr>
                <w:sz w:val="20"/>
              </w:rPr>
              <w:t>effects</w:t>
            </w:r>
            <w:r>
              <w:rPr>
                <w:spacing w:val="62"/>
                <w:sz w:val="20"/>
              </w:rPr>
              <w:t> </w:t>
            </w:r>
            <w:r>
              <w:rPr>
                <w:spacing w:val="-5"/>
                <w:sz w:val="20"/>
              </w:rPr>
              <w:t>of</w:t>
            </w:r>
          </w:p>
        </w:tc>
      </w:tr>
    </w:tbl>
    <w:p>
      <w:pPr>
        <w:pStyle w:val="TableParagraph"/>
        <w:spacing w:after="0" w:line="226" w:lineRule="exact"/>
        <w:jc w:val="both"/>
        <w:rPr>
          <w:sz w:val="20"/>
        </w:rPr>
        <w:sectPr>
          <w:pgSz w:w="11900" w:h="16840"/>
          <w:pgMar w:header="971" w:footer="0" w:top="1160" w:bottom="280" w:left="1275" w:right="1275"/>
        </w:sectPr>
      </w:pPr>
    </w:p>
    <w:p>
      <w:pPr>
        <w:pStyle w:val="BodyText"/>
        <w:spacing w:before="24"/>
      </w:pPr>
    </w:p>
    <w:p>
      <w:pPr>
        <w:pStyle w:val="BodyText"/>
        <w:spacing w:line="235" w:lineRule="auto" w:before="1"/>
        <w:ind w:left="705" w:right="167"/>
        <w:jc w:val="both"/>
      </w:pPr>
      <w:r>
        <w:rPr/>
        <w:t>proprietary estoppel are permanent in that they result in the Court ordering the representor to transfer property or to make compensation …”. But it is submitted that there is no </w:t>
      </w:r>
      <w:r>
        <w:rPr/>
        <w:t>such inconsistency. The dictum here quoted refers to the position </w:t>
      </w:r>
      <w:r>
        <w:rPr>
          <w:rFonts w:ascii="Arial" w:hAnsi="Arial"/>
          <w:i/>
        </w:rPr>
        <w:t>after </w:t>
      </w:r>
      <w:r>
        <w:rPr/>
        <w:t>the Court has made its order. The point made in the text above refers to the position </w:t>
      </w:r>
      <w:r>
        <w:rPr>
          <w:rFonts w:ascii="Arial" w:hAnsi="Arial"/>
          <w:i/>
        </w:rPr>
        <w:t>before </w:t>
      </w:r>
      <w:r>
        <w:rPr/>
        <w:t>any such order has been made. The first of the above two points, in other words, refers to the </w:t>
      </w:r>
      <w:r>
        <w:rPr>
          <w:rFonts w:ascii="Arial" w:hAnsi="Arial"/>
          <w:i/>
        </w:rPr>
        <w:t>effects </w:t>
      </w:r>
      <w:r>
        <w:rPr/>
        <w:t>and the second to the </w:t>
      </w:r>
      <w:r>
        <w:rPr>
          <w:rFonts w:ascii="Arial" w:hAnsi="Arial"/>
          <w:i/>
        </w:rPr>
        <w:t>existence</w:t>
      </w:r>
      <w:r>
        <w:rPr>
          <w:rFonts w:ascii="Arial" w:hAnsi="Arial"/>
          <w:i/>
          <w:spacing w:val="8"/>
        </w:rPr>
        <w:t> </w:t>
      </w:r>
      <w:r>
        <w:rPr/>
        <w:t>of</w:t>
      </w:r>
      <w:r>
        <w:rPr>
          <w:spacing w:val="8"/>
        </w:rPr>
        <w:t> </w:t>
      </w:r>
      <w:r>
        <w:rPr/>
        <w:t>the</w:t>
      </w:r>
      <w:r>
        <w:rPr>
          <w:spacing w:val="8"/>
        </w:rPr>
        <w:t> </w:t>
      </w:r>
      <w:r>
        <w:rPr/>
        <w:t>estoppel.</w:t>
      </w:r>
      <w:r>
        <w:rPr>
          <w:spacing w:val="8"/>
        </w:rPr>
        <w:t> </w:t>
      </w:r>
      <w:r>
        <w:rPr/>
        <w:t>The</w:t>
      </w:r>
      <w:r>
        <w:rPr>
          <w:spacing w:val="8"/>
        </w:rPr>
        <w:t> </w:t>
      </w:r>
      <w:r>
        <w:rPr/>
        <w:t>second</w:t>
      </w:r>
      <w:r>
        <w:rPr>
          <w:spacing w:val="8"/>
        </w:rPr>
        <w:t> </w:t>
      </w:r>
      <w:r>
        <w:rPr/>
        <w:t>point</w:t>
      </w:r>
      <w:r>
        <w:rPr>
          <w:spacing w:val="8"/>
        </w:rPr>
        <w:t> </w:t>
      </w:r>
      <w:r>
        <w:rPr/>
        <w:t>receives</w:t>
      </w:r>
      <w:r>
        <w:rPr>
          <w:spacing w:val="8"/>
        </w:rPr>
        <w:t> </w:t>
      </w:r>
      <w:r>
        <w:rPr/>
        <w:t>some</w:t>
      </w:r>
      <w:r>
        <w:rPr>
          <w:spacing w:val="8"/>
        </w:rPr>
        <w:t> </w:t>
      </w:r>
      <w:r>
        <w:rPr/>
        <w:t>support</w:t>
      </w:r>
      <w:r>
        <w:rPr>
          <w:spacing w:val="8"/>
        </w:rPr>
        <w:t> </w:t>
      </w:r>
      <w:r>
        <w:rPr/>
        <w:t>from</w:t>
      </w:r>
      <w:r>
        <w:rPr>
          <w:spacing w:val="7"/>
        </w:rPr>
        <w:t> </w:t>
      </w:r>
      <w:r>
        <w:rPr>
          <w:rFonts w:ascii="Arial" w:hAnsi="Arial"/>
          <w:i/>
        </w:rPr>
        <w:t>Kim’s</w:t>
      </w:r>
      <w:r>
        <w:rPr>
          <w:rFonts w:ascii="Arial" w:hAnsi="Arial"/>
          <w:i/>
          <w:spacing w:val="8"/>
        </w:rPr>
        <w:t> </w:t>
      </w:r>
      <w:r>
        <w:rPr/>
        <w:t>case</w:t>
      </w:r>
      <w:r>
        <w:rPr>
          <w:spacing w:val="8"/>
        </w:rPr>
        <w:t> </w:t>
      </w:r>
      <w:r>
        <w:rPr/>
        <w:t>(above)</w:t>
      </w:r>
      <w:r>
        <w:rPr>
          <w:spacing w:val="8"/>
        </w:rPr>
        <w:t> </w:t>
      </w:r>
      <w:r>
        <w:rPr>
          <w:spacing w:val="-5"/>
        </w:rPr>
        <w:t>at</w:t>
      </w:r>
    </w:p>
    <w:p>
      <w:pPr>
        <w:pStyle w:val="BodyText"/>
        <w:spacing w:line="224" w:lineRule="exact"/>
        <w:ind w:left="705"/>
        <w:jc w:val="both"/>
      </w:pPr>
      <w:r>
        <w:rPr/>
        <w:t>[20] and </w:t>
      </w:r>
      <w:r>
        <w:rPr>
          <w:spacing w:val="-2"/>
        </w:rPr>
        <w:t>[45].</w:t>
      </w:r>
    </w:p>
    <w:p>
      <w:pPr>
        <w:pStyle w:val="BodyText"/>
        <w:spacing w:before="8"/>
      </w:pPr>
    </w:p>
    <w:p>
      <w:pPr>
        <w:spacing w:line="235" w:lineRule="auto" w:before="0"/>
        <w:ind w:left="705" w:right="168" w:hanging="541"/>
        <w:jc w:val="both"/>
        <w:rPr>
          <w:sz w:val="20"/>
        </w:rPr>
      </w:pPr>
      <w:r>
        <w:rPr>
          <w:color w:val="005DA1"/>
          <w:position w:val="5"/>
          <w:sz w:val="14"/>
          <w:u w:val="single" w:color="005DA1"/>
        </w:rPr>
        <w:t>1114</w:t>
      </w:r>
      <w:r>
        <w:rPr>
          <w:position w:val="5"/>
          <w:sz w:val="14"/>
        </w:rPr>
        <w:t>.</w:t>
      </w:r>
      <w:r>
        <w:rPr>
          <w:spacing w:val="80"/>
          <w:position w:val="5"/>
          <w:sz w:val="14"/>
        </w:rPr>
        <w:t> </w:t>
      </w:r>
      <w:r>
        <w:rPr>
          <w:sz w:val="20"/>
        </w:rPr>
        <w:t>See </w:t>
      </w:r>
      <w:r>
        <w:rPr>
          <w:rFonts w:ascii="Arial" w:hAnsi="Arial"/>
          <w:i/>
          <w:sz w:val="20"/>
        </w:rPr>
        <w:t>Kim v Chasewood Park Residents Ltd [2013] EWCA Civ 239, [2013] H.L.R. 24 </w:t>
      </w:r>
      <w:r>
        <w:rPr>
          <w:sz w:val="20"/>
        </w:rPr>
        <w:t>where the claimants had “made it clear that they do not want their money back” (at [45]). For the actual ground for the decision in this case, see above, para.4-146.</w:t>
      </w:r>
    </w:p>
    <w:p>
      <w:pPr>
        <w:pStyle w:val="BodyText"/>
        <w:spacing w:before="5"/>
      </w:pPr>
    </w:p>
    <w:p>
      <w:pPr>
        <w:spacing w:before="1"/>
        <w:ind w:left="165" w:right="0" w:firstLine="0"/>
        <w:jc w:val="left"/>
        <w:rPr>
          <w:sz w:val="20"/>
        </w:rPr>
      </w:pPr>
      <w:r>
        <w:rPr>
          <w:color w:val="005DA1"/>
          <w:position w:val="5"/>
          <w:sz w:val="14"/>
          <w:u w:val="single" w:color="005DA1"/>
        </w:rPr>
        <w:t>1115</w:t>
      </w:r>
      <w:r>
        <w:rPr>
          <w:position w:val="5"/>
          <w:sz w:val="14"/>
        </w:rPr>
        <w:t>.</w:t>
      </w:r>
      <w:r>
        <w:rPr>
          <w:spacing w:val="55"/>
          <w:position w:val="5"/>
          <w:sz w:val="14"/>
        </w:rPr>
        <w:t>  </w:t>
      </w:r>
      <w:r>
        <w:rPr>
          <w:sz w:val="20"/>
        </w:rPr>
        <w:t>At</w:t>
      </w:r>
      <w:r>
        <w:rPr>
          <w:spacing w:val="1"/>
          <w:sz w:val="20"/>
        </w:rPr>
        <w:t> </w:t>
      </w:r>
      <w:r>
        <w:rPr>
          <w:spacing w:val="-2"/>
          <w:sz w:val="20"/>
        </w:rPr>
        <w:t>n.1071.</w:t>
      </w:r>
    </w:p>
    <w:p>
      <w:pPr>
        <w:pStyle w:val="BodyText"/>
        <w:spacing w:before="12"/>
      </w:pPr>
    </w:p>
    <w:p>
      <w:pPr>
        <w:spacing w:line="137" w:lineRule="exact" w:before="0"/>
        <w:ind w:left="165" w:right="0" w:firstLine="0"/>
        <w:jc w:val="left"/>
        <w:rPr>
          <w:sz w:val="14"/>
        </w:rPr>
      </w:pPr>
      <w:r>
        <w:rPr>
          <w:color w:val="005DA1"/>
          <w:spacing w:val="-2"/>
          <w:sz w:val="14"/>
          <w:u w:val="single" w:color="005DA1"/>
        </w:rPr>
        <w:t>1116</w:t>
      </w:r>
      <w:r>
        <w:rPr>
          <w:spacing w:val="-2"/>
          <w:sz w:val="14"/>
        </w:rPr>
        <w:t>.</w:t>
      </w:r>
    </w:p>
    <w:p>
      <w:pPr>
        <w:spacing w:line="203" w:lineRule="exact" w:before="0"/>
        <w:ind w:left="875" w:right="0" w:firstLine="0"/>
        <w:jc w:val="left"/>
        <w:rPr>
          <w:sz w:val="20"/>
        </w:rPr>
      </w:pPr>
      <w:r>
        <w:rPr>
          <w:sz w:val="20"/>
        </w:rPr>
        <w:drawing>
          <wp:anchor distT="0" distB="0" distL="0" distR="0" allowOverlap="1" layoutInCell="1" locked="0" behindDoc="0" simplePos="0" relativeHeight="15818752">
            <wp:simplePos x="0" y="0"/>
            <wp:positionH relativeFrom="page">
              <wp:posOffset>1257846</wp:posOffset>
            </wp:positionH>
            <wp:positionV relativeFrom="paragraph">
              <wp:posOffset>12729</wp:posOffset>
            </wp:positionV>
            <wp:extent cx="107988" cy="107988"/>
            <wp:effectExtent l="0" t="0" r="0" b="0"/>
            <wp:wrapNone/>
            <wp:docPr id="365" name="Image 365"/>
            <wp:cNvGraphicFramePr>
              <a:graphicFrameLocks/>
            </wp:cNvGraphicFramePr>
            <a:graphic>
              <a:graphicData uri="http://schemas.openxmlformats.org/drawingml/2006/picture">
                <pic:pic>
                  <pic:nvPicPr>
                    <pic:cNvPr id="365" name="Image 365"/>
                    <pic:cNvPicPr/>
                  </pic:nvPicPr>
                  <pic:blipFill>
                    <a:blip r:embed="rId7" cstate="print"/>
                    <a:stretch>
                      <a:fillRect/>
                    </a:stretch>
                  </pic:blipFill>
                  <pic:spPr>
                    <a:xfrm>
                      <a:off x="0" y="0"/>
                      <a:ext cx="107988" cy="107988"/>
                    </a:xfrm>
                    <a:prstGeom prst="rect">
                      <a:avLst/>
                    </a:prstGeom>
                  </pic:spPr>
                </pic:pic>
              </a:graphicData>
            </a:graphic>
          </wp:anchor>
        </w:drawing>
      </w:r>
      <w:r>
        <w:rPr>
          <w:sz w:val="20"/>
        </w:rPr>
        <w:t>Cf.</w:t>
      </w:r>
      <w:r>
        <w:rPr>
          <w:spacing w:val="4"/>
          <w:sz w:val="20"/>
        </w:rPr>
        <w:t> </w:t>
      </w:r>
      <w:r>
        <w:rPr>
          <w:rFonts w:ascii="Arial" w:hAnsi="Arial"/>
          <w:i/>
          <w:sz w:val="20"/>
        </w:rPr>
        <w:t>Moore</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z w:val="20"/>
        </w:rPr>
        <w:t>Moore</w:t>
      </w:r>
      <w:r>
        <w:rPr>
          <w:rFonts w:ascii="Arial" w:hAnsi="Arial"/>
          <w:i/>
          <w:spacing w:val="4"/>
          <w:sz w:val="20"/>
        </w:rPr>
        <w:t> </w:t>
      </w:r>
      <w:r>
        <w:rPr>
          <w:rFonts w:ascii="Arial" w:hAnsi="Arial"/>
          <w:i/>
          <w:sz w:val="20"/>
        </w:rPr>
        <w:t>[2016]</w:t>
      </w:r>
      <w:r>
        <w:rPr>
          <w:rFonts w:ascii="Arial" w:hAnsi="Arial"/>
          <w:i/>
          <w:spacing w:val="4"/>
          <w:sz w:val="20"/>
        </w:rPr>
        <w:t> </w:t>
      </w:r>
      <w:r>
        <w:rPr>
          <w:rFonts w:ascii="Arial" w:hAnsi="Arial"/>
          <w:i/>
          <w:sz w:val="20"/>
        </w:rPr>
        <w:t>EWHC</w:t>
      </w:r>
      <w:r>
        <w:rPr>
          <w:rFonts w:ascii="Arial" w:hAnsi="Arial"/>
          <w:i/>
          <w:spacing w:val="4"/>
          <w:sz w:val="20"/>
        </w:rPr>
        <w:t> </w:t>
      </w:r>
      <w:r>
        <w:rPr>
          <w:rFonts w:ascii="Arial" w:hAnsi="Arial"/>
          <w:i/>
          <w:sz w:val="20"/>
        </w:rPr>
        <w:t>2202</w:t>
      </w:r>
      <w:r>
        <w:rPr>
          <w:rFonts w:ascii="Arial" w:hAnsi="Arial"/>
          <w:i/>
          <w:spacing w:val="4"/>
          <w:sz w:val="20"/>
        </w:rPr>
        <w:t> </w:t>
      </w:r>
      <w:r>
        <w:rPr>
          <w:rFonts w:ascii="Arial" w:hAnsi="Arial"/>
          <w:i/>
          <w:sz w:val="20"/>
        </w:rPr>
        <w:t>(Ch)</w:t>
      </w:r>
      <w:r>
        <w:rPr>
          <w:rFonts w:ascii="Arial" w:hAnsi="Arial"/>
          <w:i/>
          <w:spacing w:val="4"/>
          <w:sz w:val="20"/>
        </w:rPr>
        <w:t> </w:t>
      </w:r>
      <w:r>
        <w:rPr>
          <w:sz w:val="20"/>
        </w:rPr>
        <w:t>at</w:t>
      </w:r>
      <w:r>
        <w:rPr>
          <w:spacing w:val="4"/>
          <w:sz w:val="20"/>
        </w:rPr>
        <w:t> </w:t>
      </w:r>
      <w:r>
        <w:rPr>
          <w:sz w:val="20"/>
        </w:rPr>
        <w:t>[194]</w:t>
      </w:r>
      <w:r>
        <w:rPr>
          <w:spacing w:val="4"/>
          <w:sz w:val="20"/>
        </w:rPr>
        <w:t> </w:t>
      </w:r>
      <w:r>
        <w:rPr>
          <w:sz w:val="20"/>
        </w:rPr>
        <w:t>(“an</w:t>
      </w:r>
      <w:r>
        <w:rPr>
          <w:spacing w:val="4"/>
          <w:sz w:val="20"/>
        </w:rPr>
        <w:t> </w:t>
      </w:r>
      <w:r>
        <w:rPr>
          <w:sz w:val="20"/>
        </w:rPr>
        <w:t>equitable</w:t>
      </w:r>
      <w:r>
        <w:rPr>
          <w:spacing w:val="4"/>
          <w:sz w:val="20"/>
        </w:rPr>
        <w:t> </w:t>
      </w:r>
      <w:r>
        <w:rPr>
          <w:sz w:val="20"/>
        </w:rPr>
        <w:t>interest”</w:t>
      </w:r>
      <w:r>
        <w:rPr>
          <w:spacing w:val="4"/>
          <w:sz w:val="20"/>
        </w:rPr>
        <w:t> </w:t>
      </w:r>
      <w:r>
        <w:rPr>
          <w:sz w:val="20"/>
        </w:rPr>
        <w:t>in</w:t>
      </w:r>
      <w:r>
        <w:rPr>
          <w:spacing w:val="4"/>
          <w:sz w:val="20"/>
        </w:rPr>
        <w:t> </w:t>
      </w:r>
      <w:r>
        <w:rPr>
          <w:sz w:val="20"/>
        </w:rPr>
        <w:t>the</w:t>
      </w:r>
      <w:r>
        <w:rPr>
          <w:spacing w:val="4"/>
          <w:sz w:val="20"/>
        </w:rPr>
        <w:t> </w:t>
      </w:r>
      <w:r>
        <w:rPr>
          <w:sz w:val="20"/>
        </w:rPr>
        <w:t>farm</w:t>
      </w:r>
      <w:r>
        <w:rPr>
          <w:spacing w:val="4"/>
          <w:sz w:val="20"/>
        </w:rPr>
        <w:t> </w:t>
      </w:r>
      <w:r>
        <w:rPr>
          <w:spacing w:val="-2"/>
          <w:sz w:val="20"/>
        </w:rPr>
        <w:t>which</w:t>
      </w:r>
    </w:p>
    <w:p>
      <w:pPr>
        <w:pStyle w:val="BodyText"/>
        <w:spacing w:line="235" w:lineRule="auto" w:before="1"/>
        <w:ind w:left="705" w:right="168"/>
      </w:pPr>
      <w:r>
        <w:rPr/>
        <w:t>was the subject-matter of a promise (made by a father to his son) that the farm “would be </w:t>
      </w:r>
      <w:r>
        <w:rPr/>
        <w:t>his</w:t>
      </w:r>
      <w:r>
        <w:rPr>
          <w:spacing w:val="80"/>
        </w:rPr>
        <w:t> </w:t>
      </w:r>
      <w:r>
        <w:rPr/>
        <w:t>[i.e., his son’s] one day” (at [13], [168]).</w:t>
      </w:r>
    </w:p>
    <w:p>
      <w:pPr>
        <w:pStyle w:val="BodyText"/>
        <w:spacing w:before="5"/>
      </w:pPr>
    </w:p>
    <w:p>
      <w:pPr>
        <w:spacing w:before="1"/>
        <w:ind w:left="165" w:right="0" w:firstLine="0"/>
        <w:jc w:val="left"/>
        <w:rPr>
          <w:sz w:val="20"/>
        </w:rPr>
      </w:pPr>
      <w:r>
        <w:rPr>
          <w:color w:val="005DA1"/>
          <w:position w:val="5"/>
          <w:sz w:val="14"/>
          <w:u w:val="single" w:color="005DA1"/>
        </w:rPr>
        <w:t>1117</w:t>
      </w:r>
      <w:r>
        <w:rPr>
          <w:position w:val="5"/>
          <w:sz w:val="14"/>
        </w:rPr>
        <w:t>.</w:t>
      </w:r>
      <w:r>
        <w:rPr>
          <w:spacing w:val="55"/>
          <w:position w:val="5"/>
          <w:sz w:val="14"/>
        </w:rPr>
        <w:t>  </w:t>
      </w:r>
      <w:r>
        <w:rPr>
          <w:rFonts w:ascii="Arial"/>
          <w:i/>
          <w:sz w:val="20"/>
        </w:rPr>
        <w:t>Crabb</w:t>
      </w:r>
      <w:r>
        <w:rPr>
          <w:rFonts w:ascii="Arial"/>
          <w:i/>
          <w:spacing w:val="1"/>
          <w:sz w:val="20"/>
        </w:rPr>
        <w:t> </w:t>
      </w:r>
      <w:r>
        <w:rPr>
          <w:rFonts w:ascii="Arial"/>
          <w:i/>
          <w:sz w:val="20"/>
        </w:rPr>
        <w:t>v Arun DC [1976]</w:t>
      </w:r>
      <w:r>
        <w:rPr>
          <w:rFonts w:ascii="Arial"/>
          <w:i/>
          <w:spacing w:val="-1"/>
          <w:sz w:val="20"/>
        </w:rPr>
        <w:t> </w:t>
      </w:r>
      <w:r>
        <w:rPr>
          <w:rFonts w:ascii="Arial"/>
          <w:i/>
          <w:sz w:val="20"/>
        </w:rPr>
        <w:t>Ch. 179, 193</w:t>
      </w:r>
      <w:r>
        <w:rPr>
          <w:sz w:val="20"/>
        </w:rPr>
        <w:t>, per Scarman </w:t>
      </w:r>
      <w:r>
        <w:rPr>
          <w:spacing w:val="-4"/>
          <w:sz w:val="20"/>
        </w:rPr>
        <w:t>L.J.</w:t>
      </w:r>
    </w:p>
    <w:p>
      <w:pPr>
        <w:pStyle w:val="BodyText"/>
        <w:spacing w:before="4"/>
      </w:pPr>
    </w:p>
    <w:p>
      <w:pPr>
        <w:spacing w:line="227" w:lineRule="exact" w:before="1"/>
        <w:ind w:left="0" w:right="168" w:firstLine="0"/>
        <w:jc w:val="right"/>
        <w:rPr>
          <w:rFonts w:ascii="Arial"/>
          <w:i/>
          <w:sz w:val="20"/>
        </w:rPr>
      </w:pPr>
      <w:r>
        <w:rPr>
          <w:color w:val="005DA1"/>
          <w:position w:val="5"/>
          <w:sz w:val="14"/>
          <w:u w:val="single" w:color="005DA1"/>
        </w:rPr>
        <w:t>1118</w:t>
      </w:r>
      <w:r>
        <w:rPr>
          <w:position w:val="5"/>
          <w:sz w:val="14"/>
        </w:rPr>
        <w:t>.</w:t>
      </w:r>
      <w:r>
        <w:rPr>
          <w:spacing w:val="55"/>
          <w:position w:val="5"/>
          <w:sz w:val="14"/>
        </w:rPr>
        <w:t>  </w:t>
      </w:r>
      <w:r>
        <w:rPr>
          <w:rFonts w:ascii="Arial"/>
          <w:i/>
          <w:sz w:val="20"/>
        </w:rPr>
        <w:t>(1862)</w:t>
      </w:r>
      <w:r>
        <w:rPr>
          <w:rFonts w:ascii="Arial"/>
          <w:i/>
          <w:spacing w:val="4"/>
          <w:sz w:val="20"/>
        </w:rPr>
        <w:t> </w:t>
      </w:r>
      <w:r>
        <w:rPr>
          <w:rFonts w:ascii="Arial"/>
          <w:i/>
          <w:sz w:val="20"/>
        </w:rPr>
        <w:t>D.</w:t>
      </w:r>
      <w:r>
        <w:rPr>
          <w:rFonts w:ascii="Arial"/>
          <w:i/>
          <w:spacing w:val="3"/>
          <w:sz w:val="20"/>
        </w:rPr>
        <w:t> </w:t>
      </w:r>
      <w:r>
        <w:rPr>
          <w:rFonts w:ascii="Arial"/>
          <w:i/>
          <w:sz w:val="20"/>
        </w:rPr>
        <w:t>F.</w:t>
      </w:r>
      <w:r>
        <w:rPr>
          <w:rFonts w:ascii="Arial"/>
          <w:i/>
          <w:spacing w:val="3"/>
          <w:sz w:val="20"/>
        </w:rPr>
        <w:t> </w:t>
      </w:r>
      <w:r>
        <w:rPr>
          <w:rFonts w:ascii="Arial"/>
          <w:i/>
          <w:sz w:val="20"/>
        </w:rPr>
        <w:t>&amp;</w:t>
      </w:r>
      <w:r>
        <w:rPr>
          <w:rFonts w:ascii="Arial"/>
          <w:i/>
          <w:spacing w:val="3"/>
          <w:sz w:val="20"/>
        </w:rPr>
        <w:t> </w:t>
      </w:r>
      <w:r>
        <w:rPr>
          <w:rFonts w:ascii="Arial"/>
          <w:i/>
          <w:sz w:val="20"/>
        </w:rPr>
        <w:t>G.</w:t>
      </w:r>
      <w:r>
        <w:rPr>
          <w:rFonts w:ascii="Arial"/>
          <w:i/>
          <w:spacing w:val="2"/>
          <w:sz w:val="20"/>
        </w:rPr>
        <w:t> </w:t>
      </w:r>
      <w:r>
        <w:rPr>
          <w:rFonts w:ascii="Arial"/>
          <w:i/>
          <w:sz w:val="20"/>
        </w:rPr>
        <w:t>517</w:t>
      </w:r>
      <w:r>
        <w:rPr>
          <w:sz w:val="20"/>
        </w:rPr>
        <w:t>;</w:t>
      </w:r>
      <w:r>
        <w:rPr>
          <w:spacing w:val="3"/>
          <w:sz w:val="20"/>
        </w:rPr>
        <w:t> </w:t>
      </w:r>
      <w:r>
        <w:rPr>
          <w:sz w:val="20"/>
        </w:rPr>
        <w:t>above,</w:t>
      </w:r>
      <w:r>
        <w:rPr>
          <w:spacing w:val="3"/>
          <w:sz w:val="20"/>
        </w:rPr>
        <w:t> </w:t>
      </w:r>
      <w:r>
        <w:rPr>
          <w:sz w:val="20"/>
        </w:rPr>
        <w:t>para.4-141;</w:t>
      </w:r>
      <w:r>
        <w:rPr>
          <w:spacing w:val="3"/>
          <w:sz w:val="20"/>
        </w:rPr>
        <w:t> </w:t>
      </w:r>
      <w:r>
        <w:rPr>
          <w:rFonts w:ascii="Arial"/>
          <w:i/>
          <w:sz w:val="20"/>
        </w:rPr>
        <w:t>Durant</w:t>
      </w:r>
      <w:r>
        <w:rPr>
          <w:rFonts w:ascii="Arial"/>
          <w:i/>
          <w:spacing w:val="3"/>
          <w:sz w:val="20"/>
        </w:rPr>
        <w:t> </w:t>
      </w:r>
      <w:r>
        <w:rPr>
          <w:rFonts w:ascii="Arial"/>
          <w:i/>
          <w:sz w:val="20"/>
        </w:rPr>
        <w:t>v</w:t>
      </w:r>
      <w:r>
        <w:rPr>
          <w:rFonts w:ascii="Arial"/>
          <w:i/>
          <w:spacing w:val="3"/>
          <w:sz w:val="20"/>
        </w:rPr>
        <w:t> </w:t>
      </w:r>
      <w:r>
        <w:rPr>
          <w:rFonts w:ascii="Arial"/>
          <w:i/>
          <w:sz w:val="20"/>
        </w:rPr>
        <w:t>Heritage</w:t>
      </w:r>
      <w:r>
        <w:rPr>
          <w:rFonts w:ascii="Arial"/>
          <w:i/>
          <w:spacing w:val="3"/>
          <w:sz w:val="20"/>
        </w:rPr>
        <w:t> </w:t>
      </w:r>
      <w:r>
        <w:rPr>
          <w:rFonts w:ascii="Arial"/>
          <w:i/>
          <w:sz w:val="20"/>
        </w:rPr>
        <w:t>[1994]</w:t>
      </w:r>
      <w:r>
        <w:rPr>
          <w:rFonts w:ascii="Arial"/>
          <w:i/>
          <w:spacing w:val="2"/>
          <w:sz w:val="20"/>
        </w:rPr>
        <w:t> </w:t>
      </w:r>
      <w:r>
        <w:rPr>
          <w:rFonts w:ascii="Arial"/>
          <w:i/>
          <w:sz w:val="20"/>
        </w:rPr>
        <w:t>E.G.C.S.</w:t>
      </w:r>
      <w:r>
        <w:rPr>
          <w:rFonts w:ascii="Arial"/>
          <w:i/>
          <w:spacing w:val="3"/>
          <w:sz w:val="20"/>
        </w:rPr>
        <w:t> </w:t>
      </w:r>
      <w:r>
        <w:rPr>
          <w:rFonts w:ascii="Arial"/>
          <w:i/>
          <w:sz w:val="20"/>
        </w:rPr>
        <w:t>134</w:t>
      </w:r>
      <w:r>
        <w:rPr>
          <w:sz w:val="20"/>
        </w:rPr>
        <w:t>;</w:t>
      </w:r>
      <w:r>
        <w:rPr>
          <w:spacing w:val="3"/>
          <w:sz w:val="20"/>
        </w:rPr>
        <w:t> </w:t>
      </w:r>
      <w:r>
        <w:rPr>
          <w:rFonts w:ascii="Arial"/>
          <w:i/>
          <w:sz w:val="20"/>
        </w:rPr>
        <w:t>Q</w:t>
      </w:r>
      <w:r>
        <w:rPr>
          <w:rFonts w:ascii="Arial"/>
          <w:i/>
          <w:spacing w:val="3"/>
          <w:sz w:val="20"/>
        </w:rPr>
        <w:t> </w:t>
      </w:r>
      <w:r>
        <w:rPr>
          <w:rFonts w:ascii="Arial"/>
          <w:i/>
          <w:sz w:val="20"/>
        </w:rPr>
        <w:t>v</w:t>
      </w:r>
      <w:r>
        <w:rPr>
          <w:rFonts w:ascii="Arial"/>
          <w:i/>
          <w:spacing w:val="3"/>
          <w:sz w:val="20"/>
        </w:rPr>
        <w:t> </w:t>
      </w:r>
      <w:r>
        <w:rPr>
          <w:rFonts w:ascii="Arial"/>
          <w:i/>
          <w:sz w:val="20"/>
        </w:rPr>
        <w:t>Q</w:t>
      </w:r>
      <w:r>
        <w:rPr>
          <w:rFonts w:ascii="Arial"/>
          <w:i/>
          <w:spacing w:val="3"/>
          <w:sz w:val="20"/>
        </w:rPr>
        <w:t> </w:t>
      </w:r>
      <w:r>
        <w:rPr>
          <w:rFonts w:ascii="Arial"/>
          <w:i/>
          <w:spacing w:val="-2"/>
          <w:sz w:val="20"/>
        </w:rPr>
        <w:t>[2008]</w:t>
      </w:r>
    </w:p>
    <w:p>
      <w:pPr>
        <w:spacing w:line="225" w:lineRule="exact" w:before="0"/>
        <w:ind w:left="0" w:right="168" w:firstLine="0"/>
        <w:jc w:val="right"/>
        <w:rPr>
          <w:rFonts w:ascii="Arial" w:hAnsi="Arial"/>
          <w:i/>
          <w:sz w:val="20"/>
        </w:rPr>
      </w:pPr>
      <w:r>
        <w:rPr>
          <w:rFonts w:ascii="Arial" w:hAnsi="Arial"/>
          <w:i/>
          <w:sz w:val="20"/>
        </w:rPr>
        <w:t>EWHC</w:t>
      </w:r>
      <w:r>
        <w:rPr>
          <w:rFonts w:ascii="Arial" w:hAnsi="Arial"/>
          <w:i/>
          <w:spacing w:val="34"/>
          <w:sz w:val="20"/>
        </w:rPr>
        <w:t> </w:t>
      </w:r>
      <w:r>
        <w:rPr>
          <w:rFonts w:ascii="Arial" w:hAnsi="Arial"/>
          <w:i/>
          <w:sz w:val="20"/>
        </w:rPr>
        <w:t>1874</w:t>
      </w:r>
      <w:r>
        <w:rPr>
          <w:rFonts w:ascii="Arial" w:hAnsi="Arial"/>
          <w:i/>
          <w:spacing w:val="34"/>
          <w:sz w:val="20"/>
        </w:rPr>
        <w:t> </w:t>
      </w:r>
      <w:r>
        <w:rPr>
          <w:rFonts w:ascii="Arial" w:hAnsi="Arial"/>
          <w:i/>
          <w:sz w:val="20"/>
        </w:rPr>
        <w:t>(Fam),</w:t>
      </w:r>
      <w:r>
        <w:rPr>
          <w:rFonts w:ascii="Arial" w:hAnsi="Arial"/>
          <w:i/>
          <w:spacing w:val="34"/>
          <w:sz w:val="20"/>
        </w:rPr>
        <w:t> </w:t>
      </w:r>
      <w:r>
        <w:rPr>
          <w:rFonts w:ascii="Arial" w:hAnsi="Arial"/>
          <w:i/>
          <w:sz w:val="20"/>
        </w:rPr>
        <w:t>[2009]</w:t>
      </w:r>
      <w:r>
        <w:rPr>
          <w:rFonts w:ascii="Arial" w:hAnsi="Arial"/>
          <w:i/>
          <w:spacing w:val="34"/>
          <w:sz w:val="20"/>
        </w:rPr>
        <w:t> </w:t>
      </w:r>
      <w:r>
        <w:rPr>
          <w:rFonts w:ascii="Arial" w:hAnsi="Arial"/>
          <w:i/>
          <w:sz w:val="20"/>
        </w:rPr>
        <w:t>1</w:t>
      </w:r>
      <w:r>
        <w:rPr>
          <w:rFonts w:ascii="Arial" w:hAnsi="Arial"/>
          <w:i/>
          <w:spacing w:val="34"/>
          <w:sz w:val="20"/>
        </w:rPr>
        <w:t> </w:t>
      </w:r>
      <w:r>
        <w:rPr>
          <w:rFonts w:ascii="Arial" w:hAnsi="Arial"/>
          <w:i/>
          <w:sz w:val="20"/>
        </w:rPr>
        <w:t>F.L.R.</w:t>
      </w:r>
      <w:r>
        <w:rPr>
          <w:rFonts w:ascii="Arial" w:hAnsi="Arial"/>
          <w:i/>
          <w:spacing w:val="34"/>
          <w:sz w:val="20"/>
        </w:rPr>
        <w:t> </w:t>
      </w:r>
      <w:r>
        <w:rPr>
          <w:rFonts w:ascii="Arial" w:hAnsi="Arial"/>
          <w:i/>
          <w:sz w:val="20"/>
        </w:rPr>
        <w:t>935</w:t>
      </w:r>
      <w:r>
        <w:rPr>
          <w:rFonts w:ascii="Arial" w:hAnsi="Arial"/>
          <w:i/>
          <w:spacing w:val="34"/>
          <w:sz w:val="20"/>
        </w:rPr>
        <w:t> </w:t>
      </w:r>
      <w:r>
        <w:rPr>
          <w:sz w:val="20"/>
        </w:rPr>
        <w:t>at</w:t>
      </w:r>
      <w:r>
        <w:rPr>
          <w:spacing w:val="34"/>
          <w:sz w:val="20"/>
        </w:rPr>
        <w:t> </w:t>
      </w:r>
      <w:r>
        <w:rPr>
          <w:sz w:val="20"/>
        </w:rPr>
        <w:t>[143]–[147];</w:t>
      </w:r>
      <w:r>
        <w:rPr>
          <w:spacing w:val="34"/>
          <w:sz w:val="20"/>
        </w:rPr>
        <w:t> </w:t>
      </w:r>
      <w:r>
        <w:rPr>
          <w:rFonts w:ascii="Arial" w:hAnsi="Arial"/>
          <w:i/>
          <w:sz w:val="20"/>
        </w:rPr>
        <w:t>Suggitt</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Suggitt</w:t>
      </w:r>
      <w:r>
        <w:rPr>
          <w:rFonts w:ascii="Arial" w:hAnsi="Arial"/>
          <w:i/>
          <w:spacing w:val="34"/>
          <w:sz w:val="20"/>
        </w:rPr>
        <w:t> </w:t>
      </w:r>
      <w:r>
        <w:rPr>
          <w:rFonts w:ascii="Arial" w:hAnsi="Arial"/>
          <w:i/>
          <w:sz w:val="20"/>
        </w:rPr>
        <w:t>[2012]</w:t>
      </w:r>
      <w:r>
        <w:rPr>
          <w:rFonts w:ascii="Arial" w:hAnsi="Arial"/>
          <w:i/>
          <w:spacing w:val="34"/>
          <w:sz w:val="20"/>
        </w:rPr>
        <w:t> </w:t>
      </w:r>
      <w:r>
        <w:rPr>
          <w:rFonts w:ascii="Arial" w:hAnsi="Arial"/>
          <w:i/>
          <w:sz w:val="20"/>
        </w:rPr>
        <w:t>EWCA</w:t>
      </w:r>
      <w:r>
        <w:rPr>
          <w:rFonts w:ascii="Arial" w:hAnsi="Arial"/>
          <w:i/>
          <w:spacing w:val="34"/>
          <w:sz w:val="20"/>
        </w:rPr>
        <w:t> </w:t>
      </w:r>
      <w:r>
        <w:rPr>
          <w:rFonts w:ascii="Arial" w:hAnsi="Arial"/>
          <w:i/>
          <w:spacing w:val="-5"/>
          <w:sz w:val="20"/>
        </w:rPr>
        <w:t>Civ</w:t>
      </w:r>
    </w:p>
    <w:p>
      <w:pPr>
        <w:spacing w:line="225" w:lineRule="exact" w:before="0"/>
        <w:ind w:left="0" w:right="168" w:firstLine="0"/>
        <w:jc w:val="right"/>
        <w:rPr>
          <w:rFonts w:ascii="Arial" w:hAnsi="Arial"/>
          <w:i/>
          <w:sz w:val="20"/>
        </w:rPr>
      </w:pPr>
      <w:r>
        <w:rPr>
          <w:rFonts w:ascii="Arial" w:hAnsi="Arial"/>
          <w:i/>
          <w:sz w:val="20"/>
        </w:rPr>
        <w:t>1140,</w:t>
      </w:r>
      <w:r>
        <w:rPr>
          <w:rFonts w:ascii="Arial" w:hAnsi="Arial"/>
          <w:i/>
          <w:spacing w:val="15"/>
          <w:sz w:val="20"/>
        </w:rPr>
        <w:t> </w:t>
      </w:r>
      <w:r>
        <w:rPr>
          <w:rFonts w:ascii="Arial" w:hAnsi="Arial"/>
          <w:i/>
          <w:sz w:val="20"/>
        </w:rPr>
        <w:t>[2012]</w:t>
      </w:r>
      <w:r>
        <w:rPr>
          <w:rFonts w:ascii="Arial" w:hAnsi="Arial"/>
          <w:i/>
          <w:spacing w:val="15"/>
          <w:sz w:val="20"/>
        </w:rPr>
        <w:t> </w:t>
      </w:r>
      <w:r>
        <w:rPr>
          <w:rFonts w:ascii="Arial" w:hAnsi="Arial"/>
          <w:i/>
          <w:sz w:val="20"/>
        </w:rPr>
        <w:t>W.T.L.R.</w:t>
      </w:r>
      <w:r>
        <w:rPr>
          <w:rFonts w:ascii="Arial" w:hAnsi="Arial"/>
          <w:i/>
          <w:spacing w:val="15"/>
          <w:sz w:val="20"/>
        </w:rPr>
        <w:t> </w:t>
      </w:r>
      <w:r>
        <w:rPr>
          <w:rFonts w:ascii="Arial" w:hAnsi="Arial"/>
          <w:i/>
          <w:sz w:val="20"/>
        </w:rPr>
        <w:t>1607</w:t>
      </w:r>
      <w:r>
        <w:rPr>
          <w:rFonts w:ascii="Arial" w:hAnsi="Arial"/>
          <w:i/>
          <w:spacing w:val="15"/>
          <w:sz w:val="20"/>
        </w:rPr>
        <w:t> </w:t>
      </w:r>
      <w:r>
        <w:rPr>
          <w:sz w:val="20"/>
        </w:rPr>
        <w:t>at</w:t>
      </w:r>
      <w:r>
        <w:rPr>
          <w:spacing w:val="15"/>
          <w:sz w:val="20"/>
        </w:rPr>
        <w:t> </w:t>
      </w:r>
      <w:r>
        <w:rPr>
          <w:sz w:val="20"/>
        </w:rPr>
        <w:t>[27],</w:t>
      </w:r>
      <w:r>
        <w:rPr>
          <w:spacing w:val="15"/>
          <w:sz w:val="20"/>
        </w:rPr>
        <w:t> </w:t>
      </w:r>
      <w:r>
        <w:rPr>
          <w:sz w:val="20"/>
        </w:rPr>
        <w:t>[45]–[50],</w:t>
      </w:r>
      <w:r>
        <w:rPr>
          <w:spacing w:val="15"/>
          <w:sz w:val="20"/>
        </w:rPr>
        <w:t> </w:t>
      </w:r>
      <w:r>
        <w:rPr>
          <w:sz w:val="20"/>
        </w:rPr>
        <w:t>[52];</w:t>
      </w:r>
      <w:r>
        <w:rPr>
          <w:spacing w:val="15"/>
          <w:sz w:val="20"/>
        </w:rPr>
        <w:t> </w:t>
      </w:r>
      <w:r>
        <w:rPr>
          <w:rFonts w:ascii="Arial" w:hAnsi="Arial"/>
          <w:i/>
          <w:sz w:val="20"/>
        </w:rPr>
        <w:t>Bradbury</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Taylor</w:t>
      </w:r>
      <w:r>
        <w:rPr>
          <w:rFonts w:ascii="Arial" w:hAnsi="Arial"/>
          <w:i/>
          <w:spacing w:val="15"/>
          <w:sz w:val="20"/>
        </w:rPr>
        <w:t> </w:t>
      </w:r>
      <w:r>
        <w:rPr>
          <w:rFonts w:ascii="Arial" w:hAnsi="Arial"/>
          <w:i/>
          <w:sz w:val="20"/>
        </w:rPr>
        <w:t>[2012]</w:t>
      </w:r>
      <w:r>
        <w:rPr>
          <w:rFonts w:ascii="Arial" w:hAnsi="Arial"/>
          <w:i/>
          <w:spacing w:val="15"/>
          <w:sz w:val="20"/>
        </w:rPr>
        <w:t> </w:t>
      </w:r>
      <w:r>
        <w:rPr>
          <w:rFonts w:ascii="Arial" w:hAnsi="Arial"/>
          <w:i/>
          <w:sz w:val="20"/>
        </w:rPr>
        <w:t>EWCA</w:t>
      </w:r>
      <w:r>
        <w:rPr>
          <w:rFonts w:ascii="Arial" w:hAnsi="Arial"/>
          <w:i/>
          <w:spacing w:val="15"/>
          <w:sz w:val="20"/>
        </w:rPr>
        <w:t> </w:t>
      </w:r>
      <w:r>
        <w:rPr>
          <w:rFonts w:ascii="Arial" w:hAnsi="Arial"/>
          <w:i/>
          <w:sz w:val="20"/>
        </w:rPr>
        <w:t>Civ</w:t>
      </w:r>
      <w:r>
        <w:rPr>
          <w:rFonts w:ascii="Arial" w:hAnsi="Arial"/>
          <w:i/>
          <w:spacing w:val="15"/>
          <w:sz w:val="20"/>
        </w:rPr>
        <w:t> </w:t>
      </w:r>
      <w:r>
        <w:rPr>
          <w:rFonts w:ascii="Arial" w:hAnsi="Arial"/>
          <w:i/>
          <w:spacing w:val="-2"/>
          <w:sz w:val="20"/>
        </w:rPr>
        <w:t>1208,</w:t>
      </w:r>
    </w:p>
    <w:p>
      <w:pPr>
        <w:pStyle w:val="BodyText"/>
        <w:spacing w:line="235" w:lineRule="auto" w:before="1"/>
        <w:ind w:left="705" w:right="167"/>
        <w:jc w:val="both"/>
      </w:pPr>
      <w:r>
        <w:rPr>
          <w:rFonts w:ascii="Arial" w:hAnsi="Arial"/>
          <w:i/>
        </w:rPr>
        <w:t>[2013] W.T.L.R. 29 </w:t>
      </w:r>
      <w:r>
        <w:rPr/>
        <w:t>(as to the remedy in this case, see also below, para.4-172 n.1086); or, </w:t>
      </w:r>
      <w:r>
        <w:rPr/>
        <w:t>in</w:t>
      </w:r>
      <w:r>
        <w:rPr>
          <w:spacing w:val="40"/>
        </w:rPr>
        <w:t> </w:t>
      </w:r>
      <w:r>
        <w:rPr/>
        <w:t>the</w:t>
      </w:r>
      <w:r>
        <w:rPr>
          <w:spacing w:val="-2"/>
        </w:rPr>
        <w:t> </w:t>
      </w:r>
      <w:r>
        <w:rPr/>
        <w:t>exceptional</w:t>
      </w:r>
      <w:r>
        <w:rPr>
          <w:spacing w:val="-2"/>
        </w:rPr>
        <w:t> </w:t>
      </w:r>
      <w:r>
        <w:rPr/>
        <w:t>cases</w:t>
      </w:r>
      <w:r>
        <w:rPr>
          <w:spacing w:val="-2"/>
        </w:rPr>
        <w:t> </w:t>
      </w:r>
      <w:r>
        <w:rPr/>
        <w:t>discussed</w:t>
      </w:r>
      <w:r>
        <w:rPr>
          <w:spacing w:val="-2"/>
        </w:rPr>
        <w:t> </w:t>
      </w:r>
      <w:r>
        <w:rPr/>
        <w:t>in</w:t>
      </w:r>
      <w:r>
        <w:rPr>
          <w:spacing w:val="-2"/>
        </w:rPr>
        <w:t> </w:t>
      </w:r>
      <w:r>
        <w:rPr/>
        <w:t>para.4-154,</w:t>
      </w:r>
      <w:r>
        <w:rPr>
          <w:spacing w:val="-2"/>
        </w:rPr>
        <w:t> </w:t>
      </w:r>
      <w:r>
        <w:rPr/>
        <w:t>nn.951–953,</w:t>
      </w:r>
      <w:r>
        <w:rPr>
          <w:spacing w:val="-2"/>
        </w:rPr>
        <w:t> </w:t>
      </w:r>
      <w:r>
        <w:rPr/>
        <w:t>to</w:t>
      </w:r>
      <w:r>
        <w:rPr>
          <w:spacing w:val="-2"/>
        </w:rPr>
        <w:t> </w:t>
      </w:r>
      <w:r>
        <w:rPr/>
        <w:t>orders</w:t>
      </w:r>
      <w:r>
        <w:rPr>
          <w:spacing w:val="-2"/>
        </w:rPr>
        <w:t> </w:t>
      </w:r>
      <w:r>
        <w:rPr/>
        <w:t>enforcing</w:t>
      </w:r>
      <w:r>
        <w:rPr>
          <w:spacing w:val="-2"/>
        </w:rPr>
        <w:t> </w:t>
      </w:r>
      <w:r>
        <w:rPr/>
        <w:t>the</w:t>
      </w:r>
      <w:r>
        <w:rPr>
          <w:spacing w:val="-2"/>
        </w:rPr>
        <w:t> </w:t>
      </w:r>
      <w:r>
        <w:rPr/>
        <w:t>promises</w:t>
      </w:r>
      <w:r>
        <w:rPr>
          <w:spacing w:val="-2"/>
        </w:rPr>
        <w:t> </w:t>
      </w:r>
      <w:r>
        <w:rPr/>
        <w:t>in those cases.</w:t>
      </w:r>
    </w:p>
    <w:p>
      <w:pPr>
        <w:pStyle w:val="BodyText"/>
        <w:spacing w:before="5"/>
      </w:pPr>
    </w:p>
    <w:p>
      <w:pPr>
        <w:spacing w:before="0"/>
        <w:ind w:left="165" w:right="0" w:firstLine="0"/>
        <w:jc w:val="left"/>
        <w:rPr>
          <w:sz w:val="20"/>
        </w:rPr>
      </w:pPr>
      <w:r>
        <w:rPr>
          <w:color w:val="005DA1"/>
          <w:position w:val="5"/>
          <w:sz w:val="14"/>
          <w:u w:val="single" w:color="005DA1"/>
        </w:rPr>
        <w:t>1119</w:t>
      </w:r>
      <w:r>
        <w:rPr>
          <w:position w:val="5"/>
          <w:sz w:val="14"/>
        </w:rPr>
        <w:t>.</w:t>
      </w:r>
      <w:r>
        <w:rPr>
          <w:spacing w:val="55"/>
          <w:position w:val="5"/>
          <w:sz w:val="14"/>
        </w:rPr>
        <w:t>  </w:t>
      </w:r>
      <w:r>
        <w:rPr>
          <w:rFonts w:ascii="Arial"/>
          <w:i/>
          <w:sz w:val="20"/>
        </w:rPr>
        <w:t>[1965]</w:t>
      </w:r>
      <w:r>
        <w:rPr>
          <w:rFonts w:ascii="Arial"/>
          <w:i/>
          <w:spacing w:val="1"/>
          <w:sz w:val="20"/>
        </w:rPr>
        <w:t> </w:t>
      </w:r>
      <w:r>
        <w:rPr>
          <w:rFonts w:ascii="Arial"/>
          <w:i/>
          <w:sz w:val="20"/>
        </w:rPr>
        <w:t>2</w:t>
      </w:r>
      <w:r>
        <w:rPr>
          <w:rFonts w:ascii="Arial"/>
          <w:i/>
          <w:spacing w:val="-1"/>
          <w:sz w:val="20"/>
        </w:rPr>
        <w:t> </w:t>
      </w:r>
      <w:r>
        <w:rPr>
          <w:rFonts w:ascii="Arial"/>
          <w:i/>
          <w:sz w:val="20"/>
        </w:rPr>
        <w:t>Q.B. 507</w:t>
      </w:r>
      <w:r>
        <w:rPr>
          <w:sz w:val="20"/>
        </w:rPr>
        <w:t>; above, para.4-141, </w:t>
      </w:r>
      <w:r>
        <w:rPr>
          <w:spacing w:val="-2"/>
          <w:sz w:val="20"/>
        </w:rPr>
        <w:t>n.834.</w:t>
      </w:r>
    </w:p>
    <w:p>
      <w:pPr>
        <w:pStyle w:val="BodyText"/>
        <w:spacing w:before="5"/>
      </w:pPr>
    </w:p>
    <w:p>
      <w:pPr>
        <w:spacing w:line="227" w:lineRule="exact" w:before="0"/>
        <w:ind w:left="165" w:right="0" w:firstLine="0"/>
        <w:jc w:val="left"/>
        <w:rPr>
          <w:rFonts w:ascii="Arial"/>
          <w:i/>
          <w:sz w:val="20"/>
        </w:rPr>
      </w:pPr>
      <w:r>
        <w:rPr>
          <w:color w:val="005DA1"/>
          <w:position w:val="5"/>
          <w:sz w:val="14"/>
          <w:u w:val="single" w:color="005DA1"/>
        </w:rPr>
        <w:t>1120</w:t>
      </w:r>
      <w:r>
        <w:rPr>
          <w:position w:val="5"/>
          <w:sz w:val="14"/>
        </w:rPr>
        <w:t>.</w:t>
      </w:r>
      <w:r>
        <w:rPr>
          <w:spacing w:val="55"/>
          <w:position w:val="5"/>
          <w:sz w:val="14"/>
        </w:rPr>
        <w:t>  </w:t>
      </w:r>
      <w:r>
        <w:rPr>
          <w:rFonts w:ascii="Arial"/>
          <w:i/>
          <w:sz w:val="20"/>
        </w:rPr>
        <w:t>Jones</w:t>
      </w:r>
      <w:r>
        <w:rPr>
          <w:rFonts w:ascii="Arial"/>
          <w:i/>
          <w:spacing w:val="10"/>
          <w:sz w:val="20"/>
        </w:rPr>
        <w:t> </w:t>
      </w:r>
      <w:r>
        <w:rPr>
          <w:rFonts w:ascii="Arial"/>
          <w:i/>
          <w:sz w:val="20"/>
        </w:rPr>
        <w:t>v</w:t>
      </w:r>
      <w:r>
        <w:rPr>
          <w:rFonts w:ascii="Arial"/>
          <w:i/>
          <w:spacing w:val="9"/>
          <w:sz w:val="20"/>
        </w:rPr>
        <w:t> </w:t>
      </w:r>
      <w:r>
        <w:rPr>
          <w:rFonts w:ascii="Arial"/>
          <w:i/>
          <w:sz w:val="20"/>
        </w:rPr>
        <w:t>Jones</w:t>
      </w:r>
      <w:r>
        <w:rPr>
          <w:rFonts w:ascii="Arial"/>
          <w:i/>
          <w:spacing w:val="9"/>
          <w:sz w:val="20"/>
        </w:rPr>
        <w:t> </w:t>
      </w:r>
      <w:r>
        <w:rPr>
          <w:rFonts w:ascii="Arial"/>
          <w:i/>
          <w:sz w:val="20"/>
        </w:rPr>
        <w:t>[1977]</w:t>
      </w:r>
      <w:r>
        <w:rPr>
          <w:rFonts w:ascii="Arial"/>
          <w:i/>
          <w:spacing w:val="9"/>
          <w:sz w:val="20"/>
        </w:rPr>
        <w:t> </w:t>
      </w:r>
      <w:r>
        <w:rPr>
          <w:rFonts w:ascii="Arial"/>
          <w:i/>
          <w:sz w:val="20"/>
        </w:rPr>
        <w:t>1</w:t>
      </w:r>
      <w:r>
        <w:rPr>
          <w:rFonts w:ascii="Arial"/>
          <w:i/>
          <w:spacing w:val="8"/>
          <w:sz w:val="20"/>
        </w:rPr>
        <w:t> </w:t>
      </w:r>
      <w:r>
        <w:rPr>
          <w:rFonts w:ascii="Arial"/>
          <w:i/>
          <w:sz w:val="20"/>
        </w:rPr>
        <w:t>W.L.R.</w:t>
      </w:r>
      <w:r>
        <w:rPr>
          <w:rFonts w:ascii="Arial"/>
          <w:i/>
          <w:spacing w:val="9"/>
          <w:sz w:val="20"/>
        </w:rPr>
        <w:t> </w:t>
      </w:r>
      <w:r>
        <w:rPr>
          <w:rFonts w:ascii="Arial"/>
          <w:i/>
          <w:sz w:val="20"/>
        </w:rPr>
        <w:t>438</w:t>
      </w:r>
      <w:r>
        <w:rPr>
          <w:sz w:val="20"/>
        </w:rPr>
        <w:t>;</w:t>
      </w:r>
      <w:r>
        <w:rPr>
          <w:spacing w:val="9"/>
          <w:sz w:val="20"/>
        </w:rPr>
        <w:t> </w:t>
      </w:r>
      <w:r>
        <w:rPr>
          <w:rFonts w:ascii="Arial"/>
          <w:i/>
          <w:sz w:val="20"/>
        </w:rPr>
        <w:t>Re</w:t>
      </w:r>
      <w:r>
        <w:rPr>
          <w:rFonts w:ascii="Arial"/>
          <w:i/>
          <w:spacing w:val="9"/>
          <w:sz w:val="20"/>
        </w:rPr>
        <w:t> </w:t>
      </w:r>
      <w:r>
        <w:rPr>
          <w:rFonts w:ascii="Arial"/>
          <w:i/>
          <w:sz w:val="20"/>
        </w:rPr>
        <w:t>Sharpe</w:t>
      </w:r>
      <w:r>
        <w:rPr>
          <w:rFonts w:ascii="Arial"/>
          <w:i/>
          <w:spacing w:val="9"/>
          <w:sz w:val="20"/>
        </w:rPr>
        <w:t> </w:t>
      </w:r>
      <w:r>
        <w:rPr>
          <w:rFonts w:ascii="Arial"/>
          <w:i/>
          <w:sz w:val="20"/>
        </w:rPr>
        <w:t>[1980]</w:t>
      </w:r>
      <w:r>
        <w:rPr>
          <w:rFonts w:ascii="Arial"/>
          <w:i/>
          <w:spacing w:val="9"/>
          <w:sz w:val="20"/>
        </w:rPr>
        <w:t> </w:t>
      </w:r>
      <w:r>
        <w:rPr>
          <w:rFonts w:ascii="Arial"/>
          <w:i/>
          <w:sz w:val="20"/>
        </w:rPr>
        <w:t>1</w:t>
      </w:r>
      <w:r>
        <w:rPr>
          <w:rFonts w:ascii="Arial"/>
          <w:i/>
          <w:spacing w:val="8"/>
          <w:sz w:val="20"/>
        </w:rPr>
        <w:t> </w:t>
      </w:r>
      <w:r>
        <w:rPr>
          <w:rFonts w:ascii="Arial"/>
          <w:i/>
          <w:sz w:val="20"/>
        </w:rPr>
        <w:t>W.L.R.</w:t>
      </w:r>
      <w:r>
        <w:rPr>
          <w:rFonts w:ascii="Arial"/>
          <w:i/>
          <w:spacing w:val="9"/>
          <w:sz w:val="20"/>
        </w:rPr>
        <w:t> </w:t>
      </w:r>
      <w:r>
        <w:rPr>
          <w:rFonts w:ascii="Arial"/>
          <w:i/>
          <w:sz w:val="20"/>
        </w:rPr>
        <w:t>219</w:t>
      </w:r>
      <w:r>
        <w:rPr>
          <w:sz w:val="20"/>
        </w:rPr>
        <w:t>;</w:t>
      </w:r>
      <w:r>
        <w:rPr>
          <w:spacing w:val="9"/>
          <w:sz w:val="20"/>
        </w:rPr>
        <w:t> </w:t>
      </w:r>
      <w:r>
        <w:rPr>
          <w:rFonts w:ascii="Arial"/>
          <w:i/>
          <w:sz w:val="20"/>
        </w:rPr>
        <w:t>Greasley</w:t>
      </w:r>
      <w:r>
        <w:rPr>
          <w:rFonts w:ascii="Arial"/>
          <w:i/>
          <w:spacing w:val="9"/>
          <w:sz w:val="20"/>
        </w:rPr>
        <w:t> </w:t>
      </w:r>
      <w:r>
        <w:rPr>
          <w:rFonts w:ascii="Arial"/>
          <w:i/>
          <w:sz w:val="20"/>
        </w:rPr>
        <w:t>v</w:t>
      </w:r>
      <w:r>
        <w:rPr>
          <w:rFonts w:ascii="Arial"/>
          <w:i/>
          <w:spacing w:val="9"/>
          <w:sz w:val="20"/>
        </w:rPr>
        <w:t> </w:t>
      </w:r>
      <w:r>
        <w:rPr>
          <w:rFonts w:ascii="Arial"/>
          <w:i/>
          <w:sz w:val="20"/>
        </w:rPr>
        <w:t>Cooke</w:t>
      </w:r>
      <w:r>
        <w:rPr>
          <w:rFonts w:ascii="Arial"/>
          <w:i/>
          <w:spacing w:val="9"/>
          <w:sz w:val="20"/>
        </w:rPr>
        <w:t> </w:t>
      </w:r>
      <w:r>
        <w:rPr>
          <w:rFonts w:ascii="Arial"/>
          <w:i/>
          <w:spacing w:val="-2"/>
          <w:sz w:val="20"/>
        </w:rPr>
        <w:t>[1980]</w:t>
      </w:r>
    </w:p>
    <w:p>
      <w:pPr>
        <w:spacing w:line="227" w:lineRule="exact" w:before="0"/>
        <w:ind w:left="705" w:right="0" w:firstLine="0"/>
        <w:jc w:val="left"/>
        <w:rPr>
          <w:sz w:val="20"/>
        </w:rPr>
      </w:pPr>
      <w:r>
        <w:rPr>
          <w:rFonts w:ascii="Arial"/>
          <w:i/>
          <w:sz w:val="20"/>
        </w:rPr>
        <w:t>1 W.L.R. </w:t>
      </w:r>
      <w:r>
        <w:rPr>
          <w:rFonts w:ascii="Arial"/>
          <w:i/>
          <w:spacing w:val="-2"/>
          <w:sz w:val="20"/>
        </w:rPr>
        <w:t>1306</w:t>
      </w:r>
      <w:r>
        <w:rPr>
          <w:spacing w:val="-2"/>
          <w:sz w:val="20"/>
        </w:rPr>
        <w:t>.</w:t>
      </w:r>
    </w:p>
    <w:p>
      <w:pPr>
        <w:pStyle w:val="BodyText"/>
        <w:spacing w:before="5"/>
      </w:pPr>
    </w:p>
    <w:p>
      <w:pPr>
        <w:spacing w:line="227" w:lineRule="exact" w:before="0"/>
        <w:ind w:left="165" w:right="0" w:firstLine="0"/>
        <w:jc w:val="left"/>
        <w:rPr>
          <w:sz w:val="20"/>
        </w:rPr>
      </w:pPr>
      <w:r>
        <w:rPr>
          <w:color w:val="005DA1"/>
          <w:position w:val="5"/>
          <w:sz w:val="14"/>
          <w:u w:val="single" w:color="005DA1"/>
        </w:rPr>
        <w:t>1121</w:t>
      </w:r>
      <w:r>
        <w:rPr>
          <w:position w:val="5"/>
          <w:sz w:val="14"/>
        </w:rPr>
        <w:t>.</w:t>
      </w:r>
      <w:r>
        <w:rPr>
          <w:spacing w:val="55"/>
          <w:position w:val="5"/>
          <w:sz w:val="14"/>
        </w:rPr>
        <w:t>  </w:t>
      </w:r>
      <w:r>
        <w:rPr>
          <w:rFonts w:ascii="Arial"/>
          <w:i/>
          <w:sz w:val="20"/>
        </w:rPr>
        <w:t>Tanner</w:t>
      </w:r>
      <w:r>
        <w:rPr>
          <w:rFonts w:ascii="Arial"/>
          <w:i/>
          <w:spacing w:val="29"/>
          <w:sz w:val="20"/>
        </w:rPr>
        <w:t> </w:t>
      </w:r>
      <w:r>
        <w:rPr>
          <w:rFonts w:ascii="Arial"/>
          <w:i/>
          <w:sz w:val="20"/>
        </w:rPr>
        <w:t>v</w:t>
      </w:r>
      <w:r>
        <w:rPr>
          <w:rFonts w:ascii="Arial"/>
          <w:i/>
          <w:spacing w:val="28"/>
          <w:sz w:val="20"/>
        </w:rPr>
        <w:t> </w:t>
      </w:r>
      <w:r>
        <w:rPr>
          <w:rFonts w:ascii="Arial"/>
          <w:i/>
          <w:sz w:val="20"/>
        </w:rPr>
        <w:t>Tanner</w:t>
      </w:r>
      <w:r>
        <w:rPr>
          <w:rFonts w:ascii="Arial"/>
          <w:i/>
          <w:spacing w:val="28"/>
          <w:sz w:val="20"/>
        </w:rPr>
        <w:t> </w:t>
      </w:r>
      <w:r>
        <w:rPr>
          <w:rFonts w:ascii="Arial"/>
          <w:i/>
          <w:sz w:val="20"/>
        </w:rPr>
        <w:t>[1975]</w:t>
      </w:r>
      <w:r>
        <w:rPr>
          <w:rFonts w:ascii="Arial"/>
          <w:i/>
          <w:spacing w:val="28"/>
          <w:sz w:val="20"/>
        </w:rPr>
        <w:t> </w:t>
      </w:r>
      <w:r>
        <w:rPr>
          <w:rFonts w:ascii="Arial"/>
          <w:i/>
          <w:sz w:val="20"/>
        </w:rPr>
        <w:t>1</w:t>
      </w:r>
      <w:r>
        <w:rPr>
          <w:rFonts w:ascii="Arial"/>
          <w:i/>
          <w:spacing w:val="28"/>
          <w:sz w:val="20"/>
        </w:rPr>
        <w:t> </w:t>
      </w:r>
      <w:r>
        <w:rPr>
          <w:rFonts w:ascii="Arial"/>
          <w:i/>
          <w:sz w:val="20"/>
        </w:rPr>
        <w:t>W.L.R.</w:t>
      </w:r>
      <w:r>
        <w:rPr>
          <w:rFonts w:ascii="Arial"/>
          <w:i/>
          <w:spacing w:val="28"/>
          <w:sz w:val="20"/>
        </w:rPr>
        <w:t> </w:t>
      </w:r>
      <w:r>
        <w:rPr>
          <w:rFonts w:ascii="Arial"/>
          <w:i/>
          <w:sz w:val="20"/>
        </w:rPr>
        <w:t>1346</w:t>
      </w:r>
      <w:r>
        <w:rPr>
          <w:rFonts w:ascii="Arial"/>
          <w:i/>
          <w:spacing w:val="27"/>
          <w:sz w:val="20"/>
        </w:rPr>
        <w:t> </w:t>
      </w:r>
      <w:r>
        <w:rPr>
          <w:sz w:val="20"/>
        </w:rPr>
        <w:t>(where</w:t>
      </w:r>
      <w:r>
        <w:rPr>
          <w:spacing w:val="28"/>
          <w:sz w:val="20"/>
        </w:rPr>
        <w:t> </w:t>
      </w:r>
      <w:r>
        <w:rPr>
          <w:sz w:val="20"/>
        </w:rPr>
        <w:t>there</w:t>
      </w:r>
      <w:r>
        <w:rPr>
          <w:spacing w:val="28"/>
          <w:sz w:val="20"/>
        </w:rPr>
        <w:t> </w:t>
      </w:r>
      <w:r>
        <w:rPr>
          <w:sz w:val="20"/>
        </w:rPr>
        <w:t>was</w:t>
      </w:r>
      <w:r>
        <w:rPr>
          <w:spacing w:val="28"/>
          <w:sz w:val="20"/>
        </w:rPr>
        <w:t> </w:t>
      </w:r>
      <w:r>
        <w:rPr>
          <w:sz w:val="20"/>
        </w:rPr>
        <w:t>a</w:t>
      </w:r>
      <w:r>
        <w:rPr>
          <w:spacing w:val="28"/>
          <w:sz w:val="20"/>
        </w:rPr>
        <w:t> </w:t>
      </w:r>
      <w:r>
        <w:rPr>
          <w:sz w:val="20"/>
        </w:rPr>
        <w:t>contract:</w:t>
      </w:r>
      <w:r>
        <w:rPr>
          <w:spacing w:val="28"/>
          <w:sz w:val="20"/>
        </w:rPr>
        <w:t> </w:t>
      </w:r>
      <w:r>
        <w:rPr>
          <w:sz w:val="20"/>
        </w:rPr>
        <w:t>cf.</w:t>
      </w:r>
      <w:r>
        <w:rPr>
          <w:spacing w:val="28"/>
          <w:sz w:val="20"/>
        </w:rPr>
        <w:t> </w:t>
      </w:r>
      <w:r>
        <w:rPr>
          <w:sz w:val="20"/>
        </w:rPr>
        <w:t>above,</w:t>
      </w:r>
      <w:r>
        <w:rPr>
          <w:spacing w:val="28"/>
          <w:sz w:val="20"/>
        </w:rPr>
        <w:t> </w:t>
      </w:r>
      <w:r>
        <w:rPr>
          <w:sz w:val="20"/>
        </w:rPr>
        <w:t>para.4-</w:t>
      </w:r>
      <w:r>
        <w:rPr>
          <w:spacing w:val="-4"/>
          <w:sz w:val="20"/>
        </w:rPr>
        <w:t>144);</w:t>
      </w:r>
    </w:p>
    <w:p>
      <w:pPr>
        <w:spacing w:line="227" w:lineRule="exact" w:before="0"/>
        <w:ind w:left="705" w:right="0" w:firstLine="0"/>
        <w:jc w:val="left"/>
        <w:rPr>
          <w:sz w:val="20"/>
        </w:rPr>
      </w:pPr>
      <w:r>
        <w:rPr>
          <w:rFonts w:ascii="Arial"/>
          <w:i/>
          <w:sz w:val="20"/>
        </w:rPr>
        <w:t>Yaxley v Gotts [2000] Ch. 162</w:t>
      </w:r>
      <w:r>
        <w:rPr>
          <w:rFonts w:ascii="Arial"/>
          <w:i/>
          <w:spacing w:val="-1"/>
          <w:sz w:val="20"/>
        </w:rPr>
        <w:t> </w:t>
      </w:r>
      <w:r>
        <w:rPr>
          <w:sz w:val="20"/>
        </w:rPr>
        <w:t>(where the remedy was based on constructive </w:t>
      </w:r>
      <w:r>
        <w:rPr>
          <w:spacing w:val="-2"/>
          <w:sz w:val="20"/>
        </w:rPr>
        <w:t>trust).</w:t>
      </w:r>
    </w:p>
    <w:p>
      <w:pPr>
        <w:pStyle w:val="BodyText"/>
        <w:spacing w:before="5"/>
      </w:pPr>
    </w:p>
    <w:p>
      <w:pPr>
        <w:spacing w:before="0"/>
        <w:ind w:left="165" w:right="0" w:firstLine="0"/>
        <w:jc w:val="left"/>
        <w:rPr>
          <w:sz w:val="20"/>
        </w:rPr>
      </w:pPr>
      <w:r>
        <w:rPr>
          <w:color w:val="005DA1"/>
          <w:position w:val="5"/>
          <w:sz w:val="14"/>
          <w:u w:val="single" w:color="005DA1"/>
        </w:rPr>
        <w:t>1122</w:t>
      </w:r>
      <w:r>
        <w:rPr>
          <w:position w:val="5"/>
          <w:sz w:val="14"/>
        </w:rPr>
        <w:t>.</w:t>
      </w:r>
      <w:r>
        <w:rPr>
          <w:spacing w:val="55"/>
          <w:position w:val="5"/>
          <w:sz w:val="14"/>
        </w:rPr>
        <w:t>  </w:t>
      </w:r>
      <w:r>
        <w:rPr>
          <w:rFonts w:ascii="Arial"/>
          <w:i/>
          <w:sz w:val="20"/>
        </w:rPr>
        <w:t>J.T.</w:t>
      </w:r>
      <w:r>
        <w:rPr>
          <w:rFonts w:ascii="Arial"/>
          <w:i/>
          <w:spacing w:val="1"/>
          <w:sz w:val="20"/>
        </w:rPr>
        <w:t> </w:t>
      </w:r>
      <w:r>
        <w:rPr>
          <w:rFonts w:ascii="Arial"/>
          <w:i/>
          <w:sz w:val="20"/>
        </w:rPr>
        <w:t>Developments v Quinn (1991) 62 P. &amp; C.R. </w:t>
      </w:r>
      <w:r>
        <w:rPr>
          <w:rFonts w:ascii="Arial"/>
          <w:i/>
          <w:spacing w:val="-5"/>
          <w:sz w:val="20"/>
        </w:rPr>
        <w:t>33</w:t>
      </w:r>
      <w:r>
        <w:rPr>
          <w:spacing w:val="-5"/>
          <w:sz w:val="20"/>
        </w:rPr>
        <w:t>.</w:t>
      </w:r>
    </w:p>
    <w:p>
      <w:pPr>
        <w:pStyle w:val="BodyText"/>
        <w:spacing w:before="9"/>
      </w:pPr>
    </w:p>
    <w:p>
      <w:pPr>
        <w:spacing w:line="235" w:lineRule="auto" w:before="0"/>
        <w:ind w:left="705" w:right="167" w:hanging="541"/>
        <w:jc w:val="both"/>
        <w:rPr>
          <w:sz w:val="20"/>
        </w:rPr>
      </w:pPr>
      <w:r>
        <w:rPr>
          <w:color w:val="005DA1"/>
          <w:position w:val="5"/>
          <w:sz w:val="14"/>
          <w:u w:val="single" w:color="005DA1"/>
        </w:rPr>
        <w:t>1123</w:t>
      </w:r>
      <w:r>
        <w:rPr>
          <w:position w:val="5"/>
          <w:sz w:val="14"/>
        </w:rPr>
        <w:t>.</w:t>
      </w:r>
      <w:r>
        <w:rPr>
          <w:spacing w:val="80"/>
          <w:position w:val="5"/>
          <w:sz w:val="14"/>
        </w:rPr>
        <w:t> </w:t>
      </w:r>
      <w:r>
        <w:rPr>
          <w:sz w:val="20"/>
        </w:rPr>
        <w:t>As in </w:t>
      </w:r>
      <w:r>
        <w:rPr>
          <w:rFonts w:ascii="Arial"/>
          <w:i/>
          <w:sz w:val="20"/>
        </w:rPr>
        <w:t>Kinane v Mackie-Conteh [2005] EWCA Civ 45, [2005] W.T.L.R. 345</w:t>
      </w:r>
      <w:r>
        <w:rPr>
          <w:sz w:val="20"/>
        </w:rPr>
        <w:t>: see at [1], [36]; cf. </w:t>
      </w:r>
      <w:r>
        <w:rPr>
          <w:rFonts w:ascii="Arial"/>
          <w:i/>
          <w:sz w:val="20"/>
        </w:rPr>
        <w:t>McGuane v Welch [2008] EWCA Civ 785, [2008] 2 P. &amp; C.R. 24 </w:t>
      </w:r>
      <w:r>
        <w:rPr>
          <w:sz w:val="20"/>
        </w:rPr>
        <w:t>at [47] where a charge on the property in question was held to be the appropriate way of satisfying the equity arising by </w:t>
      </w:r>
      <w:r>
        <w:rPr>
          <w:sz w:val="20"/>
        </w:rPr>
        <w:t>virtue of the proprietary estoppel.</w:t>
      </w:r>
    </w:p>
    <w:p>
      <w:pPr>
        <w:pStyle w:val="BodyText"/>
        <w:spacing w:before="8"/>
      </w:pPr>
    </w:p>
    <w:p>
      <w:pPr>
        <w:spacing w:line="235" w:lineRule="auto" w:before="0"/>
        <w:ind w:left="705" w:right="167" w:hanging="541"/>
        <w:jc w:val="both"/>
        <w:rPr>
          <w:sz w:val="20"/>
        </w:rPr>
      </w:pPr>
      <w:r>
        <w:rPr>
          <w:color w:val="005DA1"/>
          <w:position w:val="5"/>
          <w:sz w:val="14"/>
          <w:u w:val="single" w:color="005DA1"/>
        </w:rPr>
        <w:t>1124</w:t>
      </w:r>
      <w:r>
        <w:rPr>
          <w:position w:val="5"/>
          <w:sz w:val="14"/>
        </w:rPr>
        <w:t>.</w:t>
      </w:r>
      <w:r>
        <w:rPr>
          <w:spacing w:val="40"/>
          <w:position w:val="5"/>
          <w:sz w:val="14"/>
        </w:rPr>
        <w:t> </w:t>
      </w:r>
      <w:r>
        <w:rPr>
          <w:sz w:val="20"/>
        </w:rPr>
        <w:t>cf. </w:t>
      </w:r>
      <w:r>
        <w:rPr>
          <w:rFonts w:ascii="Arial" w:hAnsi="Arial"/>
          <w:i/>
          <w:sz w:val="20"/>
        </w:rPr>
        <w:t>Kinane v Mackie-Conteh [2005] EWCA Civ 45, [2005] W.T.L.R. 345 </w:t>
      </w:r>
      <w:r>
        <w:rPr>
          <w:sz w:val="20"/>
        </w:rPr>
        <w:t>at [33] (“a remedy appropriate to the expectations that the defendant has indeed”; the last word of this </w:t>
      </w:r>
      <w:r>
        <w:rPr>
          <w:sz w:val="20"/>
        </w:rPr>
        <w:t>phrase appears to be a misprint, probably for “induced”).</w:t>
      </w:r>
    </w:p>
    <w:p>
      <w:pPr>
        <w:pStyle w:val="BodyText"/>
        <w:spacing w:before="5"/>
      </w:pPr>
    </w:p>
    <w:p>
      <w:pPr>
        <w:spacing w:before="1"/>
        <w:ind w:left="165" w:right="0" w:firstLine="0"/>
        <w:jc w:val="left"/>
        <w:rPr>
          <w:sz w:val="20"/>
        </w:rPr>
      </w:pPr>
      <w:r>
        <w:rPr>
          <w:color w:val="005DA1"/>
          <w:position w:val="5"/>
          <w:sz w:val="14"/>
          <w:u w:val="single" w:color="005DA1"/>
        </w:rPr>
        <w:t>1125</w:t>
      </w:r>
      <w:r>
        <w:rPr>
          <w:position w:val="5"/>
          <w:sz w:val="14"/>
        </w:rPr>
        <w:t>.</w:t>
      </w:r>
      <w:r>
        <w:rPr>
          <w:spacing w:val="55"/>
          <w:position w:val="5"/>
          <w:sz w:val="14"/>
        </w:rPr>
        <w:t>  </w:t>
      </w:r>
      <w:r>
        <w:rPr>
          <w:rFonts w:ascii="Arial"/>
          <w:i/>
          <w:sz w:val="20"/>
        </w:rPr>
        <w:t>Griffiths</w:t>
      </w:r>
      <w:r>
        <w:rPr>
          <w:rFonts w:ascii="Arial"/>
          <w:i/>
          <w:spacing w:val="1"/>
          <w:sz w:val="20"/>
        </w:rPr>
        <w:t> </w:t>
      </w:r>
      <w:r>
        <w:rPr>
          <w:rFonts w:ascii="Arial"/>
          <w:i/>
          <w:sz w:val="20"/>
        </w:rPr>
        <w:t>v Williams [1978] E.G.D. 919</w:t>
      </w:r>
      <w:r>
        <w:rPr>
          <w:sz w:val="20"/>
        </w:rPr>
        <w:t>;</w:t>
      </w:r>
      <w:r>
        <w:rPr>
          <w:spacing w:val="-1"/>
          <w:sz w:val="20"/>
        </w:rPr>
        <w:t> </w:t>
      </w:r>
      <w:r>
        <w:rPr>
          <w:sz w:val="20"/>
        </w:rPr>
        <w:t>cf. </w:t>
      </w:r>
      <w:r>
        <w:rPr>
          <w:rFonts w:ascii="Arial"/>
          <w:i/>
          <w:sz w:val="20"/>
        </w:rPr>
        <w:t>Jones v Jones [1977] 1 W.L.R. </w:t>
      </w:r>
      <w:r>
        <w:rPr>
          <w:rFonts w:ascii="Arial"/>
          <w:i/>
          <w:spacing w:val="-4"/>
          <w:sz w:val="20"/>
        </w:rPr>
        <w:t>438</w:t>
      </w:r>
      <w:r>
        <w:rPr>
          <w:spacing w:val="-4"/>
          <w:sz w:val="20"/>
        </w:rPr>
        <w:t>.</w:t>
      </w:r>
    </w:p>
    <w:p>
      <w:pPr>
        <w:pStyle w:val="BodyText"/>
        <w:spacing w:before="4"/>
      </w:pPr>
    </w:p>
    <w:p>
      <w:pPr>
        <w:spacing w:line="227" w:lineRule="exact" w:before="1"/>
        <w:ind w:left="165" w:right="0" w:firstLine="0"/>
        <w:jc w:val="left"/>
        <w:rPr>
          <w:rFonts w:ascii="Arial"/>
          <w:i/>
          <w:sz w:val="20"/>
        </w:rPr>
      </w:pPr>
      <w:r>
        <w:rPr>
          <w:color w:val="005DA1"/>
          <w:position w:val="5"/>
          <w:sz w:val="14"/>
          <w:u w:val="single" w:color="005DA1"/>
        </w:rPr>
        <w:t>1126</w:t>
      </w:r>
      <w:r>
        <w:rPr>
          <w:position w:val="5"/>
          <w:sz w:val="14"/>
        </w:rPr>
        <w:t>.</w:t>
      </w:r>
      <w:r>
        <w:rPr>
          <w:spacing w:val="55"/>
          <w:position w:val="5"/>
          <w:sz w:val="14"/>
        </w:rPr>
        <w:t>  </w:t>
      </w:r>
      <w:r>
        <w:rPr>
          <w:rFonts w:ascii="Arial"/>
          <w:i/>
          <w:sz w:val="20"/>
        </w:rPr>
        <w:t>Canadian</w:t>
      </w:r>
      <w:r>
        <w:rPr>
          <w:rFonts w:ascii="Arial"/>
          <w:i/>
          <w:spacing w:val="23"/>
          <w:sz w:val="20"/>
        </w:rPr>
        <w:t> </w:t>
      </w:r>
      <w:r>
        <w:rPr>
          <w:rFonts w:ascii="Arial"/>
          <w:i/>
          <w:sz w:val="20"/>
        </w:rPr>
        <w:t>Pacific</w:t>
      </w:r>
      <w:r>
        <w:rPr>
          <w:rFonts w:ascii="Arial"/>
          <w:i/>
          <w:spacing w:val="22"/>
          <w:sz w:val="20"/>
        </w:rPr>
        <w:t> </w:t>
      </w:r>
      <w:r>
        <w:rPr>
          <w:rFonts w:ascii="Arial"/>
          <w:i/>
          <w:sz w:val="20"/>
        </w:rPr>
        <w:t>Railway</w:t>
      </w:r>
      <w:r>
        <w:rPr>
          <w:rFonts w:ascii="Arial"/>
          <w:i/>
          <w:spacing w:val="22"/>
          <w:sz w:val="20"/>
        </w:rPr>
        <w:t> </w:t>
      </w:r>
      <w:r>
        <w:rPr>
          <w:rFonts w:ascii="Arial"/>
          <w:i/>
          <w:sz w:val="20"/>
        </w:rPr>
        <w:t>v</w:t>
      </w:r>
      <w:r>
        <w:rPr>
          <w:rFonts w:ascii="Arial"/>
          <w:i/>
          <w:spacing w:val="22"/>
          <w:sz w:val="20"/>
        </w:rPr>
        <w:t> </w:t>
      </w:r>
      <w:r>
        <w:rPr>
          <w:rFonts w:ascii="Arial"/>
          <w:i/>
          <w:sz w:val="20"/>
        </w:rPr>
        <w:t>The</w:t>
      </w:r>
      <w:r>
        <w:rPr>
          <w:rFonts w:ascii="Arial"/>
          <w:i/>
          <w:spacing w:val="22"/>
          <w:sz w:val="20"/>
        </w:rPr>
        <w:t> </w:t>
      </w:r>
      <w:r>
        <w:rPr>
          <w:rFonts w:ascii="Arial"/>
          <w:i/>
          <w:sz w:val="20"/>
        </w:rPr>
        <w:t>King</w:t>
      </w:r>
      <w:r>
        <w:rPr>
          <w:rFonts w:ascii="Arial"/>
          <w:i/>
          <w:spacing w:val="22"/>
          <w:sz w:val="20"/>
        </w:rPr>
        <w:t> </w:t>
      </w:r>
      <w:r>
        <w:rPr>
          <w:rFonts w:ascii="Arial"/>
          <w:i/>
          <w:sz w:val="20"/>
        </w:rPr>
        <w:t>[1931]</w:t>
      </w:r>
      <w:r>
        <w:rPr>
          <w:rFonts w:ascii="Arial"/>
          <w:i/>
          <w:spacing w:val="21"/>
          <w:sz w:val="20"/>
        </w:rPr>
        <w:t> </w:t>
      </w:r>
      <w:r>
        <w:rPr>
          <w:rFonts w:ascii="Arial"/>
          <w:i/>
          <w:sz w:val="20"/>
        </w:rPr>
        <w:t>A.C.</w:t>
      </w:r>
      <w:r>
        <w:rPr>
          <w:rFonts w:ascii="Arial"/>
          <w:i/>
          <w:spacing w:val="22"/>
          <w:sz w:val="20"/>
        </w:rPr>
        <w:t> </w:t>
      </w:r>
      <w:r>
        <w:rPr>
          <w:rFonts w:ascii="Arial"/>
          <w:i/>
          <w:sz w:val="20"/>
        </w:rPr>
        <w:t>414</w:t>
      </w:r>
      <w:r>
        <w:rPr>
          <w:sz w:val="20"/>
        </w:rPr>
        <w:t>;</w:t>
      </w:r>
      <w:r>
        <w:rPr>
          <w:spacing w:val="22"/>
          <w:sz w:val="20"/>
        </w:rPr>
        <w:t> </w:t>
      </w:r>
      <w:r>
        <w:rPr>
          <w:rFonts w:ascii="Arial"/>
          <w:i/>
          <w:sz w:val="20"/>
        </w:rPr>
        <w:t>Armstrong</w:t>
      </w:r>
      <w:r>
        <w:rPr>
          <w:rFonts w:ascii="Arial"/>
          <w:i/>
          <w:spacing w:val="22"/>
          <w:sz w:val="20"/>
        </w:rPr>
        <w:t> </w:t>
      </w:r>
      <w:r>
        <w:rPr>
          <w:rFonts w:ascii="Arial"/>
          <w:i/>
          <w:sz w:val="20"/>
        </w:rPr>
        <w:t>v</w:t>
      </w:r>
      <w:r>
        <w:rPr>
          <w:rFonts w:ascii="Arial"/>
          <w:i/>
          <w:spacing w:val="22"/>
          <w:sz w:val="20"/>
        </w:rPr>
        <w:t> </w:t>
      </w:r>
      <w:r>
        <w:rPr>
          <w:rFonts w:ascii="Arial"/>
          <w:i/>
          <w:sz w:val="20"/>
        </w:rPr>
        <w:t>Sheppard</w:t>
      </w:r>
      <w:r>
        <w:rPr>
          <w:rFonts w:ascii="Arial"/>
          <w:i/>
          <w:spacing w:val="22"/>
          <w:sz w:val="20"/>
        </w:rPr>
        <w:t> </w:t>
      </w:r>
      <w:r>
        <w:rPr>
          <w:rFonts w:ascii="Arial"/>
          <w:i/>
          <w:sz w:val="20"/>
        </w:rPr>
        <w:t>&amp;</w:t>
      </w:r>
      <w:r>
        <w:rPr>
          <w:rFonts w:ascii="Arial"/>
          <w:i/>
          <w:spacing w:val="22"/>
          <w:sz w:val="20"/>
        </w:rPr>
        <w:t> </w:t>
      </w:r>
      <w:r>
        <w:rPr>
          <w:rFonts w:ascii="Arial"/>
          <w:i/>
          <w:sz w:val="20"/>
        </w:rPr>
        <w:t>Short</w:t>
      </w:r>
      <w:r>
        <w:rPr>
          <w:rFonts w:ascii="Arial"/>
          <w:i/>
          <w:spacing w:val="22"/>
          <w:sz w:val="20"/>
        </w:rPr>
        <w:t> </w:t>
      </w:r>
      <w:r>
        <w:rPr>
          <w:rFonts w:ascii="Arial"/>
          <w:i/>
          <w:spacing w:val="-2"/>
          <w:sz w:val="20"/>
        </w:rPr>
        <w:t>[1959]</w:t>
      </w:r>
    </w:p>
    <w:p>
      <w:pPr>
        <w:spacing w:line="235" w:lineRule="auto" w:before="1"/>
        <w:ind w:left="705" w:right="167" w:firstLine="0"/>
        <w:jc w:val="both"/>
        <w:rPr>
          <w:sz w:val="20"/>
        </w:rPr>
      </w:pPr>
      <w:r>
        <w:rPr>
          <w:rFonts w:ascii="Arial"/>
          <w:i/>
          <w:sz w:val="20"/>
        </w:rPr>
        <w:t>Q.B. 384</w:t>
      </w:r>
      <w:r>
        <w:rPr>
          <w:sz w:val="20"/>
        </w:rPr>
        <w:t>; cf. </w:t>
      </w:r>
      <w:r>
        <w:rPr>
          <w:rFonts w:ascii="Arial"/>
          <w:i/>
          <w:sz w:val="20"/>
        </w:rPr>
        <w:t>Clark v Clark [2006] EWHC 275, [2006] 1 F.C.R. 421 </w:t>
      </w:r>
      <w:r>
        <w:rPr>
          <w:sz w:val="20"/>
        </w:rPr>
        <w:t>(proprietary estoppel held to give rise to temporary right of access to land for so long as it continued to be used by one party for the purpose of a business originally carried on by both parties jointly).</w:t>
      </w:r>
    </w:p>
    <w:p>
      <w:pPr>
        <w:pStyle w:val="BodyText"/>
        <w:spacing w:before="5"/>
      </w:pPr>
    </w:p>
    <w:p>
      <w:pPr>
        <w:spacing w:line="227" w:lineRule="exact" w:before="0"/>
        <w:ind w:left="165" w:right="0" w:firstLine="0"/>
        <w:jc w:val="left"/>
        <w:rPr>
          <w:sz w:val="20"/>
        </w:rPr>
      </w:pPr>
      <w:r>
        <w:rPr>
          <w:color w:val="005DA1"/>
          <w:position w:val="5"/>
          <w:sz w:val="14"/>
          <w:u w:val="single" w:color="005DA1"/>
        </w:rPr>
        <w:t>1127</w:t>
      </w:r>
      <w:r>
        <w:rPr>
          <w:position w:val="5"/>
          <w:sz w:val="14"/>
        </w:rPr>
        <w:t>.</w:t>
      </w:r>
      <w:r>
        <w:rPr>
          <w:spacing w:val="55"/>
          <w:position w:val="5"/>
          <w:sz w:val="14"/>
        </w:rPr>
        <w:t>  </w:t>
      </w:r>
      <w:r>
        <w:rPr>
          <w:rFonts w:ascii="Arial"/>
          <w:i/>
          <w:sz w:val="20"/>
        </w:rPr>
        <w:t>Joyce</w:t>
      </w:r>
      <w:r>
        <w:rPr>
          <w:rFonts w:ascii="Arial"/>
          <w:i/>
          <w:spacing w:val="27"/>
          <w:sz w:val="20"/>
        </w:rPr>
        <w:t> </w:t>
      </w:r>
      <w:r>
        <w:rPr>
          <w:rFonts w:ascii="Arial"/>
          <w:i/>
          <w:sz w:val="20"/>
        </w:rPr>
        <w:t>v</w:t>
      </w:r>
      <w:r>
        <w:rPr>
          <w:rFonts w:ascii="Arial"/>
          <w:i/>
          <w:spacing w:val="26"/>
          <w:sz w:val="20"/>
        </w:rPr>
        <w:t> </w:t>
      </w:r>
      <w:r>
        <w:rPr>
          <w:rFonts w:ascii="Arial"/>
          <w:i/>
          <w:sz w:val="20"/>
        </w:rPr>
        <w:t>Epsom</w:t>
      </w:r>
      <w:r>
        <w:rPr>
          <w:rFonts w:ascii="Arial"/>
          <w:i/>
          <w:spacing w:val="26"/>
          <w:sz w:val="20"/>
        </w:rPr>
        <w:t> </w:t>
      </w:r>
      <w:r>
        <w:rPr>
          <w:rFonts w:ascii="Arial"/>
          <w:i/>
          <w:sz w:val="20"/>
        </w:rPr>
        <w:t>and</w:t>
      </w:r>
      <w:r>
        <w:rPr>
          <w:rFonts w:ascii="Arial"/>
          <w:i/>
          <w:spacing w:val="26"/>
          <w:sz w:val="20"/>
        </w:rPr>
        <w:t> </w:t>
      </w:r>
      <w:r>
        <w:rPr>
          <w:rFonts w:ascii="Arial"/>
          <w:i/>
          <w:sz w:val="20"/>
        </w:rPr>
        <w:t>Ewell</w:t>
      </w:r>
      <w:r>
        <w:rPr>
          <w:rFonts w:ascii="Arial"/>
          <w:i/>
          <w:spacing w:val="26"/>
          <w:sz w:val="20"/>
        </w:rPr>
        <w:t> </w:t>
      </w:r>
      <w:r>
        <w:rPr>
          <w:rFonts w:ascii="Arial"/>
          <w:i/>
          <w:sz w:val="20"/>
        </w:rPr>
        <w:t>Borough</w:t>
      </w:r>
      <w:r>
        <w:rPr>
          <w:rFonts w:ascii="Arial"/>
          <w:i/>
          <w:spacing w:val="26"/>
          <w:sz w:val="20"/>
        </w:rPr>
        <w:t> </w:t>
      </w:r>
      <w:r>
        <w:rPr>
          <w:rFonts w:ascii="Arial"/>
          <w:i/>
          <w:sz w:val="20"/>
        </w:rPr>
        <w:t>Council</w:t>
      </w:r>
      <w:r>
        <w:rPr>
          <w:rFonts w:ascii="Arial"/>
          <w:i/>
          <w:spacing w:val="26"/>
          <w:sz w:val="20"/>
        </w:rPr>
        <w:t> </w:t>
      </w:r>
      <w:r>
        <w:rPr>
          <w:rFonts w:ascii="Arial"/>
          <w:i/>
          <w:sz w:val="20"/>
        </w:rPr>
        <w:t>[2013]</w:t>
      </w:r>
      <w:r>
        <w:rPr>
          <w:rFonts w:ascii="Arial"/>
          <w:i/>
          <w:spacing w:val="26"/>
          <w:sz w:val="20"/>
        </w:rPr>
        <w:t> </w:t>
      </w:r>
      <w:r>
        <w:rPr>
          <w:rFonts w:ascii="Arial"/>
          <w:i/>
          <w:sz w:val="20"/>
        </w:rPr>
        <w:t>EWCA</w:t>
      </w:r>
      <w:r>
        <w:rPr>
          <w:rFonts w:ascii="Arial"/>
          <w:i/>
          <w:spacing w:val="26"/>
          <w:sz w:val="20"/>
        </w:rPr>
        <w:t> </w:t>
      </w:r>
      <w:r>
        <w:rPr>
          <w:rFonts w:ascii="Arial"/>
          <w:i/>
          <w:sz w:val="20"/>
        </w:rPr>
        <w:t>Civ</w:t>
      </w:r>
      <w:r>
        <w:rPr>
          <w:rFonts w:ascii="Arial"/>
          <w:i/>
          <w:spacing w:val="26"/>
          <w:sz w:val="20"/>
        </w:rPr>
        <w:t> </w:t>
      </w:r>
      <w:r>
        <w:rPr>
          <w:rFonts w:ascii="Arial"/>
          <w:i/>
          <w:sz w:val="20"/>
        </w:rPr>
        <w:t>1398,</w:t>
      </w:r>
      <w:r>
        <w:rPr>
          <w:rFonts w:ascii="Arial"/>
          <w:i/>
          <w:spacing w:val="26"/>
          <w:sz w:val="20"/>
        </w:rPr>
        <w:t> </w:t>
      </w:r>
      <w:r>
        <w:rPr>
          <w:rFonts w:ascii="Arial"/>
          <w:i/>
          <w:sz w:val="20"/>
        </w:rPr>
        <w:t>[2013]</w:t>
      </w:r>
      <w:r>
        <w:rPr>
          <w:rFonts w:ascii="Arial"/>
          <w:i/>
          <w:spacing w:val="26"/>
          <w:sz w:val="20"/>
        </w:rPr>
        <w:t> </w:t>
      </w:r>
      <w:r>
        <w:rPr>
          <w:rFonts w:ascii="Arial"/>
          <w:i/>
          <w:sz w:val="20"/>
        </w:rPr>
        <w:t>1</w:t>
      </w:r>
      <w:r>
        <w:rPr>
          <w:rFonts w:ascii="Arial"/>
          <w:i/>
          <w:spacing w:val="26"/>
          <w:sz w:val="20"/>
        </w:rPr>
        <w:t> </w:t>
      </w:r>
      <w:r>
        <w:rPr>
          <w:rFonts w:ascii="Arial"/>
          <w:i/>
          <w:sz w:val="20"/>
        </w:rPr>
        <w:t>E.G.L.R.</w:t>
      </w:r>
      <w:r>
        <w:rPr>
          <w:rFonts w:ascii="Arial"/>
          <w:i/>
          <w:spacing w:val="26"/>
          <w:sz w:val="20"/>
        </w:rPr>
        <w:t> </w:t>
      </w:r>
      <w:r>
        <w:rPr>
          <w:rFonts w:ascii="Arial"/>
          <w:i/>
          <w:sz w:val="20"/>
        </w:rPr>
        <w:t>21</w:t>
      </w:r>
      <w:r>
        <w:rPr>
          <w:rFonts w:ascii="Arial"/>
          <w:i/>
          <w:spacing w:val="25"/>
          <w:sz w:val="20"/>
        </w:rPr>
        <w:t> </w:t>
      </w:r>
      <w:r>
        <w:rPr>
          <w:spacing w:val="-5"/>
          <w:sz w:val="20"/>
        </w:rPr>
        <w:t>at</w:t>
      </w:r>
    </w:p>
    <w:p>
      <w:pPr>
        <w:pStyle w:val="BodyText"/>
        <w:spacing w:line="227" w:lineRule="exact"/>
        <w:ind w:left="705"/>
      </w:pPr>
      <w:r>
        <w:rPr>
          <w:spacing w:val="-2"/>
        </w:rPr>
        <w:t>[54].</w:t>
      </w:r>
    </w:p>
    <w:p>
      <w:pPr>
        <w:pStyle w:val="BodyText"/>
        <w:spacing w:before="5"/>
      </w:pPr>
    </w:p>
    <w:p>
      <w:pPr>
        <w:pStyle w:val="BodyText"/>
        <w:ind w:left="165"/>
      </w:pPr>
      <w:r>
        <w:rPr>
          <w:color w:val="005DA1"/>
          <w:position w:val="5"/>
          <w:sz w:val="14"/>
          <w:u w:val="single" w:color="005DA1"/>
        </w:rPr>
        <w:t>1128</w:t>
      </w:r>
      <w:r>
        <w:rPr>
          <w:position w:val="5"/>
          <w:sz w:val="14"/>
        </w:rPr>
        <w:t>.</w:t>
      </w:r>
      <w:r>
        <w:rPr>
          <w:spacing w:val="55"/>
          <w:position w:val="5"/>
          <w:sz w:val="14"/>
        </w:rPr>
        <w:t>  </w:t>
      </w:r>
      <w:r>
        <w:rPr/>
        <w:t>A</w:t>
      </w:r>
      <w:r>
        <w:rPr>
          <w:spacing w:val="1"/>
        </w:rPr>
        <w:t> </w:t>
      </w:r>
      <w:r>
        <w:rPr/>
        <w:t>successor in title of the original </w:t>
      </w:r>
      <w:r>
        <w:rPr>
          <w:spacing w:val="-2"/>
        </w:rPr>
        <w:t>promisee.</w:t>
      </w:r>
    </w:p>
    <w:p>
      <w:pPr>
        <w:pStyle w:val="BodyText"/>
        <w:spacing w:before="5"/>
      </w:pPr>
    </w:p>
    <w:p>
      <w:pPr>
        <w:spacing w:before="0"/>
        <w:ind w:left="165" w:right="0" w:firstLine="0"/>
        <w:jc w:val="left"/>
        <w:rPr>
          <w:sz w:val="20"/>
        </w:rPr>
      </w:pPr>
      <w:r>
        <w:rPr>
          <w:color w:val="005DA1"/>
          <w:position w:val="5"/>
          <w:sz w:val="14"/>
          <w:u w:val="single" w:color="005DA1"/>
        </w:rPr>
        <w:t>1129</w:t>
      </w:r>
      <w:r>
        <w:rPr>
          <w:position w:val="5"/>
          <w:sz w:val="14"/>
        </w:rPr>
        <w:t>.</w:t>
      </w:r>
      <w:r>
        <w:rPr>
          <w:spacing w:val="55"/>
          <w:position w:val="5"/>
          <w:sz w:val="14"/>
        </w:rPr>
        <w:t>  </w:t>
      </w:r>
      <w:r>
        <w:rPr>
          <w:rFonts w:ascii="Arial"/>
          <w:i/>
          <w:sz w:val="20"/>
        </w:rPr>
        <w:t>[2013]</w:t>
      </w:r>
      <w:r>
        <w:rPr>
          <w:rFonts w:ascii="Arial"/>
          <w:i/>
          <w:spacing w:val="1"/>
          <w:sz w:val="20"/>
        </w:rPr>
        <w:t> </w:t>
      </w:r>
      <w:r>
        <w:rPr>
          <w:rFonts w:ascii="Arial"/>
          <w:i/>
          <w:sz w:val="20"/>
        </w:rPr>
        <w:t>EWCA Civ 1398</w:t>
      </w:r>
      <w:r>
        <w:rPr>
          <w:rFonts w:ascii="Arial"/>
          <w:i/>
          <w:spacing w:val="-1"/>
          <w:sz w:val="20"/>
        </w:rPr>
        <w:t> </w:t>
      </w:r>
      <w:r>
        <w:rPr>
          <w:sz w:val="20"/>
        </w:rPr>
        <w:t>at </w:t>
      </w:r>
      <w:r>
        <w:rPr>
          <w:spacing w:val="-2"/>
          <w:sz w:val="20"/>
        </w:rPr>
        <w:t>[51].</w:t>
      </w:r>
    </w:p>
    <w:p>
      <w:pPr>
        <w:spacing w:after="0"/>
        <w:jc w:val="left"/>
        <w:rPr>
          <w:sz w:val="20"/>
        </w:rPr>
        <w:sectPr>
          <w:pgSz w:w="11900" w:h="16840"/>
          <w:pgMar w:header="971" w:footer="0" w:top="1160" w:bottom="280" w:left="1275" w:right="1275"/>
        </w:sectPr>
      </w:pPr>
    </w:p>
    <w:p>
      <w:pPr>
        <w:pStyle w:val="BodyText"/>
        <w:spacing w:before="87"/>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569" w:hRule="atLeast"/>
        </w:trPr>
        <w:tc>
          <w:tcPr>
            <w:tcW w:w="496" w:type="dxa"/>
          </w:tcPr>
          <w:p>
            <w:pPr>
              <w:pStyle w:val="TableParagraph"/>
              <w:spacing w:before="0"/>
              <w:ind w:left="0" w:right="43"/>
              <w:jc w:val="center"/>
              <w:rPr>
                <w:sz w:val="14"/>
              </w:rPr>
            </w:pPr>
            <w:r>
              <w:rPr>
                <w:color w:val="005DA1"/>
                <w:spacing w:val="-2"/>
                <w:sz w:val="14"/>
                <w:u w:val="single" w:color="005DA1"/>
              </w:rPr>
              <w:t>1130</w:t>
            </w:r>
            <w:r>
              <w:rPr>
                <w:spacing w:val="-2"/>
                <w:sz w:val="14"/>
              </w:rPr>
              <w:t>.</w:t>
            </w:r>
          </w:p>
        </w:tc>
        <w:tc>
          <w:tcPr>
            <w:tcW w:w="8620" w:type="dxa"/>
          </w:tcPr>
          <w:p>
            <w:pPr>
              <w:pStyle w:val="TableParagraph"/>
              <w:spacing w:line="235" w:lineRule="auto" w:before="0"/>
              <w:rPr>
                <w:sz w:val="20"/>
              </w:rPr>
            </w:pPr>
            <w:r>
              <w:rPr>
                <w:sz w:val="20"/>
              </w:rPr>
              <w:t>The reference is to proprietary estoppel: see </w:t>
            </w:r>
            <w:r>
              <w:rPr>
                <w:rFonts w:ascii="Arial"/>
                <w:i/>
                <w:sz w:val="20"/>
              </w:rPr>
              <w:t>Thorner v Major [2009] UKHL 18, [2009] 1 W.L.R. 776 </w:t>
            </w:r>
            <w:r>
              <w:rPr>
                <w:sz w:val="20"/>
              </w:rPr>
              <w:t>at [72].</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1131</w:t>
            </w:r>
            <w:r>
              <w:rPr>
                <w:spacing w:val="-2"/>
                <w:sz w:val="14"/>
              </w:rPr>
              <w:t>.</w:t>
            </w:r>
          </w:p>
        </w:tc>
        <w:tc>
          <w:tcPr>
            <w:tcW w:w="8620" w:type="dxa"/>
          </w:tcPr>
          <w:p>
            <w:pPr>
              <w:pStyle w:val="TableParagraph"/>
              <w:spacing w:before="114"/>
              <w:rPr>
                <w:sz w:val="20"/>
              </w:rPr>
            </w:pPr>
            <w:r>
              <w:rPr>
                <w:rFonts w:ascii="Arial"/>
                <w:i/>
                <w:sz w:val="20"/>
              </w:rPr>
              <w:t>[2009] UKHL 18</w:t>
            </w:r>
            <w:r>
              <w:rPr>
                <w:rFonts w:ascii="Arial"/>
                <w:i/>
                <w:spacing w:val="-1"/>
                <w:sz w:val="20"/>
              </w:rPr>
              <w:t> </w:t>
            </w:r>
            <w:r>
              <w:rPr>
                <w:sz w:val="20"/>
              </w:rPr>
              <w:t>at </w:t>
            </w:r>
            <w:r>
              <w:rPr>
                <w:spacing w:val="-2"/>
                <w:sz w:val="20"/>
              </w:rPr>
              <w:t>[86].</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1132</w:t>
            </w:r>
            <w:r>
              <w:rPr>
                <w:spacing w:val="-2"/>
                <w:sz w:val="14"/>
              </w:rPr>
              <w:t>.</w:t>
            </w:r>
          </w:p>
        </w:tc>
        <w:tc>
          <w:tcPr>
            <w:tcW w:w="8620" w:type="dxa"/>
          </w:tcPr>
          <w:p>
            <w:pPr>
              <w:pStyle w:val="TableParagraph"/>
              <w:spacing w:before="114"/>
              <w:rPr>
                <w:sz w:val="20"/>
              </w:rPr>
            </w:pPr>
            <w:r>
              <w:rPr>
                <w:rFonts w:ascii="Arial"/>
                <w:i/>
                <w:sz w:val="20"/>
              </w:rPr>
              <w:t>[2009] UKHL 18</w:t>
            </w:r>
            <w:r>
              <w:rPr>
                <w:rFonts w:ascii="Arial"/>
                <w:i/>
                <w:spacing w:val="-1"/>
                <w:sz w:val="20"/>
              </w:rPr>
              <w:t> </w:t>
            </w:r>
            <w:r>
              <w:rPr>
                <w:sz w:val="20"/>
              </w:rPr>
              <w:t>at </w:t>
            </w:r>
            <w:r>
              <w:rPr>
                <w:spacing w:val="-2"/>
                <w:sz w:val="20"/>
              </w:rPr>
              <w:t>[86].</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1133</w:t>
            </w:r>
            <w:r>
              <w:rPr>
                <w:spacing w:val="-2"/>
                <w:sz w:val="14"/>
              </w:rPr>
              <w:t>.</w:t>
            </w:r>
          </w:p>
        </w:tc>
        <w:tc>
          <w:tcPr>
            <w:tcW w:w="8620" w:type="dxa"/>
          </w:tcPr>
          <w:p>
            <w:pPr>
              <w:pStyle w:val="TableParagraph"/>
              <w:spacing w:before="114"/>
              <w:rPr>
                <w:sz w:val="20"/>
              </w:rPr>
            </w:pPr>
            <w:r>
              <w:rPr>
                <w:sz w:val="20"/>
              </w:rPr>
              <w:t>After </w:t>
            </w:r>
            <w:r>
              <w:rPr>
                <w:spacing w:val="-2"/>
                <w:sz w:val="20"/>
              </w:rPr>
              <w:t>n.932.</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1134</w:t>
            </w:r>
            <w:r>
              <w:rPr>
                <w:spacing w:val="-2"/>
                <w:sz w:val="14"/>
              </w:rPr>
              <w:t>.</w:t>
            </w:r>
          </w:p>
        </w:tc>
        <w:tc>
          <w:tcPr>
            <w:tcW w:w="8620" w:type="dxa"/>
          </w:tcPr>
          <w:p>
            <w:pPr>
              <w:pStyle w:val="TableParagraph"/>
              <w:spacing w:before="114"/>
              <w:rPr>
                <w:sz w:val="20"/>
              </w:rPr>
            </w:pPr>
            <w:r>
              <w:rPr>
                <w:rFonts w:ascii="Arial"/>
                <w:i/>
                <w:sz w:val="20"/>
              </w:rPr>
              <w:t>Voyce v Voyce (1991) 62 P. &amp; C.R. </w:t>
            </w:r>
            <w:r>
              <w:rPr>
                <w:rFonts w:ascii="Arial"/>
                <w:i/>
                <w:spacing w:val="-4"/>
                <w:sz w:val="20"/>
              </w:rPr>
              <w:t>290</w:t>
            </w:r>
            <w:r>
              <w:rPr>
                <w:spacing w:val="-4"/>
                <w:sz w:val="20"/>
              </w:rPr>
              <w:t>.</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1135</w:t>
            </w:r>
            <w:r>
              <w:rPr>
                <w:spacing w:val="-2"/>
                <w:sz w:val="14"/>
              </w:rPr>
              <w:t>.</w:t>
            </w:r>
          </w:p>
        </w:tc>
        <w:tc>
          <w:tcPr>
            <w:tcW w:w="8620" w:type="dxa"/>
          </w:tcPr>
          <w:p>
            <w:pPr>
              <w:pStyle w:val="TableParagraph"/>
              <w:spacing w:before="114"/>
              <w:rPr>
                <w:sz w:val="20"/>
              </w:rPr>
            </w:pPr>
            <w:r>
              <w:rPr>
                <w:rFonts w:ascii="Arial"/>
                <w:i/>
                <w:sz w:val="20"/>
              </w:rPr>
              <w:t>Henry</w:t>
            </w:r>
            <w:r>
              <w:rPr>
                <w:rFonts w:ascii="Arial"/>
                <w:i/>
                <w:spacing w:val="-1"/>
                <w:sz w:val="20"/>
              </w:rPr>
              <w:t> </w:t>
            </w:r>
            <w:r>
              <w:rPr>
                <w:rFonts w:ascii="Arial"/>
                <w:i/>
                <w:sz w:val="20"/>
              </w:rPr>
              <w:t>v Henry [2010] UKPC 3, [2010] 1 All E.R. 988</w:t>
            </w:r>
            <w:r>
              <w:rPr>
                <w:sz w:val="20"/>
              </w:rPr>
              <w:t>: see at </w:t>
            </w:r>
            <w:r>
              <w:rPr>
                <w:spacing w:val="-2"/>
                <w:sz w:val="20"/>
              </w:rPr>
              <w:t>[34].</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1136</w:t>
            </w:r>
            <w:r>
              <w:rPr>
                <w:spacing w:val="-2"/>
                <w:sz w:val="14"/>
              </w:rPr>
              <w:t>.</w:t>
            </w:r>
          </w:p>
        </w:tc>
        <w:tc>
          <w:tcPr>
            <w:tcW w:w="8620" w:type="dxa"/>
          </w:tcPr>
          <w:p>
            <w:pPr>
              <w:pStyle w:val="TableParagraph"/>
              <w:spacing w:before="114"/>
              <w:rPr>
                <w:sz w:val="20"/>
              </w:rPr>
            </w:pPr>
            <w:r>
              <w:rPr>
                <w:rFonts w:ascii="Arial"/>
                <w:i/>
                <w:sz w:val="20"/>
              </w:rPr>
              <w:t>[1991]</w:t>
            </w:r>
            <w:r>
              <w:rPr>
                <w:rFonts w:ascii="Arial"/>
                <w:i/>
                <w:spacing w:val="-2"/>
                <w:sz w:val="20"/>
              </w:rPr>
              <w:t> </w:t>
            </w:r>
            <w:r>
              <w:rPr>
                <w:rFonts w:ascii="Arial"/>
                <w:i/>
                <w:sz w:val="20"/>
              </w:rPr>
              <w:t>1 W.L.R. </w:t>
            </w:r>
            <w:r>
              <w:rPr>
                <w:rFonts w:ascii="Arial"/>
                <w:i/>
                <w:spacing w:val="-4"/>
                <w:sz w:val="20"/>
              </w:rPr>
              <w:t>113</w:t>
            </w:r>
            <w:r>
              <w:rPr>
                <w:spacing w:val="-4"/>
                <w:sz w:val="20"/>
              </w:rPr>
              <w:t>.</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1137</w:t>
            </w:r>
            <w:r>
              <w:rPr>
                <w:spacing w:val="-2"/>
                <w:sz w:val="14"/>
              </w:rPr>
              <w:t>.</w:t>
            </w:r>
          </w:p>
        </w:tc>
        <w:tc>
          <w:tcPr>
            <w:tcW w:w="8620" w:type="dxa"/>
          </w:tcPr>
          <w:p>
            <w:pPr>
              <w:pStyle w:val="TableParagraph"/>
              <w:spacing w:before="114"/>
              <w:rPr>
                <w:sz w:val="20"/>
              </w:rPr>
            </w:pPr>
            <w:r>
              <w:rPr>
                <w:rFonts w:ascii="Arial"/>
                <w:i/>
                <w:sz w:val="20"/>
              </w:rPr>
              <w:t>E.R.</w:t>
            </w:r>
            <w:r>
              <w:rPr>
                <w:rFonts w:ascii="Arial"/>
                <w:i/>
                <w:spacing w:val="-1"/>
                <w:sz w:val="20"/>
              </w:rPr>
              <w:t> </w:t>
            </w:r>
            <w:r>
              <w:rPr>
                <w:rFonts w:ascii="Arial"/>
                <w:i/>
                <w:sz w:val="20"/>
              </w:rPr>
              <w:t>Ives Investments Ltd v High [1967] 2 Q.B. 379</w:t>
            </w:r>
            <w:r>
              <w:rPr>
                <w:sz w:val="20"/>
              </w:rPr>
              <w:t>; </w:t>
            </w:r>
            <w:r>
              <w:rPr>
                <w:rFonts w:ascii="Arial"/>
                <w:i/>
                <w:sz w:val="20"/>
              </w:rPr>
              <w:t>Crabb v Arun DC [1976] Ch. </w:t>
            </w:r>
            <w:r>
              <w:rPr>
                <w:rFonts w:ascii="Arial"/>
                <w:i/>
                <w:spacing w:val="-4"/>
                <w:sz w:val="20"/>
              </w:rPr>
              <w:t>179</w:t>
            </w:r>
            <w:r>
              <w:rPr>
                <w:spacing w:val="-4"/>
                <w:sz w:val="20"/>
              </w:rPr>
              <w:t>.</w:t>
            </w:r>
          </w:p>
        </w:tc>
      </w:tr>
      <w:tr>
        <w:trPr>
          <w:trHeight w:val="690" w:hRule="atLeast"/>
        </w:trPr>
        <w:tc>
          <w:tcPr>
            <w:tcW w:w="496" w:type="dxa"/>
          </w:tcPr>
          <w:p>
            <w:pPr>
              <w:pStyle w:val="TableParagraph"/>
              <w:ind w:left="0" w:right="43"/>
              <w:jc w:val="center"/>
              <w:rPr>
                <w:sz w:val="14"/>
              </w:rPr>
            </w:pPr>
            <w:r>
              <w:rPr>
                <w:color w:val="005DA1"/>
                <w:spacing w:val="-2"/>
                <w:sz w:val="14"/>
                <w:u w:val="single" w:color="005DA1"/>
              </w:rPr>
              <w:t>1138</w:t>
            </w:r>
            <w:r>
              <w:rPr>
                <w:spacing w:val="-2"/>
                <w:sz w:val="14"/>
              </w:rPr>
              <w:t>.</w:t>
            </w:r>
          </w:p>
        </w:tc>
        <w:tc>
          <w:tcPr>
            <w:tcW w:w="8620" w:type="dxa"/>
          </w:tcPr>
          <w:p>
            <w:pPr>
              <w:pStyle w:val="TableParagraph"/>
              <w:spacing w:line="227" w:lineRule="exact" w:before="114"/>
              <w:rPr>
                <w:rFonts w:ascii="Arial"/>
                <w:i/>
                <w:sz w:val="20"/>
              </w:rPr>
            </w:pPr>
            <w:r>
              <w:rPr>
                <w:sz w:val="20"/>
              </w:rPr>
              <w:t>As</w:t>
            </w:r>
            <w:r>
              <w:rPr>
                <w:spacing w:val="7"/>
                <w:sz w:val="20"/>
              </w:rPr>
              <w:t> </w:t>
            </w:r>
            <w:r>
              <w:rPr>
                <w:sz w:val="20"/>
              </w:rPr>
              <w:t>in</w:t>
            </w:r>
            <w:r>
              <w:rPr>
                <w:spacing w:val="7"/>
                <w:sz w:val="20"/>
              </w:rPr>
              <w:t> </w:t>
            </w:r>
            <w:r>
              <w:rPr>
                <w:rFonts w:ascii="Arial"/>
                <w:i/>
                <w:sz w:val="20"/>
              </w:rPr>
              <w:t>Joyce</w:t>
            </w:r>
            <w:r>
              <w:rPr>
                <w:rFonts w:ascii="Arial"/>
                <w:i/>
                <w:spacing w:val="7"/>
                <w:sz w:val="20"/>
              </w:rPr>
              <w:t> </w:t>
            </w:r>
            <w:r>
              <w:rPr>
                <w:rFonts w:ascii="Arial"/>
                <w:i/>
                <w:sz w:val="20"/>
              </w:rPr>
              <w:t>v</w:t>
            </w:r>
            <w:r>
              <w:rPr>
                <w:rFonts w:ascii="Arial"/>
                <w:i/>
                <w:spacing w:val="7"/>
                <w:sz w:val="20"/>
              </w:rPr>
              <w:t> </w:t>
            </w:r>
            <w:r>
              <w:rPr>
                <w:rFonts w:ascii="Arial"/>
                <w:i/>
                <w:sz w:val="20"/>
              </w:rPr>
              <w:t>Epsom</w:t>
            </w:r>
            <w:r>
              <w:rPr>
                <w:rFonts w:ascii="Arial"/>
                <w:i/>
                <w:spacing w:val="7"/>
                <w:sz w:val="20"/>
              </w:rPr>
              <w:t> </w:t>
            </w:r>
            <w:r>
              <w:rPr>
                <w:rFonts w:ascii="Arial"/>
                <w:i/>
                <w:sz w:val="20"/>
              </w:rPr>
              <w:t>and</w:t>
            </w:r>
            <w:r>
              <w:rPr>
                <w:rFonts w:ascii="Arial"/>
                <w:i/>
                <w:spacing w:val="7"/>
                <w:sz w:val="20"/>
              </w:rPr>
              <w:t> </w:t>
            </w:r>
            <w:r>
              <w:rPr>
                <w:rFonts w:ascii="Arial"/>
                <w:i/>
                <w:sz w:val="20"/>
              </w:rPr>
              <w:t>Ewell</w:t>
            </w:r>
            <w:r>
              <w:rPr>
                <w:rFonts w:ascii="Arial"/>
                <w:i/>
                <w:spacing w:val="7"/>
                <w:sz w:val="20"/>
              </w:rPr>
              <w:t> </w:t>
            </w:r>
            <w:r>
              <w:rPr>
                <w:rFonts w:ascii="Arial"/>
                <w:i/>
                <w:sz w:val="20"/>
              </w:rPr>
              <w:t>Borough</w:t>
            </w:r>
            <w:r>
              <w:rPr>
                <w:rFonts w:ascii="Arial"/>
                <w:i/>
                <w:spacing w:val="7"/>
                <w:sz w:val="20"/>
              </w:rPr>
              <w:t> </w:t>
            </w:r>
            <w:r>
              <w:rPr>
                <w:rFonts w:ascii="Arial"/>
                <w:i/>
                <w:sz w:val="20"/>
              </w:rPr>
              <w:t>Council</w:t>
            </w:r>
            <w:r>
              <w:rPr>
                <w:rFonts w:ascii="Arial"/>
                <w:i/>
                <w:spacing w:val="7"/>
                <w:sz w:val="20"/>
              </w:rPr>
              <w:t> </w:t>
            </w:r>
            <w:r>
              <w:rPr>
                <w:rFonts w:ascii="Arial"/>
                <w:i/>
                <w:sz w:val="20"/>
              </w:rPr>
              <w:t>[2013]</w:t>
            </w:r>
            <w:r>
              <w:rPr>
                <w:rFonts w:ascii="Arial"/>
                <w:i/>
                <w:spacing w:val="7"/>
                <w:sz w:val="20"/>
              </w:rPr>
              <w:t> </w:t>
            </w:r>
            <w:r>
              <w:rPr>
                <w:rFonts w:ascii="Arial"/>
                <w:i/>
                <w:sz w:val="20"/>
              </w:rPr>
              <w:t>EWCA</w:t>
            </w:r>
            <w:r>
              <w:rPr>
                <w:rFonts w:ascii="Arial"/>
                <w:i/>
                <w:spacing w:val="7"/>
                <w:sz w:val="20"/>
              </w:rPr>
              <w:t> </w:t>
            </w:r>
            <w:r>
              <w:rPr>
                <w:rFonts w:ascii="Arial"/>
                <w:i/>
                <w:sz w:val="20"/>
              </w:rPr>
              <w:t>Civ</w:t>
            </w:r>
            <w:r>
              <w:rPr>
                <w:rFonts w:ascii="Arial"/>
                <w:i/>
                <w:spacing w:val="7"/>
                <w:sz w:val="20"/>
              </w:rPr>
              <w:t> </w:t>
            </w:r>
            <w:r>
              <w:rPr>
                <w:rFonts w:ascii="Arial"/>
                <w:i/>
                <w:sz w:val="20"/>
              </w:rPr>
              <w:t>1398,</w:t>
            </w:r>
            <w:r>
              <w:rPr>
                <w:rFonts w:ascii="Arial"/>
                <w:i/>
                <w:spacing w:val="7"/>
                <w:sz w:val="20"/>
              </w:rPr>
              <w:t> </w:t>
            </w:r>
            <w:r>
              <w:rPr>
                <w:rFonts w:ascii="Arial"/>
                <w:i/>
                <w:sz w:val="20"/>
              </w:rPr>
              <w:t>[2013]</w:t>
            </w:r>
            <w:r>
              <w:rPr>
                <w:rFonts w:ascii="Arial"/>
                <w:i/>
                <w:spacing w:val="7"/>
                <w:sz w:val="20"/>
              </w:rPr>
              <w:t> </w:t>
            </w:r>
            <w:r>
              <w:rPr>
                <w:rFonts w:ascii="Arial"/>
                <w:i/>
                <w:sz w:val="20"/>
              </w:rPr>
              <w:t>1</w:t>
            </w:r>
            <w:r>
              <w:rPr>
                <w:rFonts w:ascii="Arial"/>
                <w:i/>
                <w:spacing w:val="7"/>
                <w:sz w:val="20"/>
              </w:rPr>
              <w:t> </w:t>
            </w:r>
            <w:r>
              <w:rPr>
                <w:rFonts w:ascii="Arial"/>
                <w:i/>
                <w:sz w:val="20"/>
              </w:rPr>
              <w:t>E.G.L.R.</w:t>
            </w:r>
            <w:r>
              <w:rPr>
                <w:rFonts w:ascii="Arial"/>
                <w:i/>
                <w:spacing w:val="7"/>
                <w:sz w:val="20"/>
              </w:rPr>
              <w:t> </w:t>
            </w:r>
            <w:r>
              <w:rPr>
                <w:rFonts w:ascii="Arial"/>
                <w:i/>
                <w:spacing w:val="-5"/>
                <w:sz w:val="20"/>
              </w:rPr>
              <w:t>21</w:t>
            </w:r>
          </w:p>
          <w:p>
            <w:pPr>
              <w:pStyle w:val="TableParagraph"/>
              <w:spacing w:line="227" w:lineRule="exact" w:before="0"/>
              <w:rPr>
                <w:sz w:val="20"/>
              </w:rPr>
            </w:pPr>
            <w:r>
              <w:rPr>
                <w:sz w:val="20"/>
              </w:rPr>
              <w:t>(the here relevant facts of which are summarised in para.4-170 </w:t>
            </w:r>
            <w:r>
              <w:rPr>
                <w:spacing w:val="-2"/>
                <w:sz w:val="20"/>
              </w:rPr>
              <w:t>above).</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1139</w:t>
            </w:r>
            <w:r>
              <w:rPr>
                <w:spacing w:val="-2"/>
                <w:sz w:val="14"/>
              </w:rPr>
              <w:t>.</w:t>
            </w:r>
          </w:p>
        </w:tc>
        <w:tc>
          <w:tcPr>
            <w:tcW w:w="8620" w:type="dxa"/>
          </w:tcPr>
          <w:p>
            <w:pPr>
              <w:pStyle w:val="TableParagraph"/>
              <w:spacing w:before="114"/>
              <w:rPr>
                <w:sz w:val="20"/>
              </w:rPr>
            </w:pPr>
            <w:r>
              <w:rPr>
                <w:rFonts w:ascii="Arial"/>
                <w:i/>
                <w:sz w:val="20"/>
              </w:rPr>
              <w:t>Crabb</w:t>
            </w:r>
            <w:r>
              <w:rPr>
                <w:rFonts w:ascii="Arial"/>
                <w:i/>
                <w:spacing w:val="-1"/>
                <w:sz w:val="20"/>
              </w:rPr>
              <w:t> </w:t>
            </w:r>
            <w:r>
              <w:rPr>
                <w:rFonts w:ascii="Arial"/>
                <w:i/>
                <w:sz w:val="20"/>
              </w:rPr>
              <w:t>v Arun DC</w:t>
            </w:r>
            <w:r>
              <w:rPr>
                <w:sz w:val="20"/>
              </w:rPr>
              <w:t>, above n.1082, at </w:t>
            </w:r>
            <w:r>
              <w:rPr>
                <w:spacing w:val="-4"/>
                <w:sz w:val="20"/>
              </w:rPr>
              <w:t>199.</w:t>
            </w:r>
          </w:p>
        </w:tc>
      </w:tr>
      <w:tr>
        <w:trPr>
          <w:trHeight w:val="344" w:hRule="atLeast"/>
        </w:trPr>
        <w:tc>
          <w:tcPr>
            <w:tcW w:w="496" w:type="dxa"/>
          </w:tcPr>
          <w:p>
            <w:pPr>
              <w:pStyle w:val="TableParagraph"/>
              <w:ind w:left="0" w:right="43"/>
              <w:jc w:val="center"/>
              <w:rPr>
                <w:sz w:val="14"/>
              </w:rPr>
            </w:pPr>
            <w:r>
              <w:rPr>
                <w:color w:val="005DA1"/>
                <w:spacing w:val="-2"/>
                <w:sz w:val="14"/>
                <w:u w:val="single" w:color="005DA1"/>
              </w:rPr>
              <w:t>1140</w:t>
            </w:r>
            <w:r>
              <w:rPr>
                <w:spacing w:val="-2"/>
                <w:sz w:val="14"/>
              </w:rPr>
              <w:t>.</w:t>
            </w:r>
          </w:p>
        </w:tc>
        <w:tc>
          <w:tcPr>
            <w:tcW w:w="8620" w:type="dxa"/>
          </w:tcPr>
          <w:p>
            <w:pPr>
              <w:pStyle w:val="TableParagraph"/>
              <w:spacing w:line="210" w:lineRule="exact" w:before="114"/>
              <w:rPr>
                <w:sz w:val="20"/>
              </w:rPr>
            </w:pPr>
            <w:r>
              <w:rPr>
                <w:rFonts w:ascii="Arial"/>
                <w:i/>
                <w:sz w:val="20"/>
              </w:rPr>
              <w:t>[2009]</w:t>
            </w:r>
            <w:r>
              <w:rPr>
                <w:rFonts w:ascii="Arial"/>
                <w:i/>
                <w:spacing w:val="-1"/>
                <w:sz w:val="20"/>
              </w:rPr>
              <w:t> </w:t>
            </w:r>
            <w:r>
              <w:rPr>
                <w:rFonts w:ascii="Arial"/>
                <w:i/>
                <w:sz w:val="20"/>
              </w:rPr>
              <w:t>UKHL 18, [2009] 1 W.L.R. 776</w:t>
            </w:r>
            <w:r>
              <w:rPr>
                <w:sz w:val="20"/>
              </w:rPr>
              <w:t>, above para.4-</w:t>
            </w:r>
            <w:r>
              <w:rPr>
                <w:spacing w:val="-4"/>
                <w:sz w:val="20"/>
              </w:rPr>
              <w:t>149.</w:t>
            </w:r>
          </w:p>
        </w:tc>
      </w:tr>
    </w:tbl>
    <w:p>
      <w:pPr>
        <w:pStyle w:val="BodyText"/>
        <w:spacing w:before="81"/>
        <w:rPr>
          <w:sz w:val="14"/>
        </w:rPr>
      </w:pPr>
    </w:p>
    <w:p>
      <w:pPr>
        <w:spacing w:line="137" w:lineRule="exact" w:before="0"/>
        <w:ind w:left="165" w:right="0" w:firstLine="0"/>
        <w:jc w:val="left"/>
        <w:rPr>
          <w:sz w:val="14"/>
        </w:rPr>
      </w:pPr>
      <w:r>
        <w:rPr>
          <w:color w:val="005DA1"/>
          <w:spacing w:val="-2"/>
          <w:sz w:val="14"/>
          <w:u w:val="single" w:color="005DA1"/>
        </w:rPr>
        <w:t>1141</w:t>
      </w:r>
      <w:r>
        <w:rPr>
          <w:spacing w:val="-2"/>
          <w:sz w:val="14"/>
        </w:rPr>
        <w:t>.</w:t>
      </w:r>
    </w:p>
    <w:p>
      <w:pPr>
        <w:spacing w:line="203" w:lineRule="exact" w:before="0"/>
        <w:ind w:left="875" w:right="0" w:firstLine="0"/>
        <w:jc w:val="left"/>
        <w:rPr>
          <w:rFonts w:ascii="Arial"/>
          <w:i/>
          <w:sz w:val="20"/>
        </w:rPr>
      </w:pPr>
      <w:r>
        <w:rPr>
          <w:rFonts w:ascii="Arial"/>
          <w:i/>
          <w:sz w:val="20"/>
        </w:rPr>
        <w:drawing>
          <wp:anchor distT="0" distB="0" distL="0" distR="0" allowOverlap="1" layoutInCell="1" locked="0" behindDoc="0" simplePos="0" relativeHeight="15819264">
            <wp:simplePos x="0" y="0"/>
            <wp:positionH relativeFrom="page">
              <wp:posOffset>1257846</wp:posOffset>
            </wp:positionH>
            <wp:positionV relativeFrom="paragraph">
              <wp:posOffset>13064</wp:posOffset>
            </wp:positionV>
            <wp:extent cx="107988" cy="107988"/>
            <wp:effectExtent l="0" t="0" r="0" b="0"/>
            <wp:wrapNone/>
            <wp:docPr id="366" name="Image 366"/>
            <wp:cNvGraphicFramePr>
              <a:graphicFrameLocks/>
            </wp:cNvGraphicFramePr>
            <a:graphic>
              <a:graphicData uri="http://schemas.openxmlformats.org/drawingml/2006/picture">
                <pic:pic>
                  <pic:nvPicPr>
                    <pic:cNvPr id="366" name="Image 366"/>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Thorner</w:t>
      </w:r>
      <w:r>
        <w:rPr>
          <w:rFonts w:ascii="Arial"/>
          <w:i/>
          <w:spacing w:val="13"/>
          <w:sz w:val="20"/>
        </w:rPr>
        <w:t> </w:t>
      </w:r>
      <w:r>
        <w:rPr>
          <w:rFonts w:ascii="Arial"/>
          <w:i/>
          <w:sz w:val="20"/>
        </w:rPr>
        <w:t>v</w:t>
      </w:r>
      <w:r>
        <w:rPr>
          <w:rFonts w:ascii="Arial"/>
          <w:i/>
          <w:spacing w:val="14"/>
          <w:sz w:val="20"/>
        </w:rPr>
        <w:t> </w:t>
      </w:r>
      <w:r>
        <w:rPr>
          <w:rFonts w:ascii="Arial"/>
          <w:i/>
          <w:sz w:val="20"/>
        </w:rPr>
        <w:t>Major</w:t>
      </w:r>
      <w:r>
        <w:rPr>
          <w:sz w:val="20"/>
        </w:rPr>
        <w:t>,</w:t>
      </w:r>
      <w:r>
        <w:rPr>
          <w:spacing w:val="14"/>
          <w:sz w:val="20"/>
        </w:rPr>
        <w:t> </w:t>
      </w:r>
      <w:r>
        <w:rPr>
          <w:sz w:val="20"/>
        </w:rPr>
        <w:t>above</w:t>
      </w:r>
      <w:r>
        <w:rPr>
          <w:spacing w:val="14"/>
          <w:sz w:val="20"/>
        </w:rPr>
        <w:t> </w:t>
      </w:r>
      <w:r>
        <w:rPr>
          <w:sz w:val="20"/>
        </w:rPr>
        <w:t>n.1085</w:t>
      </w:r>
      <w:r>
        <w:rPr>
          <w:spacing w:val="14"/>
          <w:sz w:val="20"/>
        </w:rPr>
        <w:t> </w:t>
      </w:r>
      <w:r>
        <w:rPr>
          <w:sz w:val="20"/>
        </w:rPr>
        <w:t>at</w:t>
      </w:r>
      <w:r>
        <w:rPr>
          <w:spacing w:val="14"/>
          <w:sz w:val="20"/>
        </w:rPr>
        <w:t> </w:t>
      </w:r>
      <w:r>
        <w:rPr>
          <w:sz w:val="20"/>
        </w:rPr>
        <w:t>[48];</w:t>
      </w:r>
      <w:r>
        <w:rPr>
          <w:spacing w:val="14"/>
          <w:sz w:val="20"/>
        </w:rPr>
        <w:t> </w:t>
      </w:r>
      <w:r>
        <w:rPr>
          <w:sz w:val="20"/>
        </w:rPr>
        <w:t>cf.</w:t>
      </w:r>
      <w:r>
        <w:rPr>
          <w:spacing w:val="14"/>
          <w:sz w:val="20"/>
        </w:rPr>
        <w:t> </w:t>
      </w:r>
      <w:r>
        <w:rPr>
          <w:rFonts w:ascii="Arial"/>
          <w:i/>
          <w:sz w:val="20"/>
        </w:rPr>
        <w:t>Bradbury</w:t>
      </w:r>
      <w:r>
        <w:rPr>
          <w:rFonts w:ascii="Arial"/>
          <w:i/>
          <w:spacing w:val="14"/>
          <w:sz w:val="20"/>
        </w:rPr>
        <w:t> </w:t>
      </w:r>
      <w:r>
        <w:rPr>
          <w:rFonts w:ascii="Arial"/>
          <w:i/>
          <w:sz w:val="20"/>
        </w:rPr>
        <w:t>v</w:t>
      </w:r>
      <w:r>
        <w:rPr>
          <w:rFonts w:ascii="Arial"/>
          <w:i/>
          <w:spacing w:val="14"/>
          <w:sz w:val="20"/>
        </w:rPr>
        <w:t> </w:t>
      </w:r>
      <w:r>
        <w:rPr>
          <w:rFonts w:ascii="Arial"/>
          <w:i/>
          <w:sz w:val="20"/>
        </w:rPr>
        <w:t>Taylor</w:t>
      </w:r>
      <w:r>
        <w:rPr>
          <w:rFonts w:ascii="Arial"/>
          <w:i/>
          <w:spacing w:val="14"/>
          <w:sz w:val="20"/>
        </w:rPr>
        <w:t> </w:t>
      </w:r>
      <w:r>
        <w:rPr>
          <w:rFonts w:ascii="Arial"/>
          <w:i/>
          <w:sz w:val="20"/>
        </w:rPr>
        <w:t>[2012]</w:t>
      </w:r>
      <w:r>
        <w:rPr>
          <w:rFonts w:ascii="Arial"/>
          <w:i/>
          <w:spacing w:val="14"/>
          <w:sz w:val="20"/>
        </w:rPr>
        <w:t> </w:t>
      </w:r>
      <w:r>
        <w:rPr>
          <w:rFonts w:ascii="Arial"/>
          <w:i/>
          <w:sz w:val="20"/>
        </w:rPr>
        <w:t>EWCA</w:t>
      </w:r>
      <w:r>
        <w:rPr>
          <w:rFonts w:ascii="Arial"/>
          <w:i/>
          <w:spacing w:val="14"/>
          <w:sz w:val="20"/>
        </w:rPr>
        <w:t> </w:t>
      </w:r>
      <w:r>
        <w:rPr>
          <w:rFonts w:ascii="Arial"/>
          <w:i/>
          <w:sz w:val="20"/>
        </w:rPr>
        <w:t>Civ</w:t>
      </w:r>
      <w:r>
        <w:rPr>
          <w:rFonts w:ascii="Arial"/>
          <w:i/>
          <w:spacing w:val="14"/>
          <w:sz w:val="20"/>
        </w:rPr>
        <w:t> </w:t>
      </w:r>
      <w:r>
        <w:rPr>
          <w:rFonts w:ascii="Arial"/>
          <w:i/>
          <w:sz w:val="20"/>
        </w:rPr>
        <w:t>1208,</w:t>
      </w:r>
      <w:r>
        <w:rPr>
          <w:rFonts w:ascii="Arial"/>
          <w:i/>
          <w:spacing w:val="14"/>
          <w:sz w:val="20"/>
        </w:rPr>
        <w:t> </w:t>
      </w:r>
      <w:r>
        <w:rPr>
          <w:rFonts w:ascii="Arial"/>
          <w:i/>
          <w:spacing w:val="-2"/>
          <w:sz w:val="20"/>
        </w:rPr>
        <w:t>[2013]</w:t>
      </w:r>
    </w:p>
    <w:p>
      <w:pPr>
        <w:pStyle w:val="BodyText"/>
        <w:spacing w:line="235" w:lineRule="auto" w:before="2"/>
        <w:ind w:left="705" w:right="167"/>
        <w:jc w:val="both"/>
      </w:pPr>
      <w:r>
        <w:rPr>
          <w:rFonts w:ascii="Arial" w:hAnsi="Arial"/>
          <w:i/>
        </w:rPr>
        <w:t>W.T.LR. 29 </w:t>
      </w:r>
      <w:r>
        <w:rPr/>
        <w:t>at [52], affirming the trial judge’s conclusion that there was a proprietary estoppel in favour of the promisees “subject to their paying the inheritance tax attributable to” the </w:t>
      </w:r>
      <w:r>
        <w:rPr/>
        <w:t>property; cf. </w:t>
      </w:r>
      <w:r>
        <w:rPr>
          <w:rFonts w:ascii="Arial" w:hAnsi="Arial"/>
          <w:i/>
        </w:rPr>
        <w:t>Moore v Moore [2016] EWHC 2202 (Ch) </w:t>
      </w:r>
      <w:r>
        <w:rPr/>
        <w:t>where the promisee’s “equitable interest” in the</w:t>
      </w:r>
      <w:r>
        <w:rPr>
          <w:spacing w:val="40"/>
        </w:rPr>
        <w:t> </w:t>
      </w:r>
      <w:r>
        <w:rPr/>
        <w:t>farm which was the subject matter of the promise (see above, para.4-169 n.1061a) was held </w:t>
      </w:r>
      <w:r>
        <w:rPr/>
        <w:t>to be subject to the right of the promisor (who was the promisee’s father) and the promisor’s wife (who was the promisee’s mother) to continue to reside in a house on the farm “for so long as that meets their needs”, with the promisee being “responsible for maintaining and repairing </w:t>
      </w:r>
      <w:r>
        <w:rPr/>
        <w:t>it”</w:t>
      </w:r>
      <w:r>
        <w:rPr>
          <w:spacing w:val="40"/>
        </w:rPr>
        <w:t> </w:t>
      </w:r>
      <w:r>
        <w:rPr/>
        <w:t>(at [177], [193]). See also </w:t>
      </w:r>
      <w:r>
        <w:rPr>
          <w:rFonts w:ascii="Arial" w:hAnsi="Arial"/>
          <w:i/>
        </w:rPr>
        <w:t>Malik v Kalyan [2010] EWCA Civ 113</w:t>
      </w:r>
      <w:r>
        <w:rPr/>
        <w:t>, where the Court of Appeal (at [31] to [33]) in principle approved the trial judge’s method of satisfying the “equity” by </w:t>
      </w:r>
      <w:r>
        <w:rPr/>
        <w:t>awarding ownership of the disputed property to the person claiming the benefit of the estoppel, subject to his paying half of the pecuniary legacies left by the will of the former owner of the property. The actual decision was to order a limited retrial on a point not here relevant.</w:t>
      </w:r>
    </w:p>
    <w:p>
      <w:pPr>
        <w:pStyle w:val="BodyText"/>
        <w:spacing w:before="5"/>
      </w:pPr>
    </w:p>
    <w:p>
      <w:pPr>
        <w:spacing w:line="235" w:lineRule="auto" w:before="0"/>
        <w:ind w:left="705" w:right="0" w:hanging="541"/>
        <w:jc w:val="left"/>
        <w:rPr>
          <w:sz w:val="20"/>
        </w:rPr>
      </w:pPr>
      <w:r>
        <w:rPr>
          <w:color w:val="005DA1"/>
          <w:position w:val="5"/>
          <w:sz w:val="14"/>
          <w:u w:val="single" w:color="005DA1"/>
        </w:rPr>
        <w:t>1142</w:t>
      </w:r>
      <w:r>
        <w:rPr>
          <w:position w:val="5"/>
          <w:sz w:val="14"/>
        </w:rPr>
        <w:t>.</w:t>
      </w:r>
      <w:r>
        <w:rPr>
          <w:spacing w:val="40"/>
          <w:position w:val="5"/>
          <w:sz w:val="14"/>
        </w:rPr>
        <w:t>  </w:t>
      </w:r>
      <w:r>
        <w:rPr>
          <w:sz w:val="20"/>
        </w:rPr>
        <w:t>As in </w:t>
      </w:r>
      <w:r>
        <w:rPr>
          <w:rFonts w:ascii="Arial"/>
          <w:i/>
          <w:sz w:val="20"/>
        </w:rPr>
        <w:t>E.R. Ives Investments Ltd v High [1967] 2 Q.B. 379</w:t>
      </w:r>
      <w:r>
        <w:rPr>
          <w:sz w:val="20"/>
        </w:rPr>
        <w:t>, where no question of imposing </w:t>
      </w:r>
      <w:r>
        <w:rPr>
          <w:sz w:val="20"/>
        </w:rPr>
        <w:t>terms was discussed.</w:t>
      </w:r>
    </w:p>
    <w:p>
      <w:pPr>
        <w:pStyle w:val="BodyText"/>
        <w:spacing w:before="9"/>
      </w:pPr>
    </w:p>
    <w:p>
      <w:pPr>
        <w:pStyle w:val="BodyText"/>
        <w:spacing w:line="235" w:lineRule="auto"/>
        <w:ind w:left="705" w:right="167" w:hanging="541"/>
        <w:jc w:val="both"/>
      </w:pPr>
      <w:r>
        <w:rPr>
          <w:color w:val="005DA1"/>
          <w:position w:val="5"/>
          <w:sz w:val="14"/>
          <w:u w:val="single" w:color="005DA1"/>
        </w:rPr>
        <w:t>1143</w:t>
      </w:r>
      <w:r>
        <w:rPr>
          <w:position w:val="5"/>
          <w:sz w:val="14"/>
        </w:rPr>
        <w:t>.</w:t>
      </w:r>
      <w:r>
        <w:rPr>
          <w:spacing w:val="40"/>
          <w:position w:val="5"/>
          <w:sz w:val="14"/>
        </w:rPr>
        <w:t>  </w:t>
      </w:r>
      <w:r>
        <w:rPr/>
        <w:t>In </w:t>
      </w:r>
      <w:r>
        <w:rPr>
          <w:rFonts w:ascii="Arial" w:hAnsi="Arial"/>
          <w:i/>
        </w:rPr>
        <w:t>Thorner v Major [2009] UKHL 18, [2009] 1 W.L.R. 779 </w:t>
      </w:r>
      <w:r>
        <w:rPr/>
        <w:t>at [19], Lord Scott said that “it is </w:t>
      </w:r>
      <w:r>
        <w:rPr/>
        <w:t>an</w:t>
      </w:r>
      <w:r>
        <w:rPr>
          <w:spacing w:val="40"/>
        </w:rPr>
        <w:t> </w:t>
      </w:r>
      <w:r>
        <w:rPr/>
        <w:t>odd sort of estoppel that is produced by representations that are in a sense conditional.” The exact point of this statement is not entirely clear. If the phrase “produced by representations …” is taken literally, it might seem to deal with the question, what sort of representation is necessary to give rise to a proprietary estoppel. If so understood, the dictum would not be easy to reconcile with cases in which a promise by A to B to transfer an interest in property to B if B engaged</w:t>
      </w:r>
      <w:r>
        <w:rPr>
          <w:spacing w:val="-1"/>
        </w:rPr>
        <w:t> </w:t>
      </w:r>
      <w:r>
        <w:rPr/>
        <w:t>in</w:t>
      </w:r>
      <w:r>
        <w:rPr>
          <w:spacing w:val="-1"/>
        </w:rPr>
        <w:t> </w:t>
      </w:r>
      <w:r>
        <w:rPr/>
        <w:t>a</w:t>
      </w:r>
      <w:r>
        <w:rPr>
          <w:spacing w:val="-1"/>
        </w:rPr>
        <w:t> </w:t>
      </w:r>
      <w:r>
        <w:rPr/>
        <w:t>specified</w:t>
      </w:r>
      <w:r>
        <w:rPr>
          <w:spacing w:val="-1"/>
        </w:rPr>
        <w:t> </w:t>
      </w:r>
      <w:r>
        <w:rPr/>
        <w:t>conduct,</w:t>
      </w:r>
      <w:r>
        <w:rPr>
          <w:spacing w:val="-1"/>
        </w:rPr>
        <w:t> </w:t>
      </w:r>
      <w:r>
        <w:rPr/>
        <w:t>and</w:t>
      </w:r>
      <w:r>
        <w:rPr>
          <w:spacing w:val="-1"/>
        </w:rPr>
        <w:t> </w:t>
      </w:r>
      <w:r>
        <w:rPr/>
        <w:t>B</w:t>
      </w:r>
      <w:r>
        <w:rPr>
          <w:spacing w:val="-1"/>
        </w:rPr>
        <w:t> </w:t>
      </w:r>
      <w:r>
        <w:rPr/>
        <w:t>then</w:t>
      </w:r>
      <w:r>
        <w:rPr>
          <w:spacing w:val="-1"/>
        </w:rPr>
        <w:t> </w:t>
      </w:r>
      <w:r>
        <w:rPr/>
        <w:t>performed</w:t>
      </w:r>
      <w:r>
        <w:rPr>
          <w:spacing w:val="-1"/>
        </w:rPr>
        <w:t> </w:t>
      </w:r>
      <w:r>
        <w:rPr/>
        <w:t>that</w:t>
      </w:r>
      <w:r>
        <w:rPr>
          <w:spacing w:val="-1"/>
        </w:rPr>
        <w:t> </w:t>
      </w:r>
      <w:r>
        <w:rPr/>
        <w:t>condition,</w:t>
      </w:r>
      <w:r>
        <w:rPr>
          <w:spacing w:val="-1"/>
        </w:rPr>
        <w:t> </w:t>
      </w:r>
      <w:r>
        <w:rPr/>
        <w:t>has</w:t>
      </w:r>
      <w:r>
        <w:rPr>
          <w:spacing w:val="-1"/>
        </w:rPr>
        <w:t> </w:t>
      </w:r>
      <w:r>
        <w:rPr/>
        <w:t>been</w:t>
      </w:r>
      <w:r>
        <w:rPr>
          <w:spacing w:val="-1"/>
        </w:rPr>
        <w:t> </w:t>
      </w:r>
      <w:r>
        <w:rPr/>
        <w:t>held</w:t>
      </w:r>
      <w:r>
        <w:rPr>
          <w:spacing w:val="-1"/>
        </w:rPr>
        <w:t> </w:t>
      </w:r>
      <w:r>
        <w:rPr/>
        <w:t>to</w:t>
      </w:r>
      <w:r>
        <w:rPr>
          <w:spacing w:val="-1"/>
        </w:rPr>
        <w:t> </w:t>
      </w:r>
      <w:r>
        <w:rPr/>
        <w:t>give</w:t>
      </w:r>
      <w:r>
        <w:rPr>
          <w:spacing w:val="-1"/>
        </w:rPr>
        <w:t> </w:t>
      </w:r>
      <w:r>
        <w:rPr/>
        <w:t>rise to a proprietary estoppel (see above, para.4-141). But the context in which the dictum occurs is that of a discussion of the effect of supervening events on a promissory estoppel assumed to have previously arisen (see below, para. 4-180) and hence with the court’s power to impose conditions in the exercise of its discretion in fashioning the remedy in cases of proprietary estoppel (see below, paras 4-173 et seq.). Such conditions are imposed ab extra, rather than because the representation giving rise to the estoppel is itself “conditional.” In </w:t>
      </w:r>
      <w:r>
        <w:rPr>
          <w:rFonts w:ascii="Arial" w:hAnsi="Arial"/>
          <w:i/>
        </w:rPr>
        <w:t>Thorner v Major </w:t>
      </w:r>
      <w:r>
        <w:rPr/>
        <w:t>none of the other members of the House of Lords expressed any view on the point made in the dictum here under discussion.</w:t>
      </w:r>
    </w:p>
    <w:p>
      <w:pPr>
        <w:pStyle w:val="BodyText"/>
        <w:spacing w:before="4"/>
      </w:pPr>
    </w:p>
    <w:p>
      <w:pPr>
        <w:spacing w:line="235" w:lineRule="auto" w:before="1"/>
        <w:ind w:left="705" w:right="169" w:hanging="541"/>
        <w:jc w:val="both"/>
        <w:rPr>
          <w:sz w:val="20"/>
        </w:rPr>
      </w:pPr>
      <w:r>
        <w:rPr>
          <w:color w:val="005DA1"/>
          <w:position w:val="5"/>
          <w:sz w:val="14"/>
          <w:u w:val="single" w:color="005DA1"/>
        </w:rPr>
        <w:t>1144</w:t>
      </w:r>
      <w:r>
        <w:rPr>
          <w:position w:val="5"/>
          <w:sz w:val="14"/>
        </w:rPr>
        <w:t>.</w:t>
      </w:r>
      <w:r>
        <w:rPr>
          <w:spacing w:val="80"/>
          <w:w w:val="150"/>
          <w:position w:val="5"/>
          <w:sz w:val="14"/>
        </w:rPr>
        <w:t> </w:t>
      </w:r>
      <w:r>
        <w:rPr>
          <w:rFonts w:ascii="Arial" w:hAnsi="Arial"/>
          <w:i/>
          <w:sz w:val="20"/>
        </w:rPr>
        <w:t>Roebuck v Mungovin [1994] 2 A.C. 224 </w:t>
      </w:r>
      <w:r>
        <w:rPr>
          <w:sz w:val="20"/>
        </w:rPr>
        <w:t>at 235; </w:t>
      </w:r>
      <w:r>
        <w:rPr>
          <w:rFonts w:ascii="Arial" w:hAnsi="Arial"/>
          <w:i/>
          <w:sz w:val="20"/>
        </w:rPr>
        <w:t>Henry v Henry [2010] UKPC 3, [2010] 1 All E.R. 998 </w:t>
      </w:r>
      <w:r>
        <w:rPr>
          <w:sz w:val="20"/>
        </w:rPr>
        <w:t>at [52] (“wide discretion”); cf. the remedy granted in </w:t>
      </w:r>
      <w:r>
        <w:rPr>
          <w:rFonts w:ascii="Arial" w:hAnsi="Arial"/>
          <w:i/>
          <w:sz w:val="20"/>
        </w:rPr>
        <w:t>Gillett v Holt [2001] Ch. 210</w:t>
      </w:r>
      <w:r>
        <w:rPr>
          <w:sz w:val="20"/>
        </w:rPr>
        <w:t>, </w:t>
      </w:r>
      <w:r>
        <w:rPr>
          <w:sz w:val="20"/>
        </w:rPr>
        <w:t>below, </w:t>
      </w:r>
      <w:bookmarkStart w:name="_bookmark1828" w:id="1830"/>
      <w:bookmarkEnd w:id="1830"/>
      <w:r>
        <w:rPr>
          <w:sz w:val="20"/>
        </w:rPr>
        <w:t>para.4–178.</w:t>
      </w:r>
      <w:r>
        <w:rPr>
          <w:spacing w:val="47"/>
          <w:sz w:val="20"/>
        </w:rPr>
        <w:t> </w:t>
      </w:r>
      <w:r>
        <w:rPr>
          <w:sz w:val="20"/>
        </w:rPr>
        <w:t>Gardner,</w:t>
      </w:r>
      <w:r>
        <w:rPr>
          <w:spacing w:val="47"/>
          <w:sz w:val="20"/>
        </w:rPr>
        <w:t> </w:t>
      </w:r>
      <w:r>
        <w:rPr>
          <w:sz w:val="20"/>
        </w:rPr>
        <w:t>(1999)</w:t>
      </w:r>
      <w:r>
        <w:rPr>
          <w:spacing w:val="47"/>
          <w:sz w:val="20"/>
        </w:rPr>
        <w:t> </w:t>
      </w:r>
      <w:r>
        <w:rPr>
          <w:sz w:val="20"/>
        </w:rPr>
        <w:t>115</w:t>
      </w:r>
      <w:r>
        <w:rPr>
          <w:spacing w:val="47"/>
          <w:sz w:val="20"/>
        </w:rPr>
        <w:t> </w:t>
      </w:r>
      <w:r>
        <w:rPr>
          <w:sz w:val="20"/>
        </w:rPr>
        <w:t>L.Q.R.</w:t>
      </w:r>
      <w:r>
        <w:rPr>
          <w:spacing w:val="47"/>
          <w:sz w:val="20"/>
        </w:rPr>
        <w:t> </w:t>
      </w:r>
      <w:r>
        <w:rPr>
          <w:sz w:val="20"/>
        </w:rPr>
        <w:t>348.</w:t>
      </w:r>
      <w:r>
        <w:rPr>
          <w:spacing w:val="47"/>
          <w:sz w:val="20"/>
        </w:rPr>
        <w:t> </w:t>
      </w:r>
      <w:r>
        <w:rPr>
          <w:sz w:val="20"/>
        </w:rPr>
        <w:t>For</w:t>
      </w:r>
      <w:r>
        <w:rPr>
          <w:spacing w:val="47"/>
          <w:sz w:val="20"/>
        </w:rPr>
        <w:t> </w:t>
      </w:r>
      <w:r>
        <w:rPr>
          <w:sz w:val="20"/>
        </w:rPr>
        <w:t>the</w:t>
      </w:r>
      <w:r>
        <w:rPr>
          <w:spacing w:val="47"/>
          <w:sz w:val="20"/>
        </w:rPr>
        <w:t> </w:t>
      </w:r>
      <w:r>
        <w:rPr>
          <w:sz w:val="20"/>
        </w:rPr>
        <w:t>flexibility</w:t>
      </w:r>
      <w:r>
        <w:rPr>
          <w:spacing w:val="47"/>
          <w:sz w:val="20"/>
        </w:rPr>
        <w:t> </w:t>
      </w:r>
      <w:r>
        <w:rPr>
          <w:sz w:val="20"/>
        </w:rPr>
        <w:t>of</w:t>
      </w:r>
      <w:r>
        <w:rPr>
          <w:spacing w:val="47"/>
          <w:sz w:val="20"/>
        </w:rPr>
        <w:t> </w:t>
      </w:r>
      <w:r>
        <w:rPr>
          <w:sz w:val="20"/>
        </w:rPr>
        <w:t>the</w:t>
      </w:r>
      <w:r>
        <w:rPr>
          <w:spacing w:val="47"/>
          <w:sz w:val="20"/>
        </w:rPr>
        <w:t> </w:t>
      </w:r>
      <w:r>
        <w:rPr>
          <w:sz w:val="20"/>
        </w:rPr>
        <w:t>remedy</w:t>
      </w:r>
      <w:r>
        <w:rPr>
          <w:spacing w:val="47"/>
          <w:sz w:val="20"/>
        </w:rPr>
        <w:t> </w:t>
      </w:r>
      <w:r>
        <w:rPr>
          <w:sz w:val="20"/>
        </w:rPr>
        <w:t>in</w:t>
      </w:r>
      <w:r>
        <w:rPr>
          <w:spacing w:val="47"/>
          <w:sz w:val="20"/>
        </w:rPr>
        <w:t> </w:t>
      </w:r>
      <w:r>
        <w:rPr>
          <w:sz w:val="20"/>
        </w:rPr>
        <w:t>cases</w:t>
      </w:r>
      <w:r>
        <w:rPr>
          <w:spacing w:val="47"/>
          <w:sz w:val="20"/>
        </w:rPr>
        <w:t> </w:t>
      </w:r>
      <w:r>
        <w:rPr>
          <w:spacing w:val="-5"/>
          <w:sz w:val="20"/>
        </w:rPr>
        <w:t>of</w:t>
      </w:r>
    </w:p>
    <w:p>
      <w:pPr>
        <w:spacing w:after="0" w:line="235" w:lineRule="auto"/>
        <w:jc w:val="both"/>
        <w:rPr>
          <w:sz w:val="20"/>
        </w:rPr>
        <w:sectPr>
          <w:pgSz w:w="11900" w:h="16840"/>
          <w:pgMar w:header="971" w:footer="0" w:top="1160" w:bottom="280" w:left="1275" w:right="1275"/>
        </w:sectPr>
      </w:pPr>
    </w:p>
    <w:p>
      <w:pPr>
        <w:pStyle w:val="BodyText"/>
        <w:spacing w:before="24"/>
      </w:pPr>
    </w:p>
    <w:p>
      <w:pPr>
        <w:spacing w:line="235" w:lineRule="auto" w:before="1"/>
        <w:ind w:left="705" w:right="168" w:firstLine="0"/>
        <w:jc w:val="both"/>
        <w:rPr>
          <w:sz w:val="20"/>
        </w:rPr>
      </w:pPr>
      <w:r>
        <w:rPr>
          <w:sz w:val="20"/>
        </w:rPr>
        <w:t>proprietary estoppel, see also </w:t>
      </w:r>
      <w:r>
        <w:rPr>
          <w:rFonts w:ascii="Arial"/>
          <w:i/>
          <w:sz w:val="20"/>
        </w:rPr>
        <w:t>Clark v Clark [2006] EWHC 725, [2006] 1 F.C.R. 421</w:t>
      </w:r>
      <w:r>
        <w:rPr>
          <w:sz w:val="20"/>
        </w:rPr>
        <w:t>, </w:t>
      </w:r>
      <w:r>
        <w:rPr>
          <w:sz w:val="20"/>
        </w:rPr>
        <w:t>above, para.4-170; </w:t>
      </w:r>
      <w:r>
        <w:rPr>
          <w:rFonts w:ascii="Arial"/>
          <w:i/>
          <w:sz w:val="20"/>
        </w:rPr>
        <w:t>Thorner v Curtis [2007] EWHC 2422 (Ch), [2008] W.T.L.R. 155</w:t>
      </w:r>
      <w:r>
        <w:rPr>
          <w:sz w:val="20"/>
        </w:rPr>
        <w:t>; </w:t>
      </w:r>
      <w:r>
        <w:rPr>
          <w:rFonts w:ascii="Arial"/>
          <w:i/>
          <w:sz w:val="20"/>
        </w:rPr>
        <w:t>Hopper v Hopper [2008] EWHC 228 (Ch), [2008] I F.C.R. 557</w:t>
      </w:r>
      <w:r>
        <w:rPr>
          <w:sz w:val="20"/>
        </w:rPr>
        <w:t>; </w:t>
      </w:r>
      <w:r>
        <w:rPr>
          <w:rFonts w:ascii="Arial"/>
          <w:i/>
          <w:sz w:val="20"/>
        </w:rPr>
        <w:t>Kim v Chasewood Park Residents Ltd [2013] EWCA Civ 239, [2013] H.L.R. 24 </w:t>
      </w:r>
      <w:r>
        <w:rPr>
          <w:sz w:val="20"/>
        </w:rPr>
        <w:t>(above, para.4-090 n.468) at [45]; the actual decision was</w:t>
      </w:r>
      <w:r>
        <w:rPr>
          <w:spacing w:val="40"/>
          <w:sz w:val="20"/>
        </w:rPr>
        <w:t> </w:t>
      </w:r>
      <w:r>
        <w:rPr>
          <w:sz w:val="20"/>
        </w:rPr>
        <w:t>that, for the reason given in para.4-146 above, no proprietary estoppel had arisen.</w:t>
      </w:r>
    </w:p>
    <w:p>
      <w:pPr>
        <w:pStyle w:val="BodyText"/>
        <w:spacing w:before="4"/>
      </w:pPr>
    </w:p>
    <w:p>
      <w:pPr>
        <w:spacing w:before="0"/>
        <w:ind w:left="165" w:right="0" w:firstLine="0"/>
        <w:jc w:val="left"/>
        <w:rPr>
          <w:sz w:val="20"/>
        </w:rPr>
      </w:pPr>
      <w:r>
        <w:rPr>
          <w:color w:val="005DA1"/>
          <w:position w:val="5"/>
          <w:sz w:val="14"/>
          <w:u w:val="single" w:color="005DA1"/>
        </w:rPr>
        <w:t>1145</w:t>
      </w:r>
      <w:r>
        <w:rPr>
          <w:position w:val="5"/>
          <w:sz w:val="14"/>
        </w:rPr>
        <w:t>.</w:t>
      </w:r>
      <w:r>
        <w:rPr>
          <w:spacing w:val="55"/>
          <w:position w:val="5"/>
          <w:sz w:val="14"/>
        </w:rPr>
        <w:t>  </w:t>
      </w:r>
      <w:r>
        <w:rPr>
          <w:rFonts w:ascii="Arial"/>
          <w:i/>
          <w:sz w:val="20"/>
        </w:rPr>
        <w:t>Jennings</w:t>
      </w:r>
      <w:r>
        <w:rPr>
          <w:rFonts w:ascii="Arial"/>
          <w:i/>
          <w:spacing w:val="1"/>
          <w:sz w:val="20"/>
        </w:rPr>
        <w:t> </w:t>
      </w:r>
      <w:r>
        <w:rPr>
          <w:rFonts w:ascii="Arial"/>
          <w:i/>
          <w:sz w:val="20"/>
        </w:rPr>
        <w:t>v Rice [2002] EWCA Civ 159; [2002] W.T.L.R. 367</w:t>
      </w:r>
      <w:r>
        <w:rPr>
          <w:rFonts w:ascii="Arial"/>
          <w:i/>
          <w:spacing w:val="-1"/>
          <w:sz w:val="20"/>
        </w:rPr>
        <w:t> </w:t>
      </w:r>
      <w:r>
        <w:rPr>
          <w:sz w:val="20"/>
        </w:rPr>
        <w:t>at </w:t>
      </w:r>
      <w:r>
        <w:rPr>
          <w:spacing w:val="-2"/>
          <w:sz w:val="20"/>
        </w:rPr>
        <w:t>[43].</w:t>
      </w:r>
    </w:p>
    <w:p>
      <w:pPr>
        <w:pStyle w:val="BodyText"/>
        <w:spacing w:before="75"/>
        <w:rPr>
          <w:sz w:val="14"/>
        </w:rPr>
      </w:pPr>
    </w:p>
    <w:p>
      <w:pPr>
        <w:spacing w:before="0"/>
        <w:ind w:left="165" w:right="0" w:firstLine="0"/>
        <w:jc w:val="left"/>
        <w:rPr>
          <w:position w:val="-4"/>
          <w:sz w:val="20"/>
        </w:rPr>
      </w:pPr>
      <w:r>
        <w:rPr>
          <w:color w:val="005DA1"/>
          <w:sz w:val="14"/>
          <w:u w:val="single" w:color="005DA1"/>
        </w:rPr>
        <w:t>1146</w:t>
      </w:r>
      <w:r>
        <w:rPr>
          <w:sz w:val="14"/>
        </w:rPr>
        <w:t>.</w:t>
      </w:r>
      <w:r>
        <w:rPr>
          <w:spacing w:val="55"/>
          <w:sz w:val="14"/>
        </w:rPr>
        <w:t>  </w:t>
      </w:r>
      <w:r>
        <w:rPr>
          <w:spacing w:val="-2"/>
          <w:position w:val="-4"/>
          <w:sz w:val="20"/>
        </w:rPr>
        <w:t>ibid.</w:t>
      </w:r>
    </w:p>
    <w:p>
      <w:pPr>
        <w:pStyle w:val="BodyText"/>
        <w:spacing w:before="4"/>
      </w:pPr>
    </w:p>
    <w:p>
      <w:pPr>
        <w:spacing w:before="0"/>
        <w:ind w:left="165" w:right="0" w:firstLine="0"/>
        <w:jc w:val="left"/>
        <w:rPr>
          <w:sz w:val="20"/>
        </w:rPr>
      </w:pPr>
      <w:r>
        <w:rPr>
          <w:color w:val="005DA1"/>
          <w:position w:val="5"/>
          <w:sz w:val="14"/>
          <w:u w:val="single" w:color="005DA1"/>
        </w:rPr>
        <w:t>1147</w:t>
      </w:r>
      <w:r>
        <w:rPr>
          <w:position w:val="5"/>
          <w:sz w:val="14"/>
        </w:rPr>
        <w:t>.</w:t>
      </w:r>
      <w:r>
        <w:rPr>
          <w:spacing w:val="55"/>
          <w:position w:val="5"/>
          <w:sz w:val="14"/>
        </w:rPr>
        <w:t>  </w:t>
      </w:r>
      <w:r>
        <w:rPr>
          <w:sz w:val="20"/>
        </w:rPr>
        <w:t>See</w:t>
      </w:r>
      <w:r>
        <w:rPr>
          <w:spacing w:val="1"/>
          <w:sz w:val="20"/>
        </w:rPr>
        <w:t> </w:t>
      </w:r>
      <w:r>
        <w:rPr>
          <w:sz w:val="20"/>
        </w:rPr>
        <w:t>above, para.4-</w:t>
      </w:r>
      <w:r>
        <w:rPr>
          <w:spacing w:val="-4"/>
          <w:sz w:val="20"/>
        </w:rPr>
        <w:t>170.</w:t>
      </w:r>
    </w:p>
    <w:p>
      <w:pPr>
        <w:pStyle w:val="BodyText"/>
        <w:spacing w:before="5"/>
      </w:pPr>
    </w:p>
    <w:p>
      <w:pPr>
        <w:spacing w:before="0"/>
        <w:ind w:left="165" w:right="0" w:firstLine="0"/>
        <w:jc w:val="left"/>
        <w:rPr>
          <w:sz w:val="20"/>
        </w:rPr>
      </w:pPr>
      <w:r>
        <w:rPr>
          <w:color w:val="005DA1"/>
          <w:position w:val="5"/>
          <w:sz w:val="14"/>
          <w:u w:val="single" w:color="005DA1"/>
        </w:rPr>
        <w:t>1148</w:t>
      </w:r>
      <w:r>
        <w:rPr>
          <w:position w:val="5"/>
          <w:sz w:val="14"/>
        </w:rPr>
        <w:t>.</w:t>
      </w:r>
      <w:r>
        <w:rPr>
          <w:spacing w:val="55"/>
          <w:position w:val="5"/>
          <w:sz w:val="14"/>
        </w:rPr>
        <w:t>  </w:t>
      </w:r>
      <w:r>
        <w:rPr>
          <w:rFonts w:ascii="Arial"/>
          <w:i/>
          <w:sz w:val="20"/>
        </w:rPr>
        <w:t>Jennings</w:t>
      </w:r>
      <w:r>
        <w:rPr>
          <w:rFonts w:ascii="Arial"/>
          <w:i/>
          <w:spacing w:val="1"/>
          <w:sz w:val="20"/>
        </w:rPr>
        <w:t> </w:t>
      </w:r>
      <w:r>
        <w:rPr>
          <w:rFonts w:ascii="Arial"/>
          <w:i/>
          <w:sz w:val="20"/>
        </w:rPr>
        <w:t>v</w:t>
      </w:r>
      <w:r>
        <w:rPr>
          <w:rFonts w:ascii="Arial"/>
          <w:i/>
          <w:spacing w:val="-1"/>
          <w:sz w:val="20"/>
        </w:rPr>
        <w:t> </w:t>
      </w:r>
      <w:r>
        <w:rPr>
          <w:rFonts w:ascii="Arial"/>
          <w:i/>
          <w:sz w:val="20"/>
        </w:rPr>
        <w:t>Rice</w:t>
      </w:r>
      <w:r>
        <w:rPr>
          <w:sz w:val="20"/>
        </w:rPr>
        <w:t>, above, n.1090 at </w:t>
      </w:r>
      <w:r>
        <w:rPr>
          <w:spacing w:val="-2"/>
          <w:sz w:val="20"/>
        </w:rPr>
        <w:t>[49].</w:t>
      </w:r>
    </w:p>
    <w:p>
      <w:pPr>
        <w:pStyle w:val="BodyText"/>
        <w:spacing w:before="12"/>
      </w:pPr>
    </w:p>
    <w:p>
      <w:pPr>
        <w:spacing w:line="137" w:lineRule="exact" w:before="0"/>
        <w:ind w:left="165" w:right="0" w:firstLine="0"/>
        <w:jc w:val="left"/>
        <w:rPr>
          <w:sz w:val="14"/>
        </w:rPr>
      </w:pPr>
      <w:r>
        <w:rPr>
          <w:color w:val="005DA1"/>
          <w:spacing w:val="-2"/>
          <w:sz w:val="14"/>
          <w:u w:val="single" w:color="005DA1"/>
        </w:rPr>
        <w:t>1149</w:t>
      </w:r>
      <w:r>
        <w:rPr>
          <w:spacing w:val="-2"/>
          <w:sz w:val="14"/>
        </w:rPr>
        <w:t>.</w:t>
      </w:r>
    </w:p>
    <w:p>
      <w:pPr>
        <w:pStyle w:val="BodyText"/>
        <w:spacing w:line="203" w:lineRule="exact"/>
        <w:ind w:left="875"/>
        <w:jc w:val="both"/>
      </w:pPr>
      <w:r>
        <w:rPr/>
        <w:drawing>
          <wp:anchor distT="0" distB="0" distL="0" distR="0" allowOverlap="1" layoutInCell="1" locked="0" behindDoc="0" simplePos="0" relativeHeight="15819776">
            <wp:simplePos x="0" y="0"/>
            <wp:positionH relativeFrom="page">
              <wp:posOffset>1257846</wp:posOffset>
            </wp:positionH>
            <wp:positionV relativeFrom="paragraph">
              <wp:posOffset>13084</wp:posOffset>
            </wp:positionV>
            <wp:extent cx="107988" cy="107988"/>
            <wp:effectExtent l="0" t="0" r="0" b="0"/>
            <wp:wrapNone/>
            <wp:docPr id="367" name="Image 367"/>
            <wp:cNvGraphicFramePr>
              <a:graphicFrameLocks/>
            </wp:cNvGraphicFramePr>
            <a:graphic>
              <a:graphicData uri="http://schemas.openxmlformats.org/drawingml/2006/picture">
                <pic:pic>
                  <pic:nvPicPr>
                    <pic:cNvPr id="367" name="Image 367"/>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rPr>
        <w:t>Jennings</w:t>
      </w:r>
      <w:r>
        <w:rPr>
          <w:rFonts w:ascii="Arial" w:hAnsi="Arial"/>
          <w:i/>
          <w:spacing w:val="11"/>
        </w:rPr>
        <w:t> </w:t>
      </w:r>
      <w:r>
        <w:rPr>
          <w:rFonts w:ascii="Arial" w:hAnsi="Arial"/>
          <w:i/>
        </w:rPr>
        <w:t>v</w:t>
      </w:r>
      <w:r>
        <w:rPr>
          <w:rFonts w:ascii="Arial" w:hAnsi="Arial"/>
          <w:i/>
          <w:spacing w:val="12"/>
        </w:rPr>
        <w:t> </w:t>
      </w:r>
      <w:r>
        <w:rPr>
          <w:rFonts w:ascii="Arial" w:hAnsi="Arial"/>
          <w:i/>
        </w:rPr>
        <w:t>Rice</w:t>
      </w:r>
      <w:r>
        <w:rPr/>
        <w:t>,</w:t>
      </w:r>
      <w:r>
        <w:rPr>
          <w:spacing w:val="12"/>
        </w:rPr>
        <w:t> </w:t>
      </w:r>
      <w:r>
        <w:rPr/>
        <w:t>above,</w:t>
      </w:r>
      <w:r>
        <w:rPr>
          <w:spacing w:val="12"/>
        </w:rPr>
        <w:t> </w:t>
      </w:r>
      <w:r>
        <w:rPr/>
        <w:t>n.1090</w:t>
      </w:r>
      <w:r>
        <w:rPr>
          <w:spacing w:val="12"/>
        </w:rPr>
        <w:t> </w:t>
      </w:r>
      <w:r>
        <w:rPr/>
        <w:t>at</w:t>
      </w:r>
      <w:r>
        <w:rPr>
          <w:spacing w:val="12"/>
        </w:rPr>
        <w:t> </w:t>
      </w:r>
      <w:r>
        <w:rPr/>
        <w:t>[36];</w:t>
      </w:r>
      <w:r>
        <w:rPr>
          <w:spacing w:val="12"/>
        </w:rPr>
        <w:t> </w:t>
      </w:r>
      <w:r>
        <w:rPr/>
        <w:t>cf.</w:t>
      </w:r>
      <w:r>
        <w:rPr>
          <w:spacing w:val="12"/>
        </w:rPr>
        <w:t> </w:t>
      </w:r>
      <w:r>
        <w:rPr/>
        <w:t>ibid.</w:t>
      </w:r>
      <w:r>
        <w:rPr>
          <w:spacing w:val="12"/>
        </w:rPr>
        <w:t> </w:t>
      </w:r>
      <w:r>
        <w:rPr/>
        <w:t>at</w:t>
      </w:r>
      <w:r>
        <w:rPr>
          <w:spacing w:val="12"/>
        </w:rPr>
        <w:t> </w:t>
      </w:r>
      <w:r>
        <w:rPr/>
        <w:t>[56]</w:t>
      </w:r>
      <w:r>
        <w:rPr>
          <w:spacing w:val="12"/>
        </w:rPr>
        <w:t> </w:t>
      </w:r>
      <w:r>
        <w:rPr/>
        <w:t>(“proportionality</w:t>
      </w:r>
      <w:r>
        <w:rPr>
          <w:spacing w:val="12"/>
        </w:rPr>
        <w:t> </w:t>
      </w:r>
      <w:r>
        <w:rPr/>
        <w:t>between</w:t>
      </w:r>
      <w:r>
        <w:rPr>
          <w:spacing w:val="12"/>
        </w:rPr>
        <w:t> </w:t>
      </w:r>
      <w:r>
        <w:rPr/>
        <w:t>remedy</w:t>
      </w:r>
      <w:r>
        <w:rPr>
          <w:spacing w:val="12"/>
        </w:rPr>
        <w:t> </w:t>
      </w:r>
      <w:r>
        <w:rPr>
          <w:spacing w:val="-5"/>
        </w:rPr>
        <w:t>and</w:t>
      </w:r>
    </w:p>
    <w:p>
      <w:pPr>
        <w:pStyle w:val="BodyText"/>
        <w:spacing w:line="235" w:lineRule="auto" w:before="2"/>
        <w:ind w:left="705" w:right="167"/>
        <w:jc w:val="both"/>
      </w:pPr>
      <w:r>
        <w:rPr/>
        <w:t>detriment”); </w:t>
      </w:r>
      <w:r>
        <w:rPr>
          <w:rFonts w:ascii="Arial" w:hAnsi="Arial"/>
          <w:i/>
        </w:rPr>
        <w:t>Henry v Henry [2010] UKPC 3 </w:t>
      </w:r>
      <w:r>
        <w:rPr/>
        <w:t>at [66] (“Proportionality lies at the heart </w:t>
      </w:r>
      <w:r>
        <w:rPr/>
        <w:t>of</w:t>
      </w:r>
      <w:r>
        <w:rPr>
          <w:spacing w:val="40"/>
        </w:rPr>
        <w:t> </w:t>
      </w:r>
      <w:r>
        <w:rPr/>
        <w:t>proprietary estoppel”); </w:t>
      </w:r>
      <w:r>
        <w:rPr>
          <w:rFonts w:ascii="Arial" w:hAnsi="Arial"/>
          <w:i/>
        </w:rPr>
        <w:t>Fischer v Brooker [2009] UKHL 41, [2009] 1 W.L.R. 1761 </w:t>
      </w:r>
      <w:r>
        <w:rPr/>
        <w:t>at [11], where the estoppel claim failed for want of proof of detrimental reliance: above, para.4-158. For the importance of “proportionality” in assessing the amount of monetary relief available to the promisee, see also </w:t>
      </w:r>
      <w:r>
        <w:rPr>
          <w:rFonts w:ascii="Arial" w:hAnsi="Arial"/>
          <w:i/>
        </w:rPr>
        <w:t>Davies v Davies [2016] EWCA Civ 463, [2016] 2 P. &amp; C.R. 10 </w:t>
      </w:r>
      <w:r>
        <w:rPr/>
        <w:t>at [38], quoting from the Court below. On appeal, it was no longer disputed that compensation in</w:t>
      </w:r>
      <w:r>
        <w:rPr>
          <w:spacing w:val="40"/>
        </w:rPr>
        <w:t> </w:t>
      </w:r>
      <w:r>
        <w:rPr/>
        <w:t>money was in this case the appropriate form of relief. </w:t>
      </w:r>
      <w:r>
        <w:rPr>
          <w:rFonts w:ascii="Arial" w:hAnsi="Arial"/>
          <w:i/>
        </w:rPr>
        <w:t>Suggitt v Suggitt [2012] EWCA Civ 1140, [2012] W.T.L.R. 1607</w:t>
      </w:r>
      <w:r>
        <w:rPr/>
        <w:t>, where it is not altogether clear whether the proportionality of the remedy must be with (i) the detriment suffered by the promisee in reliance on the promise (at [44]) or (ii) the promisee’s reasonable expectations generated by the promise (at [45]). The distinction between the two views is not clear cut since the terms of the promise form the starting point of both. But in </w:t>
      </w:r>
      <w:r>
        <w:rPr>
          <w:rFonts w:ascii="Arial" w:hAnsi="Arial"/>
          <w:i/>
        </w:rPr>
        <w:t>Suggitt v Suggitt </w:t>
      </w:r>
      <w:r>
        <w:rPr/>
        <w:t>itself the considerable value of the property (see at [50]) seems to have exceeded the promisee’s detriment but was nevertheless awarded (see at [27], [52] as “the</w:t>
      </w:r>
      <w:r>
        <w:rPr>
          <w:spacing w:val="-1"/>
        </w:rPr>
        <w:t> </w:t>
      </w:r>
      <w:r>
        <w:rPr/>
        <w:t>values</w:t>
      </w:r>
      <w:r>
        <w:rPr>
          <w:spacing w:val="-1"/>
        </w:rPr>
        <w:t> </w:t>
      </w:r>
      <w:r>
        <w:rPr/>
        <w:t>only</w:t>
      </w:r>
      <w:r>
        <w:rPr>
          <w:spacing w:val="-1"/>
        </w:rPr>
        <w:t> </w:t>
      </w:r>
      <w:r>
        <w:rPr/>
        <w:t>reflect</w:t>
      </w:r>
      <w:r>
        <w:rPr>
          <w:spacing w:val="-1"/>
        </w:rPr>
        <w:t> </w:t>
      </w:r>
      <w:r>
        <w:rPr/>
        <w:t>the</w:t>
      </w:r>
      <w:r>
        <w:rPr>
          <w:spacing w:val="-1"/>
        </w:rPr>
        <w:t> </w:t>
      </w:r>
      <w:r>
        <w:rPr/>
        <w:t>assurances”</w:t>
      </w:r>
      <w:r>
        <w:rPr>
          <w:spacing w:val="-1"/>
        </w:rPr>
        <w:t> </w:t>
      </w:r>
      <w:r>
        <w:rPr/>
        <w:t>at</w:t>
      </w:r>
      <w:r>
        <w:rPr>
          <w:spacing w:val="-1"/>
        </w:rPr>
        <w:t> </w:t>
      </w:r>
      <w:r>
        <w:rPr/>
        <w:t>[50]),</w:t>
      </w:r>
      <w:r>
        <w:rPr>
          <w:spacing w:val="-1"/>
        </w:rPr>
        <w:t> </w:t>
      </w:r>
      <w:r>
        <w:rPr/>
        <w:t>thus</w:t>
      </w:r>
      <w:r>
        <w:rPr>
          <w:spacing w:val="-1"/>
        </w:rPr>
        <w:t> </w:t>
      </w:r>
      <w:r>
        <w:rPr/>
        <w:t>supporting</w:t>
      </w:r>
      <w:r>
        <w:rPr>
          <w:spacing w:val="-1"/>
        </w:rPr>
        <w:t> </w:t>
      </w:r>
      <w:r>
        <w:rPr/>
        <w:t>the</w:t>
      </w:r>
      <w:r>
        <w:rPr>
          <w:spacing w:val="-1"/>
        </w:rPr>
        <w:t> </w:t>
      </w:r>
      <w:r>
        <w:rPr/>
        <w:t>second</w:t>
      </w:r>
      <w:r>
        <w:rPr>
          <w:spacing w:val="-1"/>
        </w:rPr>
        <w:t> </w:t>
      </w:r>
      <w:r>
        <w:rPr/>
        <w:t>of</w:t>
      </w:r>
      <w:r>
        <w:rPr>
          <w:spacing w:val="-1"/>
        </w:rPr>
        <w:t> </w:t>
      </w:r>
      <w:r>
        <w:rPr/>
        <w:t>the</w:t>
      </w:r>
      <w:r>
        <w:rPr>
          <w:spacing w:val="-1"/>
        </w:rPr>
        <w:t> </w:t>
      </w:r>
      <w:r>
        <w:rPr/>
        <w:t>above</w:t>
      </w:r>
      <w:r>
        <w:rPr>
          <w:spacing w:val="-1"/>
        </w:rPr>
        <w:t> </w:t>
      </w:r>
      <w:r>
        <w:rPr/>
        <w:t>views. For the relevance of the promisor’s conduct </w:t>
      </w:r>
      <w:r>
        <w:rPr>
          <w:rFonts w:ascii="Arial" w:hAnsi="Arial"/>
          <w:i/>
        </w:rPr>
        <w:t>after </w:t>
      </w:r>
      <w:r>
        <w:rPr/>
        <w:t>the facts giving rise to the estoppel, see</w:t>
      </w:r>
      <w:r>
        <w:rPr>
          <w:spacing w:val="40"/>
        </w:rPr>
        <w:t> </w:t>
      </w:r>
      <w:r>
        <w:rPr/>
        <w:t>below, para.4-176.</w:t>
      </w:r>
    </w:p>
    <w:p>
      <w:pPr>
        <w:pStyle w:val="BodyText"/>
        <w:spacing w:before="3"/>
      </w:pPr>
    </w:p>
    <w:p>
      <w:pPr>
        <w:spacing w:line="235" w:lineRule="auto" w:before="1"/>
        <w:ind w:left="705" w:right="167" w:hanging="541"/>
        <w:jc w:val="both"/>
        <w:rPr>
          <w:sz w:val="20"/>
        </w:rPr>
      </w:pPr>
      <w:r>
        <w:rPr>
          <w:color w:val="005DA1"/>
          <w:position w:val="5"/>
          <w:sz w:val="14"/>
          <w:u w:val="single" w:color="005DA1"/>
        </w:rPr>
        <w:t>1150</w:t>
      </w:r>
      <w:r>
        <w:rPr>
          <w:position w:val="5"/>
          <w:sz w:val="14"/>
        </w:rPr>
        <w:t>.</w:t>
      </w:r>
      <w:r>
        <w:rPr>
          <w:spacing w:val="80"/>
          <w:position w:val="5"/>
          <w:sz w:val="14"/>
        </w:rPr>
        <w:t> </w:t>
      </w:r>
      <w:r>
        <w:rPr>
          <w:rFonts w:ascii="Arial"/>
          <w:i/>
          <w:sz w:val="20"/>
        </w:rPr>
        <w:t>Jennings v Rice</w:t>
      </w:r>
      <w:r>
        <w:rPr>
          <w:sz w:val="20"/>
        </w:rPr>
        <w:t>, above n.1090 at [45]. Cf. </w:t>
      </w:r>
      <w:r>
        <w:rPr>
          <w:rFonts w:ascii="Arial"/>
          <w:i/>
          <w:sz w:val="20"/>
        </w:rPr>
        <w:t>Joyce v Epsom and Ewell Borough Council [2012] EWCA Civ 1398, [2013] 1 E.G.L.R. 24</w:t>
      </w:r>
      <w:r>
        <w:rPr>
          <w:sz w:val="20"/>
        </w:rPr>
        <w:t>, where the remedy was by way of a declaration that the party relying on the estoppel was entitled to the grant of the promised right of way (for the</w:t>
      </w:r>
      <w:r>
        <w:rPr>
          <w:spacing w:val="40"/>
          <w:sz w:val="20"/>
        </w:rPr>
        <w:t> </w:t>
      </w:r>
      <w:r>
        <w:rPr>
          <w:sz w:val="20"/>
        </w:rPr>
        <w:t>scope of which see above, para.4-170).</w:t>
      </w:r>
    </w:p>
    <w:p>
      <w:pPr>
        <w:pStyle w:val="BodyText"/>
        <w:spacing w:before="4"/>
      </w:pPr>
    </w:p>
    <w:p>
      <w:pPr>
        <w:spacing w:before="0"/>
        <w:ind w:left="165" w:right="0" w:firstLine="0"/>
        <w:jc w:val="left"/>
        <w:rPr>
          <w:sz w:val="20"/>
        </w:rPr>
      </w:pPr>
      <w:r>
        <w:rPr>
          <w:color w:val="005DA1"/>
          <w:position w:val="5"/>
          <w:sz w:val="14"/>
          <w:u w:val="single" w:color="005DA1"/>
        </w:rPr>
        <w:t>1151</w:t>
      </w:r>
      <w:r>
        <w:rPr>
          <w:position w:val="5"/>
          <w:sz w:val="14"/>
        </w:rPr>
        <w:t>.</w:t>
      </w:r>
      <w:r>
        <w:rPr>
          <w:spacing w:val="55"/>
          <w:position w:val="5"/>
          <w:sz w:val="14"/>
        </w:rPr>
        <w:t>  </w:t>
      </w:r>
      <w:r>
        <w:rPr>
          <w:rFonts w:ascii="Arial"/>
          <w:i/>
          <w:sz w:val="20"/>
        </w:rPr>
        <w:t>Jennings</w:t>
      </w:r>
      <w:r>
        <w:rPr>
          <w:rFonts w:ascii="Arial"/>
          <w:i/>
          <w:spacing w:val="1"/>
          <w:sz w:val="20"/>
        </w:rPr>
        <w:t> </w:t>
      </w:r>
      <w:r>
        <w:rPr>
          <w:rFonts w:ascii="Arial"/>
          <w:i/>
          <w:sz w:val="20"/>
        </w:rPr>
        <w:t>v Rice [2002] EWCA Civ 159</w:t>
      </w:r>
      <w:r>
        <w:rPr>
          <w:rFonts w:ascii="Arial"/>
          <w:i/>
          <w:spacing w:val="-1"/>
          <w:sz w:val="20"/>
        </w:rPr>
        <w:t> </w:t>
      </w:r>
      <w:r>
        <w:rPr>
          <w:sz w:val="20"/>
        </w:rPr>
        <w:t>at </w:t>
      </w:r>
      <w:r>
        <w:rPr>
          <w:spacing w:val="-2"/>
          <w:sz w:val="20"/>
        </w:rPr>
        <w:t>[50].</w:t>
      </w:r>
    </w:p>
    <w:p>
      <w:pPr>
        <w:pStyle w:val="BodyText"/>
        <w:spacing w:before="5"/>
      </w:pPr>
    </w:p>
    <w:p>
      <w:pPr>
        <w:spacing w:before="0"/>
        <w:ind w:left="165" w:right="0" w:firstLine="0"/>
        <w:jc w:val="left"/>
        <w:rPr>
          <w:sz w:val="20"/>
        </w:rPr>
      </w:pPr>
      <w:r>
        <w:rPr>
          <w:color w:val="005DA1"/>
          <w:position w:val="5"/>
          <w:sz w:val="14"/>
          <w:u w:val="single" w:color="005DA1"/>
        </w:rPr>
        <w:t>1152</w:t>
      </w:r>
      <w:r>
        <w:rPr>
          <w:position w:val="5"/>
          <w:sz w:val="14"/>
        </w:rPr>
        <w:t>.</w:t>
      </w:r>
      <w:r>
        <w:rPr>
          <w:spacing w:val="55"/>
          <w:position w:val="5"/>
          <w:sz w:val="14"/>
        </w:rPr>
        <w:t>  </w:t>
      </w:r>
      <w:r>
        <w:rPr>
          <w:sz w:val="20"/>
        </w:rPr>
        <w:t>ibid.,</w:t>
      </w:r>
      <w:r>
        <w:rPr>
          <w:spacing w:val="1"/>
          <w:sz w:val="20"/>
        </w:rPr>
        <w:t> </w:t>
      </w:r>
      <w:r>
        <w:rPr>
          <w:sz w:val="20"/>
        </w:rPr>
        <w:t>at </w:t>
      </w:r>
      <w:r>
        <w:rPr>
          <w:spacing w:val="-2"/>
          <w:sz w:val="20"/>
        </w:rPr>
        <w:t>[51].</w:t>
      </w:r>
    </w:p>
    <w:p>
      <w:pPr>
        <w:pStyle w:val="BodyText"/>
        <w:spacing w:before="5"/>
      </w:pPr>
    </w:p>
    <w:p>
      <w:pPr>
        <w:spacing w:before="0"/>
        <w:ind w:left="165" w:right="0" w:firstLine="0"/>
        <w:jc w:val="left"/>
        <w:rPr>
          <w:sz w:val="20"/>
        </w:rPr>
      </w:pPr>
      <w:r>
        <w:rPr>
          <w:color w:val="005DA1"/>
          <w:position w:val="5"/>
          <w:sz w:val="14"/>
          <w:u w:val="single" w:color="005DA1"/>
        </w:rPr>
        <w:t>1153</w:t>
      </w:r>
      <w:r>
        <w:rPr>
          <w:position w:val="5"/>
          <w:sz w:val="14"/>
        </w:rPr>
        <w:t>.</w:t>
      </w:r>
      <w:r>
        <w:rPr>
          <w:spacing w:val="55"/>
          <w:position w:val="5"/>
          <w:sz w:val="14"/>
        </w:rPr>
        <w:t>  </w:t>
      </w:r>
      <w:r>
        <w:rPr>
          <w:rFonts w:ascii="Arial"/>
          <w:i/>
          <w:sz w:val="20"/>
        </w:rPr>
        <w:t>[2009]</w:t>
      </w:r>
      <w:r>
        <w:rPr>
          <w:rFonts w:ascii="Arial"/>
          <w:i/>
          <w:spacing w:val="1"/>
          <w:sz w:val="20"/>
        </w:rPr>
        <w:t> </w:t>
      </w:r>
      <w:r>
        <w:rPr>
          <w:rFonts w:ascii="Arial"/>
          <w:i/>
          <w:sz w:val="20"/>
        </w:rPr>
        <w:t>UKHL 18,</w:t>
      </w:r>
      <w:r>
        <w:rPr>
          <w:rFonts w:ascii="Arial"/>
          <w:i/>
          <w:spacing w:val="-1"/>
          <w:sz w:val="20"/>
        </w:rPr>
        <w:t> </w:t>
      </w:r>
      <w:r>
        <w:rPr>
          <w:rFonts w:ascii="Arial"/>
          <w:i/>
          <w:sz w:val="20"/>
        </w:rPr>
        <w:t>[2009] 1 W.L.R. 776</w:t>
      </w:r>
      <w:r>
        <w:rPr>
          <w:sz w:val="20"/>
        </w:rPr>
        <w:t>; above, para.4-</w:t>
      </w:r>
      <w:r>
        <w:rPr>
          <w:spacing w:val="-4"/>
          <w:sz w:val="20"/>
        </w:rPr>
        <w:t>149.</w:t>
      </w:r>
    </w:p>
    <w:p>
      <w:pPr>
        <w:pStyle w:val="BodyText"/>
        <w:spacing w:before="5"/>
      </w:pPr>
    </w:p>
    <w:p>
      <w:pPr>
        <w:spacing w:before="0"/>
        <w:ind w:left="165" w:right="0" w:firstLine="0"/>
        <w:jc w:val="left"/>
        <w:rPr>
          <w:sz w:val="20"/>
        </w:rPr>
      </w:pPr>
      <w:r>
        <w:rPr>
          <w:color w:val="005DA1"/>
          <w:position w:val="5"/>
          <w:sz w:val="14"/>
          <w:u w:val="single" w:color="005DA1"/>
        </w:rPr>
        <w:t>1154</w:t>
      </w:r>
      <w:r>
        <w:rPr>
          <w:position w:val="5"/>
          <w:sz w:val="14"/>
        </w:rPr>
        <w:t>.</w:t>
      </w:r>
      <w:r>
        <w:rPr>
          <w:spacing w:val="55"/>
          <w:position w:val="5"/>
          <w:sz w:val="14"/>
        </w:rPr>
        <w:t>  </w:t>
      </w:r>
      <w:r>
        <w:rPr>
          <w:rFonts w:ascii="Arial"/>
          <w:i/>
          <w:sz w:val="20"/>
        </w:rPr>
        <w:t>[2009]</w:t>
      </w:r>
      <w:r>
        <w:rPr>
          <w:rFonts w:ascii="Arial"/>
          <w:i/>
          <w:spacing w:val="1"/>
          <w:sz w:val="20"/>
        </w:rPr>
        <w:t> </w:t>
      </w:r>
      <w:r>
        <w:rPr>
          <w:rFonts w:ascii="Arial"/>
          <w:i/>
          <w:sz w:val="20"/>
        </w:rPr>
        <w:t>UKHL 18</w:t>
      </w:r>
      <w:r>
        <w:rPr>
          <w:rFonts w:ascii="Arial"/>
          <w:i/>
          <w:spacing w:val="-1"/>
          <w:sz w:val="20"/>
        </w:rPr>
        <w:t> </w:t>
      </w:r>
      <w:r>
        <w:rPr>
          <w:sz w:val="20"/>
        </w:rPr>
        <w:t>at </w:t>
      </w:r>
      <w:r>
        <w:rPr>
          <w:spacing w:val="-2"/>
          <w:sz w:val="20"/>
        </w:rPr>
        <w:t>[13].</w:t>
      </w:r>
    </w:p>
    <w:p>
      <w:pPr>
        <w:pStyle w:val="BodyText"/>
        <w:spacing w:before="5"/>
      </w:pPr>
    </w:p>
    <w:p>
      <w:pPr>
        <w:pStyle w:val="BodyText"/>
        <w:ind w:left="165"/>
      </w:pPr>
      <w:r>
        <w:rPr>
          <w:color w:val="005DA1"/>
          <w:position w:val="5"/>
          <w:sz w:val="14"/>
          <w:u w:val="single" w:color="005DA1"/>
        </w:rPr>
        <w:t>1155</w:t>
      </w:r>
      <w:r>
        <w:rPr>
          <w:position w:val="5"/>
          <w:sz w:val="14"/>
        </w:rPr>
        <w:t>.</w:t>
      </w:r>
      <w:r>
        <w:rPr>
          <w:spacing w:val="55"/>
          <w:position w:val="5"/>
          <w:sz w:val="14"/>
        </w:rPr>
        <w:t>  </w:t>
      </w:r>
      <w:r>
        <w:rPr/>
        <w:t>At</w:t>
      </w:r>
      <w:r>
        <w:rPr>
          <w:spacing w:val="1"/>
        </w:rPr>
        <w:t> </w:t>
      </w:r>
      <w:r>
        <w:rPr/>
        <w:t>[9], [13], [48] and </w:t>
      </w:r>
      <w:r>
        <w:rPr>
          <w:spacing w:val="-2"/>
        </w:rPr>
        <w:t>[66].</w:t>
      </w:r>
    </w:p>
    <w:p>
      <w:pPr>
        <w:pStyle w:val="BodyText"/>
        <w:spacing w:before="5"/>
      </w:pPr>
    </w:p>
    <w:p>
      <w:pPr>
        <w:spacing w:before="1"/>
        <w:ind w:left="165" w:right="0" w:firstLine="0"/>
        <w:jc w:val="left"/>
        <w:rPr>
          <w:sz w:val="20"/>
        </w:rPr>
      </w:pPr>
      <w:r>
        <w:rPr>
          <w:color w:val="005DA1"/>
          <w:position w:val="5"/>
          <w:sz w:val="14"/>
          <w:u w:val="single" w:color="005DA1"/>
        </w:rPr>
        <w:t>1156</w:t>
      </w:r>
      <w:r>
        <w:rPr>
          <w:position w:val="5"/>
          <w:sz w:val="14"/>
        </w:rPr>
        <w:t>.</w:t>
      </w:r>
      <w:r>
        <w:rPr>
          <w:spacing w:val="55"/>
          <w:position w:val="5"/>
          <w:sz w:val="14"/>
        </w:rPr>
        <w:t>  </w:t>
      </w:r>
      <w:r>
        <w:rPr>
          <w:sz w:val="20"/>
        </w:rPr>
        <w:t>At</w:t>
      </w:r>
      <w:r>
        <w:rPr>
          <w:spacing w:val="1"/>
          <w:sz w:val="20"/>
        </w:rPr>
        <w:t> </w:t>
      </w:r>
      <w:r>
        <w:rPr>
          <w:spacing w:val="-4"/>
          <w:sz w:val="20"/>
        </w:rPr>
        <w:t>[44].</w:t>
      </w:r>
    </w:p>
    <w:p>
      <w:pPr>
        <w:pStyle w:val="BodyText"/>
        <w:spacing w:before="8"/>
      </w:pPr>
    </w:p>
    <w:p>
      <w:pPr>
        <w:spacing w:line="235" w:lineRule="auto" w:before="0"/>
        <w:ind w:left="705" w:right="168" w:hanging="541"/>
        <w:jc w:val="both"/>
        <w:rPr>
          <w:rFonts w:ascii="Arial" w:hAnsi="Arial"/>
          <w:i/>
          <w:sz w:val="20"/>
        </w:rPr>
      </w:pPr>
      <w:r>
        <w:rPr>
          <w:color w:val="005DA1"/>
          <w:position w:val="5"/>
          <w:sz w:val="14"/>
          <w:u w:val="single" w:color="005DA1"/>
        </w:rPr>
        <w:t>1157</w:t>
      </w:r>
      <w:r>
        <w:rPr>
          <w:position w:val="5"/>
          <w:sz w:val="14"/>
        </w:rPr>
        <w:t>.</w:t>
      </w:r>
      <w:r>
        <w:rPr>
          <w:spacing w:val="80"/>
          <w:position w:val="5"/>
          <w:sz w:val="14"/>
        </w:rPr>
        <w:t> </w:t>
      </w:r>
      <w:r>
        <w:rPr>
          <w:rFonts w:ascii="Arial" w:hAnsi="Arial"/>
          <w:i/>
          <w:sz w:val="20"/>
        </w:rPr>
        <w:t>[2002] EWCA Civ 159, [2005] W.T.L.R. 367</w:t>
      </w:r>
      <w:r>
        <w:rPr>
          <w:sz w:val="20"/>
        </w:rPr>
        <w:t>. For the flexibility of the remedy, see also the decision of the Court of Appeal in </w:t>
      </w:r>
      <w:r>
        <w:rPr>
          <w:rFonts w:ascii="Arial" w:hAnsi="Arial"/>
          <w:i/>
          <w:sz w:val="20"/>
        </w:rPr>
        <w:t>Cobbe v Yeoman’s Row Management Ltd [2006] </w:t>
      </w:r>
      <w:r>
        <w:rPr>
          <w:rFonts w:ascii="Arial" w:hAnsi="Arial"/>
          <w:i/>
          <w:sz w:val="20"/>
        </w:rPr>
        <w:t>EWCA 1139,</w:t>
      </w:r>
      <w:r>
        <w:rPr>
          <w:rFonts w:ascii="Arial" w:hAnsi="Arial"/>
          <w:i/>
          <w:spacing w:val="-1"/>
          <w:sz w:val="20"/>
        </w:rPr>
        <w:t> </w:t>
      </w:r>
      <w:r>
        <w:rPr>
          <w:rFonts w:ascii="Arial" w:hAnsi="Arial"/>
          <w:i/>
          <w:sz w:val="20"/>
        </w:rPr>
        <w:t>2006 1 W.L.R. 2964</w:t>
      </w:r>
      <w:r>
        <w:rPr>
          <w:sz w:val="20"/>
        </w:rPr>
        <w:t>. This decision was reversed</w:t>
      </w:r>
      <w:r>
        <w:rPr>
          <w:spacing w:val="-1"/>
          <w:sz w:val="20"/>
        </w:rPr>
        <w:t> </w:t>
      </w:r>
      <w:r>
        <w:rPr>
          <w:sz w:val="20"/>
        </w:rPr>
        <w:t>by the House of Lords (</w:t>
      </w:r>
      <w:r>
        <w:rPr>
          <w:rFonts w:ascii="Arial" w:hAnsi="Arial"/>
          <w:i/>
          <w:sz w:val="20"/>
        </w:rPr>
        <w:t>[2008] UKHL </w:t>
      </w:r>
      <w:r>
        <w:rPr>
          <w:rFonts w:ascii="Arial" w:hAnsi="Arial"/>
          <w:i/>
          <w:spacing w:val="-5"/>
          <w:sz w:val="20"/>
        </w:rPr>
        <w:t>55,</w:t>
      </w:r>
    </w:p>
    <w:p>
      <w:pPr>
        <w:pStyle w:val="BodyText"/>
        <w:spacing w:line="235" w:lineRule="auto"/>
        <w:ind w:left="705" w:right="167"/>
        <w:jc w:val="both"/>
      </w:pPr>
      <w:r>
        <w:rPr>
          <w:rFonts w:ascii="Arial"/>
          <w:i/>
        </w:rPr>
        <w:t>[2008] 1 W.L.R. 1752</w:t>
      </w:r>
      <w:r>
        <w:rPr/>
        <w:t>, above paras 4-161 to 4-162, 4-164) on the ground that, on the facts, no proprietary</w:t>
      </w:r>
      <w:r>
        <w:rPr>
          <w:spacing w:val="-3"/>
        </w:rPr>
        <w:t> </w:t>
      </w:r>
      <w:r>
        <w:rPr/>
        <w:t>estoppel</w:t>
      </w:r>
      <w:r>
        <w:rPr>
          <w:spacing w:val="-3"/>
        </w:rPr>
        <w:t> </w:t>
      </w:r>
      <w:r>
        <w:rPr/>
        <w:t>arose.</w:t>
      </w:r>
      <w:r>
        <w:rPr>
          <w:spacing w:val="-3"/>
        </w:rPr>
        <w:t> </w:t>
      </w:r>
      <w:r>
        <w:rPr/>
        <w:t>The</w:t>
      </w:r>
      <w:r>
        <w:rPr>
          <w:spacing w:val="-3"/>
        </w:rPr>
        <w:t> </w:t>
      </w:r>
      <w:r>
        <w:rPr/>
        <w:t>speeches</w:t>
      </w:r>
      <w:r>
        <w:rPr>
          <w:spacing w:val="-3"/>
        </w:rPr>
        <w:t> </w:t>
      </w:r>
      <w:r>
        <w:rPr/>
        <w:t>in</w:t>
      </w:r>
      <w:r>
        <w:rPr>
          <w:spacing w:val="-3"/>
        </w:rPr>
        <w:t> </w:t>
      </w:r>
      <w:r>
        <w:rPr/>
        <w:t>the</w:t>
      </w:r>
      <w:r>
        <w:rPr>
          <w:spacing w:val="-3"/>
        </w:rPr>
        <w:t> </w:t>
      </w:r>
      <w:r>
        <w:rPr/>
        <w:t>House</w:t>
      </w:r>
      <w:r>
        <w:rPr>
          <w:spacing w:val="-3"/>
        </w:rPr>
        <w:t> </w:t>
      </w:r>
      <w:r>
        <w:rPr/>
        <w:t>of</w:t>
      </w:r>
      <w:r>
        <w:rPr>
          <w:spacing w:val="-3"/>
        </w:rPr>
        <w:t> </w:t>
      </w:r>
      <w:r>
        <w:rPr/>
        <w:t>Lords</w:t>
      </w:r>
      <w:r>
        <w:rPr>
          <w:spacing w:val="-3"/>
        </w:rPr>
        <w:t> </w:t>
      </w:r>
      <w:r>
        <w:rPr/>
        <w:t>therefore</w:t>
      </w:r>
      <w:r>
        <w:rPr>
          <w:spacing w:val="-3"/>
        </w:rPr>
        <w:t> </w:t>
      </w:r>
      <w:r>
        <w:rPr/>
        <w:t>contain</w:t>
      </w:r>
      <w:r>
        <w:rPr>
          <w:spacing w:val="-3"/>
        </w:rPr>
        <w:t> </w:t>
      </w:r>
      <w:r>
        <w:rPr/>
        <w:t>no</w:t>
      </w:r>
      <w:r>
        <w:rPr>
          <w:spacing w:val="-3"/>
        </w:rPr>
        <w:t> </w:t>
      </w:r>
      <w:r>
        <w:rPr/>
        <w:t>discussion of what remedy might have been appropriate if a proprietary estoppel had arisen.</w:t>
      </w:r>
    </w:p>
    <w:p>
      <w:pPr>
        <w:pStyle w:val="BodyText"/>
        <w:spacing w:before="4"/>
      </w:pPr>
    </w:p>
    <w:p>
      <w:pPr>
        <w:spacing w:before="0"/>
        <w:ind w:left="165" w:right="0" w:firstLine="0"/>
        <w:jc w:val="left"/>
        <w:rPr>
          <w:sz w:val="20"/>
        </w:rPr>
      </w:pPr>
      <w:r>
        <w:rPr>
          <w:color w:val="005DA1"/>
          <w:position w:val="5"/>
          <w:sz w:val="14"/>
          <w:u w:val="single" w:color="005DA1"/>
        </w:rPr>
        <w:t>1158</w:t>
      </w:r>
      <w:r>
        <w:rPr>
          <w:position w:val="5"/>
          <w:sz w:val="14"/>
        </w:rPr>
        <w:t>.</w:t>
      </w:r>
      <w:r>
        <w:rPr>
          <w:spacing w:val="55"/>
          <w:position w:val="5"/>
          <w:sz w:val="14"/>
        </w:rPr>
        <w:t>  </w:t>
      </w:r>
      <w:r>
        <w:rPr>
          <w:sz w:val="20"/>
        </w:rPr>
        <w:t>At</w:t>
      </w:r>
      <w:r>
        <w:rPr>
          <w:spacing w:val="1"/>
          <w:sz w:val="20"/>
        </w:rPr>
        <w:t> </w:t>
      </w:r>
      <w:r>
        <w:rPr>
          <w:spacing w:val="-4"/>
          <w:sz w:val="20"/>
        </w:rPr>
        <w:t>[9].</w:t>
      </w:r>
    </w:p>
    <w:p>
      <w:pPr>
        <w:pStyle w:val="BodyText"/>
        <w:spacing w:before="9"/>
      </w:pPr>
    </w:p>
    <w:p>
      <w:pPr>
        <w:spacing w:line="235" w:lineRule="auto" w:before="0"/>
        <w:ind w:left="705" w:right="0" w:hanging="541"/>
        <w:jc w:val="left"/>
        <w:rPr>
          <w:sz w:val="20"/>
        </w:rPr>
      </w:pPr>
      <w:r>
        <w:rPr>
          <w:color w:val="005DA1"/>
          <w:position w:val="5"/>
          <w:sz w:val="14"/>
          <w:u w:val="single" w:color="005DA1"/>
        </w:rPr>
        <w:t>1159</w:t>
      </w:r>
      <w:r>
        <w:rPr>
          <w:position w:val="5"/>
          <w:sz w:val="14"/>
        </w:rPr>
        <w:t>.</w:t>
      </w:r>
      <w:r>
        <w:rPr>
          <w:spacing w:val="147"/>
          <w:position w:val="5"/>
          <w:sz w:val="14"/>
        </w:rPr>
        <w:t> </w:t>
      </w:r>
      <w:bookmarkStart w:name="_bookmark1829" w:id="1831"/>
      <w:bookmarkEnd w:id="1831"/>
      <w:r>
        <w:rPr>
          <w:spacing w:val="-4"/>
          <w:position w:val="5"/>
          <w:sz w:val="14"/>
        </w:rPr>
      </w:r>
      <w:r>
        <w:rPr>
          <w:rFonts w:ascii="Arial" w:hAnsi="Arial"/>
          <w:i/>
          <w:sz w:val="20"/>
        </w:rPr>
        <w:t>Evans</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HSBC</w:t>
      </w:r>
      <w:r>
        <w:rPr>
          <w:rFonts w:ascii="Arial" w:hAnsi="Arial"/>
          <w:i/>
          <w:spacing w:val="24"/>
          <w:sz w:val="20"/>
        </w:rPr>
        <w:t> </w:t>
      </w:r>
      <w:r>
        <w:rPr>
          <w:rFonts w:ascii="Arial" w:hAnsi="Arial"/>
          <w:i/>
          <w:sz w:val="20"/>
        </w:rPr>
        <w:t>Trust</w:t>
      </w:r>
      <w:r>
        <w:rPr>
          <w:rFonts w:ascii="Arial" w:hAnsi="Arial"/>
          <w:i/>
          <w:spacing w:val="24"/>
          <w:sz w:val="20"/>
        </w:rPr>
        <w:t> </w:t>
      </w:r>
      <w:r>
        <w:rPr>
          <w:rFonts w:ascii="Arial" w:hAnsi="Arial"/>
          <w:i/>
          <w:sz w:val="20"/>
        </w:rPr>
        <w:t>Co</w:t>
      </w:r>
      <w:r>
        <w:rPr>
          <w:rFonts w:ascii="Arial" w:hAnsi="Arial"/>
          <w:i/>
          <w:spacing w:val="24"/>
          <w:sz w:val="20"/>
        </w:rPr>
        <w:t> </w:t>
      </w:r>
      <w:r>
        <w:rPr>
          <w:rFonts w:ascii="Arial" w:hAnsi="Arial"/>
          <w:i/>
          <w:sz w:val="20"/>
        </w:rPr>
        <w:t>(UK)</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z w:val="20"/>
        </w:rPr>
        <w:t>[2005]</w:t>
      </w:r>
      <w:r>
        <w:rPr>
          <w:rFonts w:ascii="Arial" w:hAnsi="Arial"/>
          <w:i/>
          <w:spacing w:val="24"/>
          <w:sz w:val="20"/>
        </w:rPr>
        <w:t> </w:t>
      </w:r>
      <w:r>
        <w:rPr>
          <w:rFonts w:ascii="Arial" w:hAnsi="Arial"/>
          <w:i/>
          <w:sz w:val="20"/>
        </w:rPr>
        <w:t>W.T.L.R.</w:t>
      </w:r>
      <w:r>
        <w:rPr>
          <w:rFonts w:ascii="Arial" w:hAnsi="Arial"/>
          <w:i/>
          <w:spacing w:val="24"/>
          <w:sz w:val="20"/>
        </w:rPr>
        <w:t> </w:t>
      </w:r>
      <w:r>
        <w:rPr>
          <w:rFonts w:ascii="Arial" w:hAnsi="Arial"/>
          <w:i/>
          <w:sz w:val="20"/>
        </w:rPr>
        <w:t>1289</w:t>
      </w:r>
      <w:r>
        <w:rPr>
          <w:sz w:val="20"/>
        </w:rPr>
        <w:t>,</w:t>
      </w:r>
      <w:r>
        <w:rPr>
          <w:spacing w:val="24"/>
          <w:sz w:val="20"/>
        </w:rPr>
        <w:t> </w:t>
      </w:r>
      <w:r>
        <w:rPr>
          <w:sz w:val="20"/>
        </w:rPr>
        <w:t>as</w:t>
      </w:r>
      <w:r>
        <w:rPr>
          <w:spacing w:val="24"/>
          <w:sz w:val="20"/>
        </w:rPr>
        <w:t> </w:t>
      </w:r>
      <w:r>
        <w:rPr>
          <w:sz w:val="20"/>
        </w:rPr>
        <w:t>to</w:t>
      </w:r>
      <w:r>
        <w:rPr>
          <w:spacing w:val="24"/>
          <w:sz w:val="20"/>
        </w:rPr>
        <w:t> </w:t>
      </w:r>
      <w:r>
        <w:rPr>
          <w:sz w:val="20"/>
        </w:rPr>
        <w:t>which</w:t>
      </w:r>
      <w:r>
        <w:rPr>
          <w:spacing w:val="24"/>
          <w:sz w:val="20"/>
        </w:rPr>
        <w:t> </w:t>
      </w:r>
      <w:r>
        <w:rPr>
          <w:sz w:val="20"/>
        </w:rPr>
        <w:t>see</w:t>
      </w:r>
      <w:r>
        <w:rPr>
          <w:spacing w:val="24"/>
          <w:sz w:val="20"/>
        </w:rPr>
        <w:t> </w:t>
      </w:r>
      <w:r>
        <w:rPr>
          <w:sz w:val="20"/>
        </w:rPr>
        <w:t>above,</w:t>
      </w:r>
      <w:r>
        <w:rPr>
          <w:spacing w:val="24"/>
          <w:sz w:val="20"/>
        </w:rPr>
        <w:t> </w:t>
      </w:r>
      <w:r>
        <w:rPr>
          <w:sz w:val="20"/>
        </w:rPr>
        <w:t>para.4-160 n.983.</w:t>
      </w:r>
      <w:r>
        <w:rPr>
          <w:spacing w:val="5"/>
          <w:sz w:val="20"/>
        </w:rPr>
        <w:t> </w:t>
      </w:r>
      <w:r>
        <w:rPr>
          <w:sz w:val="20"/>
        </w:rPr>
        <w:t>See</w:t>
      </w:r>
      <w:r>
        <w:rPr>
          <w:spacing w:val="7"/>
          <w:sz w:val="20"/>
        </w:rPr>
        <w:t> </w:t>
      </w:r>
      <w:r>
        <w:rPr>
          <w:sz w:val="20"/>
        </w:rPr>
        <w:t>also</w:t>
      </w:r>
      <w:r>
        <w:rPr>
          <w:spacing w:val="7"/>
          <w:sz w:val="20"/>
        </w:rPr>
        <w:t> </w:t>
      </w:r>
      <w:r>
        <w:rPr>
          <w:rFonts w:ascii="Arial" w:hAnsi="Arial"/>
          <w:i/>
          <w:sz w:val="20"/>
        </w:rPr>
        <w:t>Fisher</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Brooker</w:t>
      </w:r>
      <w:r>
        <w:rPr>
          <w:rFonts w:ascii="Arial" w:hAnsi="Arial"/>
          <w:i/>
          <w:spacing w:val="7"/>
          <w:sz w:val="20"/>
        </w:rPr>
        <w:t> </w:t>
      </w:r>
      <w:r>
        <w:rPr>
          <w:rFonts w:ascii="Arial" w:hAnsi="Arial"/>
          <w:i/>
          <w:sz w:val="20"/>
        </w:rPr>
        <w:t>[2009]</w:t>
      </w:r>
      <w:r>
        <w:rPr>
          <w:rFonts w:ascii="Arial" w:hAnsi="Arial"/>
          <w:i/>
          <w:spacing w:val="7"/>
          <w:sz w:val="20"/>
        </w:rPr>
        <w:t> </w:t>
      </w:r>
      <w:r>
        <w:rPr>
          <w:rFonts w:ascii="Arial" w:hAnsi="Arial"/>
          <w:i/>
          <w:sz w:val="20"/>
        </w:rPr>
        <w:t>UKHL</w:t>
      </w:r>
      <w:r>
        <w:rPr>
          <w:rFonts w:ascii="Arial" w:hAnsi="Arial"/>
          <w:i/>
          <w:spacing w:val="7"/>
          <w:sz w:val="20"/>
        </w:rPr>
        <w:t> </w:t>
      </w:r>
      <w:r>
        <w:rPr>
          <w:rFonts w:ascii="Arial" w:hAnsi="Arial"/>
          <w:i/>
          <w:sz w:val="20"/>
        </w:rPr>
        <w:t>41,</w:t>
      </w:r>
      <w:r>
        <w:rPr>
          <w:rFonts w:ascii="Arial" w:hAnsi="Arial"/>
          <w:i/>
          <w:spacing w:val="7"/>
          <w:sz w:val="20"/>
        </w:rPr>
        <w:t> </w:t>
      </w:r>
      <w:r>
        <w:rPr>
          <w:rFonts w:ascii="Arial" w:hAnsi="Arial"/>
          <w:i/>
          <w:sz w:val="20"/>
        </w:rPr>
        <w:t>[2009]</w:t>
      </w:r>
      <w:r>
        <w:rPr>
          <w:rFonts w:ascii="Arial" w:hAnsi="Arial"/>
          <w:i/>
          <w:spacing w:val="7"/>
          <w:sz w:val="20"/>
        </w:rPr>
        <w:t> </w:t>
      </w:r>
      <w:r>
        <w:rPr>
          <w:rFonts w:ascii="Arial" w:hAnsi="Arial"/>
          <w:i/>
          <w:sz w:val="20"/>
        </w:rPr>
        <w:t>1</w:t>
      </w:r>
      <w:r>
        <w:rPr>
          <w:rFonts w:ascii="Arial" w:hAnsi="Arial"/>
          <w:i/>
          <w:spacing w:val="7"/>
          <w:sz w:val="20"/>
        </w:rPr>
        <w:t> </w:t>
      </w:r>
      <w:r>
        <w:rPr>
          <w:rFonts w:ascii="Arial" w:hAnsi="Arial"/>
          <w:i/>
          <w:sz w:val="20"/>
        </w:rPr>
        <w:t>W.L.R.</w:t>
      </w:r>
      <w:r>
        <w:rPr>
          <w:rFonts w:ascii="Arial" w:hAnsi="Arial"/>
          <w:i/>
          <w:spacing w:val="7"/>
          <w:sz w:val="20"/>
        </w:rPr>
        <w:t> </w:t>
      </w:r>
      <w:r>
        <w:rPr>
          <w:rFonts w:ascii="Arial" w:hAnsi="Arial"/>
          <w:i/>
          <w:sz w:val="20"/>
        </w:rPr>
        <w:t>1764</w:t>
      </w:r>
      <w:r>
        <w:rPr>
          <w:rFonts w:ascii="Arial" w:hAnsi="Arial"/>
          <w:i/>
          <w:spacing w:val="7"/>
          <w:sz w:val="20"/>
        </w:rPr>
        <w:t> </w:t>
      </w:r>
      <w:r>
        <w:rPr>
          <w:sz w:val="20"/>
        </w:rPr>
        <w:t>at</w:t>
      </w:r>
      <w:r>
        <w:rPr>
          <w:spacing w:val="7"/>
          <w:sz w:val="20"/>
        </w:rPr>
        <w:t> </w:t>
      </w:r>
      <w:r>
        <w:rPr>
          <w:sz w:val="20"/>
        </w:rPr>
        <w:t>[11]</w:t>
      </w:r>
      <w:r>
        <w:rPr>
          <w:spacing w:val="7"/>
          <w:sz w:val="20"/>
        </w:rPr>
        <w:t> </w:t>
      </w:r>
      <w:r>
        <w:rPr>
          <w:sz w:val="20"/>
        </w:rPr>
        <w:t>(“giving</w:t>
      </w:r>
      <w:r>
        <w:rPr>
          <w:spacing w:val="7"/>
          <w:sz w:val="20"/>
        </w:rPr>
        <w:t> </w:t>
      </w:r>
      <w:r>
        <w:rPr>
          <w:spacing w:val="-2"/>
          <w:sz w:val="20"/>
        </w:rPr>
        <w:t>weight</w:t>
      </w:r>
    </w:p>
    <w:p>
      <w:pPr>
        <w:spacing w:after="0" w:line="235" w:lineRule="auto"/>
        <w:jc w:val="left"/>
        <w:rPr>
          <w:sz w:val="20"/>
        </w:rPr>
        <w:sectPr>
          <w:pgSz w:w="11900" w:h="16840"/>
          <w:pgMar w:header="971" w:footer="0" w:top="1160" w:bottom="280" w:left="1275" w:right="1275"/>
        </w:sectPr>
      </w:pPr>
    </w:p>
    <w:p>
      <w:pPr>
        <w:pStyle w:val="BodyText"/>
        <w:spacing w:before="27"/>
      </w:pPr>
      <w:bookmarkStart w:name="_bookmark1830" w:id="1832"/>
      <w:bookmarkEnd w:id="1832"/>
      <w:r>
        <w:rPr/>
      </w:r>
      <w:r>
        <w:rPr/>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569" w:hRule="atLeast"/>
        </w:trPr>
        <w:tc>
          <w:tcPr>
            <w:tcW w:w="496" w:type="dxa"/>
          </w:tcPr>
          <w:p>
            <w:pPr>
              <w:pStyle w:val="TableParagraph"/>
              <w:spacing w:before="0"/>
              <w:ind w:left="0"/>
              <w:rPr>
                <w:rFonts w:ascii="Times New Roman"/>
                <w:sz w:val="18"/>
              </w:rPr>
            </w:pPr>
          </w:p>
        </w:tc>
        <w:tc>
          <w:tcPr>
            <w:tcW w:w="8621" w:type="dxa"/>
          </w:tcPr>
          <w:p>
            <w:pPr>
              <w:pStyle w:val="TableParagraph"/>
              <w:spacing w:line="221" w:lineRule="exact" w:before="0"/>
              <w:rPr>
                <w:sz w:val="20"/>
              </w:rPr>
            </w:pPr>
            <w:r>
              <w:rPr>
                <w:sz w:val="20"/>
              </w:rPr>
              <w:t>to</w:t>
            </w:r>
            <w:r>
              <w:rPr>
                <w:spacing w:val="20"/>
                <w:sz w:val="20"/>
              </w:rPr>
              <w:t> </w:t>
            </w:r>
            <w:r>
              <w:rPr>
                <w:sz w:val="20"/>
              </w:rPr>
              <w:t>countervailing</w:t>
            </w:r>
            <w:r>
              <w:rPr>
                <w:spacing w:val="20"/>
                <w:sz w:val="20"/>
              </w:rPr>
              <w:t> </w:t>
            </w:r>
            <w:r>
              <w:rPr>
                <w:sz w:val="20"/>
              </w:rPr>
              <w:t>advantages</w:t>
            </w:r>
            <w:r>
              <w:rPr>
                <w:spacing w:val="20"/>
                <w:sz w:val="20"/>
              </w:rPr>
              <w:t> </w:t>
            </w:r>
            <w:r>
              <w:rPr>
                <w:sz w:val="20"/>
              </w:rPr>
              <w:t>received</w:t>
            </w:r>
            <w:r>
              <w:rPr>
                <w:spacing w:val="20"/>
                <w:sz w:val="20"/>
              </w:rPr>
              <w:t> </w:t>
            </w:r>
            <w:r>
              <w:rPr>
                <w:sz w:val="20"/>
              </w:rPr>
              <w:t>by”</w:t>
            </w:r>
            <w:r>
              <w:rPr>
                <w:spacing w:val="20"/>
                <w:sz w:val="20"/>
              </w:rPr>
              <w:t> </w:t>
            </w:r>
            <w:r>
              <w:rPr>
                <w:sz w:val="20"/>
              </w:rPr>
              <w:t>the</w:t>
            </w:r>
            <w:r>
              <w:rPr>
                <w:spacing w:val="20"/>
                <w:sz w:val="20"/>
              </w:rPr>
              <w:t> </w:t>
            </w:r>
            <w:r>
              <w:rPr>
                <w:sz w:val="20"/>
              </w:rPr>
              <w:t>promisee),</w:t>
            </w:r>
            <w:r>
              <w:rPr>
                <w:spacing w:val="20"/>
                <w:sz w:val="20"/>
              </w:rPr>
              <w:t> </w:t>
            </w:r>
            <w:r>
              <w:rPr>
                <w:sz w:val="20"/>
              </w:rPr>
              <w:t>illustrating</w:t>
            </w:r>
            <w:r>
              <w:rPr>
                <w:spacing w:val="20"/>
                <w:sz w:val="20"/>
              </w:rPr>
              <w:t> </w:t>
            </w:r>
            <w:r>
              <w:rPr>
                <w:sz w:val="20"/>
              </w:rPr>
              <w:t>this</w:t>
            </w:r>
            <w:r>
              <w:rPr>
                <w:spacing w:val="20"/>
                <w:sz w:val="20"/>
              </w:rPr>
              <w:t> </w:t>
            </w:r>
            <w:r>
              <w:rPr>
                <w:sz w:val="20"/>
              </w:rPr>
              <w:t>point</w:t>
            </w:r>
            <w:r>
              <w:rPr>
                <w:spacing w:val="20"/>
                <w:sz w:val="20"/>
              </w:rPr>
              <w:t> </w:t>
            </w:r>
            <w:r>
              <w:rPr>
                <w:sz w:val="20"/>
              </w:rPr>
              <w:t>by</w:t>
            </w:r>
            <w:r>
              <w:rPr>
                <w:spacing w:val="20"/>
                <w:sz w:val="20"/>
              </w:rPr>
              <w:t> </w:t>
            </w:r>
            <w:r>
              <w:rPr>
                <w:sz w:val="20"/>
              </w:rPr>
              <w:t>reference</w:t>
            </w:r>
            <w:r>
              <w:rPr>
                <w:spacing w:val="20"/>
                <w:sz w:val="20"/>
              </w:rPr>
              <w:t> </w:t>
            </w:r>
            <w:r>
              <w:rPr>
                <w:spacing w:val="-5"/>
                <w:sz w:val="20"/>
              </w:rPr>
              <w:t>to</w:t>
            </w:r>
          </w:p>
          <w:p>
            <w:pPr>
              <w:pStyle w:val="TableParagraph"/>
              <w:spacing w:line="227" w:lineRule="exact" w:before="0"/>
              <w:rPr>
                <w:sz w:val="20"/>
              </w:rPr>
            </w:pPr>
            <w:r>
              <w:rPr>
                <w:rFonts w:ascii="Arial"/>
                <w:i/>
                <w:sz w:val="20"/>
              </w:rPr>
              <w:t>Sledmore</w:t>
            </w:r>
            <w:r>
              <w:rPr>
                <w:rFonts w:ascii="Arial"/>
                <w:i/>
                <w:spacing w:val="-1"/>
                <w:sz w:val="20"/>
              </w:rPr>
              <w:t> </w:t>
            </w:r>
            <w:r>
              <w:rPr>
                <w:rFonts w:ascii="Arial"/>
                <w:i/>
                <w:sz w:val="20"/>
              </w:rPr>
              <w:t>v Dalby (1996) 72 P. &amp; C.R. 196</w:t>
            </w:r>
            <w:r>
              <w:rPr>
                <w:sz w:val="20"/>
              </w:rPr>
              <w:t>, stated below, para.4-</w:t>
            </w:r>
            <w:r>
              <w:rPr>
                <w:spacing w:val="-4"/>
                <w:sz w:val="20"/>
              </w:rPr>
              <w:t>179.</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1160</w:t>
            </w:r>
            <w:r>
              <w:rPr>
                <w:spacing w:val="-2"/>
                <w:sz w:val="14"/>
              </w:rPr>
              <w:t>.</w:t>
            </w:r>
          </w:p>
        </w:tc>
        <w:tc>
          <w:tcPr>
            <w:tcW w:w="8621" w:type="dxa"/>
          </w:tcPr>
          <w:p>
            <w:pPr>
              <w:pStyle w:val="TableParagraph"/>
              <w:spacing w:before="114"/>
              <w:rPr>
                <w:sz w:val="20"/>
              </w:rPr>
            </w:pPr>
            <w:r>
              <w:rPr>
                <w:rFonts w:ascii="Arial"/>
                <w:i/>
                <w:sz w:val="20"/>
              </w:rPr>
              <w:t>[2010] UKPC 3, [2010] 1 All E.R. </w:t>
            </w:r>
            <w:r>
              <w:rPr>
                <w:rFonts w:ascii="Arial"/>
                <w:i/>
                <w:spacing w:val="-4"/>
                <w:sz w:val="20"/>
              </w:rPr>
              <w:t>988</w:t>
            </w:r>
            <w:r>
              <w:rPr>
                <w:spacing w:val="-4"/>
                <w:sz w:val="20"/>
              </w:rPr>
              <w:t>.</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1161</w:t>
            </w:r>
            <w:r>
              <w:rPr>
                <w:spacing w:val="-2"/>
                <w:sz w:val="14"/>
              </w:rPr>
              <w:t>.</w:t>
            </w:r>
          </w:p>
        </w:tc>
        <w:tc>
          <w:tcPr>
            <w:tcW w:w="8621" w:type="dxa"/>
          </w:tcPr>
          <w:p>
            <w:pPr>
              <w:pStyle w:val="TableParagraph"/>
              <w:spacing w:before="114"/>
              <w:rPr>
                <w:sz w:val="20"/>
              </w:rPr>
            </w:pPr>
            <w:r>
              <w:rPr>
                <w:sz w:val="20"/>
              </w:rPr>
              <w:t>See para.4-158 </w:t>
            </w:r>
            <w:r>
              <w:rPr>
                <w:spacing w:val="-2"/>
                <w:sz w:val="20"/>
              </w:rPr>
              <w:t>above.</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1162</w:t>
            </w:r>
            <w:r>
              <w:rPr>
                <w:spacing w:val="-2"/>
                <w:sz w:val="14"/>
              </w:rPr>
              <w:t>.</w:t>
            </w:r>
          </w:p>
        </w:tc>
        <w:tc>
          <w:tcPr>
            <w:tcW w:w="8621" w:type="dxa"/>
          </w:tcPr>
          <w:p>
            <w:pPr>
              <w:pStyle w:val="TableParagraph"/>
              <w:spacing w:before="114"/>
              <w:rPr>
                <w:sz w:val="20"/>
              </w:rPr>
            </w:pPr>
            <w:r>
              <w:rPr>
                <w:rFonts w:ascii="Arial"/>
                <w:i/>
                <w:sz w:val="20"/>
              </w:rPr>
              <w:t>[1976]</w:t>
            </w:r>
            <w:r>
              <w:rPr>
                <w:rFonts w:ascii="Arial"/>
                <w:i/>
                <w:spacing w:val="-1"/>
                <w:sz w:val="20"/>
              </w:rPr>
              <w:t> </w:t>
            </w:r>
            <w:r>
              <w:rPr>
                <w:rFonts w:ascii="Arial"/>
                <w:i/>
                <w:sz w:val="20"/>
              </w:rPr>
              <w:t>Ch. 179</w:t>
            </w:r>
            <w:r>
              <w:rPr>
                <w:sz w:val="20"/>
              </w:rPr>
              <w:t>; above, para.4-</w:t>
            </w:r>
            <w:r>
              <w:rPr>
                <w:spacing w:val="-4"/>
                <w:sz w:val="20"/>
              </w:rPr>
              <w:t>143.</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1163</w:t>
            </w:r>
            <w:r>
              <w:rPr>
                <w:spacing w:val="-2"/>
                <w:sz w:val="14"/>
              </w:rPr>
              <w:t>.</w:t>
            </w:r>
          </w:p>
        </w:tc>
        <w:tc>
          <w:tcPr>
            <w:tcW w:w="8621" w:type="dxa"/>
          </w:tcPr>
          <w:p>
            <w:pPr>
              <w:pStyle w:val="TableParagraph"/>
              <w:spacing w:before="114"/>
              <w:rPr>
                <w:sz w:val="20"/>
              </w:rPr>
            </w:pPr>
            <w:r>
              <w:rPr>
                <w:rFonts w:ascii="Arial"/>
                <w:i/>
                <w:sz w:val="20"/>
              </w:rPr>
              <w:t>[1976]</w:t>
            </w:r>
            <w:r>
              <w:rPr>
                <w:rFonts w:ascii="Arial"/>
                <w:i/>
                <w:spacing w:val="-1"/>
                <w:sz w:val="20"/>
              </w:rPr>
              <w:t> </w:t>
            </w:r>
            <w:r>
              <w:rPr>
                <w:rFonts w:ascii="Arial"/>
                <w:i/>
                <w:sz w:val="20"/>
              </w:rPr>
              <w:t>Ch. at 199</w:t>
            </w:r>
            <w:r>
              <w:rPr>
                <w:sz w:val="20"/>
              </w:rPr>
              <w:t>; cf. ibid., at </w:t>
            </w:r>
            <w:r>
              <w:rPr>
                <w:spacing w:val="-4"/>
                <w:sz w:val="20"/>
              </w:rPr>
              <w:t>189.</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1164</w:t>
            </w:r>
            <w:r>
              <w:rPr>
                <w:spacing w:val="-2"/>
                <w:sz w:val="14"/>
              </w:rPr>
              <w:t>.</w:t>
            </w:r>
          </w:p>
        </w:tc>
        <w:tc>
          <w:tcPr>
            <w:tcW w:w="8621" w:type="dxa"/>
          </w:tcPr>
          <w:p>
            <w:pPr>
              <w:pStyle w:val="TableParagraph"/>
              <w:spacing w:before="114"/>
              <w:rPr>
                <w:sz w:val="20"/>
              </w:rPr>
            </w:pPr>
            <w:r>
              <w:rPr>
                <w:rFonts w:ascii="Arial"/>
                <w:i/>
                <w:sz w:val="20"/>
              </w:rPr>
              <w:t>[1979]</w:t>
            </w:r>
            <w:r>
              <w:rPr>
                <w:rFonts w:ascii="Arial"/>
                <w:i/>
                <w:spacing w:val="-2"/>
                <w:sz w:val="20"/>
              </w:rPr>
              <w:t> </w:t>
            </w:r>
            <w:r>
              <w:rPr>
                <w:rFonts w:ascii="Arial"/>
                <w:i/>
                <w:sz w:val="20"/>
              </w:rPr>
              <w:t>1 W.L.R. </w:t>
            </w:r>
            <w:r>
              <w:rPr>
                <w:rFonts w:ascii="Arial"/>
                <w:i/>
                <w:spacing w:val="-4"/>
                <w:sz w:val="20"/>
              </w:rPr>
              <w:t>431</w:t>
            </w:r>
            <w:r>
              <w:rPr>
                <w:spacing w:val="-4"/>
                <w:sz w:val="20"/>
              </w:rPr>
              <w:t>.</w:t>
            </w:r>
          </w:p>
        </w:tc>
      </w:tr>
      <w:tr>
        <w:trPr>
          <w:trHeight w:val="1140" w:hRule="atLeast"/>
        </w:trPr>
        <w:tc>
          <w:tcPr>
            <w:tcW w:w="496" w:type="dxa"/>
          </w:tcPr>
          <w:p>
            <w:pPr>
              <w:pStyle w:val="TableParagraph"/>
              <w:ind w:left="0" w:right="43"/>
              <w:jc w:val="center"/>
              <w:rPr>
                <w:sz w:val="14"/>
              </w:rPr>
            </w:pPr>
            <w:r>
              <w:rPr>
                <w:color w:val="005DA1"/>
                <w:spacing w:val="-2"/>
                <w:sz w:val="14"/>
                <w:u w:val="single" w:color="005DA1"/>
              </w:rPr>
              <w:t>1165</w:t>
            </w:r>
            <w:r>
              <w:rPr>
                <w:spacing w:val="-2"/>
                <w:sz w:val="14"/>
              </w:rPr>
              <w:t>.</w:t>
            </w:r>
          </w:p>
        </w:tc>
        <w:tc>
          <w:tcPr>
            <w:tcW w:w="8621" w:type="dxa"/>
          </w:tcPr>
          <w:p>
            <w:pPr>
              <w:pStyle w:val="TableParagraph"/>
              <w:spacing w:line="235" w:lineRule="auto" w:before="118"/>
              <w:ind w:right="49"/>
              <w:jc w:val="both"/>
              <w:rPr>
                <w:sz w:val="20"/>
              </w:rPr>
            </w:pPr>
            <w:r>
              <w:rPr>
                <w:sz w:val="20"/>
              </w:rPr>
              <w:t>ibid. at 439. cf. the reference in </w:t>
            </w:r>
            <w:r>
              <w:rPr>
                <w:rFonts w:ascii="Arial" w:hAnsi="Arial"/>
                <w:i/>
                <w:sz w:val="20"/>
              </w:rPr>
              <w:t>Gillett v Holt [2001] Ch. 210 </w:t>
            </w:r>
            <w:r>
              <w:rPr>
                <w:sz w:val="20"/>
              </w:rPr>
              <w:t>at 235 to the promisee’s </w:t>
            </w:r>
            <w:r>
              <w:rPr>
                <w:sz w:val="20"/>
              </w:rPr>
              <w:t>“bitter humiliation” on being summarily dismissed and made the subject of a police investigation for allegations of dishonesty which the promisor made no attempt to justify at the trial of the civil </w:t>
            </w:r>
            <w:r>
              <w:rPr>
                <w:spacing w:val="-2"/>
                <w:sz w:val="20"/>
              </w:rPr>
              <w:t>action.</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1166</w:t>
            </w:r>
            <w:r>
              <w:rPr>
                <w:spacing w:val="-2"/>
                <w:sz w:val="14"/>
              </w:rPr>
              <w:t>.</w:t>
            </w:r>
          </w:p>
        </w:tc>
        <w:tc>
          <w:tcPr>
            <w:tcW w:w="8621" w:type="dxa"/>
          </w:tcPr>
          <w:p>
            <w:pPr>
              <w:pStyle w:val="TableParagraph"/>
              <w:spacing w:before="114"/>
              <w:rPr>
                <w:sz w:val="20"/>
              </w:rPr>
            </w:pPr>
            <w:r>
              <w:rPr>
                <w:sz w:val="20"/>
              </w:rPr>
              <w:t>As</w:t>
            </w:r>
            <w:r>
              <w:rPr>
                <w:spacing w:val="-3"/>
                <w:sz w:val="20"/>
              </w:rPr>
              <w:t> </w:t>
            </w:r>
            <w:r>
              <w:rPr>
                <w:sz w:val="20"/>
              </w:rPr>
              <w:t>in</w:t>
            </w:r>
            <w:r>
              <w:rPr>
                <w:spacing w:val="-1"/>
                <w:sz w:val="20"/>
              </w:rPr>
              <w:t> </w:t>
            </w:r>
            <w:r>
              <w:rPr>
                <w:rFonts w:ascii="Arial"/>
                <w:i/>
                <w:sz w:val="20"/>
              </w:rPr>
              <w:t>Griffiths v Williams [1978] E.G. 919</w:t>
            </w:r>
            <w:r>
              <w:rPr>
                <w:sz w:val="20"/>
              </w:rPr>
              <w:t>; above, para.4-</w:t>
            </w:r>
            <w:r>
              <w:rPr>
                <w:spacing w:val="-4"/>
                <w:sz w:val="20"/>
              </w:rPr>
              <w:t>170.</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1167</w:t>
            </w:r>
            <w:r>
              <w:rPr>
                <w:spacing w:val="-2"/>
                <w:sz w:val="14"/>
              </w:rPr>
              <w:t>.</w:t>
            </w:r>
          </w:p>
        </w:tc>
        <w:tc>
          <w:tcPr>
            <w:tcW w:w="8621" w:type="dxa"/>
          </w:tcPr>
          <w:p>
            <w:pPr>
              <w:pStyle w:val="TableParagraph"/>
              <w:spacing w:before="114"/>
              <w:rPr>
                <w:sz w:val="20"/>
              </w:rPr>
            </w:pPr>
            <w:r>
              <w:rPr>
                <w:rFonts w:ascii="Arial"/>
                <w:i/>
                <w:sz w:val="20"/>
              </w:rPr>
              <w:t>[1965]</w:t>
            </w:r>
            <w:r>
              <w:rPr>
                <w:rFonts w:ascii="Arial"/>
                <w:i/>
                <w:spacing w:val="-1"/>
                <w:sz w:val="20"/>
              </w:rPr>
              <w:t> </w:t>
            </w:r>
            <w:r>
              <w:rPr>
                <w:rFonts w:ascii="Arial"/>
                <w:i/>
                <w:sz w:val="20"/>
              </w:rPr>
              <w:t>2 Q.B. 507</w:t>
            </w:r>
            <w:r>
              <w:rPr>
                <w:sz w:val="20"/>
              </w:rPr>
              <w:t>; above, para.4-</w:t>
            </w:r>
            <w:r>
              <w:rPr>
                <w:spacing w:val="-4"/>
                <w:sz w:val="20"/>
              </w:rPr>
              <w:t>141.</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1168</w:t>
            </w:r>
            <w:r>
              <w:rPr>
                <w:spacing w:val="-2"/>
                <w:sz w:val="14"/>
              </w:rPr>
              <w:t>.</w:t>
            </w:r>
          </w:p>
        </w:tc>
        <w:tc>
          <w:tcPr>
            <w:tcW w:w="8621" w:type="dxa"/>
          </w:tcPr>
          <w:p>
            <w:pPr>
              <w:pStyle w:val="TableParagraph"/>
              <w:spacing w:before="114"/>
              <w:rPr>
                <w:sz w:val="20"/>
              </w:rPr>
            </w:pPr>
            <w:r>
              <w:rPr>
                <w:sz w:val="20"/>
              </w:rPr>
              <w:t>cf. criticisms of the law by Browne-Wilkinson J. in</w:t>
            </w:r>
            <w:r>
              <w:rPr>
                <w:spacing w:val="-1"/>
                <w:sz w:val="20"/>
              </w:rPr>
              <w:t> </w:t>
            </w:r>
            <w:r>
              <w:rPr>
                <w:rFonts w:ascii="Arial"/>
                <w:i/>
                <w:sz w:val="20"/>
              </w:rPr>
              <w:t>Re Sharpe [1980] 1 W.L.R. 219, </w:t>
            </w:r>
            <w:r>
              <w:rPr>
                <w:rFonts w:ascii="Arial"/>
                <w:i/>
                <w:spacing w:val="-4"/>
                <w:sz w:val="20"/>
              </w:rPr>
              <w:t>226</w:t>
            </w:r>
            <w:r>
              <w:rPr>
                <w:spacing w:val="-4"/>
                <w:sz w:val="20"/>
              </w:rPr>
              <w:t>.</w:t>
            </w:r>
          </w:p>
        </w:tc>
      </w:tr>
      <w:tr>
        <w:trPr>
          <w:trHeight w:val="1365" w:hRule="atLeast"/>
        </w:trPr>
        <w:tc>
          <w:tcPr>
            <w:tcW w:w="496" w:type="dxa"/>
          </w:tcPr>
          <w:p>
            <w:pPr>
              <w:pStyle w:val="TableParagraph"/>
              <w:ind w:left="0" w:right="43"/>
              <w:jc w:val="center"/>
              <w:rPr>
                <w:sz w:val="14"/>
              </w:rPr>
            </w:pPr>
            <w:r>
              <w:rPr>
                <w:color w:val="005DA1"/>
                <w:spacing w:val="-2"/>
                <w:sz w:val="14"/>
                <w:u w:val="single" w:color="005DA1"/>
              </w:rPr>
              <w:t>1169</w:t>
            </w:r>
            <w:r>
              <w:rPr>
                <w:spacing w:val="-2"/>
                <w:sz w:val="14"/>
              </w:rPr>
              <w:t>.</w:t>
            </w:r>
          </w:p>
        </w:tc>
        <w:tc>
          <w:tcPr>
            <w:tcW w:w="8621" w:type="dxa"/>
          </w:tcPr>
          <w:p>
            <w:pPr>
              <w:pStyle w:val="TableParagraph"/>
              <w:spacing w:line="235" w:lineRule="auto" w:before="118"/>
              <w:ind w:right="51"/>
              <w:jc w:val="both"/>
              <w:rPr>
                <w:rFonts w:ascii="Arial"/>
                <w:i/>
                <w:sz w:val="20"/>
              </w:rPr>
            </w:pPr>
            <w:r>
              <w:rPr>
                <w:rFonts w:ascii="Arial"/>
                <w:i/>
                <w:sz w:val="20"/>
              </w:rPr>
              <w:t>[1973] E.G.D. 233</w:t>
            </w:r>
            <w:r>
              <w:rPr>
                <w:sz w:val="20"/>
              </w:rPr>
              <w:t>; to the extent that the reasoning is based on the provisions of Settled Land Act 1925, s.1, it is criticised in </w:t>
            </w:r>
            <w:r>
              <w:rPr>
                <w:rFonts w:ascii="Arial"/>
                <w:i/>
                <w:sz w:val="20"/>
              </w:rPr>
              <w:t>Griffiths v Williams [1978] E.G.D. 919</w:t>
            </w:r>
            <w:r>
              <w:rPr>
                <w:sz w:val="20"/>
              </w:rPr>
              <w:t>. cf. </w:t>
            </w:r>
            <w:r>
              <w:rPr>
                <w:rFonts w:ascii="Arial"/>
                <w:i/>
                <w:sz w:val="20"/>
              </w:rPr>
              <w:t>Campbell v </w:t>
            </w:r>
            <w:r>
              <w:rPr>
                <w:rFonts w:ascii="Arial"/>
                <w:i/>
                <w:sz w:val="20"/>
              </w:rPr>
              <w:t>Griffin [2001]</w:t>
            </w:r>
            <w:r>
              <w:rPr>
                <w:rFonts w:ascii="Arial"/>
                <w:i/>
                <w:spacing w:val="29"/>
                <w:sz w:val="20"/>
              </w:rPr>
              <w:t> </w:t>
            </w:r>
            <w:r>
              <w:rPr>
                <w:rFonts w:ascii="Arial"/>
                <w:i/>
                <w:sz w:val="20"/>
              </w:rPr>
              <w:t>EWCA</w:t>
            </w:r>
            <w:r>
              <w:rPr>
                <w:rFonts w:ascii="Arial"/>
                <w:i/>
                <w:spacing w:val="30"/>
                <w:sz w:val="20"/>
              </w:rPr>
              <w:t> </w:t>
            </w:r>
            <w:r>
              <w:rPr>
                <w:rFonts w:ascii="Arial"/>
                <w:i/>
                <w:sz w:val="20"/>
              </w:rPr>
              <w:t>Civ</w:t>
            </w:r>
            <w:r>
              <w:rPr>
                <w:rFonts w:ascii="Arial"/>
                <w:i/>
                <w:spacing w:val="30"/>
                <w:sz w:val="20"/>
              </w:rPr>
              <w:t> </w:t>
            </w:r>
            <w:r>
              <w:rPr>
                <w:rFonts w:ascii="Arial"/>
                <w:i/>
                <w:sz w:val="20"/>
              </w:rPr>
              <w:t>990,</w:t>
            </w:r>
            <w:r>
              <w:rPr>
                <w:rFonts w:ascii="Arial"/>
                <w:i/>
                <w:spacing w:val="30"/>
                <w:sz w:val="20"/>
              </w:rPr>
              <w:t> </w:t>
            </w:r>
            <w:r>
              <w:rPr>
                <w:rFonts w:ascii="Arial"/>
                <w:i/>
                <w:sz w:val="20"/>
              </w:rPr>
              <w:t>[2001]</w:t>
            </w:r>
            <w:r>
              <w:rPr>
                <w:rFonts w:ascii="Arial"/>
                <w:i/>
                <w:spacing w:val="30"/>
                <w:sz w:val="20"/>
              </w:rPr>
              <w:t> </w:t>
            </w:r>
            <w:r>
              <w:rPr>
                <w:rFonts w:ascii="Arial"/>
                <w:i/>
                <w:sz w:val="20"/>
              </w:rPr>
              <w:t>W.T.L.R.</w:t>
            </w:r>
            <w:r>
              <w:rPr>
                <w:rFonts w:ascii="Arial"/>
                <w:i/>
                <w:spacing w:val="30"/>
                <w:sz w:val="20"/>
              </w:rPr>
              <w:t> </w:t>
            </w:r>
            <w:r>
              <w:rPr>
                <w:rFonts w:ascii="Arial"/>
                <w:i/>
                <w:sz w:val="20"/>
              </w:rPr>
              <w:t>981</w:t>
            </w:r>
            <w:r>
              <w:rPr>
                <w:sz w:val="20"/>
              </w:rPr>
              <w:t>;</w:t>
            </w:r>
            <w:r>
              <w:rPr>
                <w:spacing w:val="30"/>
                <w:sz w:val="20"/>
              </w:rPr>
              <w:t> </w:t>
            </w:r>
            <w:r>
              <w:rPr>
                <w:rFonts w:ascii="Arial"/>
                <w:i/>
                <w:sz w:val="20"/>
              </w:rPr>
              <w:t>Jennings</w:t>
            </w:r>
            <w:r>
              <w:rPr>
                <w:rFonts w:ascii="Arial"/>
                <w:i/>
                <w:spacing w:val="30"/>
                <w:sz w:val="20"/>
              </w:rPr>
              <w:t> </w:t>
            </w:r>
            <w:r>
              <w:rPr>
                <w:rFonts w:ascii="Arial"/>
                <w:i/>
                <w:sz w:val="20"/>
              </w:rPr>
              <w:t>v</w:t>
            </w:r>
            <w:r>
              <w:rPr>
                <w:rFonts w:ascii="Arial"/>
                <w:i/>
                <w:spacing w:val="30"/>
                <w:sz w:val="20"/>
              </w:rPr>
              <w:t> </w:t>
            </w:r>
            <w:r>
              <w:rPr>
                <w:rFonts w:ascii="Arial"/>
                <w:i/>
                <w:sz w:val="20"/>
              </w:rPr>
              <w:t>Rice</w:t>
            </w:r>
            <w:r>
              <w:rPr>
                <w:rFonts w:ascii="Arial"/>
                <w:i/>
                <w:spacing w:val="30"/>
                <w:sz w:val="20"/>
              </w:rPr>
              <w:t> </w:t>
            </w:r>
            <w:r>
              <w:rPr>
                <w:rFonts w:ascii="Arial"/>
                <w:i/>
                <w:sz w:val="20"/>
              </w:rPr>
              <w:t>[2002]</w:t>
            </w:r>
            <w:r>
              <w:rPr>
                <w:rFonts w:ascii="Arial"/>
                <w:i/>
                <w:spacing w:val="30"/>
                <w:sz w:val="20"/>
              </w:rPr>
              <w:t> </w:t>
            </w:r>
            <w:r>
              <w:rPr>
                <w:rFonts w:ascii="Arial"/>
                <w:i/>
                <w:sz w:val="20"/>
              </w:rPr>
              <w:t>EWCA</w:t>
            </w:r>
            <w:r>
              <w:rPr>
                <w:rFonts w:ascii="Arial"/>
                <w:i/>
                <w:spacing w:val="30"/>
                <w:sz w:val="20"/>
              </w:rPr>
              <w:t> </w:t>
            </w:r>
            <w:r>
              <w:rPr>
                <w:rFonts w:ascii="Arial"/>
                <w:i/>
                <w:sz w:val="20"/>
              </w:rPr>
              <w:t>Civ</w:t>
            </w:r>
            <w:r>
              <w:rPr>
                <w:rFonts w:ascii="Arial"/>
                <w:i/>
                <w:spacing w:val="30"/>
                <w:sz w:val="20"/>
              </w:rPr>
              <w:t> </w:t>
            </w:r>
            <w:r>
              <w:rPr>
                <w:rFonts w:ascii="Arial"/>
                <w:i/>
                <w:sz w:val="20"/>
              </w:rPr>
              <w:t>159;</w:t>
            </w:r>
            <w:r>
              <w:rPr>
                <w:rFonts w:ascii="Arial"/>
                <w:i/>
                <w:spacing w:val="30"/>
                <w:sz w:val="20"/>
              </w:rPr>
              <w:t> </w:t>
            </w:r>
            <w:r>
              <w:rPr>
                <w:rFonts w:ascii="Arial"/>
                <w:i/>
                <w:spacing w:val="-2"/>
                <w:sz w:val="20"/>
              </w:rPr>
              <w:t>[2002]</w:t>
            </w:r>
          </w:p>
          <w:p>
            <w:pPr>
              <w:pStyle w:val="TableParagraph"/>
              <w:spacing w:line="235" w:lineRule="auto" w:before="0"/>
              <w:ind w:right="50"/>
              <w:jc w:val="both"/>
              <w:rPr>
                <w:sz w:val="20"/>
              </w:rPr>
            </w:pPr>
            <w:r>
              <w:rPr>
                <w:rFonts w:ascii="Arial"/>
                <w:i/>
                <w:sz w:val="20"/>
              </w:rPr>
              <w:t>W.T.L.R. 367</w:t>
            </w:r>
            <w:r>
              <w:rPr>
                <w:sz w:val="20"/>
              </w:rPr>
              <w:t>, above para.4-176; </w:t>
            </w:r>
            <w:r>
              <w:rPr>
                <w:rFonts w:ascii="Arial"/>
                <w:i/>
                <w:sz w:val="20"/>
              </w:rPr>
              <w:t>Evans v HSBC Trust (UK) Ltd [2005] W.T.L.R. 1299</w:t>
            </w:r>
            <w:r>
              <w:rPr>
                <w:sz w:val="20"/>
              </w:rPr>
              <w:t>, above, </w:t>
            </w:r>
            <w:r>
              <w:rPr>
                <w:spacing w:val="-2"/>
                <w:sz w:val="20"/>
              </w:rPr>
              <w:t>para.4-160.</w:t>
            </w:r>
          </w:p>
        </w:tc>
      </w:tr>
      <w:tr>
        <w:trPr>
          <w:trHeight w:val="690" w:hRule="atLeast"/>
        </w:trPr>
        <w:tc>
          <w:tcPr>
            <w:tcW w:w="496" w:type="dxa"/>
          </w:tcPr>
          <w:p>
            <w:pPr>
              <w:pStyle w:val="TableParagraph"/>
              <w:ind w:left="0" w:right="43"/>
              <w:jc w:val="center"/>
              <w:rPr>
                <w:sz w:val="14"/>
              </w:rPr>
            </w:pPr>
            <w:r>
              <w:rPr>
                <w:color w:val="005DA1"/>
                <w:spacing w:val="-2"/>
                <w:sz w:val="14"/>
                <w:u w:val="single" w:color="005DA1"/>
              </w:rPr>
              <w:t>1170</w:t>
            </w:r>
            <w:r>
              <w:rPr>
                <w:spacing w:val="-2"/>
                <w:sz w:val="14"/>
              </w:rPr>
              <w:t>.</w:t>
            </w:r>
          </w:p>
        </w:tc>
        <w:tc>
          <w:tcPr>
            <w:tcW w:w="8621" w:type="dxa"/>
          </w:tcPr>
          <w:p>
            <w:pPr>
              <w:pStyle w:val="TableParagraph"/>
              <w:spacing w:line="227" w:lineRule="exact" w:before="114"/>
              <w:rPr>
                <w:rFonts w:ascii="Arial"/>
                <w:i/>
                <w:sz w:val="20"/>
              </w:rPr>
            </w:pPr>
            <w:r>
              <w:rPr>
                <w:rFonts w:ascii="Arial"/>
                <w:i/>
                <w:sz w:val="20"/>
              </w:rPr>
              <w:t>Burrows</w:t>
            </w:r>
            <w:r>
              <w:rPr>
                <w:rFonts w:ascii="Arial"/>
                <w:i/>
                <w:spacing w:val="26"/>
                <w:sz w:val="20"/>
              </w:rPr>
              <w:t> </w:t>
            </w:r>
            <w:r>
              <w:rPr>
                <w:rFonts w:ascii="Arial"/>
                <w:i/>
                <w:sz w:val="20"/>
              </w:rPr>
              <w:t>and</w:t>
            </w:r>
            <w:r>
              <w:rPr>
                <w:rFonts w:ascii="Arial"/>
                <w:i/>
                <w:spacing w:val="27"/>
                <w:sz w:val="20"/>
              </w:rPr>
              <w:t> </w:t>
            </w:r>
            <w:r>
              <w:rPr>
                <w:rFonts w:ascii="Arial"/>
                <w:i/>
                <w:sz w:val="20"/>
              </w:rPr>
              <w:t>Burrows</w:t>
            </w:r>
            <w:r>
              <w:rPr>
                <w:rFonts w:ascii="Arial"/>
                <w:i/>
                <w:spacing w:val="27"/>
                <w:sz w:val="20"/>
              </w:rPr>
              <w:t> </w:t>
            </w:r>
            <w:r>
              <w:rPr>
                <w:rFonts w:ascii="Arial"/>
                <w:i/>
                <w:sz w:val="20"/>
              </w:rPr>
              <w:t>v</w:t>
            </w:r>
            <w:r>
              <w:rPr>
                <w:rFonts w:ascii="Arial"/>
                <w:i/>
                <w:spacing w:val="27"/>
                <w:sz w:val="20"/>
              </w:rPr>
              <w:t> </w:t>
            </w:r>
            <w:r>
              <w:rPr>
                <w:rFonts w:ascii="Arial"/>
                <w:i/>
                <w:sz w:val="20"/>
              </w:rPr>
              <w:t>Sharp</w:t>
            </w:r>
            <w:r>
              <w:rPr>
                <w:rFonts w:ascii="Arial"/>
                <w:i/>
                <w:spacing w:val="27"/>
                <w:sz w:val="20"/>
              </w:rPr>
              <w:t> </w:t>
            </w:r>
            <w:r>
              <w:rPr>
                <w:rFonts w:ascii="Arial"/>
                <w:i/>
                <w:sz w:val="20"/>
              </w:rPr>
              <w:t>(1991)</w:t>
            </w:r>
            <w:r>
              <w:rPr>
                <w:rFonts w:ascii="Arial"/>
                <w:i/>
                <w:spacing w:val="27"/>
                <w:sz w:val="20"/>
              </w:rPr>
              <w:t> </w:t>
            </w:r>
            <w:r>
              <w:rPr>
                <w:rFonts w:ascii="Arial"/>
                <w:i/>
                <w:sz w:val="20"/>
              </w:rPr>
              <w:t>23</w:t>
            </w:r>
            <w:r>
              <w:rPr>
                <w:rFonts w:ascii="Arial"/>
                <w:i/>
                <w:spacing w:val="27"/>
                <w:sz w:val="20"/>
              </w:rPr>
              <w:t> </w:t>
            </w:r>
            <w:r>
              <w:rPr>
                <w:rFonts w:ascii="Arial"/>
                <w:i/>
                <w:sz w:val="20"/>
              </w:rPr>
              <w:t>H.L.R.</w:t>
            </w:r>
            <w:r>
              <w:rPr>
                <w:rFonts w:ascii="Arial"/>
                <w:i/>
                <w:spacing w:val="27"/>
                <w:sz w:val="20"/>
              </w:rPr>
              <w:t> </w:t>
            </w:r>
            <w:r>
              <w:rPr>
                <w:rFonts w:ascii="Arial"/>
                <w:i/>
                <w:sz w:val="20"/>
              </w:rPr>
              <w:t>82</w:t>
            </w:r>
            <w:r>
              <w:rPr>
                <w:sz w:val="20"/>
              </w:rPr>
              <w:t>;</w:t>
            </w:r>
            <w:r>
              <w:rPr>
                <w:spacing w:val="27"/>
                <w:sz w:val="20"/>
              </w:rPr>
              <w:t> </w:t>
            </w:r>
            <w:r>
              <w:rPr>
                <w:sz w:val="20"/>
              </w:rPr>
              <w:t>cf.</w:t>
            </w:r>
            <w:r>
              <w:rPr>
                <w:spacing w:val="27"/>
                <w:sz w:val="20"/>
              </w:rPr>
              <w:t> </w:t>
            </w:r>
            <w:r>
              <w:rPr>
                <w:rFonts w:ascii="Arial"/>
                <w:i/>
                <w:sz w:val="20"/>
              </w:rPr>
              <w:t>Baker</w:t>
            </w:r>
            <w:r>
              <w:rPr>
                <w:rFonts w:ascii="Arial"/>
                <w:i/>
                <w:spacing w:val="27"/>
                <w:sz w:val="20"/>
              </w:rPr>
              <w:t> </w:t>
            </w:r>
            <w:r>
              <w:rPr>
                <w:rFonts w:ascii="Arial"/>
                <w:i/>
                <w:sz w:val="20"/>
              </w:rPr>
              <w:t>v</w:t>
            </w:r>
            <w:r>
              <w:rPr>
                <w:rFonts w:ascii="Arial"/>
                <w:i/>
                <w:spacing w:val="27"/>
                <w:sz w:val="20"/>
              </w:rPr>
              <w:t> </w:t>
            </w:r>
            <w:r>
              <w:rPr>
                <w:rFonts w:ascii="Arial"/>
                <w:i/>
                <w:sz w:val="20"/>
              </w:rPr>
              <w:t>Baker</w:t>
            </w:r>
            <w:r>
              <w:rPr>
                <w:rFonts w:ascii="Arial"/>
                <w:i/>
                <w:spacing w:val="27"/>
                <w:sz w:val="20"/>
              </w:rPr>
              <w:t> </w:t>
            </w:r>
            <w:r>
              <w:rPr>
                <w:rFonts w:ascii="Arial"/>
                <w:i/>
                <w:sz w:val="20"/>
              </w:rPr>
              <w:t>(1993)</w:t>
            </w:r>
            <w:r>
              <w:rPr>
                <w:rFonts w:ascii="Arial"/>
                <w:i/>
                <w:spacing w:val="27"/>
                <w:sz w:val="20"/>
              </w:rPr>
              <w:t> </w:t>
            </w:r>
            <w:r>
              <w:rPr>
                <w:rFonts w:ascii="Arial"/>
                <w:i/>
                <w:sz w:val="20"/>
              </w:rPr>
              <w:t>25</w:t>
            </w:r>
            <w:r>
              <w:rPr>
                <w:rFonts w:ascii="Arial"/>
                <w:i/>
                <w:spacing w:val="27"/>
                <w:sz w:val="20"/>
              </w:rPr>
              <w:t> </w:t>
            </w:r>
            <w:r>
              <w:rPr>
                <w:rFonts w:ascii="Arial"/>
                <w:i/>
                <w:sz w:val="20"/>
              </w:rPr>
              <w:t>H.L.R.</w:t>
            </w:r>
            <w:r>
              <w:rPr>
                <w:rFonts w:ascii="Arial"/>
                <w:i/>
                <w:spacing w:val="27"/>
                <w:sz w:val="20"/>
              </w:rPr>
              <w:t> </w:t>
            </w:r>
            <w:r>
              <w:rPr>
                <w:rFonts w:ascii="Arial"/>
                <w:i/>
                <w:spacing w:val="-5"/>
                <w:sz w:val="20"/>
              </w:rPr>
              <w:t>408</w:t>
            </w:r>
          </w:p>
          <w:p>
            <w:pPr>
              <w:pStyle w:val="TableParagraph"/>
              <w:spacing w:line="227" w:lineRule="exact" w:before="0"/>
              <w:rPr>
                <w:sz w:val="20"/>
              </w:rPr>
            </w:pPr>
            <w:r>
              <w:rPr>
                <w:sz w:val="20"/>
              </w:rPr>
              <w:t>(where the action was for </w:t>
            </w:r>
            <w:r>
              <w:rPr>
                <w:spacing w:val="-2"/>
                <w:sz w:val="20"/>
              </w:rPr>
              <w:t>damages).</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1171</w:t>
            </w:r>
            <w:r>
              <w:rPr>
                <w:spacing w:val="-2"/>
                <w:sz w:val="14"/>
              </w:rPr>
              <w:t>.</w:t>
            </w:r>
          </w:p>
        </w:tc>
        <w:tc>
          <w:tcPr>
            <w:tcW w:w="8621" w:type="dxa"/>
          </w:tcPr>
          <w:p>
            <w:pPr>
              <w:pStyle w:val="TableParagraph"/>
              <w:spacing w:before="114"/>
              <w:rPr>
                <w:sz w:val="20"/>
              </w:rPr>
            </w:pPr>
            <w:r>
              <w:rPr>
                <w:rFonts w:ascii="Arial"/>
                <w:i/>
                <w:sz w:val="20"/>
              </w:rPr>
              <w:t>Clough v Kelly (1996) 72 P. &amp; C.R. </w:t>
            </w:r>
            <w:r>
              <w:rPr>
                <w:rFonts w:ascii="Arial"/>
                <w:i/>
                <w:spacing w:val="-4"/>
                <w:sz w:val="20"/>
              </w:rPr>
              <w:t>D22</w:t>
            </w:r>
            <w:r>
              <w:rPr>
                <w:spacing w:val="-4"/>
                <w:sz w:val="20"/>
              </w:rPr>
              <w:t>.</w:t>
            </w:r>
          </w:p>
        </w:tc>
      </w:tr>
      <w:tr>
        <w:trPr>
          <w:trHeight w:val="690" w:hRule="atLeast"/>
        </w:trPr>
        <w:tc>
          <w:tcPr>
            <w:tcW w:w="496" w:type="dxa"/>
          </w:tcPr>
          <w:p>
            <w:pPr>
              <w:pStyle w:val="TableParagraph"/>
              <w:ind w:left="0" w:right="43"/>
              <w:jc w:val="center"/>
              <w:rPr>
                <w:sz w:val="14"/>
              </w:rPr>
            </w:pPr>
            <w:r>
              <w:rPr>
                <w:color w:val="005DA1"/>
                <w:spacing w:val="-2"/>
                <w:sz w:val="14"/>
                <w:u w:val="single" w:color="005DA1"/>
              </w:rPr>
              <w:t>1172</w:t>
            </w:r>
            <w:r>
              <w:rPr>
                <w:spacing w:val="-2"/>
                <w:sz w:val="14"/>
              </w:rPr>
              <w:t>.</w:t>
            </w:r>
          </w:p>
        </w:tc>
        <w:tc>
          <w:tcPr>
            <w:tcW w:w="8621" w:type="dxa"/>
          </w:tcPr>
          <w:p>
            <w:pPr>
              <w:pStyle w:val="TableParagraph"/>
              <w:spacing w:line="235" w:lineRule="auto" w:before="118"/>
              <w:rPr>
                <w:sz w:val="20"/>
              </w:rPr>
            </w:pPr>
            <w:r>
              <w:rPr>
                <w:sz w:val="20"/>
              </w:rPr>
              <w:t>See </w:t>
            </w:r>
            <w:r>
              <w:rPr>
                <w:rFonts w:ascii="Arial"/>
                <w:i/>
                <w:sz w:val="20"/>
              </w:rPr>
              <w:t>Mulholland v Kane [2009] N.I.Ch. 9, [2009] W.T.L.R. 1521 </w:t>
            </w:r>
            <w:r>
              <w:rPr>
                <w:sz w:val="20"/>
              </w:rPr>
              <w:t>at [20], [21]; for this case, see</w:t>
            </w:r>
            <w:r>
              <w:rPr>
                <w:spacing w:val="80"/>
                <w:sz w:val="20"/>
              </w:rPr>
              <w:t> </w:t>
            </w:r>
            <w:r>
              <w:rPr>
                <w:sz w:val="20"/>
              </w:rPr>
              <w:t>above, para.4-158.</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1173</w:t>
            </w:r>
            <w:r>
              <w:rPr>
                <w:spacing w:val="-2"/>
                <w:sz w:val="14"/>
              </w:rPr>
              <w:t>.</w:t>
            </w:r>
          </w:p>
        </w:tc>
        <w:tc>
          <w:tcPr>
            <w:tcW w:w="8621" w:type="dxa"/>
          </w:tcPr>
          <w:p>
            <w:pPr>
              <w:pStyle w:val="TableParagraph"/>
              <w:spacing w:before="114"/>
              <w:rPr>
                <w:sz w:val="20"/>
              </w:rPr>
            </w:pPr>
            <w:r>
              <w:rPr>
                <w:sz w:val="20"/>
              </w:rPr>
              <w:t>cf., in a case of undue influence,</w:t>
            </w:r>
            <w:r>
              <w:rPr>
                <w:spacing w:val="-1"/>
                <w:sz w:val="20"/>
              </w:rPr>
              <w:t> </w:t>
            </w:r>
            <w:r>
              <w:rPr>
                <w:rFonts w:ascii="Arial"/>
                <w:i/>
                <w:sz w:val="20"/>
              </w:rPr>
              <w:t>Cheese v Thomas [1994] 1 W.L.R. </w:t>
            </w:r>
            <w:r>
              <w:rPr>
                <w:rFonts w:ascii="Arial"/>
                <w:i/>
                <w:spacing w:val="-4"/>
                <w:sz w:val="20"/>
              </w:rPr>
              <w:t>129</w:t>
            </w:r>
            <w:r>
              <w:rPr>
                <w:spacing w:val="-4"/>
                <w:sz w:val="20"/>
              </w:rPr>
              <w:t>.</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1174</w:t>
            </w:r>
            <w:r>
              <w:rPr>
                <w:spacing w:val="-2"/>
                <w:sz w:val="14"/>
              </w:rPr>
              <w:t>.</w:t>
            </w:r>
          </w:p>
        </w:tc>
        <w:tc>
          <w:tcPr>
            <w:tcW w:w="8621" w:type="dxa"/>
          </w:tcPr>
          <w:p>
            <w:pPr>
              <w:pStyle w:val="TableParagraph"/>
              <w:spacing w:before="114"/>
              <w:rPr>
                <w:sz w:val="20"/>
              </w:rPr>
            </w:pPr>
            <w:r>
              <w:rPr>
                <w:sz w:val="20"/>
              </w:rPr>
              <w:t>above, at </w:t>
            </w:r>
            <w:r>
              <w:rPr>
                <w:spacing w:val="-2"/>
                <w:sz w:val="20"/>
              </w:rPr>
              <w:t>n.1114.</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1175</w:t>
            </w:r>
            <w:r>
              <w:rPr>
                <w:spacing w:val="-2"/>
                <w:sz w:val="14"/>
              </w:rPr>
              <w:t>.</w:t>
            </w:r>
          </w:p>
        </w:tc>
        <w:tc>
          <w:tcPr>
            <w:tcW w:w="8621" w:type="dxa"/>
          </w:tcPr>
          <w:p>
            <w:pPr>
              <w:pStyle w:val="TableParagraph"/>
              <w:spacing w:before="114"/>
              <w:rPr>
                <w:sz w:val="20"/>
              </w:rPr>
            </w:pPr>
            <w:r>
              <w:rPr>
                <w:sz w:val="20"/>
              </w:rPr>
              <w:t>As</w:t>
            </w:r>
            <w:r>
              <w:rPr>
                <w:spacing w:val="-2"/>
                <w:sz w:val="20"/>
              </w:rPr>
              <w:t> </w:t>
            </w:r>
            <w:r>
              <w:rPr>
                <w:sz w:val="20"/>
              </w:rPr>
              <w:t>in</w:t>
            </w:r>
            <w:r>
              <w:rPr>
                <w:spacing w:val="-1"/>
                <w:sz w:val="20"/>
              </w:rPr>
              <w:t> </w:t>
            </w:r>
            <w:r>
              <w:rPr>
                <w:rFonts w:ascii="Arial"/>
                <w:i/>
                <w:sz w:val="20"/>
              </w:rPr>
              <w:t>Hussey v Palmer [1972] 1 W.L.R. 1286</w:t>
            </w:r>
            <w:r>
              <w:rPr>
                <w:rFonts w:ascii="Arial"/>
                <w:i/>
                <w:spacing w:val="-1"/>
                <w:sz w:val="20"/>
              </w:rPr>
              <w:t> </w:t>
            </w:r>
            <w:r>
              <w:rPr>
                <w:sz w:val="20"/>
              </w:rPr>
              <w:t>and</w:t>
            </w:r>
            <w:r>
              <w:rPr>
                <w:spacing w:val="-1"/>
                <w:sz w:val="20"/>
              </w:rPr>
              <w:t> </w:t>
            </w:r>
            <w:r>
              <w:rPr>
                <w:rFonts w:ascii="Arial"/>
                <w:i/>
                <w:sz w:val="20"/>
              </w:rPr>
              <w:t>Eves v Eves [1975] 1 W.L.R. </w:t>
            </w:r>
            <w:r>
              <w:rPr>
                <w:rFonts w:ascii="Arial"/>
                <w:i/>
                <w:spacing w:val="-2"/>
                <w:sz w:val="20"/>
              </w:rPr>
              <w:t>1328</w:t>
            </w:r>
            <w:r>
              <w:rPr>
                <w:spacing w:val="-2"/>
                <w:sz w:val="20"/>
              </w:rPr>
              <w:t>.</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1176</w:t>
            </w:r>
            <w:r>
              <w:rPr>
                <w:spacing w:val="-2"/>
                <w:sz w:val="14"/>
              </w:rPr>
              <w:t>.</w:t>
            </w:r>
          </w:p>
        </w:tc>
        <w:tc>
          <w:tcPr>
            <w:tcW w:w="8621" w:type="dxa"/>
          </w:tcPr>
          <w:p>
            <w:pPr>
              <w:pStyle w:val="TableParagraph"/>
              <w:spacing w:before="114"/>
              <w:rPr>
                <w:sz w:val="20"/>
              </w:rPr>
            </w:pPr>
            <w:r>
              <w:rPr>
                <w:sz w:val="20"/>
              </w:rPr>
              <w:t>As in</w:t>
            </w:r>
            <w:r>
              <w:rPr>
                <w:spacing w:val="-1"/>
                <w:sz w:val="20"/>
              </w:rPr>
              <w:t> </w:t>
            </w:r>
            <w:r>
              <w:rPr>
                <w:rFonts w:ascii="Arial"/>
                <w:i/>
                <w:sz w:val="20"/>
              </w:rPr>
              <w:t>Plimmer v Mayor of Wellington (1884) 9 App. Cas. </w:t>
            </w:r>
            <w:r>
              <w:rPr>
                <w:rFonts w:ascii="Arial"/>
                <w:i/>
                <w:spacing w:val="-4"/>
                <w:sz w:val="20"/>
              </w:rPr>
              <w:t>699</w:t>
            </w:r>
            <w:r>
              <w:rPr>
                <w:spacing w:val="-4"/>
                <w:sz w:val="20"/>
              </w:rPr>
              <w:t>.</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1177</w:t>
            </w:r>
            <w:r>
              <w:rPr>
                <w:spacing w:val="-2"/>
                <w:sz w:val="14"/>
              </w:rPr>
              <w:t>.</w:t>
            </w:r>
          </w:p>
        </w:tc>
        <w:tc>
          <w:tcPr>
            <w:tcW w:w="8621" w:type="dxa"/>
          </w:tcPr>
          <w:p>
            <w:pPr>
              <w:pStyle w:val="TableParagraph"/>
              <w:spacing w:before="114"/>
              <w:rPr>
                <w:sz w:val="20"/>
              </w:rPr>
            </w:pPr>
            <w:r>
              <w:rPr>
                <w:rFonts w:ascii="Arial"/>
                <w:i/>
                <w:sz w:val="20"/>
              </w:rPr>
              <w:t>Tanner v Tanner [1975] 1 W.L.R. 1346</w:t>
            </w:r>
            <w:r>
              <w:rPr>
                <w:rFonts w:ascii="Arial"/>
                <w:i/>
                <w:spacing w:val="-1"/>
                <w:sz w:val="20"/>
              </w:rPr>
              <w:t> </w:t>
            </w:r>
            <w:r>
              <w:rPr>
                <w:sz w:val="20"/>
              </w:rPr>
              <w:t>(where there was a </w:t>
            </w:r>
            <w:r>
              <w:rPr>
                <w:spacing w:val="-2"/>
                <w:sz w:val="20"/>
              </w:rPr>
              <w:t>contract).</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1178</w:t>
            </w:r>
            <w:r>
              <w:rPr>
                <w:spacing w:val="-2"/>
                <w:sz w:val="14"/>
              </w:rPr>
              <w:t>.</w:t>
            </w:r>
          </w:p>
        </w:tc>
        <w:tc>
          <w:tcPr>
            <w:tcW w:w="8621" w:type="dxa"/>
          </w:tcPr>
          <w:p>
            <w:pPr>
              <w:pStyle w:val="TableParagraph"/>
              <w:spacing w:before="114"/>
              <w:rPr>
                <w:sz w:val="20"/>
              </w:rPr>
            </w:pPr>
            <w:r>
              <w:rPr>
                <w:spacing w:val="-2"/>
                <w:sz w:val="20"/>
              </w:rPr>
              <w:t>ibid.</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1179</w:t>
            </w:r>
            <w:r>
              <w:rPr>
                <w:spacing w:val="-2"/>
                <w:sz w:val="14"/>
              </w:rPr>
              <w:t>.</w:t>
            </w:r>
          </w:p>
        </w:tc>
        <w:tc>
          <w:tcPr>
            <w:tcW w:w="8621" w:type="dxa"/>
          </w:tcPr>
          <w:p>
            <w:pPr>
              <w:pStyle w:val="TableParagraph"/>
              <w:spacing w:before="114"/>
              <w:rPr>
                <w:sz w:val="20"/>
              </w:rPr>
            </w:pPr>
            <w:r>
              <w:rPr>
                <w:rFonts w:ascii="Arial"/>
                <w:i/>
                <w:sz w:val="20"/>
              </w:rPr>
              <w:t>Hussey</w:t>
            </w:r>
            <w:r>
              <w:rPr>
                <w:rFonts w:ascii="Arial"/>
                <w:i/>
                <w:spacing w:val="-1"/>
                <w:sz w:val="20"/>
              </w:rPr>
              <w:t> </w:t>
            </w:r>
            <w:r>
              <w:rPr>
                <w:rFonts w:ascii="Arial"/>
                <w:i/>
                <w:sz w:val="20"/>
              </w:rPr>
              <w:t>v Palmer [1972] 1 W.L.R. 1286</w:t>
            </w:r>
            <w:r>
              <w:rPr>
                <w:sz w:val="20"/>
              </w:rPr>
              <w:t>; </w:t>
            </w:r>
            <w:r>
              <w:rPr>
                <w:rFonts w:ascii="Arial"/>
                <w:i/>
                <w:sz w:val="20"/>
              </w:rPr>
              <w:t>Burrows and Burrows v Sharp (1991) 23 H.L.R. </w:t>
            </w:r>
            <w:r>
              <w:rPr>
                <w:rFonts w:ascii="Arial"/>
                <w:i/>
                <w:spacing w:val="-5"/>
                <w:sz w:val="20"/>
              </w:rPr>
              <w:t>82</w:t>
            </w:r>
            <w:r>
              <w:rPr>
                <w:spacing w:val="-5"/>
                <w:sz w:val="20"/>
              </w:rPr>
              <w:t>.</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1180</w:t>
            </w:r>
            <w:r>
              <w:rPr>
                <w:spacing w:val="-2"/>
                <w:sz w:val="14"/>
              </w:rPr>
              <w:t>.</w:t>
            </w:r>
          </w:p>
        </w:tc>
        <w:tc>
          <w:tcPr>
            <w:tcW w:w="8621" w:type="dxa"/>
          </w:tcPr>
          <w:p>
            <w:pPr>
              <w:pStyle w:val="TableParagraph"/>
              <w:spacing w:before="114"/>
              <w:rPr>
                <w:sz w:val="20"/>
              </w:rPr>
            </w:pPr>
            <w:r>
              <w:rPr>
                <w:rFonts w:ascii="Arial"/>
                <w:i/>
                <w:sz w:val="20"/>
              </w:rPr>
              <w:t>Eves v Eves [1975] 1 W.L.R. </w:t>
            </w:r>
            <w:r>
              <w:rPr>
                <w:rFonts w:ascii="Arial"/>
                <w:i/>
                <w:spacing w:val="-2"/>
                <w:sz w:val="20"/>
              </w:rPr>
              <w:t>1338</w:t>
            </w:r>
            <w:r>
              <w:rPr>
                <w:spacing w:val="-2"/>
                <w:sz w:val="20"/>
              </w:rPr>
              <w:t>.</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1181</w:t>
            </w:r>
            <w:r>
              <w:rPr>
                <w:spacing w:val="-2"/>
                <w:sz w:val="14"/>
              </w:rPr>
              <w:t>.</w:t>
            </w:r>
          </w:p>
        </w:tc>
        <w:tc>
          <w:tcPr>
            <w:tcW w:w="8621" w:type="dxa"/>
          </w:tcPr>
          <w:p>
            <w:pPr>
              <w:pStyle w:val="TableParagraph"/>
              <w:spacing w:before="114"/>
              <w:rPr>
                <w:sz w:val="20"/>
              </w:rPr>
            </w:pPr>
            <w:r>
              <w:rPr>
                <w:rFonts w:ascii="Arial"/>
                <w:i/>
                <w:sz w:val="20"/>
              </w:rPr>
              <w:t>Tanner</w:t>
            </w:r>
            <w:r>
              <w:rPr>
                <w:rFonts w:ascii="Arial"/>
                <w:i/>
                <w:spacing w:val="-1"/>
                <w:sz w:val="20"/>
              </w:rPr>
              <w:t> </w:t>
            </w:r>
            <w:r>
              <w:rPr>
                <w:rFonts w:ascii="Arial"/>
                <w:i/>
                <w:sz w:val="20"/>
              </w:rPr>
              <w:t>v Tanner [1975] 1 W.L.R. 1346</w:t>
            </w:r>
            <w:r>
              <w:rPr>
                <w:sz w:val="20"/>
              </w:rPr>
              <w:t>; </w:t>
            </w:r>
            <w:r>
              <w:rPr>
                <w:rFonts w:ascii="Arial"/>
                <w:i/>
                <w:sz w:val="20"/>
              </w:rPr>
              <w:t>Baker v Baker (1993) 25 H.L.R. </w:t>
            </w:r>
            <w:r>
              <w:rPr>
                <w:rFonts w:ascii="Arial"/>
                <w:i/>
                <w:spacing w:val="-4"/>
                <w:sz w:val="20"/>
              </w:rPr>
              <w:t>408</w:t>
            </w:r>
            <w:r>
              <w:rPr>
                <w:spacing w:val="-4"/>
                <w:sz w:val="20"/>
              </w:rPr>
              <w:t>.</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1182</w:t>
            </w:r>
            <w:r>
              <w:rPr>
                <w:spacing w:val="-2"/>
                <w:sz w:val="14"/>
              </w:rPr>
              <w:t>.</w:t>
            </w:r>
          </w:p>
        </w:tc>
        <w:tc>
          <w:tcPr>
            <w:tcW w:w="8621" w:type="dxa"/>
          </w:tcPr>
          <w:p>
            <w:pPr>
              <w:pStyle w:val="TableParagraph"/>
              <w:spacing w:before="114"/>
              <w:rPr>
                <w:sz w:val="20"/>
              </w:rPr>
            </w:pPr>
            <w:r>
              <w:rPr>
                <w:sz w:val="20"/>
              </w:rPr>
              <w:t>Above, paras 43-173 to 4-</w:t>
            </w:r>
            <w:r>
              <w:rPr>
                <w:spacing w:val="-4"/>
                <w:sz w:val="20"/>
              </w:rPr>
              <w:t>175.</w:t>
            </w:r>
          </w:p>
        </w:tc>
      </w:tr>
      <w:tr>
        <w:trPr>
          <w:trHeight w:val="344" w:hRule="atLeast"/>
        </w:trPr>
        <w:tc>
          <w:tcPr>
            <w:tcW w:w="496" w:type="dxa"/>
          </w:tcPr>
          <w:p>
            <w:pPr>
              <w:pStyle w:val="TableParagraph"/>
              <w:ind w:left="0" w:right="43"/>
              <w:jc w:val="center"/>
              <w:rPr>
                <w:sz w:val="14"/>
              </w:rPr>
            </w:pPr>
            <w:r>
              <w:rPr>
                <w:color w:val="005DA1"/>
                <w:spacing w:val="-2"/>
                <w:sz w:val="14"/>
                <w:u w:val="single" w:color="005DA1"/>
              </w:rPr>
              <w:t>1183</w:t>
            </w:r>
            <w:r>
              <w:rPr>
                <w:spacing w:val="-2"/>
                <w:sz w:val="14"/>
              </w:rPr>
              <w:t>.</w:t>
            </w:r>
          </w:p>
        </w:tc>
        <w:tc>
          <w:tcPr>
            <w:tcW w:w="8621" w:type="dxa"/>
          </w:tcPr>
          <w:p>
            <w:pPr>
              <w:pStyle w:val="TableParagraph"/>
              <w:spacing w:line="210" w:lineRule="exact" w:before="114"/>
              <w:rPr>
                <w:sz w:val="20"/>
              </w:rPr>
            </w:pPr>
            <w:r>
              <w:rPr>
                <w:rFonts w:ascii="Arial"/>
                <w:i/>
                <w:sz w:val="20"/>
              </w:rPr>
              <w:t>[2001]</w:t>
            </w:r>
            <w:r>
              <w:rPr>
                <w:rFonts w:ascii="Arial"/>
                <w:i/>
                <w:spacing w:val="-1"/>
                <w:sz w:val="20"/>
              </w:rPr>
              <w:t> </w:t>
            </w:r>
            <w:r>
              <w:rPr>
                <w:rFonts w:ascii="Arial"/>
                <w:i/>
                <w:sz w:val="20"/>
              </w:rPr>
              <w:t>Ch. 210</w:t>
            </w:r>
            <w:r>
              <w:rPr>
                <w:sz w:val="20"/>
              </w:rPr>
              <w:t>; above, para.4-</w:t>
            </w:r>
            <w:r>
              <w:rPr>
                <w:spacing w:val="-4"/>
                <w:sz w:val="20"/>
              </w:rPr>
              <w:t>146.</w:t>
            </w:r>
          </w:p>
        </w:tc>
      </w:tr>
    </w:tbl>
    <w:p>
      <w:pPr>
        <w:pStyle w:val="TableParagraph"/>
        <w:spacing w:after="0" w:line="210" w:lineRule="exact"/>
        <w:rPr>
          <w:sz w:val="20"/>
        </w:rPr>
        <w:sectPr>
          <w:pgSz w:w="11900" w:h="16840"/>
          <w:pgMar w:header="971" w:footer="0" w:top="1160" w:bottom="280" w:left="1275" w:right="1275"/>
        </w:sectPr>
      </w:pPr>
    </w:p>
    <w:p>
      <w:pPr>
        <w:pStyle w:val="BodyText"/>
        <w:spacing w:before="87"/>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ind w:left="0" w:right="43"/>
              <w:jc w:val="center"/>
              <w:rPr>
                <w:sz w:val="14"/>
              </w:rPr>
            </w:pPr>
            <w:r>
              <w:rPr>
                <w:color w:val="005DA1"/>
                <w:spacing w:val="-2"/>
                <w:sz w:val="14"/>
                <w:u w:val="single" w:color="005DA1"/>
              </w:rPr>
              <w:t>1184</w:t>
            </w:r>
            <w:r>
              <w:rPr>
                <w:spacing w:val="-2"/>
                <w:sz w:val="14"/>
              </w:rPr>
              <w:t>.</w:t>
            </w:r>
          </w:p>
        </w:tc>
        <w:tc>
          <w:tcPr>
            <w:tcW w:w="8620" w:type="dxa"/>
          </w:tcPr>
          <w:p>
            <w:pPr>
              <w:pStyle w:val="TableParagraph"/>
              <w:spacing w:line="223" w:lineRule="exact" w:before="0"/>
              <w:rPr>
                <w:sz w:val="20"/>
              </w:rPr>
            </w:pPr>
            <w:r>
              <w:rPr>
                <w:rFonts w:ascii="Arial"/>
                <w:i/>
                <w:sz w:val="20"/>
              </w:rPr>
              <w:t>(1996)</w:t>
            </w:r>
            <w:r>
              <w:rPr>
                <w:rFonts w:ascii="Arial"/>
                <w:i/>
                <w:spacing w:val="-2"/>
                <w:sz w:val="20"/>
              </w:rPr>
              <w:t> </w:t>
            </w:r>
            <w:r>
              <w:rPr>
                <w:rFonts w:ascii="Arial"/>
                <w:i/>
                <w:sz w:val="20"/>
              </w:rPr>
              <w:t>72 P. &amp; C.R. </w:t>
            </w:r>
            <w:r>
              <w:rPr>
                <w:rFonts w:ascii="Arial"/>
                <w:i/>
                <w:spacing w:val="-4"/>
                <w:sz w:val="20"/>
              </w:rPr>
              <w:t>196</w:t>
            </w:r>
            <w:r>
              <w:rPr>
                <w:spacing w:val="-4"/>
                <w:sz w:val="20"/>
              </w:rPr>
              <w:t>.</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1185</w:t>
            </w:r>
            <w:r>
              <w:rPr>
                <w:spacing w:val="-2"/>
                <w:sz w:val="14"/>
              </w:rPr>
              <w:t>.</w:t>
            </w:r>
          </w:p>
        </w:tc>
        <w:tc>
          <w:tcPr>
            <w:tcW w:w="8620" w:type="dxa"/>
          </w:tcPr>
          <w:p>
            <w:pPr>
              <w:pStyle w:val="TableParagraph"/>
              <w:spacing w:before="114"/>
              <w:rPr>
                <w:sz w:val="20"/>
              </w:rPr>
            </w:pPr>
            <w:r>
              <w:rPr>
                <w:rFonts w:ascii="Arial"/>
                <w:i/>
                <w:sz w:val="20"/>
              </w:rPr>
              <w:t>[2010] UKPC 3, [2010] 1 All E.R. </w:t>
            </w:r>
            <w:r>
              <w:rPr>
                <w:rFonts w:ascii="Arial"/>
                <w:i/>
                <w:spacing w:val="-4"/>
                <w:sz w:val="20"/>
              </w:rPr>
              <w:t>988</w:t>
            </w:r>
            <w:r>
              <w:rPr>
                <w:spacing w:val="-4"/>
                <w:sz w:val="20"/>
              </w:rPr>
              <w:t>.</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1186</w:t>
            </w:r>
            <w:r>
              <w:rPr>
                <w:spacing w:val="-2"/>
                <w:sz w:val="14"/>
              </w:rPr>
              <w:t>.</w:t>
            </w:r>
          </w:p>
        </w:tc>
        <w:tc>
          <w:tcPr>
            <w:tcW w:w="8620" w:type="dxa"/>
          </w:tcPr>
          <w:p>
            <w:pPr>
              <w:pStyle w:val="TableParagraph"/>
              <w:spacing w:before="114"/>
              <w:rPr>
                <w:sz w:val="20"/>
              </w:rPr>
            </w:pPr>
            <w:r>
              <w:rPr>
                <w:sz w:val="20"/>
              </w:rPr>
              <w:t>For these benefits, see above, para.4-</w:t>
            </w:r>
            <w:r>
              <w:rPr>
                <w:spacing w:val="-4"/>
                <w:sz w:val="20"/>
              </w:rPr>
              <w:t>175.</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1187</w:t>
            </w:r>
            <w:r>
              <w:rPr>
                <w:spacing w:val="-2"/>
                <w:sz w:val="14"/>
              </w:rPr>
              <w:t>.</w:t>
            </w:r>
          </w:p>
        </w:tc>
        <w:tc>
          <w:tcPr>
            <w:tcW w:w="8620" w:type="dxa"/>
          </w:tcPr>
          <w:p>
            <w:pPr>
              <w:pStyle w:val="TableParagraph"/>
              <w:spacing w:before="114"/>
              <w:rPr>
                <w:sz w:val="20"/>
              </w:rPr>
            </w:pPr>
            <w:r>
              <w:rPr>
                <w:sz w:val="20"/>
              </w:rPr>
              <w:t>Above, at </w:t>
            </w:r>
            <w:r>
              <w:rPr>
                <w:spacing w:val="-2"/>
                <w:sz w:val="20"/>
              </w:rPr>
              <w:t>n.1129.</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1188</w:t>
            </w:r>
            <w:r>
              <w:rPr>
                <w:spacing w:val="-2"/>
                <w:sz w:val="14"/>
              </w:rPr>
              <w:t>.</w:t>
            </w:r>
          </w:p>
        </w:tc>
        <w:tc>
          <w:tcPr>
            <w:tcW w:w="8620" w:type="dxa"/>
          </w:tcPr>
          <w:p>
            <w:pPr>
              <w:pStyle w:val="TableParagraph"/>
              <w:spacing w:before="114"/>
              <w:rPr>
                <w:sz w:val="20"/>
              </w:rPr>
            </w:pPr>
            <w:r>
              <w:rPr>
                <w:rFonts w:ascii="Arial"/>
                <w:i/>
                <w:sz w:val="20"/>
              </w:rPr>
              <w:t>[2010] UKPC 3</w:t>
            </w:r>
            <w:r>
              <w:rPr>
                <w:rFonts w:ascii="Arial"/>
                <w:i/>
                <w:spacing w:val="-1"/>
                <w:sz w:val="20"/>
              </w:rPr>
              <w:t> </w:t>
            </w:r>
            <w:r>
              <w:rPr>
                <w:sz w:val="20"/>
              </w:rPr>
              <w:t>at </w:t>
            </w:r>
            <w:r>
              <w:rPr>
                <w:spacing w:val="-2"/>
                <w:sz w:val="20"/>
              </w:rPr>
              <w:t>[61].</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1189</w:t>
            </w:r>
            <w:r>
              <w:rPr>
                <w:spacing w:val="-2"/>
                <w:sz w:val="14"/>
              </w:rPr>
              <w:t>.</w:t>
            </w:r>
          </w:p>
        </w:tc>
        <w:tc>
          <w:tcPr>
            <w:tcW w:w="8620" w:type="dxa"/>
          </w:tcPr>
          <w:p>
            <w:pPr>
              <w:pStyle w:val="TableParagraph"/>
              <w:spacing w:before="114"/>
              <w:rPr>
                <w:sz w:val="20"/>
              </w:rPr>
            </w:pPr>
            <w:r>
              <w:rPr>
                <w:rFonts w:ascii="Arial"/>
                <w:i/>
                <w:sz w:val="20"/>
              </w:rPr>
              <w:t>Evans</w:t>
            </w:r>
            <w:r>
              <w:rPr>
                <w:rFonts w:ascii="Arial"/>
                <w:i/>
                <w:spacing w:val="-1"/>
                <w:sz w:val="20"/>
              </w:rPr>
              <w:t> </w:t>
            </w:r>
            <w:r>
              <w:rPr>
                <w:rFonts w:ascii="Arial"/>
                <w:i/>
                <w:sz w:val="20"/>
              </w:rPr>
              <w:t>v HSBC Trust Co (UK) Ltd [2005] W.T.L.R. 1299</w:t>
            </w:r>
            <w:r>
              <w:rPr>
                <w:sz w:val="20"/>
              </w:rPr>
              <w:t>, above para.4-</w:t>
            </w:r>
            <w:r>
              <w:rPr>
                <w:spacing w:val="-4"/>
                <w:sz w:val="20"/>
              </w:rPr>
              <w:t>160.</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1190</w:t>
            </w:r>
            <w:r>
              <w:rPr>
                <w:spacing w:val="-2"/>
                <w:sz w:val="14"/>
              </w:rPr>
              <w:t>.</w:t>
            </w:r>
          </w:p>
        </w:tc>
        <w:tc>
          <w:tcPr>
            <w:tcW w:w="8620" w:type="dxa"/>
          </w:tcPr>
          <w:p>
            <w:pPr>
              <w:pStyle w:val="TableParagraph"/>
              <w:spacing w:before="114"/>
              <w:rPr>
                <w:sz w:val="20"/>
              </w:rPr>
            </w:pPr>
            <w:r>
              <w:rPr>
                <w:rFonts w:ascii="Arial"/>
                <w:i/>
                <w:sz w:val="20"/>
              </w:rPr>
              <w:t>Stallion v Albert Stallion Holdings (Great Britain) Ltd [2009] EWHC 1950 (Ch)</w:t>
            </w:r>
            <w:r>
              <w:rPr>
                <w:rFonts w:ascii="Arial"/>
                <w:i/>
                <w:spacing w:val="-1"/>
                <w:sz w:val="20"/>
              </w:rPr>
              <w:t> </w:t>
            </w:r>
            <w:r>
              <w:rPr>
                <w:sz w:val="20"/>
              </w:rPr>
              <w:t>at </w:t>
            </w:r>
            <w:r>
              <w:rPr>
                <w:spacing w:val="-2"/>
                <w:sz w:val="20"/>
              </w:rPr>
              <w:t>[136].</w:t>
            </w:r>
          </w:p>
        </w:tc>
      </w:tr>
      <w:tr>
        <w:trPr>
          <w:trHeight w:val="915" w:hRule="atLeast"/>
        </w:trPr>
        <w:tc>
          <w:tcPr>
            <w:tcW w:w="496" w:type="dxa"/>
          </w:tcPr>
          <w:p>
            <w:pPr>
              <w:pStyle w:val="TableParagraph"/>
              <w:ind w:left="0" w:right="43"/>
              <w:jc w:val="center"/>
              <w:rPr>
                <w:sz w:val="14"/>
              </w:rPr>
            </w:pPr>
            <w:r>
              <w:rPr>
                <w:color w:val="005DA1"/>
                <w:spacing w:val="-2"/>
                <w:sz w:val="14"/>
                <w:u w:val="single" w:color="005DA1"/>
              </w:rPr>
              <w:t>1191</w:t>
            </w:r>
            <w:r>
              <w:rPr>
                <w:spacing w:val="-2"/>
                <w:sz w:val="14"/>
              </w:rPr>
              <w:t>.</w:t>
            </w:r>
          </w:p>
        </w:tc>
        <w:tc>
          <w:tcPr>
            <w:tcW w:w="8620" w:type="dxa"/>
          </w:tcPr>
          <w:p>
            <w:pPr>
              <w:pStyle w:val="TableParagraph"/>
              <w:spacing w:line="235" w:lineRule="auto" w:before="118"/>
              <w:ind w:right="49"/>
              <w:jc w:val="both"/>
              <w:rPr>
                <w:sz w:val="20"/>
              </w:rPr>
            </w:pPr>
            <w:r>
              <w:rPr>
                <w:rFonts w:ascii="Arial" w:hAnsi="Arial"/>
                <w:i/>
                <w:sz w:val="20"/>
              </w:rPr>
              <w:t>Suggitt v Suggitt [2011] EWHC 903 (Ch)</w:t>
            </w:r>
            <w:r>
              <w:rPr>
                <w:sz w:val="20"/>
              </w:rPr>
              <w:t>, taking into account the demands of “fairness and justice to all” (at [65]); affirmed </w:t>
            </w:r>
            <w:r>
              <w:rPr>
                <w:rFonts w:ascii="Arial" w:hAnsi="Arial"/>
                <w:i/>
                <w:sz w:val="20"/>
              </w:rPr>
              <w:t>[2012] EWCA Civ 1140, [2012] W.T.L.R. 1607</w:t>
            </w:r>
            <w:r>
              <w:rPr>
                <w:sz w:val="20"/>
              </w:rPr>
              <w:t>, without </w:t>
            </w:r>
            <w:r>
              <w:rPr>
                <w:sz w:val="20"/>
              </w:rPr>
              <w:t>further reference to the “balance of hardship” point discussed in the text above.</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1192</w:t>
            </w:r>
            <w:r>
              <w:rPr>
                <w:spacing w:val="-2"/>
                <w:sz w:val="14"/>
              </w:rPr>
              <w:t>.</w:t>
            </w:r>
          </w:p>
        </w:tc>
        <w:tc>
          <w:tcPr>
            <w:tcW w:w="8620" w:type="dxa"/>
          </w:tcPr>
          <w:p>
            <w:pPr>
              <w:pStyle w:val="TableParagraph"/>
              <w:spacing w:before="114"/>
              <w:rPr>
                <w:sz w:val="20"/>
              </w:rPr>
            </w:pPr>
            <w:r>
              <w:rPr>
                <w:sz w:val="20"/>
              </w:rPr>
              <w:t>e.g., above, para.4-</w:t>
            </w:r>
            <w:r>
              <w:rPr>
                <w:spacing w:val="-4"/>
                <w:sz w:val="20"/>
              </w:rPr>
              <w:t>175.</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1193</w:t>
            </w:r>
            <w:r>
              <w:rPr>
                <w:spacing w:val="-2"/>
                <w:sz w:val="14"/>
              </w:rPr>
              <w:t>.</w:t>
            </w:r>
          </w:p>
        </w:tc>
        <w:tc>
          <w:tcPr>
            <w:tcW w:w="8620" w:type="dxa"/>
          </w:tcPr>
          <w:p>
            <w:pPr>
              <w:pStyle w:val="TableParagraph"/>
              <w:spacing w:before="114"/>
              <w:rPr>
                <w:sz w:val="20"/>
              </w:rPr>
            </w:pPr>
            <w:r>
              <w:rPr>
                <w:sz w:val="20"/>
              </w:rPr>
              <w:t>e.g., above, para.4-</w:t>
            </w:r>
            <w:r>
              <w:rPr>
                <w:spacing w:val="-4"/>
                <w:sz w:val="20"/>
              </w:rPr>
              <w:t>176.</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1194</w:t>
            </w:r>
            <w:r>
              <w:rPr>
                <w:spacing w:val="-2"/>
                <w:sz w:val="14"/>
              </w:rPr>
              <w:t>.</w:t>
            </w:r>
          </w:p>
        </w:tc>
        <w:tc>
          <w:tcPr>
            <w:tcW w:w="8620" w:type="dxa"/>
          </w:tcPr>
          <w:p>
            <w:pPr>
              <w:pStyle w:val="TableParagraph"/>
              <w:spacing w:before="114"/>
              <w:rPr>
                <w:sz w:val="20"/>
              </w:rPr>
            </w:pPr>
            <w:r>
              <w:rPr>
                <w:rFonts w:ascii="Arial"/>
                <w:i/>
                <w:sz w:val="20"/>
              </w:rPr>
              <w:t>[2009]</w:t>
            </w:r>
            <w:r>
              <w:rPr>
                <w:rFonts w:ascii="Arial"/>
                <w:i/>
                <w:spacing w:val="-1"/>
                <w:sz w:val="20"/>
              </w:rPr>
              <w:t> </w:t>
            </w:r>
            <w:r>
              <w:rPr>
                <w:rFonts w:ascii="Arial"/>
                <w:i/>
                <w:sz w:val="20"/>
              </w:rPr>
              <w:t>UKHL 18, [2009] 1 W.L.R. 776</w:t>
            </w:r>
            <w:r>
              <w:rPr>
                <w:sz w:val="20"/>
              </w:rPr>
              <w:t>; above para.4-</w:t>
            </w:r>
            <w:r>
              <w:rPr>
                <w:spacing w:val="-4"/>
                <w:sz w:val="20"/>
              </w:rPr>
              <w:t>149.</w:t>
            </w:r>
          </w:p>
        </w:tc>
      </w:tr>
      <w:tr>
        <w:trPr>
          <w:trHeight w:val="690" w:hRule="atLeast"/>
        </w:trPr>
        <w:tc>
          <w:tcPr>
            <w:tcW w:w="496" w:type="dxa"/>
          </w:tcPr>
          <w:p>
            <w:pPr>
              <w:pStyle w:val="TableParagraph"/>
              <w:ind w:left="0" w:right="43"/>
              <w:jc w:val="center"/>
              <w:rPr>
                <w:sz w:val="14"/>
              </w:rPr>
            </w:pPr>
            <w:r>
              <w:rPr>
                <w:color w:val="005DA1"/>
                <w:spacing w:val="-2"/>
                <w:sz w:val="14"/>
                <w:u w:val="single" w:color="005DA1"/>
              </w:rPr>
              <w:t>1195</w:t>
            </w:r>
            <w:r>
              <w:rPr>
                <w:spacing w:val="-2"/>
                <w:sz w:val="14"/>
              </w:rPr>
              <w:t>.</w:t>
            </w:r>
          </w:p>
        </w:tc>
        <w:tc>
          <w:tcPr>
            <w:tcW w:w="8620" w:type="dxa"/>
          </w:tcPr>
          <w:p>
            <w:pPr>
              <w:pStyle w:val="TableParagraph"/>
              <w:spacing w:line="235" w:lineRule="auto" w:before="118"/>
              <w:rPr>
                <w:sz w:val="20"/>
              </w:rPr>
            </w:pPr>
            <w:r>
              <w:rPr>
                <w:rFonts w:ascii="Arial"/>
                <w:i/>
                <w:sz w:val="20"/>
              </w:rPr>
              <w:t>[2009]</w:t>
            </w:r>
            <w:r>
              <w:rPr>
                <w:rFonts w:ascii="Arial"/>
                <w:i/>
                <w:spacing w:val="-1"/>
                <w:sz w:val="20"/>
              </w:rPr>
              <w:t> </w:t>
            </w:r>
            <w:r>
              <w:rPr>
                <w:rFonts w:ascii="Arial"/>
                <w:i/>
                <w:sz w:val="20"/>
              </w:rPr>
              <w:t>UKHL</w:t>
            </w:r>
            <w:r>
              <w:rPr>
                <w:rFonts w:ascii="Arial"/>
                <w:i/>
                <w:spacing w:val="-1"/>
                <w:sz w:val="20"/>
              </w:rPr>
              <w:t> </w:t>
            </w:r>
            <w:r>
              <w:rPr>
                <w:rFonts w:ascii="Arial"/>
                <w:i/>
                <w:sz w:val="20"/>
              </w:rPr>
              <w:t>18</w:t>
            </w:r>
            <w:r>
              <w:rPr>
                <w:rFonts w:ascii="Arial"/>
                <w:i/>
                <w:spacing w:val="-1"/>
                <w:sz w:val="20"/>
              </w:rPr>
              <w:t> </w:t>
            </w:r>
            <w:r>
              <w:rPr>
                <w:sz w:val="20"/>
              </w:rPr>
              <w:t>at</w:t>
            </w:r>
            <w:r>
              <w:rPr>
                <w:spacing w:val="-1"/>
                <w:sz w:val="20"/>
              </w:rPr>
              <w:t> </w:t>
            </w:r>
            <w:r>
              <w:rPr>
                <w:sz w:val="20"/>
              </w:rPr>
              <w:t>[57]</w:t>
            </w:r>
            <w:r>
              <w:rPr>
                <w:spacing w:val="-1"/>
                <w:sz w:val="20"/>
              </w:rPr>
              <w:t> </w:t>
            </w:r>
            <w:r>
              <w:rPr>
                <w:sz w:val="20"/>
              </w:rPr>
              <w:t>and</w:t>
            </w:r>
            <w:r>
              <w:rPr>
                <w:spacing w:val="-1"/>
                <w:sz w:val="20"/>
              </w:rPr>
              <w:t> </w:t>
            </w:r>
            <w:r>
              <w:rPr>
                <w:sz w:val="20"/>
              </w:rPr>
              <w:t>[101],</w:t>
            </w:r>
            <w:r>
              <w:rPr>
                <w:spacing w:val="-1"/>
                <w:sz w:val="20"/>
              </w:rPr>
              <w:t> </w:t>
            </w:r>
            <w:r>
              <w:rPr>
                <w:sz w:val="20"/>
              </w:rPr>
              <w:t>quoting</w:t>
            </w:r>
            <w:r>
              <w:rPr>
                <w:spacing w:val="-1"/>
                <w:sz w:val="20"/>
              </w:rPr>
              <w:t> </w:t>
            </w:r>
            <w:r>
              <w:rPr>
                <w:sz w:val="20"/>
              </w:rPr>
              <w:t>from</w:t>
            </w:r>
            <w:r>
              <w:rPr>
                <w:spacing w:val="-1"/>
                <w:sz w:val="20"/>
              </w:rPr>
              <w:t> </w:t>
            </w:r>
            <w:r>
              <w:rPr>
                <w:sz w:val="20"/>
              </w:rPr>
              <w:t>the</w:t>
            </w:r>
            <w:r>
              <w:rPr>
                <w:spacing w:val="-1"/>
                <w:sz w:val="20"/>
              </w:rPr>
              <w:t> </w:t>
            </w:r>
            <w:r>
              <w:rPr>
                <w:sz w:val="20"/>
              </w:rPr>
              <w:t>judgment</w:t>
            </w:r>
            <w:r>
              <w:rPr>
                <w:spacing w:val="-1"/>
                <w:sz w:val="20"/>
              </w:rPr>
              <w:t> </w:t>
            </w:r>
            <w:r>
              <w:rPr>
                <w:sz w:val="20"/>
              </w:rPr>
              <w:t>of</w:t>
            </w:r>
            <w:r>
              <w:rPr>
                <w:spacing w:val="-1"/>
                <w:sz w:val="20"/>
              </w:rPr>
              <w:t> </w:t>
            </w:r>
            <w:r>
              <w:rPr>
                <w:sz w:val="20"/>
              </w:rPr>
              <w:t>Hoffmann</w:t>
            </w:r>
            <w:r>
              <w:rPr>
                <w:spacing w:val="-1"/>
                <w:sz w:val="20"/>
              </w:rPr>
              <w:t> </w:t>
            </w:r>
            <w:r>
              <w:rPr>
                <w:sz w:val="20"/>
              </w:rPr>
              <w:t>L.J.</w:t>
            </w:r>
            <w:r>
              <w:rPr>
                <w:spacing w:val="-1"/>
                <w:sz w:val="20"/>
              </w:rPr>
              <w:t> </w:t>
            </w:r>
            <w:r>
              <w:rPr>
                <w:sz w:val="20"/>
              </w:rPr>
              <w:t>in</w:t>
            </w:r>
            <w:r>
              <w:rPr>
                <w:spacing w:val="-1"/>
                <w:sz w:val="20"/>
              </w:rPr>
              <w:t> </w:t>
            </w:r>
            <w:r>
              <w:rPr>
                <w:sz w:val="20"/>
              </w:rPr>
              <w:t>the</w:t>
            </w:r>
            <w:r>
              <w:rPr>
                <w:spacing w:val="-1"/>
                <w:sz w:val="20"/>
              </w:rPr>
              <w:t> </w:t>
            </w:r>
            <w:r>
              <w:rPr>
                <w:sz w:val="20"/>
              </w:rPr>
              <w:t>unreported case of </w:t>
            </w:r>
            <w:r>
              <w:rPr>
                <w:rFonts w:ascii="Arial"/>
                <w:i/>
                <w:sz w:val="20"/>
              </w:rPr>
              <w:t>Walton v Walton (April 14, 1994)</w:t>
            </w:r>
            <w:r>
              <w:rPr>
                <w:sz w:val="20"/>
              </w:rPr>
              <w:t>, above, paras 4-145, 4-163.</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1196</w:t>
            </w:r>
            <w:r>
              <w:rPr>
                <w:spacing w:val="-2"/>
                <w:sz w:val="14"/>
              </w:rPr>
              <w:t>.</w:t>
            </w:r>
          </w:p>
        </w:tc>
        <w:tc>
          <w:tcPr>
            <w:tcW w:w="8620" w:type="dxa"/>
          </w:tcPr>
          <w:p>
            <w:pPr>
              <w:pStyle w:val="TableParagraph"/>
              <w:spacing w:before="114"/>
              <w:rPr>
                <w:sz w:val="20"/>
              </w:rPr>
            </w:pPr>
            <w:r>
              <w:rPr>
                <w:rFonts w:ascii="Arial"/>
                <w:i/>
                <w:sz w:val="20"/>
              </w:rPr>
              <w:t>[2009] UKHL 18</w:t>
            </w:r>
            <w:r>
              <w:rPr>
                <w:rFonts w:ascii="Arial"/>
                <w:i/>
                <w:spacing w:val="-1"/>
                <w:sz w:val="20"/>
              </w:rPr>
              <w:t> </w:t>
            </w:r>
            <w:r>
              <w:rPr>
                <w:sz w:val="20"/>
              </w:rPr>
              <w:t>at </w:t>
            </w:r>
            <w:r>
              <w:rPr>
                <w:spacing w:val="-2"/>
                <w:sz w:val="20"/>
              </w:rPr>
              <w:t>[18].</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1197</w:t>
            </w:r>
            <w:r>
              <w:rPr>
                <w:spacing w:val="-2"/>
                <w:sz w:val="14"/>
              </w:rPr>
              <w:t>.</w:t>
            </w:r>
          </w:p>
        </w:tc>
        <w:tc>
          <w:tcPr>
            <w:tcW w:w="8620" w:type="dxa"/>
          </w:tcPr>
          <w:p>
            <w:pPr>
              <w:pStyle w:val="TableParagraph"/>
              <w:spacing w:before="114"/>
              <w:rPr>
                <w:sz w:val="20"/>
              </w:rPr>
            </w:pPr>
            <w:r>
              <w:rPr>
                <w:sz w:val="20"/>
              </w:rPr>
              <w:t>At [19]; cf. at [65], </w:t>
            </w:r>
            <w:r>
              <w:rPr>
                <w:spacing w:val="-2"/>
                <w:sz w:val="20"/>
              </w:rPr>
              <w:t>[107].</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1198</w:t>
            </w:r>
            <w:r>
              <w:rPr>
                <w:spacing w:val="-2"/>
                <w:sz w:val="14"/>
              </w:rPr>
              <w:t>.</w:t>
            </w:r>
          </w:p>
        </w:tc>
        <w:tc>
          <w:tcPr>
            <w:tcW w:w="8620" w:type="dxa"/>
          </w:tcPr>
          <w:p>
            <w:pPr>
              <w:pStyle w:val="TableParagraph"/>
              <w:spacing w:before="114"/>
              <w:rPr>
                <w:sz w:val="20"/>
              </w:rPr>
            </w:pPr>
            <w:r>
              <w:rPr>
                <w:sz w:val="20"/>
              </w:rPr>
              <w:t>Above, para.4-173 at </w:t>
            </w:r>
            <w:r>
              <w:rPr>
                <w:spacing w:val="-2"/>
                <w:sz w:val="20"/>
              </w:rPr>
              <w:t>n.1094.</w:t>
            </w:r>
          </w:p>
        </w:tc>
      </w:tr>
      <w:tr>
        <w:trPr>
          <w:trHeight w:val="915" w:hRule="atLeast"/>
        </w:trPr>
        <w:tc>
          <w:tcPr>
            <w:tcW w:w="496" w:type="dxa"/>
          </w:tcPr>
          <w:p>
            <w:pPr>
              <w:pStyle w:val="TableParagraph"/>
              <w:ind w:left="0" w:right="43"/>
              <w:jc w:val="center"/>
              <w:rPr>
                <w:sz w:val="14"/>
              </w:rPr>
            </w:pPr>
            <w:r>
              <w:rPr>
                <w:color w:val="005DA1"/>
                <w:spacing w:val="-2"/>
                <w:sz w:val="14"/>
                <w:u w:val="single" w:color="005DA1"/>
              </w:rPr>
              <w:t>1199</w:t>
            </w:r>
            <w:r>
              <w:rPr>
                <w:spacing w:val="-2"/>
                <w:sz w:val="14"/>
              </w:rPr>
              <w:t>.</w:t>
            </w:r>
          </w:p>
        </w:tc>
        <w:tc>
          <w:tcPr>
            <w:tcW w:w="8620" w:type="dxa"/>
          </w:tcPr>
          <w:p>
            <w:pPr>
              <w:pStyle w:val="TableParagraph"/>
              <w:spacing w:line="235" w:lineRule="auto" w:before="118"/>
              <w:ind w:right="48"/>
              <w:jc w:val="both"/>
              <w:rPr>
                <w:sz w:val="20"/>
              </w:rPr>
            </w:pPr>
            <w:r>
              <w:rPr>
                <w:sz w:val="20"/>
              </w:rPr>
              <w:t>At [48] parts of Steart Farm are said to have had development value, but there is no suggestion that this had, at any relevant time, increased the value of the farm dramatically (as in </w:t>
            </w:r>
            <w:r>
              <w:rPr>
                <w:sz w:val="20"/>
              </w:rPr>
              <w:t>the example given in the text above).</w:t>
            </w:r>
          </w:p>
        </w:tc>
      </w:tr>
      <w:tr>
        <w:trPr>
          <w:trHeight w:val="1244" w:hRule="atLeast"/>
        </w:trPr>
        <w:tc>
          <w:tcPr>
            <w:tcW w:w="496" w:type="dxa"/>
          </w:tcPr>
          <w:p>
            <w:pPr>
              <w:pStyle w:val="TableParagraph"/>
              <w:ind w:left="0" w:right="43"/>
              <w:jc w:val="center"/>
              <w:rPr>
                <w:sz w:val="14"/>
              </w:rPr>
            </w:pPr>
            <w:r>
              <w:rPr>
                <w:color w:val="005DA1"/>
                <w:spacing w:val="-2"/>
                <w:sz w:val="14"/>
                <w:u w:val="single" w:color="005DA1"/>
              </w:rPr>
              <w:t>1200</w:t>
            </w:r>
            <w:r>
              <w:rPr>
                <w:spacing w:val="-2"/>
                <w:sz w:val="14"/>
              </w:rPr>
              <w:t>.</w:t>
            </w:r>
          </w:p>
        </w:tc>
        <w:tc>
          <w:tcPr>
            <w:tcW w:w="8620" w:type="dxa"/>
          </w:tcPr>
          <w:p>
            <w:pPr>
              <w:pStyle w:val="TableParagraph"/>
              <w:spacing w:line="226" w:lineRule="exact" w:before="94"/>
              <w:ind w:right="48"/>
              <w:jc w:val="both"/>
              <w:rPr>
                <w:sz w:val="20"/>
              </w:rPr>
            </w:pPr>
            <w:r>
              <w:rPr>
                <w:sz w:val="20"/>
              </w:rPr>
              <w:t>When at [74] Lord Neuberger said that there was “nothing special, as a matter of principle, </w:t>
            </w:r>
            <w:r>
              <w:rPr>
                <w:sz w:val="20"/>
              </w:rPr>
              <w:t>in relation to a statement about leaving property in a will” he was, as the context indicates, referring to a different point from that mentioned in the text above: i.e., to the point whether a statement by A that he would leave property to B amounted to a “commitment” by A or only to a “statement of A’s current intention.”</w:t>
            </w:r>
          </w:p>
        </w:tc>
      </w:tr>
    </w:tbl>
    <w:p>
      <w:pPr>
        <w:pStyle w:val="BodyText"/>
        <w:rPr>
          <w:sz w:val="14"/>
        </w:rPr>
      </w:pPr>
    </w:p>
    <w:p>
      <w:pPr>
        <w:pStyle w:val="BodyText"/>
        <w:spacing w:before="100"/>
        <w:rPr>
          <w:sz w:val="14"/>
        </w:rPr>
      </w:pPr>
    </w:p>
    <w:p>
      <w:pPr>
        <w:spacing w:before="0"/>
        <w:ind w:left="940" w:right="943" w:firstLine="0"/>
        <w:jc w:val="center"/>
        <w:rPr>
          <w:sz w:val="14"/>
        </w:rPr>
      </w:pPr>
      <w:bookmarkStart w:name="_bookmark1831" w:id="1833"/>
      <w:bookmarkEnd w:id="1833"/>
      <w:r>
        <w:rPr/>
      </w: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2726" w:right="2730"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2246144">
                <wp:simplePos x="0" y="0"/>
                <wp:positionH relativeFrom="page">
                  <wp:posOffset>4707940</wp:posOffset>
                </wp:positionH>
                <wp:positionV relativeFrom="paragraph">
                  <wp:posOffset>377436</wp:posOffset>
                </wp:positionV>
                <wp:extent cx="42545" cy="127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70336" from="370.70401pt,29.719406pt" to="374.04001pt,29.719406pt" stroked="true" strokeweight=".428pt" strokecolor="#005da1">
                <v:stroke dashstyle="solid"/>
                <w10:wrap type="none"/>
              </v:line>
            </w:pict>
          </mc:Fallback>
        </mc:AlternateContent>
      </w:r>
      <w:r>
        <w:rPr>
          <w:rFonts w:ascii="Arial"/>
          <w:b/>
          <w:sz w:val="24"/>
        </w:rPr>
        <w:t>Part 2 - Formation of Contract Chapter 4 - Consideration </w:t>
      </w:r>
      <w:r>
        <w:rPr>
          <w:rFonts w:ascii="Arial"/>
          <w:b/>
          <w:color w:val="005DA1"/>
          <w:position w:val="11"/>
          <w:sz w:val="12"/>
        </w:rPr>
        <w:t>1</w:t>
      </w:r>
      <w:r>
        <w:rPr>
          <w:rFonts w:ascii="Arial"/>
          <w:b/>
          <w:color w:val="005DA1"/>
          <w:spacing w:val="40"/>
          <w:position w:val="11"/>
          <w:sz w:val="12"/>
        </w:rPr>
        <w:t> </w:t>
      </w:r>
      <w:r>
        <w:rPr>
          <w:rFonts w:ascii="Arial"/>
          <w:b/>
          <w:sz w:val="24"/>
        </w:rPr>
        <w:t>Section</w:t>
      </w:r>
      <w:r>
        <w:rPr>
          <w:rFonts w:ascii="Arial"/>
          <w:b/>
          <w:spacing w:val="-10"/>
          <w:sz w:val="24"/>
        </w:rPr>
        <w:t> </w:t>
      </w:r>
      <w:r>
        <w:rPr>
          <w:rFonts w:ascii="Arial"/>
          <w:b/>
          <w:sz w:val="24"/>
        </w:rPr>
        <w:t>11.</w:t>
      </w:r>
      <w:r>
        <w:rPr>
          <w:rFonts w:ascii="Arial"/>
          <w:b/>
          <w:spacing w:val="-10"/>
          <w:sz w:val="24"/>
        </w:rPr>
        <w:t> </w:t>
      </w:r>
      <w:r>
        <w:rPr>
          <w:rFonts w:ascii="Arial"/>
          <w:b/>
          <w:sz w:val="24"/>
        </w:rPr>
        <w:t>-</w:t>
      </w:r>
      <w:r>
        <w:rPr>
          <w:rFonts w:ascii="Arial"/>
          <w:b/>
          <w:spacing w:val="-10"/>
          <w:sz w:val="24"/>
        </w:rPr>
        <w:t> </w:t>
      </w:r>
      <w:r>
        <w:rPr>
          <w:rFonts w:ascii="Arial"/>
          <w:b/>
          <w:sz w:val="24"/>
        </w:rPr>
        <w:t>Proprietary</w:t>
      </w:r>
      <w:r>
        <w:rPr>
          <w:rFonts w:ascii="Arial"/>
          <w:b/>
          <w:spacing w:val="-10"/>
          <w:sz w:val="24"/>
        </w:rPr>
        <w:t> </w:t>
      </w:r>
      <w:r>
        <w:rPr>
          <w:rFonts w:ascii="Arial"/>
          <w:b/>
          <w:sz w:val="24"/>
        </w:rPr>
        <w:t>Estoppel</w:t>
      </w:r>
    </w:p>
    <w:p>
      <w:pPr>
        <w:pStyle w:val="ListParagraph"/>
        <w:numPr>
          <w:ilvl w:val="0"/>
          <w:numId w:val="8"/>
        </w:numPr>
        <w:tabs>
          <w:tab w:pos="2885" w:val="left" w:leader="none"/>
        </w:tabs>
        <w:spacing w:line="240" w:lineRule="auto" w:before="2" w:after="0"/>
        <w:ind w:left="2885" w:right="0" w:hanging="360"/>
        <w:jc w:val="left"/>
        <w:rPr>
          <w:rFonts w:ascii="Arial"/>
          <w:b/>
          <w:sz w:val="24"/>
        </w:rPr>
      </w:pPr>
      <w:r>
        <w:rPr>
          <w:rFonts w:ascii="Arial"/>
          <w:b/>
          <w:sz w:val="24"/>
        </w:rPr>
        <w:t>- Comparison with other </w:t>
      </w:r>
      <w:r>
        <w:rPr>
          <w:rFonts w:ascii="Arial"/>
          <w:b/>
          <w:spacing w:val="-2"/>
          <w:sz w:val="24"/>
        </w:rPr>
        <w:t>Doctrines</w:t>
      </w:r>
    </w:p>
    <w:p>
      <w:pPr>
        <w:pStyle w:val="BodyText"/>
        <w:rPr>
          <w:rFonts w:ascii="Arial"/>
          <w:b/>
          <w:sz w:val="24"/>
        </w:rPr>
      </w:pPr>
    </w:p>
    <w:p>
      <w:pPr>
        <w:pStyle w:val="BodyText"/>
        <w:spacing w:before="89"/>
        <w:rPr>
          <w:rFonts w:ascii="Arial"/>
          <w:b/>
          <w:sz w:val="24"/>
        </w:rPr>
      </w:pPr>
    </w:p>
    <w:p>
      <w:pPr>
        <w:spacing w:before="1"/>
        <w:ind w:left="165" w:right="0" w:firstLine="0"/>
        <w:jc w:val="left"/>
        <w:rPr>
          <w:rFonts w:ascii="Arial"/>
          <w:b/>
          <w:sz w:val="18"/>
        </w:rPr>
      </w:pPr>
      <w:r>
        <w:rPr>
          <w:rFonts w:ascii="Arial"/>
          <w:b/>
          <w:sz w:val="18"/>
        </w:rPr>
        <w:t>Proprietary and promissory </w:t>
      </w:r>
      <w:r>
        <w:rPr>
          <w:rFonts w:ascii="Arial"/>
          <w:b/>
          <w:spacing w:val="-2"/>
          <w:sz w:val="18"/>
        </w:rPr>
        <w:t>estoppels</w:t>
      </w:r>
    </w:p>
    <w:p>
      <w:pPr>
        <w:pStyle w:val="BodyText"/>
        <w:spacing w:before="41"/>
        <w:rPr>
          <w:rFonts w:ascii="Arial"/>
          <w:b/>
          <w:sz w:val="18"/>
        </w:rPr>
      </w:pPr>
    </w:p>
    <w:p>
      <w:pPr>
        <w:pStyle w:val="Heading2"/>
      </w:pPr>
      <w:r>
        <w:rPr/>
        <w:t>4-</w:t>
      </w:r>
      <w:r>
        <w:rPr>
          <w:spacing w:val="-5"/>
        </w:rPr>
        <w:t>181</w:t>
      </w:r>
    </w:p>
    <w:p>
      <w:pPr>
        <w:pStyle w:val="BodyText"/>
        <w:spacing w:line="235" w:lineRule="auto" w:before="203"/>
        <w:ind w:left="165" w:right="167"/>
        <w:jc w:val="both"/>
      </w:pPr>
      <w:r>
        <w:rPr/>
        <w:t>Proprietary and promissory estoppels have a number of points in common. Both can arise from promises</w:t>
      </w:r>
      <w:r>
        <w:rPr>
          <w:spacing w:val="-1"/>
        </w:rPr>
        <w:t> </w:t>
      </w:r>
      <w:r>
        <w:rPr>
          <w:color w:val="005DA1"/>
          <w:u w:val="single" w:color="005DA1"/>
          <w:vertAlign w:val="superscript"/>
        </w:rPr>
        <w:t>1201</w:t>
      </w:r>
      <w:r>
        <w:rPr>
          <w:vertAlign w:val="baseline"/>
        </w:rPr>
        <w:t>;</w:t>
      </w:r>
      <w:r>
        <w:rPr>
          <w:spacing w:val="-1"/>
          <w:vertAlign w:val="baseline"/>
        </w:rPr>
        <w:t> </w:t>
      </w:r>
      <w:r>
        <w:rPr>
          <w:vertAlign w:val="baseline"/>
        </w:rPr>
        <w:t>consideration</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while</w:t>
      </w:r>
      <w:r>
        <w:rPr>
          <w:spacing w:val="-1"/>
          <w:vertAlign w:val="baseline"/>
        </w:rPr>
        <w:t> </w:t>
      </w:r>
      <w:r>
        <w:rPr>
          <w:vertAlign w:val="baseline"/>
        </w:rPr>
        <w:t>action</w:t>
      </w:r>
      <w:r>
        <w:rPr>
          <w:spacing w:val="-1"/>
          <w:vertAlign w:val="baseline"/>
        </w:rPr>
        <w:t> </w:t>
      </w:r>
      <w:r>
        <w:rPr>
          <w:vertAlign w:val="baseline"/>
        </w:rPr>
        <w:t>in</w:t>
      </w:r>
      <w:r>
        <w:rPr>
          <w:spacing w:val="-1"/>
          <w:vertAlign w:val="baseline"/>
        </w:rPr>
        <w:t> </w:t>
      </w:r>
      <w:r>
        <w:rPr>
          <w:vertAlign w:val="baseline"/>
        </w:rPr>
        <w:t>reliance</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necessary</w:t>
      </w:r>
      <w:r>
        <w:rPr>
          <w:spacing w:val="-1"/>
          <w:vertAlign w:val="baseline"/>
        </w:rPr>
        <w:t> </w:t>
      </w:r>
      <w:r>
        <w:rPr>
          <w:vertAlign w:val="baseline"/>
        </w:rPr>
        <w:t>condition</w:t>
      </w:r>
      <w:r>
        <w:rPr>
          <w:spacing w:val="-1"/>
          <w:vertAlign w:val="baseline"/>
        </w:rPr>
        <w:t> </w:t>
      </w:r>
      <w:r>
        <w:rPr>
          <w:vertAlign w:val="baseline"/>
        </w:rPr>
        <w:t>for</w:t>
      </w:r>
      <w:r>
        <w:rPr>
          <w:spacing w:val="-1"/>
          <w:vertAlign w:val="baseline"/>
        </w:rPr>
        <w:t> </w:t>
      </w:r>
      <w:r>
        <w:rPr>
          <w:vertAlign w:val="baseline"/>
        </w:rPr>
        <w:t>their</w:t>
      </w:r>
      <w:r>
        <w:rPr>
          <w:spacing w:val="-1"/>
          <w:vertAlign w:val="baseline"/>
        </w:rPr>
        <w:t> </w:t>
      </w:r>
      <w:r>
        <w:rPr>
          <w:vertAlign w:val="baseline"/>
        </w:rPr>
        <w:t>operation </w:t>
      </w:r>
      <w:r>
        <w:rPr>
          <w:color w:val="005DA1"/>
          <w:u w:val="single" w:color="005DA1"/>
          <w:vertAlign w:val="superscript"/>
        </w:rPr>
        <w:t>1202</w:t>
      </w:r>
      <w:r>
        <w:rPr>
          <w:vertAlign w:val="baseline"/>
        </w:rPr>
        <w:t>; and both are, within limits, revocable. </w:t>
      </w:r>
      <w:r>
        <w:rPr>
          <w:color w:val="005DA1"/>
          <w:u w:val="single" w:color="005DA1"/>
          <w:vertAlign w:val="superscript"/>
        </w:rPr>
        <w:t>1203</w:t>
      </w:r>
      <w:r>
        <w:rPr>
          <w:color w:val="005DA1"/>
          <w:vertAlign w:val="baseline"/>
        </w:rPr>
        <w:t> </w:t>
      </w:r>
      <w:r>
        <w:rPr>
          <w:vertAlign w:val="baseline"/>
        </w:rPr>
        <w:t>Perhaps for this reason, Lord Scott has described “proprietary” estoppel as “a sub-species of ‘promissory’ estoppel—if the right claimed is a </w:t>
      </w:r>
      <w:r>
        <w:rPr>
          <w:vertAlign w:val="baseline"/>
        </w:rPr>
        <w:t>proprietary right”. </w:t>
      </w:r>
      <w:r>
        <w:rPr>
          <w:color w:val="005DA1"/>
          <w:u w:val="single" w:color="005DA1"/>
          <w:vertAlign w:val="superscript"/>
        </w:rPr>
        <w:t>1204</w:t>
      </w:r>
      <w:r>
        <w:rPr>
          <w:color w:val="005DA1"/>
          <w:vertAlign w:val="baseline"/>
        </w:rPr>
        <w:t> </w:t>
      </w:r>
      <w:r>
        <w:rPr>
          <w:vertAlign w:val="baseline"/>
        </w:rPr>
        <w:t>But Lord Walker has said that he had “some difficulty” </w:t>
      </w:r>
      <w:r>
        <w:rPr>
          <w:color w:val="005DA1"/>
          <w:u w:val="single" w:color="005DA1"/>
          <w:vertAlign w:val="superscript"/>
        </w:rPr>
        <w:t>1205</w:t>
      </w:r>
      <w:r>
        <w:rPr>
          <w:color w:val="005DA1"/>
          <w:vertAlign w:val="baseline"/>
        </w:rPr>
        <w:t> </w:t>
      </w:r>
      <w:r>
        <w:rPr>
          <w:vertAlign w:val="baseline"/>
        </w:rPr>
        <w:t>with this observation; and there are also important differences </w:t>
      </w:r>
      <w:r>
        <w:rPr>
          <w:color w:val="005DA1"/>
          <w:u w:val="single" w:color="005DA1"/>
          <w:vertAlign w:val="superscript"/>
        </w:rPr>
        <w:t>1206</w:t>
      </w:r>
      <w:r>
        <w:rPr>
          <w:color w:val="005DA1"/>
          <w:vertAlign w:val="baseline"/>
        </w:rPr>
        <w:t> </w:t>
      </w:r>
      <w:r>
        <w:rPr>
          <w:vertAlign w:val="baseline"/>
        </w:rPr>
        <w:t>between the two doctrines.</w:t>
      </w:r>
    </w:p>
    <w:p>
      <w:pPr>
        <w:pStyle w:val="BodyText"/>
      </w:pPr>
    </w:p>
    <w:p>
      <w:pPr>
        <w:pStyle w:val="BodyText"/>
        <w:spacing w:before="36"/>
      </w:pPr>
    </w:p>
    <w:p>
      <w:pPr>
        <w:spacing w:before="0"/>
        <w:ind w:left="165" w:right="0" w:firstLine="0"/>
        <w:jc w:val="left"/>
        <w:rPr>
          <w:rFonts w:ascii="Arial"/>
          <w:b/>
          <w:sz w:val="18"/>
        </w:rPr>
      </w:pPr>
      <w:r>
        <w:rPr>
          <w:rFonts w:ascii="Arial"/>
          <w:b/>
          <w:sz w:val="18"/>
        </w:rPr>
        <w:t>Proprietary estoppel in some respects narrower than promissory </w:t>
      </w:r>
      <w:r>
        <w:rPr>
          <w:rFonts w:ascii="Arial"/>
          <w:b/>
          <w:spacing w:val="-2"/>
          <w:sz w:val="18"/>
        </w:rPr>
        <w:t>estoppel</w:t>
      </w:r>
    </w:p>
    <w:p>
      <w:pPr>
        <w:pStyle w:val="BodyText"/>
        <w:spacing w:before="41"/>
        <w:rPr>
          <w:rFonts w:ascii="Arial"/>
          <w:b/>
          <w:sz w:val="18"/>
        </w:rPr>
      </w:pPr>
    </w:p>
    <w:p>
      <w:pPr>
        <w:pStyle w:val="Heading2"/>
      </w:pPr>
      <w:r>
        <w:rPr/>
        <w:t>4-</w:t>
      </w:r>
      <w:r>
        <w:rPr>
          <w:spacing w:val="-5"/>
        </w:rPr>
        <w:t>182</w:t>
      </w:r>
    </w:p>
    <w:p>
      <w:pPr>
        <w:pStyle w:val="BodyText"/>
        <w:spacing w:line="235" w:lineRule="auto" w:before="203"/>
        <w:ind w:left="165" w:right="167"/>
        <w:jc w:val="both"/>
      </w:pPr>
      <w:r>
        <w:rPr/>
        <w:t>The scope of proprietary is in two respects narrower than that of promissory estoppel. First, proprietary estoppel is restricted to situations in which one party acts under the belief that he has </w:t>
      </w:r>
      <w:r>
        <w:rPr/>
        <w:t>or will be granted an interest in or over “identified property” </w:t>
      </w:r>
      <w:r>
        <w:rPr>
          <w:color w:val="005DA1"/>
          <w:u w:val="single" w:color="005DA1"/>
          <w:vertAlign w:val="superscript"/>
        </w:rPr>
        <w:t>1207</w:t>
      </w:r>
      <w:r>
        <w:rPr>
          <w:color w:val="005DA1"/>
          <w:vertAlign w:val="baseline"/>
        </w:rPr>
        <w:t> </w:t>
      </w:r>
      <w:r>
        <w:rPr>
          <w:vertAlign w:val="baseline"/>
        </w:rPr>
        <w:t>(generally land) of another. This requirement has been judicially described as “one of the main distinguishing features” </w:t>
      </w:r>
      <w:r>
        <w:rPr>
          <w:color w:val="005DA1"/>
          <w:u w:val="single" w:color="005DA1"/>
          <w:vertAlign w:val="superscript"/>
        </w:rPr>
        <w:t>1208</w:t>
      </w:r>
      <w:r>
        <w:rPr>
          <w:color w:val="005DA1"/>
          <w:vertAlign w:val="baseline"/>
        </w:rPr>
        <w:t> </w:t>
      </w:r>
      <w:r>
        <w:rPr>
          <w:vertAlign w:val="baseline"/>
        </w:rPr>
        <w:t>between</w:t>
      </w:r>
      <w:r>
        <w:rPr>
          <w:spacing w:val="40"/>
          <w:vertAlign w:val="baseline"/>
        </w:rPr>
        <w:t> </w:t>
      </w:r>
      <w:r>
        <w:rPr>
          <w:vertAlign w:val="baseline"/>
        </w:rPr>
        <w:t>the two kinds of estoppel since a promissory estoppel may arise out of </w:t>
      </w:r>
      <w:r>
        <w:rPr>
          <w:rFonts w:ascii="Arial" w:hAnsi="Arial"/>
          <w:i/>
          <w:vertAlign w:val="baseline"/>
        </w:rPr>
        <w:t>any </w:t>
      </w:r>
      <w:r>
        <w:rPr>
          <w:vertAlign w:val="baseline"/>
        </w:rPr>
        <w:t>promise that strict legal rights will not be enforced: there is no need for those rights to relate to land or other property. Secondly, proprietary estoppel requires the promisee to have acted to his detriment, </w:t>
      </w:r>
      <w:r>
        <w:rPr>
          <w:color w:val="005DA1"/>
          <w:u w:val="single" w:color="005DA1"/>
          <w:vertAlign w:val="superscript"/>
        </w:rPr>
        <w:t>1209</w:t>
      </w:r>
      <w:r>
        <w:rPr>
          <w:color w:val="005DA1"/>
          <w:vertAlign w:val="baseline"/>
        </w:rPr>
        <w:t> </w:t>
      </w:r>
      <w:r>
        <w:rPr>
          <w:vertAlign w:val="baseline"/>
        </w:rPr>
        <w:t>while promissory estoppel may operate even though the promisee merely performs a pre-existing duty and so suffers no detriment in the sense of doing something that he was not previously under a legal obligation to do. </w:t>
      </w:r>
      <w:r>
        <w:rPr>
          <w:color w:val="005DA1"/>
          <w:u w:val="single" w:color="005DA1"/>
          <w:vertAlign w:val="superscript"/>
        </w:rPr>
        <w:t>1210</w:t>
      </w:r>
      <w:r>
        <w:rPr>
          <w:color w:val="005DA1"/>
          <w:vertAlign w:val="baseline"/>
        </w:rPr>
        <w:t> </w:t>
      </w:r>
      <w:r>
        <w:rPr>
          <w:vertAlign w:val="baseline"/>
        </w:rPr>
        <w:t>This difference between the two doctrines follows from the fact that promissory estoppel is (unlike proprietary estoppel) concerned only with the variation or abandonment of rights arising out of a pre-existing legal relationship between promisor and promisee.</w:t>
      </w:r>
    </w:p>
    <w:p>
      <w:pPr>
        <w:pStyle w:val="BodyText"/>
      </w:pPr>
    </w:p>
    <w:p>
      <w:pPr>
        <w:pStyle w:val="BodyText"/>
        <w:spacing w:before="34"/>
      </w:pPr>
    </w:p>
    <w:p>
      <w:pPr>
        <w:spacing w:before="0"/>
        <w:ind w:left="165" w:right="0" w:firstLine="0"/>
        <w:jc w:val="left"/>
        <w:rPr>
          <w:rFonts w:ascii="Arial"/>
          <w:b/>
          <w:sz w:val="18"/>
        </w:rPr>
      </w:pPr>
      <w:r>
        <w:rPr>
          <w:rFonts w:ascii="Arial"/>
          <w:b/>
          <w:sz w:val="18"/>
        </w:rPr>
        <w:t>Proprietary estoppel in other respects wider than promissory </w:t>
      </w:r>
      <w:r>
        <w:rPr>
          <w:rFonts w:ascii="Arial"/>
          <w:b/>
          <w:spacing w:val="-2"/>
          <w:sz w:val="18"/>
        </w:rPr>
        <w:t>estoppel</w:t>
      </w:r>
    </w:p>
    <w:p>
      <w:pPr>
        <w:pStyle w:val="BodyText"/>
        <w:spacing w:before="41"/>
        <w:rPr>
          <w:rFonts w:ascii="Arial"/>
          <w:b/>
          <w:sz w:val="18"/>
        </w:rPr>
      </w:pPr>
    </w:p>
    <w:p>
      <w:pPr>
        <w:pStyle w:val="Heading2"/>
      </w:pPr>
      <w:r>
        <w:rPr/>
        <w:t>4-</w:t>
      </w:r>
      <w:r>
        <w:rPr>
          <w:spacing w:val="-5"/>
        </w:rPr>
        <w:t>183</w:t>
      </w:r>
    </w:p>
    <w:p>
      <w:pPr>
        <w:pStyle w:val="BodyText"/>
        <w:spacing w:line="235" w:lineRule="auto" w:before="203"/>
        <w:ind w:left="165" w:right="167"/>
        <w:jc w:val="both"/>
      </w:pPr>
      <w:r>
        <w:rPr/>
        <w:t>On the other hand, the scope of proprietary is in two other respects wider than that of promissory estoppel. First, promissory estoppel arises only out of a representation or promise that is “clear” </w:t>
      </w:r>
      <w:r>
        <w:rPr/>
        <w:t>or “precise and unambiguous.” </w:t>
      </w:r>
      <w:r>
        <w:rPr>
          <w:color w:val="005DA1"/>
          <w:u w:val="single" w:color="005DA1"/>
          <w:vertAlign w:val="superscript"/>
        </w:rPr>
        <w:t>1211</w:t>
      </w:r>
      <w:r>
        <w:rPr>
          <w:color w:val="005DA1"/>
          <w:vertAlign w:val="baseline"/>
        </w:rPr>
        <w:t> </w:t>
      </w:r>
      <w:r>
        <w:rPr>
          <w:vertAlign w:val="baseline"/>
        </w:rPr>
        <w:t>Proprietary estoppel, by contrast, can arise where there is no actual promise: for example, in cases of so-called “acquiescence”, where one party makes improvements to another’s land under a mistake and the other either knows of the mistake </w:t>
      </w:r>
      <w:r>
        <w:rPr>
          <w:color w:val="005DA1"/>
          <w:u w:val="single" w:color="005DA1"/>
          <w:vertAlign w:val="superscript"/>
        </w:rPr>
        <w:t>1212</w:t>
      </w:r>
      <w:r>
        <w:rPr>
          <w:color w:val="005DA1"/>
          <w:vertAlign w:val="baseline"/>
        </w:rPr>
        <w:t> </w:t>
      </w:r>
      <w:r>
        <w:rPr>
          <w:vertAlign w:val="baseline"/>
        </w:rPr>
        <w:t>or seeks to take unconscionable advantage of it. </w:t>
      </w:r>
      <w:r>
        <w:rPr>
          <w:color w:val="005DA1"/>
          <w:u w:val="single" w:color="005DA1"/>
          <w:vertAlign w:val="superscript"/>
        </w:rPr>
        <w:t>1213</w:t>
      </w:r>
      <w:r>
        <w:rPr>
          <w:color w:val="005DA1"/>
          <w:vertAlign w:val="baseline"/>
        </w:rPr>
        <w:t> </w:t>
      </w:r>
      <w:r>
        <w:rPr>
          <w:vertAlign w:val="baseline"/>
        </w:rPr>
        <w:t>This type of proprietary estoppel is typically based on “silence</w:t>
      </w:r>
      <w:r>
        <w:rPr>
          <w:spacing w:val="40"/>
          <w:vertAlign w:val="baseline"/>
        </w:rPr>
        <w:t> </w:t>
      </w:r>
      <w:r>
        <w:rPr>
          <w:vertAlign w:val="baseline"/>
        </w:rPr>
        <w:t>and inaction rather than on any statement or action.” </w:t>
      </w:r>
      <w:r>
        <w:rPr>
          <w:color w:val="005DA1"/>
          <w:u w:val="single" w:color="005DA1"/>
          <w:vertAlign w:val="superscript"/>
        </w:rPr>
        <w:t>1214</w:t>
      </w:r>
      <w:r>
        <w:rPr>
          <w:color w:val="005DA1"/>
          <w:vertAlign w:val="baseline"/>
        </w:rPr>
        <w:t> </w:t>
      </w:r>
      <w:r>
        <w:rPr>
          <w:vertAlign w:val="baseline"/>
        </w:rPr>
        <w:t>That would not normally be true of promissory estoppel. </w:t>
      </w:r>
      <w:r>
        <w:rPr>
          <w:color w:val="005DA1"/>
          <w:u w:val="single" w:color="005DA1"/>
          <w:vertAlign w:val="superscript"/>
        </w:rPr>
        <w:t>1215</w:t>
      </w:r>
      <w:r>
        <w:rPr>
          <w:color w:val="005DA1"/>
          <w:vertAlign w:val="baseline"/>
        </w:rPr>
        <w:t> </w:t>
      </w:r>
      <w:r>
        <w:rPr>
          <w:vertAlign w:val="baseline"/>
        </w:rPr>
        <w:t>Even where proprietary estoppel is based on “encouragement”, </w:t>
      </w:r>
      <w:r>
        <w:rPr>
          <w:color w:val="005DA1"/>
          <w:u w:val="single" w:color="005DA1"/>
          <w:vertAlign w:val="superscript"/>
        </w:rPr>
        <w:t>1216</w:t>
      </w:r>
      <w:r>
        <w:rPr>
          <w:color w:val="005DA1"/>
          <w:vertAlign w:val="baseline"/>
        </w:rPr>
        <w:t> </w:t>
      </w:r>
      <w:r>
        <w:rPr>
          <w:vertAlign w:val="baseline"/>
        </w:rPr>
        <w:t>so that some</w:t>
      </w:r>
      <w:r>
        <w:rPr>
          <w:spacing w:val="12"/>
          <w:vertAlign w:val="baseline"/>
        </w:rPr>
        <w:t> </w:t>
      </w:r>
      <w:r>
        <w:rPr>
          <w:vertAlign w:val="baseline"/>
        </w:rPr>
        <w:t>statement</w:t>
      </w:r>
      <w:r>
        <w:rPr>
          <w:spacing w:val="12"/>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nature</w:t>
      </w:r>
      <w:r>
        <w:rPr>
          <w:spacing w:val="12"/>
          <w:vertAlign w:val="baseline"/>
        </w:rPr>
        <w:t> </w:t>
      </w:r>
      <w:r>
        <w:rPr>
          <w:vertAlign w:val="baseline"/>
        </w:rPr>
        <w:t>of</w:t>
      </w:r>
      <w:r>
        <w:rPr>
          <w:spacing w:val="12"/>
          <w:vertAlign w:val="baseline"/>
        </w:rPr>
        <w:t> </w:t>
      </w:r>
      <w:r>
        <w:rPr>
          <w:vertAlign w:val="baseline"/>
        </w:rPr>
        <w:t>a</w:t>
      </w:r>
      <w:r>
        <w:rPr>
          <w:spacing w:val="12"/>
          <w:vertAlign w:val="baseline"/>
        </w:rPr>
        <w:t> </w:t>
      </w:r>
      <w:r>
        <w:rPr>
          <w:vertAlign w:val="baseline"/>
        </w:rPr>
        <w:t>promise,</w:t>
      </w:r>
      <w:r>
        <w:rPr>
          <w:spacing w:val="12"/>
          <w:vertAlign w:val="baseline"/>
        </w:rPr>
        <w:t> </w:t>
      </w:r>
      <w:r>
        <w:rPr>
          <w:vertAlign w:val="baseline"/>
        </w:rPr>
        <w:t>representation</w:t>
      </w:r>
      <w:r>
        <w:rPr>
          <w:spacing w:val="12"/>
          <w:vertAlign w:val="baseline"/>
        </w:rPr>
        <w:t> </w:t>
      </w:r>
      <w:r>
        <w:rPr>
          <w:vertAlign w:val="baseline"/>
        </w:rPr>
        <w:t>or</w:t>
      </w:r>
      <w:r>
        <w:rPr>
          <w:spacing w:val="12"/>
          <w:vertAlign w:val="baseline"/>
        </w:rPr>
        <w:t> </w:t>
      </w:r>
      <w:r>
        <w:rPr>
          <w:vertAlign w:val="baseline"/>
        </w:rPr>
        <w:t>assurance</w:t>
      </w:r>
      <w:r>
        <w:rPr>
          <w:spacing w:val="12"/>
          <w:vertAlign w:val="baseline"/>
        </w:rPr>
        <w:t> </w:t>
      </w:r>
      <w:r>
        <w:rPr>
          <w:vertAlign w:val="baseline"/>
        </w:rPr>
        <w:t>must</w:t>
      </w:r>
      <w:r>
        <w:rPr>
          <w:spacing w:val="12"/>
          <w:vertAlign w:val="baseline"/>
        </w:rPr>
        <w:t> </w:t>
      </w:r>
      <w:r>
        <w:rPr>
          <w:vertAlign w:val="baseline"/>
        </w:rPr>
        <w:t>be</w:t>
      </w:r>
      <w:r>
        <w:rPr>
          <w:spacing w:val="12"/>
          <w:vertAlign w:val="baseline"/>
        </w:rPr>
        <w:t> </w:t>
      </w:r>
      <w:r>
        <w:rPr>
          <w:vertAlign w:val="baseline"/>
        </w:rPr>
        <w:t>established</w:t>
      </w:r>
      <w:r>
        <w:rPr>
          <w:spacing w:val="12"/>
          <w:vertAlign w:val="baseline"/>
        </w:rPr>
        <w:t> </w:t>
      </w:r>
      <w:r>
        <w:rPr>
          <w:vertAlign w:val="baseline"/>
        </w:rPr>
        <w:t>to</w:t>
      </w:r>
      <w:r>
        <w:rPr>
          <w:spacing w:val="12"/>
          <w:vertAlign w:val="baseline"/>
        </w:rPr>
        <w:t> </w:t>
      </w:r>
      <w:r>
        <w:rPr>
          <w:spacing w:val="-4"/>
          <w:vertAlign w:val="baseline"/>
        </w:rPr>
        <w:t>give</w:t>
      </w:r>
    </w:p>
    <w:p>
      <w:pPr>
        <w:pStyle w:val="BodyText"/>
        <w:spacing w:after="0" w:line="235" w:lineRule="auto"/>
        <w:jc w:val="both"/>
        <w:sectPr>
          <w:headerReference w:type="default" r:id="rId58"/>
          <w:headerReference w:type="even" r:id="rId59"/>
          <w:pgSz w:w="11900" w:h="16840"/>
          <w:pgMar w:header="971" w:footer="0" w:top="1160" w:bottom="280" w:left="1275" w:right="1275"/>
          <w:pgNumType w:start="1"/>
        </w:sectPr>
      </w:pPr>
    </w:p>
    <w:p>
      <w:pPr>
        <w:pStyle w:val="BodyText"/>
        <w:spacing w:before="24"/>
      </w:pPr>
    </w:p>
    <w:p>
      <w:pPr>
        <w:pStyle w:val="BodyText"/>
        <w:spacing w:line="235" w:lineRule="auto" w:before="1"/>
        <w:ind w:left="164" w:right="167"/>
        <w:jc w:val="both"/>
      </w:pPr>
      <w:r>
        <w:rPr/>
        <w:t>rise to it, the requirement that such a statement must be “clear enough” </w:t>
      </w:r>
      <w:r>
        <w:rPr>
          <w:color w:val="005DA1"/>
          <w:u w:val="single" w:color="005DA1"/>
          <w:vertAlign w:val="superscript"/>
        </w:rPr>
        <w:t>1217</w:t>
      </w:r>
      <w:r>
        <w:rPr>
          <w:color w:val="005DA1"/>
          <w:vertAlign w:val="baseline"/>
        </w:rPr>
        <w:t> </w:t>
      </w:r>
      <w:r>
        <w:rPr>
          <w:vertAlign w:val="baseline"/>
        </w:rPr>
        <w:t>falls short of any requirement that it must be “precise” </w:t>
      </w:r>
      <w:r>
        <w:rPr>
          <w:color w:val="005DA1"/>
          <w:u w:val="single" w:color="005DA1"/>
          <w:vertAlign w:val="superscript"/>
        </w:rPr>
        <w:t>1218</w:t>
      </w:r>
      <w:r>
        <w:rPr>
          <w:vertAlign w:val="baseline"/>
        </w:rPr>
        <w:t>; and since a proprietary estoppel can be based on an “assurance</w:t>
      </w:r>
      <w:r>
        <w:rPr>
          <w:spacing w:val="-3"/>
          <w:vertAlign w:val="baseline"/>
        </w:rPr>
        <w:t> </w:t>
      </w:r>
      <w:r>
        <w:rPr>
          <w:vertAlign w:val="baseline"/>
        </w:rPr>
        <w:t>which</w:t>
      </w:r>
      <w:r>
        <w:rPr>
          <w:spacing w:val="-3"/>
          <w:vertAlign w:val="baseline"/>
        </w:rPr>
        <w:t> </w:t>
      </w:r>
      <w:r>
        <w:rPr>
          <w:vertAlign w:val="baseline"/>
        </w:rPr>
        <w:t>can</w:t>
      </w:r>
      <w:r>
        <w:rPr>
          <w:spacing w:val="-3"/>
          <w:vertAlign w:val="baseline"/>
        </w:rPr>
        <w:t> </w:t>
      </w:r>
      <w:r>
        <w:rPr>
          <w:vertAlign w:val="baseline"/>
        </w:rPr>
        <w:t>reasonably</w:t>
      </w:r>
      <w:r>
        <w:rPr>
          <w:spacing w:val="-3"/>
          <w:vertAlign w:val="baseline"/>
        </w:rPr>
        <w:t> </w:t>
      </w:r>
      <w:r>
        <w:rPr>
          <w:vertAlign w:val="baseline"/>
        </w:rPr>
        <w:t>be</w:t>
      </w:r>
      <w:r>
        <w:rPr>
          <w:spacing w:val="-3"/>
          <w:vertAlign w:val="baseline"/>
        </w:rPr>
        <w:t> </w:t>
      </w:r>
      <w:r>
        <w:rPr>
          <w:vertAlign w:val="baseline"/>
        </w:rPr>
        <w:t>understood</w:t>
      </w:r>
      <w:r>
        <w:rPr>
          <w:spacing w:val="-3"/>
          <w:vertAlign w:val="baseline"/>
        </w:rPr>
        <w:t> </w:t>
      </w:r>
      <w:r>
        <w:rPr>
          <w:vertAlign w:val="baseline"/>
        </w:rPr>
        <w:t>as</w:t>
      </w:r>
      <w:r>
        <w:rPr>
          <w:spacing w:val="-3"/>
          <w:vertAlign w:val="baseline"/>
        </w:rPr>
        <w:t> </w:t>
      </w:r>
      <w:r>
        <w:rPr>
          <w:vertAlign w:val="baseline"/>
        </w:rPr>
        <w:t>having</w:t>
      </w:r>
      <w:r>
        <w:rPr>
          <w:spacing w:val="-3"/>
          <w:vertAlign w:val="baseline"/>
        </w:rPr>
        <w:t> </w:t>
      </w:r>
      <w:r>
        <w:rPr>
          <w:vertAlign w:val="baseline"/>
        </w:rPr>
        <w:t>more</w:t>
      </w:r>
      <w:r>
        <w:rPr>
          <w:spacing w:val="-3"/>
          <w:vertAlign w:val="baseline"/>
        </w:rPr>
        <w:t> </w:t>
      </w:r>
      <w:r>
        <w:rPr>
          <w:vertAlign w:val="baseline"/>
        </w:rPr>
        <w:t>than</w:t>
      </w:r>
      <w:r>
        <w:rPr>
          <w:spacing w:val="-3"/>
          <w:vertAlign w:val="baseline"/>
        </w:rPr>
        <w:t> </w:t>
      </w:r>
      <w:r>
        <w:rPr>
          <w:vertAlign w:val="baseline"/>
        </w:rPr>
        <w:t>one</w:t>
      </w:r>
      <w:r>
        <w:rPr>
          <w:spacing w:val="-3"/>
          <w:vertAlign w:val="baseline"/>
        </w:rPr>
        <w:t> </w:t>
      </w:r>
      <w:r>
        <w:rPr>
          <w:vertAlign w:val="baseline"/>
        </w:rPr>
        <w:t>meaning”,</w:t>
      </w:r>
      <w:r>
        <w:rPr>
          <w:spacing w:val="-4"/>
          <w:vertAlign w:val="baseline"/>
        </w:rPr>
        <w:t> </w:t>
      </w:r>
      <w:r>
        <w:rPr>
          <w:color w:val="005DA1"/>
          <w:u w:val="single" w:color="005DA1"/>
          <w:vertAlign w:val="superscript"/>
        </w:rPr>
        <w:t>1219</w:t>
      </w:r>
      <w:r>
        <w:rPr>
          <w:color w:val="005DA1"/>
          <w:spacing w:val="-3"/>
          <w:vertAlign w:val="baseline"/>
        </w:rPr>
        <w:t> </w:t>
      </w:r>
      <w:r>
        <w:rPr>
          <w:vertAlign w:val="baseline"/>
        </w:rPr>
        <w:t>there</w:t>
      </w:r>
      <w:r>
        <w:rPr>
          <w:spacing w:val="-3"/>
          <w:vertAlign w:val="baseline"/>
        </w:rPr>
        <w:t> </w:t>
      </w:r>
      <w:r>
        <w:rPr>
          <w:vertAlign w:val="baseline"/>
        </w:rPr>
        <w:t>can</w:t>
      </w:r>
      <w:r>
        <w:rPr>
          <w:spacing w:val="-3"/>
          <w:vertAlign w:val="baseline"/>
        </w:rPr>
        <w:t> </w:t>
      </w:r>
      <w:r>
        <w:rPr>
          <w:vertAlign w:val="baseline"/>
        </w:rPr>
        <w:t>be no requirement for the purpose of proprietary (as there is for the purpose of promissory) </w:t>
      </w:r>
      <w:r>
        <w:rPr>
          <w:color w:val="005DA1"/>
          <w:u w:val="single" w:color="005DA1"/>
          <w:vertAlign w:val="superscript"/>
        </w:rPr>
        <w:t>1220</w:t>
      </w:r>
      <w:r>
        <w:rPr>
          <w:color w:val="005DA1"/>
          <w:vertAlign w:val="baseline"/>
        </w:rPr>
        <w:t> </w:t>
      </w:r>
      <w:r>
        <w:rPr>
          <w:vertAlign w:val="baseline"/>
        </w:rPr>
        <w:t>estoppel that the representation must be “unambiguous.” Secondly (and most significantly), while promissory estoppel is essentially defensive in nature, </w:t>
      </w:r>
      <w:r>
        <w:rPr>
          <w:color w:val="005DA1"/>
          <w:u w:val="single" w:color="005DA1"/>
          <w:vertAlign w:val="superscript"/>
        </w:rPr>
        <w:t>1221</w:t>
      </w:r>
      <w:r>
        <w:rPr>
          <w:color w:val="005DA1"/>
          <w:vertAlign w:val="baseline"/>
        </w:rPr>
        <w:t> </w:t>
      </w:r>
      <w:r>
        <w:rPr>
          <w:vertAlign w:val="baseline"/>
        </w:rPr>
        <w:t>proprietary estoppel can give rise to a cause of action. </w:t>
      </w:r>
      <w:r>
        <w:rPr>
          <w:color w:val="005DA1"/>
          <w:u w:val="single" w:color="005DA1"/>
          <w:vertAlign w:val="superscript"/>
        </w:rPr>
        <w:t>1222</w:t>
      </w:r>
      <w:r>
        <w:rPr>
          <w:color w:val="005DA1"/>
          <w:vertAlign w:val="baseline"/>
        </w:rPr>
        <w:t> </w:t>
      </w:r>
      <w:r>
        <w:rPr>
          <w:vertAlign w:val="baseline"/>
        </w:rPr>
        <w:t>The promisee is not merely entitled to raise the estoppel as a defence to an action of trespass or to a claim for possession: the court can make an order for the land to be conveyed to him, </w:t>
      </w:r>
      <w:r>
        <w:rPr>
          <w:color w:val="005DA1"/>
          <w:u w:val="single" w:color="005DA1"/>
          <w:vertAlign w:val="superscript"/>
        </w:rPr>
        <w:t>1223</w:t>
      </w:r>
      <w:r>
        <w:rPr>
          <w:color w:val="005DA1"/>
          <w:vertAlign w:val="baseline"/>
        </w:rPr>
        <w:t> </w:t>
      </w:r>
      <w:r>
        <w:rPr>
          <w:vertAlign w:val="baseline"/>
        </w:rPr>
        <w:t>or for compensation </w:t>
      </w:r>
      <w:r>
        <w:rPr>
          <w:color w:val="005DA1"/>
          <w:u w:val="single" w:color="005DA1"/>
          <w:vertAlign w:val="superscript"/>
        </w:rPr>
        <w:t>1224</w:t>
      </w:r>
      <w:r>
        <w:rPr>
          <w:color w:val="005DA1"/>
          <w:vertAlign w:val="baseline"/>
        </w:rPr>
        <w:t> </w:t>
      </w:r>
      <w:r>
        <w:rPr>
          <w:vertAlign w:val="baseline"/>
        </w:rPr>
        <w:t>or for such other remedy as it regards as appropriate in the exercise of its “principled discretion”. </w:t>
      </w:r>
      <w:r>
        <w:rPr>
          <w:color w:val="005DA1"/>
          <w:u w:val="single" w:color="005DA1"/>
          <w:vertAlign w:val="superscript"/>
        </w:rPr>
        <w:t>1225</w:t>
      </w:r>
      <w:r>
        <w:rPr>
          <w:color w:val="005DA1"/>
          <w:vertAlign w:val="baseline"/>
        </w:rPr>
        <w:t> </w:t>
      </w:r>
      <w:r>
        <w:rPr>
          <w:vertAlign w:val="baseline"/>
        </w:rPr>
        <w:t>Although the authorities support this second distinction between the two kinds of estoppel, they have not, as yet, provided any convincing explanation or justification for it. </w:t>
      </w:r>
      <w:r>
        <w:rPr>
          <w:color w:val="005DA1"/>
          <w:u w:val="single" w:color="005DA1"/>
          <w:vertAlign w:val="superscript"/>
        </w:rPr>
        <w:t>1226</w:t>
      </w:r>
      <w:r>
        <w:rPr>
          <w:color w:val="005DA1"/>
          <w:vertAlign w:val="baseline"/>
        </w:rPr>
        <w:t> </w:t>
      </w:r>
      <w:r>
        <w:rPr>
          <w:vertAlign w:val="baseline"/>
        </w:rPr>
        <w:t>It is submitted that the explanation is in part historical and terminological. In the early cases, proprietary estoppel was explained in terms of </w:t>
      </w:r>
      <w:r>
        <w:rPr>
          <w:rFonts w:ascii="Arial" w:hAnsi="Arial"/>
          <w:i/>
          <w:vertAlign w:val="baseline"/>
        </w:rPr>
        <w:t>acquiescence </w:t>
      </w:r>
      <w:r>
        <w:rPr>
          <w:color w:val="005DA1"/>
          <w:u w:val="single" w:color="005DA1"/>
          <w:vertAlign w:val="superscript"/>
        </w:rPr>
        <w:t>1227</w:t>
      </w:r>
      <w:r>
        <w:rPr>
          <w:color w:val="005DA1"/>
          <w:vertAlign w:val="baseline"/>
        </w:rPr>
        <w:t> </w:t>
      </w:r>
      <w:r>
        <w:rPr>
          <w:vertAlign w:val="baseline"/>
        </w:rPr>
        <w:t>or </w:t>
      </w:r>
      <w:r>
        <w:rPr>
          <w:rFonts w:ascii="Arial" w:hAnsi="Arial"/>
          <w:i/>
          <w:vertAlign w:val="baseline"/>
        </w:rPr>
        <w:t>encouragement</w:t>
      </w:r>
      <w:r>
        <w:rPr>
          <w:vertAlign w:val="baseline"/>
        </w:rPr>
        <w:t>. </w:t>
      </w:r>
      <w:r>
        <w:rPr>
          <w:color w:val="005DA1"/>
          <w:u w:val="single" w:color="005DA1"/>
          <w:vertAlign w:val="superscript"/>
        </w:rPr>
        <w:t>1228</w:t>
      </w:r>
      <w:r>
        <w:rPr>
          <w:color w:val="005DA1"/>
          <w:vertAlign w:val="baseline"/>
        </w:rPr>
        <w:t> </w:t>
      </w:r>
      <w:r>
        <w:rPr>
          <w:vertAlign w:val="baseline"/>
        </w:rPr>
        <w:t>Hence no conflict with the requirement that </w:t>
      </w:r>
      <w:r>
        <w:rPr>
          <w:rFonts w:ascii="Arial" w:hAnsi="Arial"/>
          <w:i/>
          <w:vertAlign w:val="baseline"/>
        </w:rPr>
        <w:t>promises </w:t>
      </w:r>
      <w:r>
        <w:rPr>
          <w:vertAlign w:val="baseline"/>
        </w:rPr>
        <w:t>must be supported by consideration was perceived; or where it was perceived the facts were said to give rise to a contract. </w:t>
      </w:r>
      <w:r>
        <w:rPr>
          <w:color w:val="005DA1"/>
          <w:u w:val="single" w:color="005DA1"/>
          <w:vertAlign w:val="superscript"/>
        </w:rPr>
        <w:t>1229</w:t>
      </w:r>
      <w:r>
        <w:rPr>
          <w:color w:val="005DA1"/>
          <w:vertAlign w:val="baseline"/>
        </w:rPr>
        <w:t> </w:t>
      </w:r>
      <w:r>
        <w:rPr>
          <w:vertAlign w:val="baseline"/>
        </w:rPr>
        <w:t>Promissory estoppel, on the other hand, dealt principally with the renegotiation of contracts; it obviously depended on giving binding effect to promises, and did so in the context of releases and variations, in which the common law requirement of consideration had long been established. </w:t>
      </w:r>
      <w:r>
        <w:rPr>
          <w:color w:val="005DA1"/>
          <w:u w:val="single" w:color="005DA1"/>
          <w:vertAlign w:val="superscript"/>
        </w:rPr>
        <w:t>1230</w:t>
      </w:r>
      <w:r>
        <w:rPr>
          <w:color w:val="005DA1"/>
          <w:vertAlign w:val="baseline"/>
        </w:rPr>
        <w:t> </w:t>
      </w:r>
      <w:r>
        <w:rPr>
          <w:vertAlign w:val="baseline"/>
        </w:rPr>
        <w:t>The rule that promissory estoppel gives rise to no cause of action was evolved to prevent what would otherwise have been an obvious conflict between promissory estoppel and consideration. </w:t>
      </w:r>
      <w:r>
        <w:rPr>
          <w:color w:val="005DA1"/>
          <w:u w:val="single" w:color="005DA1"/>
          <w:vertAlign w:val="superscript"/>
        </w:rPr>
        <w:t>1231</w:t>
      </w:r>
      <w:r>
        <w:rPr>
          <w:color w:val="005DA1"/>
          <w:vertAlign w:val="baseline"/>
        </w:rPr>
        <w:t> </w:t>
      </w:r>
      <w:r>
        <w:rPr>
          <w:vertAlign w:val="baseline"/>
        </w:rPr>
        <w:t>In cases of proprietary estoppel there was no such conflict where liability was based on “acquiescence”; and where it was based on “encouragement” the conflict, though sometimes real enough, was at least less obvious. There are, moreover, two aspects of proprietary estoppel which help to justify the distinction. These are that the acts done by the promisee are not ones which he was under any previous legal obligation to perform; and that generally their effect would be unjustly to enrich the promisor if he were allowed to go back on his promise. </w:t>
      </w:r>
      <w:r>
        <w:rPr>
          <w:color w:val="005DA1"/>
          <w:u w:val="single" w:color="005DA1"/>
          <w:vertAlign w:val="superscript"/>
        </w:rPr>
        <w:t>1232</w:t>
      </w:r>
      <w:r>
        <w:rPr>
          <w:color w:val="005DA1"/>
          <w:vertAlign w:val="baseline"/>
        </w:rPr>
        <w:t> </w:t>
      </w:r>
      <w:r>
        <w:rPr>
          <w:vertAlign w:val="baseline"/>
        </w:rPr>
        <w:t>In these respects, the facts on which proprietary estoppel is based provide more compelling grounds for relief </w:t>
      </w:r>
      <w:r>
        <w:rPr>
          <w:color w:val="005DA1"/>
          <w:u w:val="single" w:color="005DA1"/>
          <w:vertAlign w:val="superscript"/>
        </w:rPr>
        <w:t>1233</w:t>
      </w:r>
      <w:r>
        <w:rPr>
          <w:color w:val="005DA1"/>
          <w:vertAlign w:val="baseline"/>
        </w:rPr>
        <w:t> </w:t>
      </w:r>
      <w:r>
        <w:rPr>
          <w:vertAlign w:val="baseline"/>
        </w:rPr>
        <w:t>than those commonly found in cases of promissory estoppel.</w:t>
      </w:r>
    </w:p>
    <w:p>
      <w:pPr>
        <w:pStyle w:val="BodyText"/>
      </w:pPr>
    </w:p>
    <w:p>
      <w:pPr>
        <w:pStyle w:val="BodyText"/>
        <w:spacing w:before="28"/>
      </w:pPr>
    </w:p>
    <w:p>
      <w:pPr>
        <w:spacing w:before="0"/>
        <w:ind w:left="165" w:right="0" w:firstLine="0"/>
        <w:jc w:val="both"/>
        <w:rPr>
          <w:rFonts w:ascii="Arial"/>
          <w:b/>
          <w:sz w:val="18"/>
        </w:rPr>
      </w:pPr>
      <w:r>
        <w:rPr>
          <w:rFonts w:ascii="Arial"/>
          <w:b/>
          <w:sz w:val="18"/>
        </w:rPr>
        <w:t>Common basis of proprietary and promissory </w:t>
      </w:r>
      <w:r>
        <w:rPr>
          <w:rFonts w:ascii="Arial"/>
          <w:b/>
          <w:spacing w:val="-2"/>
          <w:sz w:val="18"/>
        </w:rPr>
        <w:t>estoppel?</w:t>
      </w:r>
    </w:p>
    <w:p>
      <w:pPr>
        <w:pStyle w:val="BodyText"/>
        <w:spacing w:before="41"/>
        <w:rPr>
          <w:rFonts w:ascii="Arial"/>
          <w:b/>
          <w:sz w:val="18"/>
        </w:rPr>
      </w:pPr>
    </w:p>
    <w:p>
      <w:pPr>
        <w:pStyle w:val="Heading2"/>
      </w:pPr>
      <w:r>
        <w:rPr/>
        <w:t>4-</w:t>
      </w:r>
      <w:r>
        <w:rPr>
          <w:spacing w:val="-5"/>
        </w:rPr>
        <w:t>184</w:t>
      </w:r>
    </w:p>
    <w:p>
      <w:pPr>
        <w:pStyle w:val="BodyText"/>
        <w:spacing w:line="235" w:lineRule="auto" w:before="203"/>
        <w:ind w:left="164" w:right="167"/>
        <w:jc w:val="both"/>
      </w:pPr>
      <w:r>
        <w:rPr/>
        <w:t>While these two doctrines are in the respects discussed in para.4-183 above distinct it can also be argued that they have a common basis, viz. that it would be unconscionable for the promisor to go back on his promise after the promisee has acted in reliance on it; and that the precise labels to be attached to them are “immaterial.” </w:t>
      </w:r>
      <w:r>
        <w:rPr>
          <w:color w:val="005DA1"/>
          <w:u w:val="single" w:color="005DA1"/>
          <w:vertAlign w:val="superscript"/>
        </w:rPr>
        <w:t>1234</w:t>
      </w:r>
      <w:r>
        <w:rPr>
          <w:color w:val="005DA1"/>
          <w:vertAlign w:val="baseline"/>
        </w:rPr>
        <w:t> </w:t>
      </w:r>
      <w:r>
        <w:rPr>
          <w:vertAlign w:val="baseline"/>
        </w:rPr>
        <w:t>It is perhaps for these reasons that the distinction between </w:t>
      </w:r>
      <w:r>
        <w:rPr>
          <w:vertAlign w:val="baseline"/>
        </w:rPr>
        <w:t>the two</w:t>
      </w:r>
      <w:r>
        <w:rPr>
          <w:spacing w:val="-1"/>
          <w:vertAlign w:val="baseline"/>
        </w:rPr>
        <w:t> </w:t>
      </w:r>
      <w:r>
        <w:rPr>
          <w:vertAlign w:val="baseline"/>
        </w:rPr>
        <w:t>kinds</w:t>
      </w:r>
      <w:r>
        <w:rPr>
          <w:spacing w:val="-1"/>
          <w:vertAlign w:val="baseline"/>
        </w:rPr>
        <w:t> </w:t>
      </w:r>
      <w:r>
        <w:rPr>
          <w:vertAlign w:val="baseline"/>
        </w:rPr>
        <w:t>of</w:t>
      </w:r>
      <w:r>
        <w:rPr>
          <w:spacing w:val="-1"/>
          <w:vertAlign w:val="baseline"/>
        </w:rPr>
        <w:t> </w:t>
      </w:r>
      <w:r>
        <w:rPr>
          <w:vertAlign w:val="baseline"/>
        </w:rPr>
        <w:t>estoppel</w:t>
      </w:r>
      <w:r>
        <w:rPr>
          <w:spacing w:val="-1"/>
          <w:vertAlign w:val="baseline"/>
        </w:rPr>
        <w:t> </w:t>
      </w:r>
      <w:r>
        <w:rPr>
          <w:vertAlign w:val="baseline"/>
        </w:rPr>
        <w:t>was</w:t>
      </w:r>
      <w:r>
        <w:rPr>
          <w:spacing w:val="-1"/>
          <w:vertAlign w:val="baseline"/>
        </w:rPr>
        <w:t> </w:t>
      </w:r>
      <w:r>
        <w:rPr>
          <w:vertAlign w:val="baseline"/>
        </w:rPr>
        <w:t>described</w:t>
      </w:r>
      <w:r>
        <w:rPr>
          <w:spacing w:val="-1"/>
          <w:vertAlign w:val="baseline"/>
        </w:rPr>
        <w:t> </w:t>
      </w:r>
      <w:r>
        <w:rPr>
          <w:vertAlign w:val="baseline"/>
        </w:rPr>
        <w:t>as</w:t>
      </w:r>
      <w:r>
        <w:rPr>
          <w:spacing w:val="-1"/>
          <w:vertAlign w:val="baseline"/>
        </w:rPr>
        <w:t> </w:t>
      </w:r>
      <w:r>
        <w:rPr>
          <w:vertAlign w:val="baseline"/>
        </w:rPr>
        <w:t>“not</w:t>
      </w:r>
      <w:r>
        <w:rPr>
          <w:spacing w:val="-1"/>
          <w:vertAlign w:val="baseline"/>
        </w:rPr>
        <w:t> </w:t>
      </w:r>
      <w:r>
        <w:rPr>
          <w:vertAlign w:val="baseline"/>
        </w:rPr>
        <w:t>…</w:t>
      </w:r>
      <w:r>
        <w:rPr>
          <w:spacing w:val="-1"/>
          <w:vertAlign w:val="baseline"/>
        </w:rPr>
        <w:t> </w:t>
      </w:r>
      <w:r>
        <w:rPr>
          <w:vertAlign w:val="baseline"/>
        </w:rPr>
        <w:t>helpful”</w:t>
      </w:r>
      <w:r>
        <w:rPr>
          <w:spacing w:val="-1"/>
          <w:vertAlign w:val="baseline"/>
        </w:rPr>
        <w:t> </w:t>
      </w:r>
      <w:r>
        <w:rPr>
          <w:vertAlign w:val="baseline"/>
        </w:rPr>
        <w:t>by</w:t>
      </w:r>
      <w:r>
        <w:rPr>
          <w:spacing w:val="-1"/>
          <w:vertAlign w:val="baseline"/>
        </w:rPr>
        <w:t> </w:t>
      </w:r>
      <w:r>
        <w:rPr>
          <w:vertAlign w:val="baseline"/>
        </w:rPr>
        <w:t>Scarman</w:t>
      </w:r>
      <w:r>
        <w:rPr>
          <w:spacing w:val="-1"/>
          <w:vertAlign w:val="baseline"/>
        </w:rPr>
        <w:t> </w:t>
      </w:r>
      <w:r>
        <w:rPr>
          <w:vertAlign w:val="baseline"/>
        </w:rPr>
        <w:t>L.J.</w:t>
      </w:r>
      <w:r>
        <w:rPr>
          <w:spacing w:val="-1"/>
          <w:vertAlign w:val="baseline"/>
        </w:rPr>
        <w:t> </w:t>
      </w:r>
      <w:r>
        <w:rPr>
          <w:vertAlign w:val="baseline"/>
        </w:rPr>
        <w:t>in</w:t>
      </w:r>
      <w:r>
        <w:rPr>
          <w:spacing w:val="-1"/>
          <w:vertAlign w:val="baseline"/>
        </w:rPr>
        <w:t> </w:t>
      </w:r>
      <w:r>
        <w:rPr>
          <w:rFonts w:ascii="Arial" w:hAnsi="Arial"/>
          <w:i/>
          <w:vertAlign w:val="baseline"/>
        </w:rPr>
        <w:t>Crabb</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Arun</w:t>
      </w:r>
      <w:r>
        <w:rPr>
          <w:rFonts w:ascii="Arial" w:hAnsi="Arial"/>
          <w:i/>
          <w:spacing w:val="-1"/>
          <w:vertAlign w:val="baseline"/>
        </w:rPr>
        <w:t> </w:t>
      </w:r>
      <w:r>
        <w:rPr>
          <w:rFonts w:ascii="Arial" w:hAnsi="Arial"/>
          <w:i/>
          <w:vertAlign w:val="baseline"/>
        </w:rPr>
        <w:t>DC</w:t>
      </w:r>
      <w:r>
        <w:rPr>
          <w:vertAlign w:val="baseline"/>
        </w:rPr>
        <w:t>.</w:t>
      </w:r>
      <w:r>
        <w:rPr>
          <w:spacing w:val="-1"/>
          <w:vertAlign w:val="baseline"/>
        </w:rPr>
        <w:t> </w:t>
      </w:r>
      <w:r>
        <w:rPr>
          <w:color w:val="005DA1"/>
          <w:u w:val="single" w:color="005DA1"/>
          <w:vertAlign w:val="superscript"/>
        </w:rPr>
        <w:t>1235</w:t>
      </w:r>
      <w:r>
        <w:rPr>
          <w:color w:val="005DA1"/>
          <w:spacing w:val="-1"/>
          <w:vertAlign w:val="baseline"/>
        </w:rPr>
        <w:t> </w:t>
      </w:r>
      <w:r>
        <w:rPr>
          <w:vertAlign w:val="baseline"/>
        </w:rPr>
        <w:t>That decision was, in a later case, said to illustrate “a virtual equation of promissory and proprietary estoppel,” </w:t>
      </w:r>
      <w:r>
        <w:rPr>
          <w:color w:val="005DA1"/>
          <w:u w:val="single" w:color="005DA1"/>
          <w:vertAlign w:val="superscript"/>
        </w:rPr>
        <w:t>1236</w:t>
      </w:r>
      <w:r>
        <w:rPr>
          <w:color w:val="005DA1"/>
          <w:vertAlign w:val="baseline"/>
        </w:rPr>
        <w:t> </w:t>
      </w:r>
      <w:r>
        <w:rPr>
          <w:vertAlign w:val="baseline"/>
        </w:rPr>
        <w:t>perhaps because it extended the operation of proprietary estoppel beyond the situations originally within its scope, viz. those in which the promisor would be unjustly enriched by</w:t>
      </w:r>
      <w:r>
        <w:rPr>
          <w:spacing w:val="80"/>
          <w:vertAlign w:val="baseline"/>
        </w:rPr>
        <w:t> </w:t>
      </w:r>
      <w:r>
        <w:rPr>
          <w:vertAlign w:val="baseline"/>
        </w:rPr>
        <w:t>the work done by the promisee on the promisor’s land unless some legal effect were given to the promise. Nevertheless it is submitted that the doctrines are distinct in the respects stated above. </w:t>
      </w:r>
      <w:r>
        <w:rPr>
          <w:color w:val="005DA1"/>
          <w:u w:val="single" w:color="005DA1"/>
          <w:vertAlign w:val="superscript"/>
        </w:rPr>
        <w:t>1237</w:t>
      </w:r>
      <w:r>
        <w:rPr>
          <w:color w:val="005DA1"/>
          <w:vertAlign w:val="baseline"/>
        </w:rPr>
        <w:t> </w:t>
      </w:r>
      <w:r>
        <w:rPr>
          <w:vertAlign w:val="baseline"/>
        </w:rPr>
        <w:t>Attempts to unite them by posing “simply” the question whether it would be “unconscionable” </w:t>
      </w:r>
      <w:r>
        <w:rPr>
          <w:color w:val="005DA1"/>
          <w:u w:val="single" w:color="005DA1"/>
          <w:vertAlign w:val="superscript"/>
        </w:rPr>
        <w:t>1238</w:t>
      </w:r>
      <w:r>
        <w:rPr>
          <w:color w:val="005DA1"/>
          <w:vertAlign w:val="baseline"/>
        </w:rPr>
        <w:t> </w:t>
      </w:r>
      <w:r>
        <w:rPr>
          <w:vertAlign w:val="baseline"/>
        </w:rPr>
        <w:t>for the</w:t>
      </w:r>
      <w:r>
        <w:rPr>
          <w:spacing w:val="-3"/>
          <w:vertAlign w:val="baseline"/>
        </w:rPr>
        <w:t> </w:t>
      </w:r>
      <w:r>
        <w:rPr>
          <w:vertAlign w:val="baseline"/>
        </w:rPr>
        <w:t>promisor</w:t>
      </w:r>
      <w:r>
        <w:rPr>
          <w:spacing w:val="-3"/>
          <w:vertAlign w:val="baseline"/>
        </w:rPr>
        <w:t> </w:t>
      </w:r>
      <w:r>
        <w:rPr>
          <w:vertAlign w:val="baseline"/>
        </w:rPr>
        <w:t>to</w:t>
      </w:r>
      <w:r>
        <w:rPr>
          <w:spacing w:val="-3"/>
          <w:vertAlign w:val="baseline"/>
        </w:rPr>
        <w:t> </w:t>
      </w:r>
      <w:r>
        <w:rPr>
          <w:vertAlign w:val="baseline"/>
        </w:rPr>
        <w:t>go</w:t>
      </w:r>
      <w:r>
        <w:rPr>
          <w:spacing w:val="-3"/>
          <w:vertAlign w:val="baseline"/>
        </w:rPr>
        <w:t> </w:t>
      </w:r>
      <w:r>
        <w:rPr>
          <w:vertAlign w:val="baseline"/>
        </w:rPr>
        <w:t>back</w:t>
      </w:r>
      <w:r>
        <w:rPr>
          <w:spacing w:val="-3"/>
          <w:vertAlign w:val="baseline"/>
        </w:rPr>
        <w:t> </w:t>
      </w:r>
      <w:r>
        <w:rPr>
          <w:vertAlign w:val="baseline"/>
        </w:rPr>
        <w:t>on</w:t>
      </w:r>
      <w:r>
        <w:rPr>
          <w:spacing w:val="-3"/>
          <w:vertAlign w:val="baseline"/>
        </w:rPr>
        <w:t> </w:t>
      </w:r>
      <w:r>
        <w:rPr>
          <w:vertAlign w:val="baseline"/>
        </w:rPr>
        <w:t>his</w:t>
      </w:r>
      <w:r>
        <w:rPr>
          <w:spacing w:val="-3"/>
          <w:vertAlign w:val="baseline"/>
        </w:rPr>
        <w:t> </w:t>
      </w:r>
      <w:r>
        <w:rPr>
          <w:vertAlign w:val="baseline"/>
        </w:rPr>
        <w:t>promise</w:t>
      </w:r>
      <w:r>
        <w:rPr>
          <w:spacing w:val="-3"/>
          <w:vertAlign w:val="baseline"/>
        </w:rPr>
        <w:t> </w:t>
      </w:r>
      <w:r>
        <w:rPr>
          <w:vertAlign w:val="baseline"/>
        </w:rPr>
        <w:t>are,</w:t>
      </w:r>
      <w:r>
        <w:rPr>
          <w:spacing w:val="-3"/>
          <w:vertAlign w:val="baseline"/>
        </w:rPr>
        <w:t> </w:t>
      </w:r>
      <w:r>
        <w:rPr>
          <w:vertAlign w:val="baseline"/>
        </w:rPr>
        <w:t>for</w:t>
      </w:r>
      <w:r>
        <w:rPr>
          <w:spacing w:val="-3"/>
          <w:vertAlign w:val="baseline"/>
        </w:rPr>
        <w:t> </w:t>
      </w:r>
      <w:r>
        <w:rPr>
          <w:vertAlign w:val="baseline"/>
        </w:rPr>
        <w:t>reasons</w:t>
      </w:r>
      <w:r>
        <w:rPr>
          <w:spacing w:val="-3"/>
          <w:vertAlign w:val="baseline"/>
        </w:rPr>
        <w:t> </w:t>
      </w:r>
      <w:r>
        <w:rPr>
          <w:vertAlign w:val="baseline"/>
        </w:rPr>
        <w:t>given</w:t>
      </w:r>
      <w:r>
        <w:rPr>
          <w:spacing w:val="-3"/>
          <w:vertAlign w:val="baseline"/>
        </w:rPr>
        <w:t> </w:t>
      </w:r>
      <w:r>
        <w:rPr>
          <w:vertAlign w:val="baseline"/>
        </w:rPr>
        <w:t>earlier</w:t>
      </w:r>
      <w:r>
        <w:rPr>
          <w:spacing w:val="-3"/>
          <w:vertAlign w:val="baseline"/>
        </w:rPr>
        <w:t> </w:t>
      </w:r>
      <w:r>
        <w:rPr>
          <w:vertAlign w:val="baseline"/>
        </w:rPr>
        <w:t>in</w:t>
      </w:r>
      <w:r>
        <w:rPr>
          <w:spacing w:val="-3"/>
          <w:vertAlign w:val="baseline"/>
        </w:rPr>
        <w:t> </w:t>
      </w:r>
      <w:r>
        <w:rPr>
          <w:vertAlign w:val="baseline"/>
        </w:rPr>
        <w:t>this</w:t>
      </w:r>
      <w:r>
        <w:rPr>
          <w:spacing w:val="-3"/>
          <w:vertAlign w:val="baseline"/>
        </w:rPr>
        <w:t> </w:t>
      </w:r>
      <w:r>
        <w:rPr>
          <w:vertAlign w:val="baseline"/>
        </w:rPr>
        <w:t>chapter,</w:t>
      </w:r>
      <w:r>
        <w:rPr>
          <w:spacing w:val="-3"/>
          <w:vertAlign w:val="baseline"/>
        </w:rPr>
        <w:t> </w:t>
      </w:r>
      <w:r>
        <w:rPr>
          <w:color w:val="005DA1"/>
          <w:u w:val="single" w:color="005DA1"/>
          <w:vertAlign w:val="superscript"/>
        </w:rPr>
        <w:t>1239</w:t>
      </w:r>
      <w:r>
        <w:rPr>
          <w:color w:val="005DA1"/>
          <w:spacing w:val="-3"/>
          <w:vertAlign w:val="baseline"/>
        </w:rPr>
        <w:t> </w:t>
      </w:r>
      <w:r>
        <w:rPr>
          <w:vertAlign w:val="baseline"/>
        </w:rPr>
        <w:t>unhelpful,</w:t>
      </w:r>
      <w:r>
        <w:rPr>
          <w:spacing w:val="-3"/>
          <w:vertAlign w:val="baseline"/>
        </w:rPr>
        <w:t> </w:t>
      </w:r>
      <w:r>
        <w:rPr>
          <w:color w:val="005DA1"/>
          <w:u w:val="single" w:color="005DA1"/>
          <w:vertAlign w:val="superscript"/>
        </w:rPr>
        <w:t>1240</w:t>
      </w:r>
      <w:r>
        <w:rPr>
          <w:color w:val="005DA1"/>
          <w:vertAlign w:val="baseline"/>
        </w:rPr>
        <w:t> </w:t>
      </w:r>
      <w:r>
        <w:rPr>
          <w:vertAlign w:val="baseline"/>
        </w:rPr>
        <w:t>insofar as they detract attention from the other conditions which must also be satisfied to bring each</w:t>
      </w:r>
      <w:r>
        <w:rPr>
          <w:spacing w:val="40"/>
          <w:vertAlign w:val="baseline"/>
        </w:rPr>
        <w:t> </w:t>
      </w:r>
      <w:r>
        <w:rPr>
          <w:vertAlign w:val="baseline"/>
        </w:rPr>
        <w:t>of the two doctrines into operation </w:t>
      </w:r>
      <w:r>
        <w:rPr>
          <w:color w:val="005DA1"/>
          <w:u w:val="single" w:color="005DA1"/>
          <w:vertAlign w:val="superscript"/>
        </w:rPr>
        <w:t>1241</w:t>
      </w:r>
      <w:r>
        <w:rPr>
          <w:color w:val="005DA1"/>
          <w:vertAlign w:val="baseline"/>
        </w:rPr>
        <w:t> </w:t>
      </w:r>
      <w:r>
        <w:rPr>
          <w:vertAlign w:val="baseline"/>
        </w:rPr>
        <w:t>and from the differences in their respective legal effects. </w:t>
      </w:r>
      <w:r>
        <w:rPr>
          <w:color w:val="005DA1"/>
          <w:u w:val="single" w:color="005DA1"/>
          <w:vertAlign w:val="superscript"/>
        </w:rPr>
        <w:t>1242</w:t>
      </w:r>
    </w:p>
    <w:p>
      <w:pPr>
        <w:pStyle w:val="BodyText"/>
      </w:pPr>
    </w:p>
    <w:p>
      <w:pPr>
        <w:pStyle w:val="BodyText"/>
        <w:spacing w:before="33"/>
      </w:pPr>
    </w:p>
    <w:p>
      <w:pPr>
        <w:spacing w:before="0"/>
        <w:ind w:left="165" w:right="0" w:firstLine="0"/>
        <w:jc w:val="left"/>
        <w:rPr>
          <w:rFonts w:ascii="Arial"/>
          <w:b/>
          <w:sz w:val="18"/>
        </w:rPr>
      </w:pPr>
      <w:r>
        <w:rPr>
          <w:rFonts w:ascii="Arial"/>
          <w:b/>
          <w:sz w:val="18"/>
        </w:rPr>
        <w:t>Proprietary estoppel and contract </w:t>
      </w:r>
      <w:r>
        <w:rPr>
          <w:rFonts w:ascii="Arial"/>
          <w:b/>
          <w:spacing w:val="-2"/>
          <w:sz w:val="18"/>
        </w:rPr>
        <w:t>contrasted</w:t>
      </w:r>
    </w:p>
    <w:p>
      <w:pPr>
        <w:pStyle w:val="BodyText"/>
        <w:spacing w:before="42"/>
        <w:rPr>
          <w:rFonts w:ascii="Arial"/>
          <w:b/>
          <w:sz w:val="18"/>
        </w:rPr>
      </w:pPr>
    </w:p>
    <w:p>
      <w:pPr>
        <w:pStyle w:val="Heading2"/>
      </w:pPr>
      <w:r>
        <w:rPr/>
        <w:t>4-</w:t>
      </w:r>
      <w:r>
        <w:rPr>
          <w:spacing w:val="-5"/>
        </w:rPr>
        <w:t>185</w:t>
      </w:r>
    </w:p>
    <w:p>
      <w:pPr>
        <w:pStyle w:val="BodyText"/>
        <w:spacing w:line="235" w:lineRule="auto" w:before="202"/>
        <w:ind w:left="164" w:right="167"/>
        <w:jc w:val="both"/>
      </w:pPr>
      <w:r>
        <w:rPr/>
        <w:t>We have seen that some cases which have been said to support the doctrine of proprietary estoppel have been explained on the alternative basis that there was a contract between the parties. </w:t>
      </w:r>
      <w:r>
        <w:rPr>
          <w:color w:val="005DA1"/>
          <w:u w:val="single" w:color="005DA1"/>
          <w:vertAlign w:val="superscript"/>
        </w:rPr>
        <w:t>1243</w:t>
      </w:r>
      <w:r>
        <w:rPr>
          <w:color w:val="005DA1"/>
          <w:vertAlign w:val="baseline"/>
        </w:rPr>
        <w:t> </w:t>
      </w:r>
      <w:r>
        <w:rPr>
          <w:vertAlign w:val="baseline"/>
        </w:rPr>
        <w:t>But often</w:t>
      </w:r>
      <w:r>
        <w:rPr>
          <w:spacing w:val="-2"/>
          <w:vertAlign w:val="baseline"/>
        </w:rPr>
        <w:t> </w:t>
      </w:r>
      <w:r>
        <w:rPr>
          <w:vertAlign w:val="baseline"/>
        </w:rPr>
        <w:t>no</w:t>
      </w:r>
      <w:r>
        <w:rPr>
          <w:spacing w:val="-2"/>
          <w:vertAlign w:val="baseline"/>
        </w:rPr>
        <w:t> </w:t>
      </w:r>
      <w:r>
        <w:rPr>
          <w:vertAlign w:val="baseline"/>
        </w:rPr>
        <w:t>such</w:t>
      </w:r>
      <w:r>
        <w:rPr>
          <w:spacing w:val="-2"/>
          <w:vertAlign w:val="baseline"/>
        </w:rPr>
        <w:t> </w:t>
      </w:r>
      <w:r>
        <w:rPr>
          <w:vertAlign w:val="baseline"/>
        </w:rPr>
        <w:t>explanation</w:t>
      </w:r>
      <w:r>
        <w:rPr>
          <w:spacing w:val="-2"/>
          <w:vertAlign w:val="baseline"/>
        </w:rPr>
        <w:t> </w:t>
      </w:r>
      <w:r>
        <w:rPr>
          <w:vertAlign w:val="baseline"/>
        </w:rPr>
        <w:t>is</w:t>
      </w:r>
      <w:r>
        <w:rPr>
          <w:spacing w:val="-2"/>
          <w:vertAlign w:val="baseline"/>
        </w:rPr>
        <w:t> </w:t>
      </w:r>
      <w:r>
        <w:rPr>
          <w:vertAlign w:val="baseline"/>
        </w:rPr>
        <w:t>possible;</w:t>
      </w:r>
      <w:r>
        <w:rPr>
          <w:spacing w:val="-2"/>
          <w:vertAlign w:val="baseline"/>
        </w:rPr>
        <w:t> </w:t>
      </w:r>
      <w:r>
        <w:rPr>
          <w:vertAlign w:val="baseline"/>
        </w:rPr>
        <w:t>for</w:t>
      </w:r>
      <w:r>
        <w:rPr>
          <w:spacing w:val="-2"/>
          <w:vertAlign w:val="baseline"/>
        </w:rPr>
        <w:t> </w:t>
      </w:r>
      <w:r>
        <w:rPr>
          <w:vertAlign w:val="baseline"/>
        </w:rPr>
        <w:t>proprietary</w:t>
      </w:r>
      <w:r>
        <w:rPr>
          <w:spacing w:val="-2"/>
          <w:vertAlign w:val="baseline"/>
        </w:rPr>
        <w:t> </w:t>
      </w:r>
      <w:r>
        <w:rPr>
          <w:vertAlign w:val="baseline"/>
        </w:rPr>
        <w:t>estoppel</w:t>
      </w:r>
      <w:r>
        <w:rPr>
          <w:spacing w:val="-2"/>
          <w:vertAlign w:val="baseline"/>
        </w:rPr>
        <w:t> </w:t>
      </w:r>
      <w:r>
        <w:rPr>
          <w:vertAlign w:val="baseline"/>
        </w:rPr>
        <w:t>can</w:t>
      </w:r>
      <w:r>
        <w:rPr>
          <w:spacing w:val="-2"/>
          <w:vertAlign w:val="baseline"/>
        </w:rPr>
        <w:t> </w:t>
      </w:r>
      <w:r>
        <w:rPr>
          <w:vertAlign w:val="baseline"/>
        </w:rPr>
        <w:t>operate</w:t>
      </w:r>
      <w:r>
        <w:rPr>
          <w:spacing w:val="-2"/>
          <w:vertAlign w:val="baseline"/>
        </w:rPr>
        <w:t> </w:t>
      </w:r>
      <w:r>
        <w:rPr>
          <w:vertAlign w:val="baseline"/>
        </w:rPr>
        <w:t>even</w:t>
      </w:r>
      <w:r>
        <w:rPr>
          <w:spacing w:val="-2"/>
          <w:vertAlign w:val="baseline"/>
        </w:rPr>
        <w:t> </w:t>
      </w:r>
      <w:r>
        <w:rPr>
          <w:vertAlign w:val="baseline"/>
        </w:rPr>
        <w:t>though</w:t>
      </w:r>
      <w:r>
        <w:rPr>
          <w:spacing w:val="-2"/>
          <w:vertAlign w:val="baseline"/>
        </w:rPr>
        <w:t> </w:t>
      </w:r>
      <w:r>
        <w:rPr>
          <w:vertAlign w:val="baseline"/>
        </w:rPr>
        <w:t>the</w:t>
      </w:r>
      <w:r>
        <w:rPr>
          <w:spacing w:val="-2"/>
          <w:vertAlign w:val="baseline"/>
        </w:rPr>
        <w:t> </w:t>
      </w:r>
      <w:r>
        <w:rPr>
          <w:vertAlign w:val="baseline"/>
        </w:rPr>
        <w:t>conditions required for the creation of a contract are not satisfied. </w:t>
      </w:r>
      <w:r>
        <w:rPr>
          <w:color w:val="005DA1"/>
          <w:u w:val="single" w:color="005DA1"/>
          <w:vertAlign w:val="superscript"/>
        </w:rPr>
        <w:t>1244</w:t>
      </w:r>
      <w:r>
        <w:rPr>
          <w:color w:val="005DA1"/>
          <w:vertAlign w:val="baseline"/>
        </w:rPr>
        <w:t> </w:t>
      </w:r>
      <w:r>
        <w:rPr>
          <w:vertAlign w:val="baseline"/>
        </w:rPr>
        <w:t>The need to discuss the doctrine in this chapter arises precisely because a promise may give rise to a proprietary estoppel even though it is not supported by consideration; and it can also have this effect even though it cannot take effect as a contract because it is not sufficiently certain, because there is no contractual intention or (sometimes) because</w:t>
      </w:r>
      <w:r>
        <w:rPr>
          <w:spacing w:val="30"/>
          <w:vertAlign w:val="baseline"/>
        </w:rPr>
        <w:t> </w:t>
      </w:r>
      <w:r>
        <w:rPr>
          <w:vertAlign w:val="baseline"/>
        </w:rPr>
        <w:t>it</w:t>
      </w:r>
      <w:r>
        <w:rPr>
          <w:spacing w:val="30"/>
          <w:vertAlign w:val="baseline"/>
        </w:rPr>
        <w:t> </w:t>
      </w:r>
      <w:r>
        <w:rPr>
          <w:vertAlign w:val="baseline"/>
        </w:rPr>
        <w:t>fails</w:t>
      </w:r>
      <w:r>
        <w:rPr>
          <w:spacing w:val="30"/>
          <w:vertAlign w:val="baseline"/>
        </w:rPr>
        <w:t> </w:t>
      </w:r>
      <w:r>
        <w:rPr>
          <w:vertAlign w:val="baseline"/>
        </w:rPr>
        <w:t>to</w:t>
      </w:r>
      <w:r>
        <w:rPr>
          <w:spacing w:val="30"/>
          <w:vertAlign w:val="baseline"/>
        </w:rPr>
        <w:t> </w:t>
      </w:r>
      <w:r>
        <w:rPr>
          <w:vertAlign w:val="baseline"/>
        </w:rPr>
        <w:t>comply</w:t>
      </w:r>
      <w:r>
        <w:rPr>
          <w:spacing w:val="30"/>
          <w:vertAlign w:val="baseline"/>
        </w:rPr>
        <w:t> </w:t>
      </w:r>
      <w:r>
        <w:rPr>
          <w:vertAlign w:val="baseline"/>
        </w:rPr>
        <w:t>with</w:t>
      </w:r>
      <w:r>
        <w:rPr>
          <w:spacing w:val="30"/>
          <w:vertAlign w:val="baseline"/>
        </w:rPr>
        <w:t> </w:t>
      </w:r>
      <w:r>
        <w:rPr>
          <w:vertAlign w:val="baseline"/>
        </w:rPr>
        <w:t>formal</w:t>
      </w:r>
      <w:r>
        <w:rPr>
          <w:spacing w:val="30"/>
          <w:vertAlign w:val="baseline"/>
        </w:rPr>
        <w:t> </w:t>
      </w:r>
      <w:r>
        <w:rPr>
          <w:vertAlign w:val="baseline"/>
        </w:rPr>
        <w:t>requirements.</w:t>
      </w:r>
      <w:r>
        <w:rPr>
          <w:spacing w:val="30"/>
          <w:vertAlign w:val="baseline"/>
        </w:rPr>
        <w:t> </w:t>
      </w:r>
      <w:r>
        <w:rPr>
          <w:vertAlign w:val="baseline"/>
        </w:rPr>
        <w:t>Moreover,</w:t>
      </w:r>
      <w:r>
        <w:rPr>
          <w:spacing w:val="30"/>
          <w:vertAlign w:val="baseline"/>
        </w:rPr>
        <w:t> </w:t>
      </w:r>
      <w:r>
        <w:rPr>
          <w:vertAlign w:val="baseline"/>
        </w:rPr>
        <w:t>the</w:t>
      </w:r>
      <w:r>
        <w:rPr>
          <w:spacing w:val="30"/>
          <w:vertAlign w:val="baseline"/>
        </w:rPr>
        <w:t> </w:t>
      </w:r>
      <w:r>
        <w:rPr>
          <w:vertAlign w:val="baseline"/>
        </w:rPr>
        <w:t>effect</w:t>
      </w:r>
      <w:r>
        <w:rPr>
          <w:spacing w:val="30"/>
          <w:vertAlign w:val="baseline"/>
        </w:rPr>
        <w:t> </w:t>
      </w:r>
      <w:r>
        <w:rPr>
          <w:vertAlign w:val="baseline"/>
        </w:rPr>
        <w:t>of</w:t>
      </w:r>
      <w:r>
        <w:rPr>
          <w:spacing w:val="30"/>
          <w:vertAlign w:val="baseline"/>
        </w:rPr>
        <w:t> </w:t>
      </w:r>
      <w:r>
        <w:rPr>
          <w:vertAlign w:val="baseline"/>
        </w:rPr>
        <w:t>a</w:t>
      </w:r>
      <w:r>
        <w:rPr>
          <w:spacing w:val="30"/>
          <w:vertAlign w:val="baseline"/>
        </w:rPr>
        <w:t> </w:t>
      </w:r>
      <w:r>
        <w:rPr>
          <w:vertAlign w:val="baseline"/>
        </w:rPr>
        <w:t>proprietary</w:t>
      </w:r>
      <w:r>
        <w:rPr>
          <w:spacing w:val="30"/>
          <w:vertAlign w:val="baseline"/>
        </w:rPr>
        <w:t> </w:t>
      </w:r>
      <w:r>
        <w:rPr>
          <w:spacing w:val="-2"/>
          <w:vertAlign w:val="baseline"/>
        </w:rPr>
        <w:t>estoppel</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bookmarkStart w:name="_bookmark1832" w:id="1834"/>
      <w:bookmarkEnd w:id="1834"/>
      <w:r>
        <w:rPr/>
      </w:r>
      <w:r>
        <w:rPr/>
        <w:t>differs from that of a contract. Sometimes, indeed, the result of a proprietary estoppel is to give effect to the promise in the terms in which it was made </w:t>
      </w:r>
      <w:r>
        <w:rPr>
          <w:color w:val="005DA1"/>
          <w:u w:val="single" w:color="005DA1"/>
          <w:vertAlign w:val="superscript"/>
        </w:rPr>
        <w:t>1245</w:t>
      </w:r>
      <w:r>
        <w:rPr>
          <w:vertAlign w:val="baseline"/>
        </w:rPr>
        <w:t>; but such a result does not follow as of right. </w:t>
      </w:r>
      <w:r>
        <w:rPr>
          <w:vertAlign w:val="baseline"/>
        </w:rPr>
        <w:t>We have seen that the promisee’s remedy may depend, not only on the terms of the promise, but also on other factors, such as the extent of the promisee’s detrimental reliance on it; the proportionality of that reliance to his reasonable expectations induced by the promise; and changes of circumstances, such as the conduct of the promisor after the facts giving rise to the estoppel. Thus in </w:t>
      </w:r>
      <w:r>
        <w:rPr>
          <w:rFonts w:ascii="Arial" w:hAnsi="Arial"/>
          <w:i/>
          <w:vertAlign w:val="baseline"/>
        </w:rPr>
        <w:t>Crabb v Arun DC </w:t>
      </w:r>
      <w:r>
        <w:rPr>
          <w:vertAlign w:val="baseline"/>
        </w:rPr>
        <w:t>the promisee would have had to make some payment for the right of way but for the “high-handedness” </w:t>
      </w:r>
      <w:r>
        <w:rPr>
          <w:color w:val="005DA1"/>
          <w:u w:val="single" w:color="005DA1"/>
          <w:vertAlign w:val="superscript"/>
        </w:rPr>
        <w:t>1246</w:t>
      </w:r>
      <w:r>
        <w:rPr>
          <w:color w:val="005DA1"/>
          <w:vertAlign w:val="baseline"/>
        </w:rPr>
        <w:t> </w:t>
      </w:r>
      <w:r>
        <w:rPr>
          <w:vertAlign w:val="baseline"/>
        </w:rPr>
        <w:t>of the promisor; and in </w:t>
      </w:r>
      <w:r>
        <w:rPr>
          <w:rFonts w:ascii="Arial" w:hAnsi="Arial"/>
          <w:i/>
          <w:vertAlign w:val="baseline"/>
        </w:rPr>
        <w:t>Pascoe v Turner </w:t>
      </w:r>
      <w:r>
        <w:rPr>
          <w:vertAlign w:val="baseline"/>
        </w:rPr>
        <w:t>the promisee would not have been entitled to the fee simple of the house (but only to an irrevocable licence for life) if the promisor had not shown a “ruthless” </w:t>
      </w:r>
      <w:r>
        <w:rPr>
          <w:color w:val="005DA1"/>
          <w:u w:val="single" w:color="005DA1"/>
          <w:vertAlign w:val="superscript"/>
        </w:rPr>
        <w:t>1247</w:t>
      </w:r>
      <w:r>
        <w:rPr>
          <w:color w:val="005DA1"/>
          <w:vertAlign w:val="baseline"/>
        </w:rPr>
        <w:t> </w:t>
      </w:r>
      <w:r>
        <w:rPr>
          <w:vertAlign w:val="baseline"/>
        </w:rPr>
        <w:t>determination to evict her. The rights arising under a binding contract are fixed at its formation and not subject to such variation in the light of the court’s approval or disapproval of the subsequent conduct of one of the parties. For this reason, and because proprietary estoppel may be revocable, </w:t>
      </w:r>
      <w:r>
        <w:rPr>
          <w:color w:val="005DA1"/>
          <w:u w:val="single" w:color="005DA1"/>
          <w:vertAlign w:val="superscript"/>
        </w:rPr>
        <w:t>1248</w:t>
      </w:r>
      <w:r>
        <w:rPr>
          <w:color w:val="005DA1"/>
          <w:vertAlign w:val="baseline"/>
        </w:rPr>
        <w:t> </w:t>
      </w:r>
      <w:r>
        <w:rPr>
          <w:vertAlign w:val="baseline"/>
        </w:rPr>
        <w:t>it will generally be more advantageous to a party to show (if he can) the existence of a binding contract than to rely on a proprietary estoppel.</w:t>
      </w:r>
    </w:p>
    <w:p>
      <w:pPr>
        <w:pStyle w:val="BodyText"/>
      </w:pPr>
    </w:p>
    <w:p>
      <w:pPr>
        <w:pStyle w:val="BodyText"/>
        <w:spacing w:before="34"/>
      </w:pPr>
      <w:r>
        <w:rPr/>
        <mc:AlternateContent>
          <mc:Choice Requires="wps">
            <w:drawing>
              <wp:anchor distT="0" distB="0" distL="0" distR="0" allowOverlap="1" layoutInCell="1" locked="0" behindDoc="1" simplePos="0" relativeHeight="487680000">
                <wp:simplePos x="0" y="0"/>
                <wp:positionH relativeFrom="page">
                  <wp:posOffset>914400</wp:posOffset>
                </wp:positionH>
                <wp:positionV relativeFrom="paragraph">
                  <wp:posOffset>183210</wp:posOffset>
                </wp:positionV>
                <wp:extent cx="5724525" cy="1270"/>
                <wp:effectExtent l="0" t="0" r="0" b="0"/>
                <wp:wrapTopAndBottom/>
                <wp:docPr id="371" name="Graphic 371"/>
                <wp:cNvGraphicFramePr>
                  <a:graphicFrameLocks/>
                </wp:cNvGraphicFramePr>
                <a:graphic>
                  <a:graphicData uri="http://schemas.microsoft.com/office/word/2010/wordprocessingShape">
                    <wps:wsp>
                      <wps:cNvPr id="371" name="Graphic 37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26039pt;width:450.75pt;height:.1pt;mso-position-horizontal-relative:page;mso-position-vertical-relative:paragraph;z-index:-15636480;mso-wrap-distance-left:0;mso-wrap-distance-right:0" id="docshape86" coordorigin="1440,289" coordsize="9015,0" path="m1440,289l10454,289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569" w:hRule="atLeast"/>
        </w:trPr>
        <w:tc>
          <w:tcPr>
            <w:tcW w:w="496" w:type="dxa"/>
          </w:tcPr>
          <w:p>
            <w:pPr>
              <w:pStyle w:val="TableParagraph"/>
              <w:spacing w:before="0"/>
              <w:ind w:left="50"/>
              <w:rPr>
                <w:sz w:val="14"/>
              </w:rPr>
            </w:pPr>
            <w:r>
              <w:rPr>
                <w:sz w:val="14"/>
              </w:rPr>
              <mc:AlternateContent>
                <mc:Choice Requires="wps">
                  <w:drawing>
                    <wp:anchor distT="0" distB="0" distL="0" distR="0" allowOverlap="1" layoutInCell="1" locked="0" behindDoc="1" simplePos="0" relativeHeight="482247168">
                      <wp:simplePos x="0" y="0"/>
                      <wp:positionH relativeFrom="column">
                        <wp:posOffset>31750</wp:posOffset>
                      </wp:positionH>
                      <wp:positionV relativeFrom="paragraph">
                        <wp:posOffset>89101</wp:posOffset>
                      </wp:positionV>
                      <wp:extent cx="49530" cy="6350"/>
                      <wp:effectExtent l="0" t="0" r="0" b="0"/>
                      <wp:wrapNone/>
                      <wp:docPr id="372" name="Group 372"/>
                      <wp:cNvGraphicFramePr>
                        <a:graphicFrameLocks/>
                      </wp:cNvGraphicFramePr>
                      <a:graphic>
                        <a:graphicData uri="http://schemas.microsoft.com/office/word/2010/wordprocessingGroup">
                          <wpg:wgp>
                            <wpg:cNvPr id="372" name="Group 372"/>
                            <wpg:cNvGrpSpPr/>
                            <wpg:grpSpPr>
                              <a:xfrm>
                                <a:off x="0" y="0"/>
                                <a:ext cx="49530" cy="6350"/>
                                <a:chExt cx="49530" cy="6350"/>
                              </a:xfrm>
                            </wpg:grpSpPr>
                            <wps:wsp>
                              <wps:cNvPr id="373" name="Graphic 373"/>
                              <wps:cNvSpPr/>
                              <wps:spPr>
                                <a:xfrm>
                                  <a:off x="0" y="3175"/>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pt;margin-top:7.015897pt;width:3.9pt;height:.5pt;mso-position-horizontal-relative:column;mso-position-vertical-relative:paragraph;z-index:-21069312" id="docshapegroup87" coordorigin="50,140" coordsize="78,10">
                      <v:line style="position:absolute" from="50,145" to="128,145" stroked="true" strokeweight=".5pt" strokecolor="#005da1">
                        <v:stroke dashstyle="solid"/>
                      </v:line>
                      <w10:wrap type="none"/>
                    </v:group>
                  </w:pict>
                </mc:Fallback>
              </mc:AlternateContent>
            </w:r>
            <w:hyperlink w:history="true" w:anchor="_bookmark1834">
              <w:r>
                <w:rPr>
                  <w:color w:val="005DA1"/>
                  <w:spacing w:val="-5"/>
                  <w:sz w:val="14"/>
                </w:rPr>
                <w:t>1</w:t>
              </w:r>
            </w:hyperlink>
            <w:r>
              <w:rPr>
                <w:spacing w:val="-5"/>
                <w:sz w:val="14"/>
              </w:rPr>
              <w:t>.</w:t>
            </w:r>
          </w:p>
        </w:tc>
        <w:tc>
          <w:tcPr>
            <w:tcW w:w="8620" w:type="dxa"/>
          </w:tcPr>
          <w:p>
            <w:pPr>
              <w:pStyle w:val="TableParagraph"/>
              <w:spacing w:line="221" w:lineRule="exact" w:before="0"/>
              <w:rPr>
                <w:rFonts w:ascii="Arial"/>
                <w:i/>
                <w:sz w:val="20"/>
              </w:rPr>
            </w:pPr>
            <w:r>
              <w:rPr>
                <w:sz w:val="20"/>
              </w:rPr>
              <w:t>Sutton,</w:t>
            </w:r>
            <w:r>
              <w:rPr>
                <w:spacing w:val="23"/>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TableParagraph"/>
              <w:spacing w:line="227" w:lineRule="exact" w:before="0"/>
              <w:rPr>
                <w:sz w:val="20"/>
              </w:rPr>
            </w:pPr>
            <w:r>
              <w:rPr>
                <w:sz w:val="20"/>
              </w:rPr>
              <w:t>(2014); Shatwell (1955) 1 Sydney Law Review </w:t>
            </w:r>
            <w:r>
              <w:rPr>
                <w:spacing w:val="-4"/>
                <w:sz w:val="20"/>
              </w:rPr>
              <w:t>289.</w:t>
            </w:r>
          </w:p>
        </w:tc>
      </w:tr>
      <w:tr>
        <w:trPr>
          <w:trHeight w:val="690" w:hRule="atLeast"/>
        </w:trPr>
        <w:tc>
          <w:tcPr>
            <w:tcW w:w="496" w:type="dxa"/>
          </w:tcPr>
          <w:p>
            <w:pPr>
              <w:pStyle w:val="TableParagraph"/>
              <w:ind w:left="50"/>
              <w:rPr>
                <w:sz w:val="14"/>
              </w:rPr>
            </w:pPr>
            <w:r>
              <w:rPr>
                <w:color w:val="005DA1"/>
                <w:spacing w:val="-2"/>
                <w:sz w:val="14"/>
                <w:u w:val="single" w:color="005DA1"/>
              </w:rPr>
              <w:t>1201</w:t>
            </w:r>
            <w:r>
              <w:rPr>
                <w:spacing w:val="-2"/>
                <w:sz w:val="14"/>
              </w:rPr>
              <w:t>.</w:t>
            </w:r>
          </w:p>
        </w:tc>
        <w:tc>
          <w:tcPr>
            <w:tcW w:w="8620" w:type="dxa"/>
          </w:tcPr>
          <w:p>
            <w:pPr>
              <w:pStyle w:val="TableParagraph"/>
              <w:spacing w:line="235" w:lineRule="auto" w:before="118"/>
              <w:ind w:right="48"/>
              <w:rPr>
                <w:sz w:val="20"/>
              </w:rPr>
            </w:pPr>
            <w:r>
              <w:rPr>
                <w:sz w:val="20"/>
              </w:rPr>
              <w:t>Above,</w:t>
            </w:r>
            <w:r>
              <w:rPr>
                <w:spacing w:val="40"/>
                <w:sz w:val="20"/>
              </w:rPr>
              <w:t> </w:t>
            </w:r>
            <w:r>
              <w:rPr>
                <w:sz w:val="20"/>
              </w:rPr>
              <w:t>paras</w:t>
            </w:r>
            <w:r>
              <w:rPr>
                <w:spacing w:val="40"/>
                <w:sz w:val="20"/>
              </w:rPr>
              <w:t> </w:t>
            </w:r>
            <w:r>
              <w:rPr>
                <w:sz w:val="20"/>
              </w:rPr>
              <w:t>4-090,</w:t>
            </w:r>
            <w:r>
              <w:rPr>
                <w:spacing w:val="40"/>
                <w:sz w:val="20"/>
              </w:rPr>
              <w:t> </w:t>
            </w:r>
            <w:r>
              <w:rPr>
                <w:sz w:val="20"/>
              </w:rPr>
              <w:t>4-140.</w:t>
            </w:r>
            <w:r>
              <w:rPr>
                <w:spacing w:val="40"/>
                <w:sz w:val="20"/>
              </w:rPr>
              <w:t> </w:t>
            </w:r>
            <w:r>
              <w:rPr>
                <w:sz w:val="20"/>
              </w:rPr>
              <w:t>For</w:t>
            </w:r>
            <w:r>
              <w:rPr>
                <w:spacing w:val="40"/>
                <w:sz w:val="20"/>
              </w:rPr>
              <w:t> </w:t>
            </w:r>
            <w:r>
              <w:rPr>
                <w:sz w:val="20"/>
              </w:rPr>
              <w:t>use</w:t>
            </w:r>
            <w:r>
              <w:rPr>
                <w:spacing w:val="40"/>
                <w:sz w:val="20"/>
              </w:rPr>
              <w:t> </w:t>
            </w:r>
            <w:r>
              <w:rPr>
                <w:sz w:val="20"/>
              </w:rPr>
              <w:t>of</w:t>
            </w:r>
            <w:r>
              <w:rPr>
                <w:spacing w:val="40"/>
                <w:sz w:val="20"/>
              </w:rPr>
              <w:t> </w:t>
            </w:r>
            <w:r>
              <w:rPr>
                <w:sz w:val="20"/>
              </w:rPr>
              <w:t>the</w:t>
            </w:r>
            <w:r>
              <w:rPr>
                <w:spacing w:val="40"/>
                <w:sz w:val="20"/>
              </w:rPr>
              <w:t> </w:t>
            </w:r>
            <w:r>
              <w:rPr>
                <w:sz w:val="20"/>
              </w:rPr>
              <w:t>expression</w:t>
            </w:r>
            <w:r>
              <w:rPr>
                <w:spacing w:val="40"/>
                <w:sz w:val="20"/>
              </w:rPr>
              <w:t> </w:t>
            </w:r>
            <w:r>
              <w:rPr>
                <w:sz w:val="20"/>
              </w:rPr>
              <w:t>“promissory</w:t>
            </w:r>
            <w:r>
              <w:rPr>
                <w:spacing w:val="40"/>
                <w:sz w:val="20"/>
              </w:rPr>
              <w:t> </w:t>
            </w:r>
            <w:r>
              <w:rPr>
                <w:sz w:val="20"/>
              </w:rPr>
              <w:t>estoppel”</w:t>
            </w:r>
            <w:r>
              <w:rPr>
                <w:spacing w:val="40"/>
                <w:sz w:val="20"/>
              </w:rPr>
              <w:t> </w:t>
            </w:r>
            <w:r>
              <w:rPr>
                <w:sz w:val="20"/>
              </w:rPr>
              <w:t>see</w:t>
            </w:r>
            <w:r>
              <w:rPr>
                <w:spacing w:val="40"/>
                <w:sz w:val="20"/>
              </w:rPr>
              <w:t> </w:t>
            </w:r>
            <w:r>
              <w:rPr>
                <w:sz w:val="20"/>
              </w:rPr>
              <w:t>above,</w:t>
            </w:r>
            <w:r>
              <w:rPr>
                <w:spacing w:val="40"/>
                <w:sz w:val="20"/>
              </w:rPr>
              <w:t> </w:t>
            </w:r>
            <w:r>
              <w:rPr>
                <w:spacing w:val="-2"/>
                <w:sz w:val="20"/>
              </w:rPr>
              <w:t>para.4-104.</w:t>
            </w:r>
          </w:p>
        </w:tc>
      </w:tr>
      <w:tr>
        <w:trPr>
          <w:trHeight w:val="465" w:hRule="atLeast"/>
        </w:trPr>
        <w:tc>
          <w:tcPr>
            <w:tcW w:w="496" w:type="dxa"/>
          </w:tcPr>
          <w:p>
            <w:pPr>
              <w:pStyle w:val="TableParagraph"/>
              <w:ind w:left="50"/>
              <w:rPr>
                <w:sz w:val="14"/>
              </w:rPr>
            </w:pPr>
            <w:r>
              <w:rPr>
                <w:color w:val="005DA1"/>
                <w:spacing w:val="-2"/>
                <w:sz w:val="14"/>
                <w:u w:val="single" w:color="005DA1"/>
              </w:rPr>
              <w:t>1202</w:t>
            </w:r>
            <w:r>
              <w:rPr>
                <w:spacing w:val="-2"/>
                <w:sz w:val="14"/>
              </w:rPr>
              <w:t>.</w:t>
            </w:r>
          </w:p>
        </w:tc>
        <w:tc>
          <w:tcPr>
            <w:tcW w:w="8620" w:type="dxa"/>
          </w:tcPr>
          <w:p>
            <w:pPr>
              <w:pStyle w:val="TableParagraph"/>
              <w:spacing w:before="114"/>
              <w:rPr>
                <w:sz w:val="20"/>
              </w:rPr>
            </w:pPr>
            <w:r>
              <w:rPr>
                <w:sz w:val="20"/>
              </w:rPr>
              <w:t>Above, paras 4-094, 4-</w:t>
            </w:r>
            <w:r>
              <w:rPr>
                <w:spacing w:val="-4"/>
                <w:sz w:val="20"/>
              </w:rPr>
              <w:t>141.</w:t>
            </w:r>
          </w:p>
        </w:tc>
      </w:tr>
      <w:tr>
        <w:trPr>
          <w:trHeight w:val="465" w:hRule="atLeast"/>
        </w:trPr>
        <w:tc>
          <w:tcPr>
            <w:tcW w:w="496" w:type="dxa"/>
          </w:tcPr>
          <w:p>
            <w:pPr>
              <w:pStyle w:val="TableParagraph"/>
              <w:ind w:left="50"/>
              <w:rPr>
                <w:sz w:val="14"/>
              </w:rPr>
            </w:pPr>
            <w:r>
              <w:rPr>
                <w:color w:val="005DA1"/>
                <w:spacing w:val="-2"/>
                <w:sz w:val="14"/>
                <w:u w:val="single" w:color="005DA1"/>
              </w:rPr>
              <w:t>1203</w:t>
            </w:r>
            <w:r>
              <w:rPr>
                <w:spacing w:val="-2"/>
                <w:sz w:val="14"/>
              </w:rPr>
              <w:t>.</w:t>
            </w:r>
          </w:p>
        </w:tc>
        <w:tc>
          <w:tcPr>
            <w:tcW w:w="8620" w:type="dxa"/>
          </w:tcPr>
          <w:p>
            <w:pPr>
              <w:pStyle w:val="TableParagraph"/>
              <w:spacing w:before="114"/>
              <w:rPr>
                <w:sz w:val="20"/>
              </w:rPr>
            </w:pPr>
            <w:r>
              <w:rPr>
                <w:sz w:val="20"/>
              </w:rPr>
              <w:t>Above, paras 4-097, 4-</w:t>
            </w:r>
            <w:r>
              <w:rPr>
                <w:spacing w:val="-4"/>
                <w:sz w:val="20"/>
              </w:rPr>
              <w:t>168.</w:t>
            </w:r>
          </w:p>
        </w:tc>
      </w:tr>
      <w:tr>
        <w:trPr>
          <w:trHeight w:val="915" w:hRule="atLeast"/>
        </w:trPr>
        <w:tc>
          <w:tcPr>
            <w:tcW w:w="496" w:type="dxa"/>
          </w:tcPr>
          <w:p>
            <w:pPr>
              <w:pStyle w:val="TableParagraph"/>
              <w:ind w:left="50"/>
              <w:rPr>
                <w:sz w:val="14"/>
              </w:rPr>
            </w:pPr>
            <w:r>
              <w:rPr>
                <w:color w:val="005DA1"/>
                <w:spacing w:val="-2"/>
                <w:sz w:val="14"/>
                <w:u w:val="single" w:color="005DA1"/>
              </w:rPr>
              <w:t>1204</w:t>
            </w:r>
            <w:r>
              <w:rPr>
                <w:spacing w:val="-2"/>
                <w:sz w:val="14"/>
              </w:rPr>
              <w:t>.</w:t>
            </w:r>
          </w:p>
        </w:tc>
        <w:tc>
          <w:tcPr>
            <w:tcW w:w="8620" w:type="dxa"/>
          </w:tcPr>
          <w:p>
            <w:pPr>
              <w:pStyle w:val="TableParagraph"/>
              <w:spacing w:line="235" w:lineRule="auto" w:before="118"/>
              <w:ind w:right="48"/>
              <w:jc w:val="both"/>
              <w:rPr>
                <w:sz w:val="20"/>
              </w:rPr>
            </w:pPr>
            <w:r>
              <w:rPr>
                <w:rFonts w:ascii="Arial" w:hAnsi="Arial"/>
                <w:i/>
                <w:sz w:val="20"/>
              </w:rPr>
              <w:t>Cobbe v Yeoman’s Row Management Ltd [2008] UKHL 55, [2008] 1 W.L.R. 1752 </w:t>
            </w:r>
            <w:r>
              <w:rPr>
                <w:sz w:val="20"/>
              </w:rPr>
              <w:t>at [14]; the dictum</w:t>
            </w:r>
            <w:r>
              <w:rPr>
                <w:spacing w:val="-2"/>
                <w:sz w:val="20"/>
              </w:rPr>
              <w:t> </w:t>
            </w:r>
            <w:r>
              <w:rPr>
                <w:sz w:val="20"/>
              </w:rPr>
              <w:t>does</w:t>
            </w:r>
            <w:r>
              <w:rPr>
                <w:spacing w:val="-2"/>
                <w:sz w:val="20"/>
              </w:rPr>
              <w:t> </w:t>
            </w:r>
            <w:r>
              <w:rPr>
                <w:sz w:val="20"/>
              </w:rPr>
              <w:t>not</w:t>
            </w:r>
            <w:r>
              <w:rPr>
                <w:spacing w:val="-2"/>
                <w:sz w:val="20"/>
              </w:rPr>
              <w:t> </w:t>
            </w:r>
            <w:r>
              <w:rPr>
                <w:sz w:val="20"/>
              </w:rPr>
              <w:t>go</w:t>
            </w:r>
            <w:r>
              <w:rPr>
                <w:spacing w:val="-2"/>
                <w:sz w:val="20"/>
              </w:rPr>
              <w:t> </w:t>
            </w:r>
            <w:r>
              <w:rPr>
                <w:sz w:val="20"/>
              </w:rPr>
              <w:t>on</w:t>
            </w:r>
            <w:r>
              <w:rPr>
                <w:spacing w:val="-2"/>
                <w:sz w:val="20"/>
              </w:rPr>
              <w:t> </w:t>
            </w:r>
            <w:r>
              <w:rPr>
                <w:sz w:val="20"/>
              </w:rPr>
              <w:t>to</w:t>
            </w:r>
            <w:r>
              <w:rPr>
                <w:spacing w:val="-2"/>
                <w:sz w:val="20"/>
              </w:rPr>
              <w:t> </w:t>
            </w:r>
            <w:r>
              <w:rPr>
                <w:sz w:val="20"/>
              </w:rPr>
              <w:t>consider</w:t>
            </w:r>
            <w:r>
              <w:rPr>
                <w:spacing w:val="-2"/>
                <w:sz w:val="20"/>
              </w:rPr>
              <w:t> </w:t>
            </w:r>
            <w:r>
              <w:rPr>
                <w:sz w:val="20"/>
              </w:rPr>
              <w:t>the</w:t>
            </w:r>
            <w:r>
              <w:rPr>
                <w:spacing w:val="-2"/>
                <w:sz w:val="20"/>
              </w:rPr>
              <w:t> </w:t>
            </w:r>
            <w:r>
              <w:rPr>
                <w:sz w:val="20"/>
              </w:rPr>
              <w:t>differences</w:t>
            </w:r>
            <w:r>
              <w:rPr>
                <w:spacing w:val="-2"/>
                <w:sz w:val="20"/>
              </w:rPr>
              <w:t> </w:t>
            </w:r>
            <w:r>
              <w:rPr>
                <w:sz w:val="20"/>
              </w:rPr>
              <w:t>between</w:t>
            </w:r>
            <w:r>
              <w:rPr>
                <w:spacing w:val="-2"/>
                <w:sz w:val="20"/>
              </w:rPr>
              <w:t> </w:t>
            </w:r>
            <w:r>
              <w:rPr>
                <w:sz w:val="20"/>
              </w:rPr>
              <w:t>the</w:t>
            </w:r>
            <w:r>
              <w:rPr>
                <w:spacing w:val="-2"/>
                <w:sz w:val="20"/>
              </w:rPr>
              <w:t> </w:t>
            </w:r>
            <w:r>
              <w:rPr>
                <w:sz w:val="20"/>
              </w:rPr>
              <w:t>two</w:t>
            </w:r>
            <w:r>
              <w:rPr>
                <w:spacing w:val="-2"/>
                <w:sz w:val="20"/>
              </w:rPr>
              <w:t> </w:t>
            </w:r>
            <w:r>
              <w:rPr>
                <w:sz w:val="20"/>
              </w:rPr>
              <w:t>doctrines</w:t>
            </w:r>
            <w:r>
              <w:rPr>
                <w:spacing w:val="-2"/>
                <w:sz w:val="20"/>
              </w:rPr>
              <w:t> </w:t>
            </w:r>
            <w:r>
              <w:rPr>
                <w:sz w:val="20"/>
              </w:rPr>
              <w:t>discussed</w:t>
            </w:r>
            <w:r>
              <w:rPr>
                <w:spacing w:val="-2"/>
                <w:sz w:val="20"/>
              </w:rPr>
              <w:t> </w:t>
            </w:r>
            <w:r>
              <w:rPr>
                <w:sz w:val="20"/>
              </w:rPr>
              <w:t>in</w:t>
            </w:r>
            <w:r>
              <w:rPr>
                <w:spacing w:val="-2"/>
                <w:sz w:val="20"/>
              </w:rPr>
              <w:t> </w:t>
            </w:r>
            <w:r>
              <w:rPr>
                <w:sz w:val="20"/>
              </w:rPr>
              <w:t>paras 4-182 and 4-183 below.</w:t>
            </w:r>
          </w:p>
        </w:tc>
      </w:tr>
      <w:tr>
        <w:trPr>
          <w:trHeight w:val="465" w:hRule="atLeast"/>
        </w:trPr>
        <w:tc>
          <w:tcPr>
            <w:tcW w:w="496" w:type="dxa"/>
          </w:tcPr>
          <w:p>
            <w:pPr>
              <w:pStyle w:val="TableParagraph"/>
              <w:ind w:left="50"/>
              <w:rPr>
                <w:sz w:val="14"/>
              </w:rPr>
            </w:pPr>
            <w:r>
              <w:rPr>
                <w:color w:val="005DA1"/>
                <w:spacing w:val="-2"/>
                <w:sz w:val="14"/>
                <w:u w:val="single" w:color="005DA1"/>
              </w:rPr>
              <w:t>1205</w:t>
            </w:r>
            <w:r>
              <w:rPr>
                <w:spacing w:val="-2"/>
                <w:sz w:val="14"/>
              </w:rPr>
              <w:t>.</w:t>
            </w:r>
          </w:p>
        </w:tc>
        <w:tc>
          <w:tcPr>
            <w:tcW w:w="8620" w:type="dxa"/>
          </w:tcPr>
          <w:p>
            <w:pPr>
              <w:pStyle w:val="TableParagraph"/>
              <w:spacing w:before="114"/>
              <w:rPr>
                <w:sz w:val="20"/>
              </w:rPr>
            </w:pPr>
            <w:r>
              <w:rPr>
                <w:rFonts w:ascii="Arial"/>
                <w:i/>
                <w:sz w:val="20"/>
              </w:rPr>
              <w:t>Thorner v Major [2009] UKHL 18, [2009] 1 W.L.R. 776</w:t>
            </w:r>
            <w:r>
              <w:rPr>
                <w:rFonts w:ascii="Arial"/>
                <w:i/>
                <w:spacing w:val="-1"/>
                <w:sz w:val="20"/>
              </w:rPr>
              <w:t> </w:t>
            </w:r>
            <w:r>
              <w:rPr>
                <w:sz w:val="20"/>
              </w:rPr>
              <w:t>at </w:t>
            </w:r>
            <w:r>
              <w:rPr>
                <w:spacing w:val="-2"/>
                <w:sz w:val="20"/>
              </w:rPr>
              <w:t>[67].</w:t>
            </w:r>
          </w:p>
        </w:tc>
      </w:tr>
      <w:tr>
        <w:trPr>
          <w:trHeight w:val="465" w:hRule="atLeast"/>
        </w:trPr>
        <w:tc>
          <w:tcPr>
            <w:tcW w:w="496" w:type="dxa"/>
          </w:tcPr>
          <w:p>
            <w:pPr>
              <w:pStyle w:val="TableParagraph"/>
              <w:ind w:left="50"/>
              <w:rPr>
                <w:sz w:val="14"/>
              </w:rPr>
            </w:pPr>
            <w:r>
              <w:rPr>
                <w:color w:val="005DA1"/>
                <w:spacing w:val="-2"/>
                <w:sz w:val="14"/>
                <w:u w:val="single" w:color="005DA1"/>
              </w:rPr>
              <w:t>1206</w:t>
            </w:r>
            <w:r>
              <w:rPr>
                <w:spacing w:val="-2"/>
                <w:sz w:val="14"/>
              </w:rPr>
              <w:t>.</w:t>
            </w:r>
          </w:p>
        </w:tc>
        <w:tc>
          <w:tcPr>
            <w:tcW w:w="8620" w:type="dxa"/>
          </w:tcPr>
          <w:p>
            <w:pPr>
              <w:pStyle w:val="TableParagraph"/>
              <w:spacing w:before="114"/>
              <w:rPr>
                <w:sz w:val="20"/>
              </w:rPr>
            </w:pPr>
            <w:r>
              <w:rPr>
                <w:sz w:val="20"/>
              </w:rPr>
              <w:t>Discussed in paras 4-182 and 4-183 </w:t>
            </w:r>
            <w:r>
              <w:rPr>
                <w:spacing w:val="-2"/>
                <w:sz w:val="20"/>
              </w:rPr>
              <w:t>below.</w:t>
            </w:r>
          </w:p>
        </w:tc>
      </w:tr>
      <w:tr>
        <w:trPr>
          <w:trHeight w:val="465" w:hRule="atLeast"/>
        </w:trPr>
        <w:tc>
          <w:tcPr>
            <w:tcW w:w="496" w:type="dxa"/>
          </w:tcPr>
          <w:p>
            <w:pPr>
              <w:pStyle w:val="TableParagraph"/>
              <w:ind w:left="50"/>
              <w:rPr>
                <w:sz w:val="14"/>
              </w:rPr>
            </w:pPr>
            <w:r>
              <w:rPr>
                <w:color w:val="005DA1"/>
                <w:spacing w:val="-2"/>
                <w:sz w:val="14"/>
                <w:u w:val="single" w:color="005DA1"/>
              </w:rPr>
              <w:t>1207</w:t>
            </w:r>
            <w:r>
              <w:rPr>
                <w:spacing w:val="-2"/>
                <w:sz w:val="14"/>
              </w:rPr>
              <w:t>.</w:t>
            </w:r>
          </w:p>
        </w:tc>
        <w:tc>
          <w:tcPr>
            <w:tcW w:w="8620" w:type="dxa"/>
          </w:tcPr>
          <w:p>
            <w:pPr>
              <w:pStyle w:val="TableParagraph"/>
              <w:spacing w:before="114"/>
              <w:rPr>
                <w:sz w:val="20"/>
              </w:rPr>
            </w:pPr>
            <w:r>
              <w:rPr>
                <w:rFonts w:ascii="Arial"/>
                <w:i/>
                <w:sz w:val="20"/>
              </w:rPr>
              <w:t>Thorner v Major [2009] UKHL 18, [2007] 1 W.L.R. 776</w:t>
            </w:r>
            <w:r>
              <w:rPr>
                <w:rFonts w:ascii="Arial"/>
                <w:i/>
                <w:spacing w:val="-1"/>
                <w:sz w:val="20"/>
              </w:rPr>
              <w:t> </w:t>
            </w:r>
            <w:r>
              <w:rPr>
                <w:sz w:val="20"/>
              </w:rPr>
              <w:t>at </w:t>
            </w:r>
            <w:r>
              <w:rPr>
                <w:spacing w:val="-2"/>
                <w:sz w:val="20"/>
              </w:rPr>
              <w:t>[61].</w:t>
            </w:r>
          </w:p>
        </w:tc>
      </w:tr>
      <w:tr>
        <w:trPr>
          <w:trHeight w:val="465" w:hRule="atLeast"/>
        </w:trPr>
        <w:tc>
          <w:tcPr>
            <w:tcW w:w="496" w:type="dxa"/>
          </w:tcPr>
          <w:p>
            <w:pPr>
              <w:pStyle w:val="TableParagraph"/>
              <w:ind w:left="50"/>
              <w:rPr>
                <w:sz w:val="14"/>
              </w:rPr>
            </w:pPr>
            <w:r>
              <w:rPr>
                <w:color w:val="005DA1"/>
                <w:spacing w:val="-2"/>
                <w:sz w:val="14"/>
                <w:u w:val="single" w:color="005DA1"/>
              </w:rPr>
              <w:t>1208</w:t>
            </w:r>
            <w:r>
              <w:rPr>
                <w:spacing w:val="-2"/>
                <w:sz w:val="14"/>
              </w:rPr>
              <w:t>.</w:t>
            </w:r>
          </w:p>
        </w:tc>
        <w:tc>
          <w:tcPr>
            <w:tcW w:w="8620" w:type="dxa"/>
          </w:tcPr>
          <w:p>
            <w:pPr>
              <w:pStyle w:val="TableParagraph"/>
              <w:spacing w:before="114"/>
              <w:rPr>
                <w:sz w:val="20"/>
              </w:rPr>
            </w:pPr>
            <w:r>
              <w:rPr>
                <w:spacing w:val="-2"/>
                <w:sz w:val="20"/>
              </w:rPr>
              <w:t>ibid.</w:t>
            </w:r>
          </w:p>
        </w:tc>
      </w:tr>
      <w:tr>
        <w:trPr>
          <w:trHeight w:val="465" w:hRule="atLeast"/>
        </w:trPr>
        <w:tc>
          <w:tcPr>
            <w:tcW w:w="496" w:type="dxa"/>
          </w:tcPr>
          <w:p>
            <w:pPr>
              <w:pStyle w:val="TableParagraph"/>
              <w:ind w:left="50"/>
              <w:rPr>
                <w:sz w:val="14"/>
              </w:rPr>
            </w:pPr>
            <w:r>
              <w:rPr>
                <w:color w:val="005DA1"/>
                <w:spacing w:val="-2"/>
                <w:sz w:val="14"/>
                <w:u w:val="single" w:color="005DA1"/>
              </w:rPr>
              <w:t>1209</w:t>
            </w:r>
            <w:r>
              <w:rPr>
                <w:spacing w:val="-2"/>
                <w:sz w:val="14"/>
              </w:rPr>
              <w:t>.</w:t>
            </w:r>
          </w:p>
        </w:tc>
        <w:tc>
          <w:tcPr>
            <w:tcW w:w="8620" w:type="dxa"/>
          </w:tcPr>
          <w:p>
            <w:pPr>
              <w:pStyle w:val="TableParagraph"/>
              <w:spacing w:before="114"/>
              <w:rPr>
                <w:sz w:val="20"/>
              </w:rPr>
            </w:pPr>
            <w:r>
              <w:rPr>
                <w:sz w:val="20"/>
              </w:rPr>
              <w:t>Above, para.4-</w:t>
            </w:r>
            <w:r>
              <w:rPr>
                <w:spacing w:val="-4"/>
                <w:sz w:val="20"/>
              </w:rPr>
              <w:t>158.</w:t>
            </w:r>
          </w:p>
        </w:tc>
      </w:tr>
      <w:tr>
        <w:trPr>
          <w:trHeight w:val="465" w:hRule="atLeast"/>
        </w:trPr>
        <w:tc>
          <w:tcPr>
            <w:tcW w:w="496" w:type="dxa"/>
          </w:tcPr>
          <w:p>
            <w:pPr>
              <w:pStyle w:val="TableParagraph"/>
              <w:ind w:left="50"/>
              <w:rPr>
                <w:sz w:val="14"/>
              </w:rPr>
            </w:pPr>
            <w:r>
              <w:rPr>
                <w:color w:val="005DA1"/>
                <w:spacing w:val="-2"/>
                <w:sz w:val="14"/>
                <w:u w:val="single" w:color="005DA1"/>
              </w:rPr>
              <w:t>1210</w:t>
            </w:r>
            <w:r>
              <w:rPr>
                <w:spacing w:val="-2"/>
                <w:sz w:val="14"/>
              </w:rPr>
              <w:t>.</w:t>
            </w:r>
          </w:p>
        </w:tc>
        <w:tc>
          <w:tcPr>
            <w:tcW w:w="8620" w:type="dxa"/>
          </w:tcPr>
          <w:p>
            <w:pPr>
              <w:pStyle w:val="TableParagraph"/>
              <w:spacing w:before="114"/>
              <w:rPr>
                <w:sz w:val="20"/>
              </w:rPr>
            </w:pPr>
            <w:r>
              <w:rPr>
                <w:sz w:val="20"/>
              </w:rPr>
              <w:t>Above, para.4-</w:t>
            </w:r>
            <w:r>
              <w:rPr>
                <w:spacing w:val="-4"/>
                <w:sz w:val="20"/>
              </w:rPr>
              <w:t>095.</w:t>
            </w:r>
          </w:p>
        </w:tc>
      </w:tr>
      <w:tr>
        <w:trPr>
          <w:trHeight w:val="465" w:hRule="atLeast"/>
        </w:trPr>
        <w:tc>
          <w:tcPr>
            <w:tcW w:w="496" w:type="dxa"/>
          </w:tcPr>
          <w:p>
            <w:pPr>
              <w:pStyle w:val="TableParagraph"/>
              <w:ind w:left="50"/>
              <w:rPr>
                <w:sz w:val="14"/>
              </w:rPr>
            </w:pPr>
            <w:r>
              <w:rPr>
                <w:color w:val="005DA1"/>
                <w:spacing w:val="-2"/>
                <w:sz w:val="14"/>
                <w:u w:val="single" w:color="005DA1"/>
              </w:rPr>
              <w:t>1211</w:t>
            </w:r>
            <w:r>
              <w:rPr>
                <w:spacing w:val="-2"/>
                <w:sz w:val="14"/>
              </w:rPr>
              <w:t>.</w:t>
            </w:r>
          </w:p>
        </w:tc>
        <w:tc>
          <w:tcPr>
            <w:tcW w:w="8620" w:type="dxa"/>
          </w:tcPr>
          <w:p>
            <w:pPr>
              <w:pStyle w:val="TableParagraph"/>
              <w:spacing w:before="114"/>
              <w:rPr>
                <w:sz w:val="20"/>
              </w:rPr>
            </w:pPr>
            <w:r>
              <w:rPr>
                <w:sz w:val="20"/>
              </w:rPr>
              <w:t>Above, para.4-</w:t>
            </w:r>
            <w:r>
              <w:rPr>
                <w:spacing w:val="-4"/>
                <w:sz w:val="20"/>
              </w:rPr>
              <w:t>091.</w:t>
            </w:r>
          </w:p>
        </w:tc>
      </w:tr>
      <w:tr>
        <w:trPr>
          <w:trHeight w:val="915" w:hRule="atLeast"/>
        </w:trPr>
        <w:tc>
          <w:tcPr>
            <w:tcW w:w="496" w:type="dxa"/>
          </w:tcPr>
          <w:p>
            <w:pPr>
              <w:pStyle w:val="TableParagraph"/>
              <w:ind w:left="50"/>
              <w:rPr>
                <w:sz w:val="14"/>
              </w:rPr>
            </w:pPr>
            <w:r>
              <w:rPr>
                <w:color w:val="005DA1"/>
                <w:spacing w:val="-2"/>
                <w:sz w:val="14"/>
                <w:u w:val="single" w:color="005DA1"/>
              </w:rPr>
              <w:t>1212</w:t>
            </w:r>
            <w:r>
              <w:rPr>
                <w:spacing w:val="-2"/>
                <w:sz w:val="14"/>
              </w:rPr>
              <w:t>.</w:t>
            </w:r>
          </w:p>
        </w:tc>
        <w:tc>
          <w:tcPr>
            <w:tcW w:w="8620" w:type="dxa"/>
          </w:tcPr>
          <w:p>
            <w:pPr>
              <w:pStyle w:val="TableParagraph"/>
              <w:spacing w:line="235" w:lineRule="auto" w:before="118"/>
              <w:ind w:right="48"/>
              <w:jc w:val="both"/>
              <w:rPr>
                <w:sz w:val="20"/>
              </w:rPr>
            </w:pPr>
            <w:r>
              <w:rPr>
                <w:sz w:val="20"/>
              </w:rPr>
              <w:t>Above, para.4-140; </w:t>
            </w:r>
            <w:r>
              <w:rPr>
                <w:rFonts w:ascii="Arial" w:hAnsi="Arial"/>
                <w:i/>
                <w:sz w:val="20"/>
              </w:rPr>
              <w:t>Wilmott v Barber (1880) 15 Ch.D. 96, 105 </w:t>
            </w:r>
            <w:r>
              <w:rPr>
                <w:sz w:val="20"/>
              </w:rPr>
              <w:t>(the claim in that case failed as the party against whom it was made did not know of the extent of his own rights or of the other party’s mistake).</w:t>
            </w:r>
          </w:p>
        </w:tc>
      </w:tr>
      <w:tr>
        <w:trPr>
          <w:trHeight w:val="465" w:hRule="atLeast"/>
        </w:trPr>
        <w:tc>
          <w:tcPr>
            <w:tcW w:w="496" w:type="dxa"/>
          </w:tcPr>
          <w:p>
            <w:pPr>
              <w:pStyle w:val="TableParagraph"/>
              <w:ind w:left="50"/>
              <w:rPr>
                <w:sz w:val="14"/>
              </w:rPr>
            </w:pPr>
            <w:r>
              <w:rPr>
                <w:color w:val="005DA1"/>
                <w:spacing w:val="-2"/>
                <w:sz w:val="14"/>
                <w:u w:val="single" w:color="005DA1"/>
              </w:rPr>
              <w:t>1213</w:t>
            </w:r>
            <w:r>
              <w:rPr>
                <w:spacing w:val="-2"/>
                <w:sz w:val="14"/>
              </w:rPr>
              <w:t>.</w:t>
            </w:r>
          </w:p>
        </w:tc>
        <w:tc>
          <w:tcPr>
            <w:tcW w:w="8620" w:type="dxa"/>
          </w:tcPr>
          <w:p>
            <w:pPr>
              <w:pStyle w:val="TableParagraph"/>
              <w:spacing w:before="114"/>
              <w:rPr>
                <w:sz w:val="20"/>
              </w:rPr>
            </w:pPr>
            <w:r>
              <w:rPr>
                <w:rFonts w:ascii="Arial"/>
                <w:i/>
                <w:sz w:val="20"/>
              </w:rPr>
              <w:t>Taylors Fashions Ltd v Liverpool Victoria Trustee Co Ltd [1982] Q.B. </w:t>
            </w:r>
            <w:r>
              <w:rPr>
                <w:rFonts w:ascii="Arial"/>
                <w:i/>
                <w:spacing w:val="-4"/>
                <w:sz w:val="20"/>
              </w:rPr>
              <w:t>133</w:t>
            </w:r>
            <w:r>
              <w:rPr>
                <w:spacing w:val="-4"/>
                <w:sz w:val="20"/>
              </w:rPr>
              <w:t>.</w:t>
            </w:r>
          </w:p>
        </w:tc>
      </w:tr>
      <w:tr>
        <w:trPr>
          <w:trHeight w:val="465" w:hRule="atLeast"/>
        </w:trPr>
        <w:tc>
          <w:tcPr>
            <w:tcW w:w="496" w:type="dxa"/>
          </w:tcPr>
          <w:p>
            <w:pPr>
              <w:pStyle w:val="TableParagraph"/>
              <w:ind w:left="50"/>
              <w:rPr>
                <w:sz w:val="14"/>
              </w:rPr>
            </w:pPr>
            <w:r>
              <w:rPr>
                <w:color w:val="005DA1"/>
                <w:spacing w:val="-2"/>
                <w:sz w:val="14"/>
                <w:u w:val="single" w:color="005DA1"/>
              </w:rPr>
              <w:t>1214</w:t>
            </w:r>
            <w:r>
              <w:rPr>
                <w:spacing w:val="-2"/>
                <w:sz w:val="14"/>
              </w:rPr>
              <w:t>.</w:t>
            </w:r>
          </w:p>
        </w:tc>
        <w:tc>
          <w:tcPr>
            <w:tcW w:w="8620" w:type="dxa"/>
          </w:tcPr>
          <w:p>
            <w:pPr>
              <w:pStyle w:val="TableParagraph"/>
              <w:spacing w:before="114"/>
              <w:rPr>
                <w:sz w:val="20"/>
              </w:rPr>
            </w:pPr>
            <w:r>
              <w:rPr>
                <w:rFonts w:ascii="Arial"/>
                <w:i/>
                <w:sz w:val="20"/>
              </w:rPr>
              <w:t>Thorner v Major [2009] UKHL 18, [2009] 1 W.L.R. 776</w:t>
            </w:r>
            <w:r>
              <w:rPr>
                <w:rFonts w:ascii="Arial"/>
                <w:i/>
                <w:spacing w:val="-1"/>
                <w:sz w:val="20"/>
              </w:rPr>
              <w:t> </w:t>
            </w:r>
            <w:r>
              <w:rPr>
                <w:sz w:val="20"/>
              </w:rPr>
              <w:t>at [84], per Lord </w:t>
            </w:r>
            <w:r>
              <w:rPr>
                <w:spacing w:val="-2"/>
                <w:sz w:val="20"/>
              </w:rPr>
              <w:t>Neuberger.</w:t>
            </w:r>
          </w:p>
        </w:tc>
      </w:tr>
      <w:tr>
        <w:trPr>
          <w:trHeight w:val="465" w:hRule="atLeast"/>
        </w:trPr>
        <w:tc>
          <w:tcPr>
            <w:tcW w:w="496" w:type="dxa"/>
          </w:tcPr>
          <w:p>
            <w:pPr>
              <w:pStyle w:val="TableParagraph"/>
              <w:ind w:left="50"/>
              <w:rPr>
                <w:sz w:val="14"/>
              </w:rPr>
            </w:pPr>
            <w:r>
              <w:rPr>
                <w:color w:val="005DA1"/>
                <w:spacing w:val="-2"/>
                <w:sz w:val="14"/>
                <w:u w:val="single" w:color="005DA1"/>
              </w:rPr>
              <w:t>1215</w:t>
            </w:r>
            <w:r>
              <w:rPr>
                <w:spacing w:val="-2"/>
                <w:sz w:val="14"/>
              </w:rPr>
              <w:t>.</w:t>
            </w:r>
          </w:p>
        </w:tc>
        <w:tc>
          <w:tcPr>
            <w:tcW w:w="8620" w:type="dxa"/>
          </w:tcPr>
          <w:p>
            <w:pPr>
              <w:pStyle w:val="TableParagraph"/>
              <w:spacing w:before="114"/>
              <w:rPr>
                <w:sz w:val="20"/>
              </w:rPr>
            </w:pPr>
            <w:r>
              <w:rPr>
                <w:sz w:val="20"/>
              </w:rPr>
              <w:t>Above, para.4-</w:t>
            </w:r>
            <w:r>
              <w:rPr>
                <w:spacing w:val="-4"/>
                <w:sz w:val="20"/>
              </w:rPr>
              <w:t>093.</w:t>
            </w:r>
          </w:p>
        </w:tc>
      </w:tr>
      <w:tr>
        <w:trPr>
          <w:trHeight w:val="690" w:hRule="atLeast"/>
        </w:trPr>
        <w:tc>
          <w:tcPr>
            <w:tcW w:w="496" w:type="dxa"/>
          </w:tcPr>
          <w:p>
            <w:pPr>
              <w:pStyle w:val="TableParagraph"/>
              <w:ind w:left="50"/>
              <w:rPr>
                <w:sz w:val="14"/>
              </w:rPr>
            </w:pPr>
            <w:r>
              <w:rPr>
                <w:color w:val="005DA1"/>
                <w:spacing w:val="-2"/>
                <w:sz w:val="14"/>
                <w:u w:val="single" w:color="005DA1"/>
              </w:rPr>
              <w:t>1216</w:t>
            </w:r>
            <w:r>
              <w:rPr>
                <w:spacing w:val="-2"/>
                <w:sz w:val="14"/>
              </w:rPr>
              <w:t>.</w:t>
            </w:r>
          </w:p>
        </w:tc>
        <w:tc>
          <w:tcPr>
            <w:tcW w:w="8620" w:type="dxa"/>
          </w:tcPr>
          <w:p>
            <w:pPr>
              <w:pStyle w:val="TableParagraph"/>
              <w:spacing w:line="235" w:lineRule="auto" w:before="118"/>
              <w:ind w:right="48"/>
              <w:rPr>
                <w:sz w:val="20"/>
              </w:rPr>
            </w:pPr>
            <w:r>
              <w:rPr>
                <w:sz w:val="20"/>
              </w:rPr>
              <w:t>For</w:t>
            </w:r>
            <w:r>
              <w:rPr>
                <w:spacing w:val="-2"/>
                <w:sz w:val="20"/>
              </w:rPr>
              <w:t> </w:t>
            </w:r>
            <w:r>
              <w:rPr>
                <w:sz w:val="20"/>
              </w:rPr>
              <w:t>the</w:t>
            </w:r>
            <w:r>
              <w:rPr>
                <w:spacing w:val="-2"/>
                <w:sz w:val="20"/>
              </w:rPr>
              <w:t> </w:t>
            </w:r>
            <w:r>
              <w:rPr>
                <w:sz w:val="20"/>
              </w:rPr>
              <w:t>distinction</w:t>
            </w:r>
            <w:r>
              <w:rPr>
                <w:spacing w:val="-2"/>
                <w:sz w:val="20"/>
              </w:rPr>
              <w:t> </w:t>
            </w:r>
            <w:r>
              <w:rPr>
                <w:sz w:val="20"/>
              </w:rPr>
              <w:t>between</w:t>
            </w:r>
            <w:r>
              <w:rPr>
                <w:spacing w:val="-2"/>
                <w:sz w:val="20"/>
              </w:rPr>
              <w:t> </w:t>
            </w:r>
            <w:r>
              <w:rPr>
                <w:sz w:val="20"/>
              </w:rPr>
              <w:t>cases</w:t>
            </w:r>
            <w:r>
              <w:rPr>
                <w:spacing w:val="-2"/>
                <w:sz w:val="20"/>
              </w:rPr>
              <w:t> </w:t>
            </w:r>
            <w:r>
              <w:rPr>
                <w:sz w:val="20"/>
              </w:rPr>
              <w:t>of</w:t>
            </w:r>
            <w:r>
              <w:rPr>
                <w:spacing w:val="-2"/>
                <w:sz w:val="20"/>
              </w:rPr>
              <w:t> </w:t>
            </w:r>
            <w:r>
              <w:rPr>
                <w:sz w:val="20"/>
              </w:rPr>
              <w:t>“acquiescence”</w:t>
            </w:r>
            <w:r>
              <w:rPr>
                <w:spacing w:val="-2"/>
                <w:sz w:val="20"/>
              </w:rPr>
              <w:t> </w:t>
            </w:r>
            <w:r>
              <w:rPr>
                <w:sz w:val="20"/>
              </w:rPr>
              <w:t>and</w:t>
            </w:r>
            <w:r>
              <w:rPr>
                <w:spacing w:val="-2"/>
                <w:sz w:val="20"/>
              </w:rPr>
              <w:t> </w:t>
            </w:r>
            <w:r>
              <w:rPr>
                <w:sz w:val="20"/>
              </w:rPr>
              <w:t>cases</w:t>
            </w:r>
            <w:r>
              <w:rPr>
                <w:spacing w:val="-2"/>
                <w:sz w:val="20"/>
              </w:rPr>
              <w:t> </w:t>
            </w:r>
            <w:r>
              <w:rPr>
                <w:sz w:val="20"/>
              </w:rPr>
              <w:t>of</w:t>
            </w:r>
            <w:r>
              <w:rPr>
                <w:spacing w:val="-2"/>
                <w:sz w:val="20"/>
              </w:rPr>
              <w:t> </w:t>
            </w:r>
            <w:r>
              <w:rPr>
                <w:sz w:val="20"/>
              </w:rPr>
              <w:t>“encouragement”,</w:t>
            </w:r>
            <w:r>
              <w:rPr>
                <w:spacing w:val="-2"/>
                <w:sz w:val="20"/>
              </w:rPr>
              <w:t> </w:t>
            </w:r>
            <w:r>
              <w:rPr>
                <w:sz w:val="20"/>
              </w:rPr>
              <w:t>see</w:t>
            </w:r>
            <w:r>
              <w:rPr>
                <w:spacing w:val="-2"/>
                <w:sz w:val="20"/>
              </w:rPr>
              <w:t> </w:t>
            </w:r>
            <w:r>
              <w:rPr>
                <w:sz w:val="20"/>
              </w:rPr>
              <w:t>above, </w:t>
            </w:r>
            <w:r>
              <w:rPr>
                <w:spacing w:val="-2"/>
                <w:sz w:val="20"/>
              </w:rPr>
              <w:t>para.4-140.</w:t>
            </w:r>
          </w:p>
        </w:tc>
      </w:tr>
      <w:tr>
        <w:trPr>
          <w:trHeight w:val="344" w:hRule="atLeast"/>
        </w:trPr>
        <w:tc>
          <w:tcPr>
            <w:tcW w:w="496" w:type="dxa"/>
          </w:tcPr>
          <w:p>
            <w:pPr>
              <w:pStyle w:val="TableParagraph"/>
              <w:ind w:left="50"/>
              <w:rPr>
                <w:sz w:val="14"/>
              </w:rPr>
            </w:pPr>
            <w:r>
              <w:rPr>
                <w:color w:val="005DA1"/>
                <w:spacing w:val="-2"/>
                <w:sz w:val="14"/>
                <w:u w:val="single" w:color="005DA1"/>
              </w:rPr>
              <w:t>1217</w:t>
            </w:r>
            <w:r>
              <w:rPr>
                <w:spacing w:val="-2"/>
                <w:sz w:val="14"/>
              </w:rPr>
              <w:t>.</w:t>
            </w:r>
          </w:p>
        </w:tc>
        <w:tc>
          <w:tcPr>
            <w:tcW w:w="8620" w:type="dxa"/>
          </w:tcPr>
          <w:p>
            <w:pPr>
              <w:pStyle w:val="TableParagraph"/>
              <w:spacing w:line="210" w:lineRule="exact" w:before="114"/>
              <w:rPr>
                <w:sz w:val="20"/>
              </w:rPr>
            </w:pPr>
            <w:r>
              <w:rPr>
                <w:sz w:val="20"/>
              </w:rPr>
              <w:t>See para.4-150 above and see the submission made in para.4-152 </w:t>
            </w:r>
            <w:r>
              <w:rPr>
                <w:spacing w:val="-2"/>
                <w:sz w:val="20"/>
              </w:rPr>
              <w:t>above.</w:t>
            </w:r>
          </w:p>
        </w:tc>
      </w:tr>
    </w:tbl>
    <w:p>
      <w:pPr>
        <w:pStyle w:val="TableParagraph"/>
        <w:spacing w:after="0" w:line="210" w:lineRule="exact"/>
        <w:rPr>
          <w:sz w:val="20"/>
        </w:rPr>
        <w:sectPr>
          <w:pgSz w:w="11900" w:h="16840"/>
          <w:pgMar w:header="971" w:footer="0" w:top="1160" w:bottom="280" w:left="1275" w:right="1275"/>
        </w:sectPr>
      </w:pPr>
    </w:p>
    <w:p>
      <w:pPr>
        <w:pStyle w:val="BodyText"/>
        <w:spacing w:before="84"/>
      </w:pPr>
    </w:p>
    <w:p>
      <w:pPr>
        <w:pStyle w:val="BodyText"/>
        <w:spacing w:line="235" w:lineRule="auto" w:before="1"/>
        <w:ind w:left="705" w:right="167" w:hanging="541"/>
        <w:jc w:val="both"/>
      </w:pPr>
      <w:r>
        <w:rPr>
          <w:color w:val="005DA1"/>
          <w:position w:val="5"/>
          <w:sz w:val="14"/>
          <w:u w:val="single" w:color="005DA1"/>
        </w:rPr>
        <w:t>1218</w:t>
      </w:r>
      <w:r>
        <w:rPr>
          <w:position w:val="5"/>
          <w:sz w:val="14"/>
        </w:rPr>
        <w:t>.</w:t>
      </w:r>
      <w:r>
        <w:rPr>
          <w:spacing w:val="80"/>
          <w:position w:val="5"/>
          <w:sz w:val="14"/>
        </w:rPr>
        <w:t> </w:t>
      </w:r>
      <w:r>
        <w:rPr/>
        <w:t>In </w:t>
      </w:r>
      <w:r>
        <w:rPr>
          <w:rFonts w:ascii="Arial" w:hAnsi="Arial"/>
          <w:i/>
        </w:rPr>
        <w:t>Cobbe v Yeoman’s Row Management Ltd [2008] UKHL 55, [2008] 1 W.L.R. 1752 </w:t>
      </w:r>
      <w:r>
        <w:rPr/>
        <w:t>(above paras 4-161, 4-162) it was held that no proprietary estoppels arose out of an agreement which lacked contractual force because it was incomplete (and so not sufficiently precise) but the crucial point in that case was that the party claiming the benefit of the estoppels </w:t>
      </w:r>
      <w:r>
        <w:rPr>
          <w:rFonts w:ascii="Arial" w:hAnsi="Arial"/>
          <w:i/>
        </w:rPr>
        <w:t>knew </w:t>
      </w:r>
      <w:r>
        <w:rPr/>
        <w:t>that the agreement was binding in honour only: see above, para.4-162.</w:t>
      </w:r>
    </w:p>
    <w:p>
      <w:pPr>
        <w:pStyle w:val="BodyText"/>
        <w:spacing w:before="4"/>
      </w:pPr>
    </w:p>
    <w:p>
      <w:pPr>
        <w:spacing w:before="0"/>
        <w:ind w:left="165" w:right="0" w:firstLine="0"/>
        <w:jc w:val="left"/>
        <w:rPr>
          <w:sz w:val="20"/>
        </w:rPr>
      </w:pPr>
      <w:r>
        <w:rPr>
          <w:color w:val="005DA1"/>
          <w:position w:val="5"/>
          <w:sz w:val="14"/>
          <w:u w:val="single" w:color="005DA1"/>
        </w:rPr>
        <w:t>1219</w:t>
      </w:r>
      <w:r>
        <w:rPr>
          <w:position w:val="5"/>
          <w:sz w:val="14"/>
        </w:rPr>
        <w:t>.</w:t>
      </w:r>
      <w:r>
        <w:rPr>
          <w:spacing w:val="55"/>
          <w:position w:val="5"/>
          <w:sz w:val="14"/>
        </w:rPr>
        <w:t>  </w:t>
      </w:r>
      <w:r>
        <w:rPr>
          <w:rFonts w:ascii="Arial"/>
          <w:i/>
          <w:sz w:val="20"/>
        </w:rPr>
        <w:t>Thorner</w:t>
      </w:r>
      <w:r>
        <w:rPr>
          <w:rFonts w:ascii="Arial"/>
          <w:i/>
          <w:spacing w:val="1"/>
          <w:sz w:val="20"/>
        </w:rPr>
        <w:t> </w:t>
      </w:r>
      <w:r>
        <w:rPr>
          <w:rFonts w:ascii="Arial"/>
          <w:i/>
          <w:sz w:val="20"/>
        </w:rPr>
        <w:t>v Major</w:t>
      </w:r>
      <w:r>
        <w:rPr>
          <w:sz w:val="20"/>
        </w:rPr>
        <w:t>, above, at</w:t>
      </w:r>
      <w:r>
        <w:rPr>
          <w:spacing w:val="-1"/>
          <w:sz w:val="20"/>
        </w:rPr>
        <w:t> </w:t>
      </w:r>
      <w:r>
        <w:rPr>
          <w:sz w:val="20"/>
        </w:rPr>
        <w:t>[86], per Lord Neuberger; above, para.4-</w:t>
      </w:r>
      <w:r>
        <w:rPr>
          <w:spacing w:val="-4"/>
          <w:sz w:val="20"/>
        </w:rPr>
        <w:t>151.</w:t>
      </w:r>
    </w:p>
    <w:p>
      <w:pPr>
        <w:pStyle w:val="BodyText"/>
        <w:spacing w:before="5"/>
      </w:pPr>
    </w:p>
    <w:p>
      <w:pPr>
        <w:pStyle w:val="BodyText"/>
        <w:ind w:left="165"/>
      </w:pPr>
      <w:r>
        <w:rPr>
          <w:color w:val="005DA1"/>
          <w:position w:val="5"/>
          <w:sz w:val="14"/>
          <w:u w:val="single" w:color="005DA1"/>
        </w:rPr>
        <w:t>1220</w:t>
      </w:r>
      <w:r>
        <w:rPr>
          <w:position w:val="5"/>
          <w:sz w:val="14"/>
        </w:rPr>
        <w:t>.</w:t>
      </w:r>
      <w:r>
        <w:rPr>
          <w:spacing w:val="55"/>
          <w:position w:val="5"/>
          <w:sz w:val="14"/>
        </w:rPr>
        <w:t>  </w:t>
      </w:r>
      <w:r>
        <w:rPr/>
        <w:t>Above,</w:t>
      </w:r>
      <w:r>
        <w:rPr>
          <w:spacing w:val="1"/>
        </w:rPr>
        <w:t> </w:t>
      </w:r>
      <w:r>
        <w:rPr/>
        <w:t>para.4-091; an ambiguous representation can scarcely be </w:t>
      </w:r>
      <w:r>
        <w:rPr>
          <w:spacing w:val="-2"/>
        </w:rPr>
        <w:t>“unequivocal.”</w:t>
      </w:r>
    </w:p>
    <w:p>
      <w:pPr>
        <w:pStyle w:val="BodyText"/>
        <w:spacing w:before="5"/>
      </w:pPr>
    </w:p>
    <w:p>
      <w:pPr>
        <w:spacing w:before="0"/>
        <w:ind w:left="165" w:right="0" w:firstLine="0"/>
        <w:jc w:val="left"/>
        <w:rPr>
          <w:sz w:val="20"/>
        </w:rPr>
      </w:pPr>
      <w:r>
        <w:rPr>
          <w:color w:val="005DA1"/>
          <w:position w:val="5"/>
          <w:sz w:val="14"/>
          <w:u w:val="single" w:color="005DA1"/>
        </w:rPr>
        <w:t>1221</w:t>
      </w:r>
      <w:r>
        <w:rPr>
          <w:position w:val="5"/>
          <w:sz w:val="14"/>
        </w:rPr>
        <w:t>.</w:t>
      </w:r>
      <w:r>
        <w:rPr>
          <w:spacing w:val="55"/>
          <w:position w:val="5"/>
          <w:sz w:val="14"/>
        </w:rPr>
        <w:t>  </w:t>
      </w:r>
      <w:r>
        <w:rPr>
          <w:sz w:val="20"/>
        </w:rPr>
        <w:t>Above,</w:t>
      </w:r>
      <w:r>
        <w:rPr>
          <w:spacing w:val="1"/>
          <w:sz w:val="20"/>
        </w:rPr>
        <w:t> </w:t>
      </w:r>
      <w:r>
        <w:rPr>
          <w:sz w:val="20"/>
        </w:rPr>
        <w:t>para.4-</w:t>
      </w:r>
      <w:r>
        <w:rPr>
          <w:spacing w:val="-4"/>
          <w:sz w:val="20"/>
        </w:rPr>
        <w:t>099.</w:t>
      </w:r>
    </w:p>
    <w:p>
      <w:pPr>
        <w:pStyle w:val="BodyText"/>
        <w:spacing w:before="9"/>
      </w:pPr>
    </w:p>
    <w:p>
      <w:pPr>
        <w:spacing w:line="235" w:lineRule="auto" w:before="0"/>
        <w:ind w:left="705" w:right="167" w:hanging="541"/>
        <w:jc w:val="both"/>
        <w:rPr>
          <w:rFonts w:ascii="Arial"/>
          <w:i/>
          <w:sz w:val="20"/>
        </w:rPr>
      </w:pPr>
      <w:r>
        <w:rPr>
          <w:color w:val="005DA1"/>
          <w:position w:val="5"/>
          <w:sz w:val="14"/>
          <w:u w:val="single" w:color="005DA1"/>
        </w:rPr>
        <w:t>1222</w:t>
      </w:r>
      <w:r>
        <w:rPr>
          <w:position w:val="5"/>
          <w:sz w:val="14"/>
        </w:rPr>
        <w:t>.</w:t>
      </w:r>
      <w:r>
        <w:rPr>
          <w:spacing w:val="80"/>
          <w:position w:val="5"/>
          <w:sz w:val="14"/>
        </w:rPr>
        <w:t> </w:t>
      </w:r>
      <w:r>
        <w:rPr>
          <w:rFonts w:ascii="Arial"/>
          <w:i/>
          <w:sz w:val="20"/>
        </w:rPr>
        <w:t>Crabb v Arun DC [1976] Ch. 179, 187</w:t>
      </w:r>
      <w:r>
        <w:rPr>
          <w:sz w:val="20"/>
        </w:rPr>
        <w:t>; </w:t>
      </w:r>
      <w:r>
        <w:rPr>
          <w:rFonts w:ascii="Arial"/>
          <w:i/>
          <w:sz w:val="20"/>
        </w:rPr>
        <w:t>Taylors Fashions Ltd v Liverpool Victoria Trustee Co </w:t>
      </w:r>
      <w:r>
        <w:rPr>
          <w:rFonts w:ascii="Arial"/>
          <w:i/>
          <w:sz w:val="20"/>
        </w:rPr>
        <w:t>Ltd [1982] Q.B. 133, 148</w:t>
      </w:r>
      <w:r>
        <w:rPr>
          <w:sz w:val="20"/>
        </w:rPr>
        <w:t>; </w:t>
      </w:r>
      <w:r>
        <w:rPr>
          <w:rFonts w:ascii="Arial"/>
          <w:i/>
          <w:sz w:val="20"/>
        </w:rPr>
        <w:t>Newport City Council v Charles [2008] EWCA Civ 1541, [2009] H.L.R. 18 </w:t>
      </w:r>
      <w:r>
        <w:rPr>
          <w:sz w:val="20"/>
        </w:rPr>
        <w:t>at [23] (where proprietary estoppel was, in this respect, contrasted, not with promissory estoppel,</w:t>
      </w:r>
      <w:r>
        <w:rPr>
          <w:spacing w:val="45"/>
          <w:sz w:val="20"/>
        </w:rPr>
        <w:t> </w:t>
      </w:r>
      <w:r>
        <w:rPr>
          <w:sz w:val="20"/>
        </w:rPr>
        <w:t>but</w:t>
      </w:r>
      <w:r>
        <w:rPr>
          <w:spacing w:val="45"/>
          <w:sz w:val="20"/>
        </w:rPr>
        <w:t> </w:t>
      </w:r>
      <w:r>
        <w:rPr>
          <w:sz w:val="20"/>
        </w:rPr>
        <w:t>with</w:t>
      </w:r>
      <w:r>
        <w:rPr>
          <w:spacing w:val="45"/>
          <w:sz w:val="20"/>
        </w:rPr>
        <w:t> </w:t>
      </w:r>
      <w:r>
        <w:rPr>
          <w:sz w:val="20"/>
        </w:rPr>
        <w:t>estoppel</w:t>
      </w:r>
      <w:r>
        <w:rPr>
          <w:spacing w:val="45"/>
          <w:sz w:val="20"/>
        </w:rPr>
        <w:t> </w:t>
      </w:r>
      <w:r>
        <w:rPr>
          <w:sz w:val="20"/>
        </w:rPr>
        <w:t>by</w:t>
      </w:r>
      <w:r>
        <w:rPr>
          <w:spacing w:val="45"/>
          <w:sz w:val="20"/>
        </w:rPr>
        <w:t> </w:t>
      </w:r>
      <w:r>
        <w:rPr>
          <w:sz w:val="20"/>
        </w:rPr>
        <w:t>representation);</w:t>
      </w:r>
      <w:r>
        <w:rPr>
          <w:spacing w:val="45"/>
          <w:sz w:val="20"/>
        </w:rPr>
        <w:t> </w:t>
      </w:r>
      <w:r>
        <w:rPr>
          <w:rFonts w:ascii="Arial"/>
          <w:i/>
          <w:sz w:val="20"/>
        </w:rPr>
        <w:t>Thorner</w:t>
      </w:r>
      <w:r>
        <w:rPr>
          <w:rFonts w:ascii="Arial"/>
          <w:i/>
          <w:spacing w:val="45"/>
          <w:sz w:val="20"/>
        </w:rPr>
        <w:t> </w:t>
      </w:r>
      <w:r>
        <w:rPr>
          <w:rFonts w:ascii="Arial"/>
          <w:i/>
          <w:sz w:val="20"/>
        </w:rPr>
        <w:t>v</w:t>
      </w:r>
      <w:r>
        <w:rPr>
          <w:rFonts w:ascii="Arial"/>
          <w:i/>
          <w:spacing w:val="45"/>
          <w:sz w:val="20"/>
        </w:rPr>
        <w:t> </w:t>
      </w:r>
      <w:r>
        <w:rPr>
          <w:rFonts w:ascii="Arial"/>
          <w:i/>
          <w:sz w:val="20"/>
        </w:rPr>
        <w:t>Major</w:t>
      </w:r>
      <w:r>
        <w:rPr>
          <w:rFonts w:ascii="Arial"/>
          <w:i/>
          <w:spacing w:val="45"/>
          <w:sz w:val="20"/>
        </w:rPr>
        <w:t> </w:t>
      </w:r>
      <w:r>
        <w:rPr>
          <w:rFonts w:ascii="Arial"/>
          <w:i/>
          <w:sz w:val="20"/>
        </w:rPr>
        <w:t>[2008]</w:t>
      </w:r>
      <w:r>
        <w:rPr>
          <w:rFonts w:ascii="Arial"/>
          <w:i/>
          <w:spacing w:val="45"/>
          <w:sz w:val="20"/>
        </w:rPr>
        <w:t> </w:t>
      </w:r>
      <w:r>
        <w:rPr>
          <w:rFonts w:ascii="Arial"/>
          <w:i/>
          <w:sz w:val="20"/>
        </w:rPr>
        <w:t>UKHL</w:t>
      </w:r>
      <w:r>
        <w:rPr>
          <w:rFonts w:ascii="Arial"/>
          <w:i/>
          <w:spacing w:val="45"/>
          <w:sz w:val="20"/>
        </w:rPr>
        <w:t> </w:t>
      </w:r>
      <w:r>
        <w:rPr>
          <w:rFonts w:ascii="Arial"/>
          <w:i/>
          <w:sz w:val="20"/>
        </w:rPr>
        <w:t>18,</w:t>
      </w:r>
      <w:r>
        <w:rPr>
          <w:rFonts w:ascii="Arial"/>
          <w:i/>
          <w:spacing w:val="45"/>
          <w:sz w:val="20"/>
        </w:rPr>
        <w:t> </w:t>
      </w:r>
      <w:r>
        <w:rPr>
          <w:rFonts w:ascii="Arial"/>
          <w:i/>
          <w:sz w:val="20"/>
        </w:rPr>
        <w:t>[2009]</w:t>
      </w:r>
      <w:r>
        <w:rPr>
          <w:rFonts w:ascii="Arial"/>
          <w:i/>
          <w:spacing w:val="45"/>
          <w:sz w:val="20"/>
        </w:rPr>
        <w:t> </w:t>
      </w:r>
      <w:r>
        <w:rPr>
          <w:rFonts w:ascii="Arial"/>
          <w:i/>
          <w:spacing w:val="-12"/>
          <w:sz w:val="20"/>
        </w:rPr>
        <w:t>1</w:t>
      </w:r>
    </w:p>
    <w:p>
      <w:pPr>
        <w:spacing w:line="225" w:lineRule="exact" w:before="0"/>
        <w:ind w:left="705" w:right="0" w:firstLine="0"/>
        <w:jc w:val="both"/>
        <w:rPr>
          <w:sz w:val="20"/>
        </w:rPr>
      </w:pPr>
      <w:r>
        <w:rPr>
          <w:rFonts w:ascii="Arial"/>
          <w:i/>
          <w:sz w:val="20"/>
        </w:rPr>
        <w:t>W.L.R. 779 </w:t>
      </w:r>
      <w:r>
        <w:rPr>
          <w:sz w:val="20"/>
        </w:rPr>
        <w:t>at </w:t>
      </w:r>
      <w:r>
        <w:rPr>
          <w:spacing w:val="-2"/>
          <w:sz w:val="20"/>
        </w:rPr>
        <w:t>[61].</w:t>
      </w:r>
    </w:p>
    <w:p>
      <w:pPr>
        <w:pStyle w:val="BodyText"/>
        <w:spacing w:before="5"/>
      </w:pPr>
    </w:p>
    <w:p>
      <w:pPr>
        <w:spacing w:before="0"/>
        <w:ind w:left="165" w:right="0" w:firstLine="0"/>
        <w:jc w:val="left"/>
        <w:rPr>
          <w:sz w:val="20"/>
        </w:rPr>
      </w:pPr>
      <w:r>
        <w:rPr>
          <w:color w:val="005DA1"/>
          <w:position w:val="5"/>
          <w:sz w:val="14"/>
          <w:u w:val="single" w:color="005DA1"/>
        </w:rPr>
        <w:t>1223</w:t>
      </w:r>
      <w:r>
        <w:rPr>
          <w:position w:val="5"/>
          <w:sz w:val="14"/>
        </w:rPr>
        <w:t>.</w:t>
      </w:r>
      <w:r>
        <w:rPr>
          <w:spacing w:val="55"/>
          <w:position w:val="5"/>
          <w:sz w:val="14"/>
        </w:rPr>
        <w:t>  </w:t>
      </w:r>
      <w:r>
        <w:rPr>
          <w:sz w:val="20"/>
        </w:rPr>
        <w:t>e.g.</w:t>
      </w:r>
      <w:r>
        <w:rPr>
          <w:spacing w:val="1"/>
          <w:sz w:val="20"/>
        </w:rPr>
        <w:t> </w:t>
      </w:r>
      <w:r>
        <w:rPr>
          <w:rFonts w:ascii="Arial"/>
          <w:i/>
          <w:sz w:val="20"/>
        </w:rPr>
        <w:t>Dillwyn v Llewelyn (1862) 4 D. F. &amp; G. </w:t>
      </w:r>
      <w:r>
        <w:rPr>
          <w:rFonts w:ascii="Arial"/>
          <w:i/>
          <w:spacing w:val="-4"/>
          <w:sz w:val="20"/>
        </w:rPr>
        <w:t>517</w:t>
      </w:r>
      <w:r>
        <w:rPr>
          <w:spacing w:val="-4"/>
          <w:sz w:val="20"/>
        </w:rPr>
        <w:t>.</w:t>
      </w:r>
    </w:p>
    <w:p>
      <w:pPr>
        <w:pStyle w:val="BodyText"/>
        <w:spacing w:before="5"/>
      </w:pPr>
    </w:p>
    <w:p>
      <w:pPr>
        <w:spacing w:before="0"/>
        <w:ind w:left="165" w:right="0" w:firstLine="0"/>
        <w:jc w:val="left"/>
        <w:rPr>
          <w:sz w:val="20"/>
        </w:rPr>
      </w:pPr>
      <w:r>
        <w:rPr>
          <w:color w:val="005DA1"/>
          <w:position w:val="5"/>
          <w:sz w:val="14"/>
          <w:u w:val="single" w:color="005DA1"/>
        </w:rPr>
        <w:t>1224</w:t>
      </w:r>
      <w:r>
        <w:rPr>
          <w:position w:val="5"/>
          <w:sz w:val="14"/>
        </w:rPr>
        <w:t>.</w:t>
      </w:r>
      <w:r>
        <w:rPr>
          <w:spacing w:val="55"/>
          <w:position w:val="5"/>
          <w:sz w:val="14"/>
        </w:rPr>
        <w:t>  </w:t>
      </w:r>
      <w:r>
        <w:rPr>
          <w:sz w:val="20"/>
        </w:rPr>
        <w:t>e.g.</w:t>
      </w:r>
      <w:r>
        <w:rPr>
          <w:spacing w:val="1"/>
          <w:sz w:val="20"/>
        </w:rPr>
        <w:t> </w:t>
      </w:r>
      <w:r>
        <w:rPr>
          <w:rFonts w:ascii="Arial"/>
          <w:i/>
          <w:sz w:val="20"/>
        </w:rPr>
        <w:t>Eves v Eves [1975] 1 W.L.R. </w:t>
      </w:r>
      <w:r>
        <w:rPr>
          <w:rFonts w:ascii="Arial"/>
          <w:i/>
          <w:spacing w:val="-2"/>
          <w:sz w:val="20"/>
        </w:rPr>
        <w:t>1338</w:t>
      </w:r>
      <w:r>
        <w:rPr>
          <w:spacing w:val="-2"/>
          <w:sz w:val="20"/>
        </w:rPr>
        <w:t>.</w:t>
      </w:r>
    </w:p>
    <w:p>
      <w:pPr>
        <w:pStyle w:val="BodyText"/>
        <w:spacing w:before="5"/>
      </w:pPr>
    </w:p>
    <w:p>
      <w:pPr>
        <w:pStyle w:val="BodyText"/>
        <w:ind w:left="165"/>
      </w:pPr>
      <w:r>
        <w:rPr>
          <w:color w:val="005DA1"/>
          <w:position w:val="5"/>
          <w:sz w:val="14"/>
          <w:u w:val="single" w:color="005DA1"/>
        </w:rPr>
        <w:t>1225</w:t>
      </w:r>
      <w:r>
        <w:rPr>
          <w:position w:val="5"/>
          <w:sz w:val="14"/>
        </w:rPr>
        <w:t>.</w:t>
      </w:r>
      <w:r>
        <w:rPr>
          <w:spacing w:val="55"/>
          <w:position w:val="5"/>
          <w:sz w:val="14"/>
        </w:rPr>
        <w:t>  </w:t>
      </w:r>
      <w:r>
        <w:rPr/>
        <w:t>See</w:t>
      </w:r>
      <w:r>
        <w:rPr>
          <w:spacing w:val="1"/>
        </w:rPr>
        <w:t> </w:t>
      </w:r>
      <w:r>
        <w:rPr/>
        <w:t>above, paras 4-173 to 4-</w:t>
      </w:r>
      <w:r>
        <w:rPr>
          <w:spacing w:val="-4"/>
        </w:rPr>
        <w:t>175.</w:t>
      </w:r>
    </w:p>
    <w:p>
      <w:pPr>
        <w:pStyle w:val="BodyText"/>
        <w:spacing w:before="9"/>
      </w:pPr>
    </w:p>
    <w:p>
      <w:pPr>
        <w:pStyle w:val="BodyText"/>
        <w:spacing w:line="235" w:lineRule="auto"/>
        <w:ind w:left="705" w:right="167" w:hanging="541"/>
        <w:jc w:val="both"/>
      </w:pPr>
      <w:r>
        <w:rPr>
          <w:color w:val="005DA1"/>
          <w:position w:val="5"/>
          <w:sz w:val="14"/>
          <w:u w:val="single" w:color="005DA1"/>
        </w:rPr>
        <w:t>1226</w:t>
      </w:r>
      <w:r>
        <w:rPr>
          <w:position w:val="5"/>
          <w:sz w:val="14"/>
        </w:rPr>
        <w:t>.</w:t>
      </w:r>
      <w:r>
        <w:rPr>
          <w:spacing w:val="80"/>
          <w:position w:val="5"/>
          <w:sz w:val="14"/>
        </w:rPr>
        <w:t> </w:t>
      </w:r>
      <w:r>
        <w:rPr/>
        <w:t>In </w:t>
      </w:r>
      <w:r>
        <w:rPr>
          <w:rFonts w:ascii="Arial" w:hAnsi="Arial"/>
          <w:i/>
        </w:rPr>
        <w:t>Thorner v Major [2009] UKHL 18, [2009] 1 W.L.R. 776 </w:t>
      </w:r>
      <w:r>
        <w:rPr/>
        <w:t>at [61], Lord Walker relies, as a justification for the rule that proprietary estoppel can give rise to a cause of action, on </w:t>
      </w:r>
      <w:r>
        <w:rPr>
          <w:rFonts w:ascii="Arial" w:hAnsi="Arial"/>
          <w:i/>
        </w:rPr>
        <w:t>Crabb v Arun DC [1976] Ch. 179, 187</w:t>
      </w:r>
      <w:r>
        <w:rPr/>
        <w:t>, where Lord Denning M.R. based the rule that “some </w:t>
      </w:r>
      <w:r>
        <w:rPr/>
        <w:t>estoppels [for example, proprietary estoppel] do </w:t>
      </w:r>
      <w:r>
        <w:rPr>
          <w:rFonts w:ascii="Arial" w:hAnsi="Arial"/>
          <w:i/>
        </w:rPr>
        <w:t>give rise to a cause of action</w:t>
      </w:r>
      <w:r>
        <w:rPr/>
        <w:t>”(italics supplied) on his own earlier</w:t>
      </w:r>
      <w:r>
        <w:rPr>
          <w:spacing w:val="-3"/>
        </w:rPr>
        <w:t> </w:t>
      </w:r>
      <w:r>
        <w:rPr/>
        <w:t>judgment</w:t>
      </w:r>
      <w:r>
        <w:rPr>
          <w:spacing w:val="-3"/>
        </w:rPr>
        <w:t> </w:t>
      </w:r>
      <w:r>
        <w:rPr/>
        <w:t>in</w:t>
      </w:r>
      <w:r>
        <w:rPr>
          <w:spacing w:val="-4"/>
        </w:rPr>
        <w:t> </w:t>
      </w:r>
      <w:r>
        <w:rPr>
          <w:rFonts w:ascii="Arial" w:hAnsi="Arial"/>
          <w:i/>
        </w:rPr>
        <w:t>Moorgate</w:t>
      </w:r>
      <w:r>
        <w:rPr>
          <w:rFonts w:ascii="Arial" w:hAnsi="Arial"/>
          <w:i/>
          <w:spacing w:val="-3"/>
        </w:rPr>
        <w:t> </w:t>
      </w:r>
      <w:r>
        <w:rPr>
          <w:rFonts w:ascii="Arial" w:hAnsi="Arial"/>
          <w:i/>
        </w:rPr>
        <w:t>Mercantile</w:t>
      </w:r>
      <w:r>
        <w:rPr>
          <w:rFonts w:ascii="Arial" w:hAnsi="Arial"/>
          <w:i/>
          <w:spacing w:val="-3"/>
        </w:rPr>
        <w:t> </w:t>
      </w:r>
      <w:r>
        <w:rPr>
          <w:rFonts w:ascii="Arial" w:hAnsi="Arial"/>
          <w:i/>
        </w:rPr>
        <w:t>Co</w:t>
      </w:r>
      <w:r>
        <w:rPr>
          <w:rFonts w:ascii="Arial" w:hAnsi="Arial"/>
          <w:i/>
          <w:spacing w:val="-3"/>
        </w:rPr>
        <w:t> </w:t>
      </w:r>
      <w:r>
        <w:rPr>
          <w:rFonts w:ascii="Arial" w:hAnsi="Arial"/>
          <w:i/>
        </w:rPr>
        <w:t>Ltd</w:t>
      </w:r>
      <w:r>
        <w:rPr>
          <w:rFonts w:ascii="Arial" w:hAnsi="Arial"/>
          <w:i/>
          <w:spacing w:val="-3"/>
        </w:rPr>
        <w:t> </w:t>
      </w:r>
      <w:r>
        <w:rPr>
          <w:rFonts w:ascii="Arial" w:hAnsi="Arial"/>
          <w:i/>
        </w:rPr>
        <w:t>v</w:t>
      </w:r>
      <w:r>
        <w:rPr>
          <w:rFonts w:ascii="Arial" w:hAnsi="Arial"/>
          <w:i/>
          <w:spacing w:val="-3"/>
        </w:rPr>
        <w:t> </w:t>
      </w:r>
      <w:r>
        <w:rPr>
          <w:rFonts w:ascii="Arial" w:hAnsi="Arial"/>
          <w:i/>
        </w:rPr>
        <w:t>Twitchings</w:t>
      </w:r>
      <w:r>
        <w:rPr>
          <w:rFonts w:ascii="Arial" w:hAnsi="Arial"/>
          <w:i/>
          <w:spacing w:val="-3"/>
        </w:rPr>
        <w:t> </w:t>
      </w:r>
      <w:r>
        <w:rPr>
          <w:rFonts w:ascii="Arial" w:hAnsi="Arial"/>
          <w:i/>
        </w:rPr>
        <w:t>[1976]</w:t>
      </w:r>
      <w:r>
        <w:rPr>
          <w:rFonts w:ascii="Arial" w:hAnsi="Arial"/>
          <w:i/>
          <w:spacing w:val="-3"/>
        </w:rPr>
        <w:t> </w:t>
      </w:r>
      <w:r>
        <w:rPr>
          <w:rFonts w:ascii="Arial" w:hAnsi="Arial"/>
          <w:i/>
        </w:rPr>
        <w:t>Q.B.</w:t>
      </w:r>
      <w:r>
        <w:rPr>
          <w:rFonts w:ascii="Arial" w:hAnsi="Arial"/>
          <w:i/>
          <w:spacing w:val="-3"/>
        </w:rPr>
        <w:t> </w:t>
      </w:r>
      <w:r>
        <w:rPr>
          <w:rFonts w:ascii="Arial" w:hAnsi="Arial"/>
          <w:i/>
        </w:rPr>
        <w:t>225</w:t>
      </w:r>
      <w:r>
        <w:rPr/>
        <w:t>.</w:t>
      </w:r>
      <w:r>
        <w:rPr>
          <w:spacing w:val="-3"/>
        </w:rPr>
        <w:t> </w:t>
      </w:r>
      <w:r>
        <w:rPr/>
        <w:t>He</w:t>
      </w:r>
      <w:r>
        <w:rPr>
          <w:spacing w:val="-3"/>
        </w:rPr>
        <w:t> </w:t>
      </w:r>
      <w:r>
        <w:rPr/>
        <w:t>had</w:t>
      </w:r>
      <w:r>
        <w:rPr>
          <w:spacing w:val="-3"/>
        </w:rPr>
        <w:t> </w:t>
      </w:r>
      <w:r>
        <w:rPr/>
        <w:t>there</w:t>
      </w:r>
      <w:r>
        <w:rPr>
          <w:spacing w:val="-3"/>
        </w:rPr>
        <w:t> </w:t>
      </w:r>
      <w:r>
        <w:rPr/>
        <w:t>said at 242 that the effect of an estoppel of, apparently, this kind was that the true owner’s “own title in the property … has been held to be limited or extinguished and</w:t>
      </w:r>
      <w:r>
        <w:rPr>
          <w:spacing w:val="-1"/>
        </w:rPr>
        <w:t> </w:t>
      </w:r>
      <w:r>
        <w:rPr>
          <w:rFonts w:ascii="Arial" w:hAnsi="Arial"/>
          <w:i/>
        </w:rPr>
        <w:t>new rights</w:t>
      </w:r>
      <w:r>
        <w:rPr>
          <w:rFonts w:ascii="Arial" w:hAnsi="Arial"/>
          <w:i/>
          <w:spacing w:val="-1"/>
        </w:rPr>
        <w:t> </w:t>
      </w:r>
      <w:r>
        <w:rPr/>
        <w:t>and interests</w:t>
      </w:r>
      <w:r>
        <w:rPr>
          <w:spacing w:val="-1"/>
        </w:rPr>
        <w:t> </w:t>
      </w:r>
      <w:r>
        <w:rPr>
          <w:rFonts w:ascii="Arial" w:hAnsi="Arial"/>
          <w:i/>
        </w:rPr>
        <w:t>have been created therein</w:t>
      </w:r>
      <w:r>
        <w:rPr>
          <w:rFonts w:ascii="Arial" w:hAnsi="Arial"/>
          <w:i/>
          <w:spacing w:val="-14"/>
        </w:rPr>
        <w:t> </w:t>
      </w:r>
      <w:r>
        <w:rPr/>
        <w:t>” (italics supplied). Read together, these passages from Lord Denning’s two judgments amount to this, that proprietary estoppel “give[s] rise to a cause of action” because “new rights … have been created therein” (i.e. the property). But this explanation seems (with respect) simply to restate in different words the proposition which it seeks to prove. In relation to promissory estoppel, statements that such an estoppel gives rise to no cause of action, and that it creates no new rights (above, para.4-099) are merely two ways of saying the same</w:t>
      </w:r>
      <w:r>
        <w:rPr>
          <w:spacing w:val="-1"/>
        </w:rPr>
        <w:t> </w:t>
      </w:r>
      <w:r>
        <w:rPr/>
        <w:t>thing;</w:t>
      </w:r>
      <w:r>
        <w:rPr>
          <w:spacing w:val="-1"/>
        </w:rPr>
        <w:t> </w:t>
      </w:r>
      <w:r>
        <w:rPr/>
        <w:t>and</w:t>
      </w:r>
      <w:r>
        <w:rPr>
          <w:spacing w:val="-1"/>
        </w:rPr>
        <w:t> </w:t>
      </w:r>
      <w:r>
        <w:rPr/>
        <w:t>the</w:t>
      </w:r>
      <w:r>
        <w:rPr>
          <w:spacing w:val="-1"/>
        </w:rPr>
        <w:t> </w:t>
      </w:r>
      <w:r>
        <w:rPr/>
        <w:t>same</w:t>
      </w:r>
      <w:r>
        <w:rPr>
          <w:spacing w:val="-1"/>
        </w:rPr>
        <w:t> </w:t>
      </w:r>
      <w:r>
        <w:rPr/>
        <w:t>is</w:t>
      </w:r>
      <w:r>
        <w:rPr>
          <w:spacing w:val="-1"/>
        </w:rPr>
        <w:t> </w:t>
      </w:r>
      <w:r>
        <w:rPr/>
        <w:t>(with</w:t>
      </w:r>
      <w:r>
        <w:rPr>
          <w:spacing w:val="-1"/>
        </w:rPr>
        <w:t> </w:t>
      </w:r>
      <w:r>
        <w:rPr/>
        <w:t>respect)</w:t>
      </w:r>
      <w:r>
        <w:rPr>
          <w:spacing w:val="-1"/>
        </w:rPr>
        <w:t> </w:t>
      </w:r>
      <w:r>
        <w:rPr/>
        <w:t>true</w:t>
      </w:r>
      <w:r>
        <w:rPr>
          <w:spacing w:val="-1"/>
        </w:rPr>
        <w:t> </w:t>
      </w:r>
      <w:r>
        <w:rPr/>
        <w:t>of</w:t>
      </w:r>
      <w:r>
        <w:rPr>
          <w:spacing w:val="-1"/>
        </w:rPr>
        <w:t> </w:t>
      </w:r>
      <w:r>
        <w:rPr/>
        <w:t>the</w:t>
      </w:r>
      <w:r>
        <w:rPr>
          <w:spacing w:val="-1"/>
        </w:rPr>
        <w:t> </w:t>
      </w:r>
      <w:r>
        <w:rPr/>
        <w:t>statements</w:t>
      </w:r>
      <w:r>
        <w:rPr>
          <w:spacing w:val="-1"/>
        </w:rPr>
        <w:t> </w:t>
      </w:r>
      <w:r>
        <w:rPr/>
        <w:t>that</w:t>
      </w:r>
      <w:r>
        <w:rPr>
          <w:spacing w:val="-1"/>
        </w:rPr>
        <w:t> </w:t>
      </w:r>
      <w:r>
        <w:rPr/>
        <w:t>proprietary</w:t>
      </w:r>
      <w:r>
        <w:rPr>
          <w:spacing w:val="-1"/>
        </w:rPr>
        <w:t> </w:t>
      </w:r>
      <w:r>
        <w:rPr/>
        <w:t>estoppel</w:t>
      </w:r>
      <w:r>
        <w:rPr>
          <w:spacing w:val="-1"/>
        </w:rPr>
        <w:t> </w:t>
      </w:r>
      <w:r>
        <w:rPr/>
        <w:t>does create a cause of action and that it can create new rights.</w:t>
      </w:r>
    </w:p>
    <w:p>
      <w:pPr>
        <w:pStyle w:val="BodyText"/>
      </w:pPr>
    </w:p>
    <w:p>
      <w:pPr>
        <w:spacing w:before="0"/>
        <w:ind w:left="165" w:right="0" w:firstLine="0"/>
        <w:jc w:val="left"/>
        <w:rPr>
          <w:sz w:val="20"/>
        </w:rPr>
      </w:pPr>
      <w:r>
        <w:rPr>
          <w:color w:val="005DA1"/>
          <w:position w:val="5"/>
          <w:sz w:val="14"/>
          <w:u w:val="single" w:color="005DA1"/>
        </w:rPr>
        <w:t>1227</w:t>
      </w:r>
      <w:r>
        <w:rPr>
          <w:position w:val="5"/>
          <w:sz w:val="14"/>
        </w:rPr>
        <w:t>.</w:t>
      </w:r>
      <w:r>
        <w:rPr>
          <w:spacing w:val="55"/>
          <w:position w:val="5"/>
          <w:sz w:val="14"/>
        </w:rPr>
        <w:t>  </w:t>
      </w:r>
      <w:r>
        <w:rPr>
          <w:rFonts w:ascii="Arial"/>
          <w:i/>
          <w:sz w:val="20"/>
        </w:rPr>
        <w:t>Wilmott</w:t>
      </w:r>
      <w:r>
        <w:rPr>
          <w:rFonts w:ascii="Arial"/>
          <w:i/>
          <w:spacing w:val="1"/>
          <w:sz w:val="20"/>
        </w:rPr>
        <w:t> </w:t>
      </w:r>
      <w:r>
        <w:rPr>
          <w:rFonts w:ascii="Arial"/>
          <w:i/>
          <w:sz w:val="20"/>
        </w:rPr>
        <w:t>v Barber (1880) 15 Ch.D. 96, </w:t>
      </w:r>
      <w:r>
        <w:rPr>
          <w:rFonts w:ascii="Arial"/>
          <w:i/>
          <w:spacing w:val="-4"/>
          <w:sz w:val="20"/>
        </w:rPr>
        <w:t>105</w:t>
      </w:r>
      <w:r>
        <w:rPr>
          <w:spacing w:val="-4"/>
          <w:sz w:val="20"/>
        </w:rPr>
        <w:t>.</w:t>
      </w:r>
    </w:p>
    <w:p>
      <w:pPr>
        <w:pStyle w:val="BodyText"/>
        <w:spacing w:before="9"/>
      </w:pPr>
    </w:p>
    <w:p>
      <w:pPr>
        <w:spacing w:line="235" w:lineRule="auto" w:before="0"/>
        <w:ind w:left="705" w:right="167" w:hanging="541"/>
        <w:jc w:val="both"/>
        <w:rPr>
          <w:sz w:val="20"/>
        </w:rPr>
      </w:pPr>
      <w:r>
        <w:rPr>
          <w:color w:val="005DA1"/>
          <w:position w:val="5"/>
          <w:sz w:val="14"/>
          <w:u w:val="single" w:color="005DA1"/>
        </w:rPr>
        <w:t>1228</w:t>
      </w:r>
      <w:r>
        <w:rPr>
          <w:position w:val="5"/>
          <w:sz w:val="14"/>
        </w:rPr>
        <w:t>.</w:t>
      </w:r>
      <w:r>
        <w:rPr>
          <w:spacing w:val="80"/>
          <w:position w:val="5"/>
          <w:sz w:val="14"/>
        </w:rPr>
        <w:t> </w:t>
      </w:r>
      <w:r>
        <w:rPr>
          <w:rFonts w:ascii="Arial" w:hAnsi="Arial"/>
          <w:i/>
          <w:sz w:val="20"/>
        </w:rPr>
        <w:t>Ramsden v Dyson (1866) L.R. 1 H.L. 129, 170</w:t>
      </w:r>
      <w:r>
        <w:rPr>
          <w:sz w:val="20"/>
        </w:rPr>
        <w:t>. Cf. the repeated use in </w:t>
      </w:r>
      <w:r>
        <w:rPr>
          <w:rFonts w:ascii="Arial" w:hAnsi="Arial"/>
          <w:i/>
          <w:sz w:val="20"/>
        </w:rPr>
        <w:t>Thorner v Major [2009] UKHL</w:t>
      </w:r>
      <w:r>
        <w:rPr>
          <w:rFonts w:ascii="Arial" w:hAnsi="Arial"/>
          <w:i/>
          <w:spacing w:val="-1"/>
          <w:sz w:val="20"/>
        </w:rPr>
        <w:t> </w:t>
      </w:r>
      <w:r>
        <w:rPr>
          <w:rFonts w:ascii="Arial" w:hAnsi="Arial"/>
          <w:i/>
          <w:sz w:val="20"/>
        </w:rPr>
        <w:t>18,</w:t>
      </w:r>
      <w:r>
        <w:rPr>
          <w:rFonts w:ascii="Arial" w:hAnsi="Arial"/>
          <w:i/>
          <w:spacing w:val="-1"/>
          <w:sz w:val="20"/>
        </w:rPr>
        <w:t> </w:t>
      </w:r>
      <w:r>
        <w:rPr>
          <w:rFonts w:ascii="Arial" w:hAnsi="Arial"/>
          <w:i/>
          <w:sz w:val="20"/>
        </w:rPr>
        <w:t>[2009]</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777</w:t>
      </w:r>
      <w:r>
        <w:rPr>
          <w:rFonts w:ascii="Arial" w:hAnsi="Arial"/>
          <w:i/>
          <w:spacing w:val="-1"/>
          <w:sz w:val="20"/>
        </w:rPr>
        <w:t> </w:t>
      </w:r>
      <w:r>
        <w:rPr>
          <w:sz w:val="20"/>
        </w:rPr>
        <w:t>of</w:t>
      </w:r>
      <w:r>
        <w:rPr>
          <w:spacing w:val="-1"/>
          <w:sz w:val="20"/>
        </w:rPr>
        <w:t> </w:t>
      </w:r>
      <w:r>
        <w:rPr>
          <w:sz w:val="20"/>
        </w:rPr>
        <w:t>the</w:t>
      </w:r>
      <w:r>
        <w:rPr>
          <w:spacing w:val="-1"/>
          <w:sz w:val="20"/>
        </w:rPr>
        <w:t> </w:t>
      </w:r>
      <w:r>
        <w:rPr>
          <w:sz w:val="20"/>
        </w:rPr>
        <w:t>word</w:t>
      </w:r>
      <w:r>
        <w:rPr>
          <w:spacing w:val="-1"/>
          <w:sz w:val="20"/>
        </w:rPr>
        <w:t> </w:t>
      </w:r>
      <w:r>
        <w:rPr>
          <w:sz w:val="20"/>
        </w:rPr>
        <w:t>“assurance”</w:t>
      </w:r>
      <w:r>
        <w:rPr>
          <w:spacing w:val="-1"/>
          <w:sz w:val="20"/>
        </w:rPr>
        <w:t> </w:t>
      </w:r>
      <w:r>
        <w:rPr>
          <w:sz w:val="20"/>
        </w:rPr>
        <w:t>(in</w:t>
      </w:r>
      <w:r>
        <w:rPr>
          <w:spacing w:val="-1"/>
          <w:sz w:val="20"/>
        </w:rPr>
        <w:t> </w:t>
      </w:r>
      <w:r>
        <w:rPr>
          <w:sz w:val="20"/>
        </w:rPr>
        <w:t>apparent</w:t>
      </w:r>
      <w:r>
        <w:rPr>
          <w:spacing w:val="-1"/>
          <w:sz w:val="20"/>
        </w:rPr>
        <w:t> </w:t>
      </w:r>
      <w:r>
        <w:rPr>
          <w:sz w:val="20"/>
        </w:rPr>
        <w:t>preference</w:t>
      </w:r>
      <w:r>
        <w:rPr>
          <w:spacing w:val="-1"/>
          <w:sz w:val="20"/>
        </w:rPr>
        <w:t> </w:t>
      </w:r>
      <w:r>
        <w:rPr>
          <w:sz w:val="20"/>
        </w:rPr>
        <w:t>to</w:t>
      </w:r>
      <w:r>
        <w:rPr>
          <w:spacing w:val="-1"/>
          <w:sz w:val="20"/>
        </w:rPr>
        <w:t> </w:t>
      </w:r>
      <w:r>
        <w:rPr>
          <w:sz w:val="20"/>
        </w:rPr>
        <w:t>“promise”)</w:t>
      </w:r>
      <w:r>
        <w:rPr>
          <w:spacing w:val="-1"/>
          <w:sz w:val="20"/>
        </w:rPr>
        <w:t> </w:t>
      </w:r>
      <w:r>
        <w:rPr>
          <w:sz w:val="20"/>
        </w:rPr>
        <w:t>as one of the three main elements of proprietary estoppel (e.g. at [15], [25], [72]), though the expression “promise or assurance” is also used (e.g. at [12]) by Lord Hoffmann, who in </w:t>
      </w:r>
      <w:r>
        <w:rPr>
          <w:sz w:val="20"/>
        </w:rPr>
        <w:t>his earlier unreported judgment in </w:t>
      </w:r>
      <w:r>
        <w:rPr>
          <w:rFonts w:ascii="Arial" w:hAnsi="Arial"/>
          <w:i/>
          <w:sz w:val="20"/>
        </w:rPr>
        <w:t>Walton v Walton</w:t>
      </w:r>
      <w:r>
        <w:rPr>
          <w:sz w:val="20"/>
        </w:rPr>
        <w:t>, quoted in </w:t>
      </w:r>
      <w:r>
        <w:rPr>
          <w:rFonts w:ascii="Arial" w:hAnsi="Arial"/>
          <w:i/>
          <w:sz w:val="20"/>
        </w:rPr>
        <w:t>Thorner v Major </w:t>
      </w:r>
      <w:r>
        <w:rPr>
          <w:sz w:val="20"/>
        </w:rPr>
        <w:t>at [57], had repeatedly</w:t>
      </w:r>
      <w:r>
        <w:rPr>
          <w:spacing w:val="-3"/>
          <w:sz w:val="20"/>
        </w:rPr>
        <w:t> </w:t>
      </w:r>
      <w:r>
        <w:rPr>
          <w:sz w:val="20"/>
        </w:rPr>
        <w:t>used</w:t>
      </w:r>
      <w:r>
        <w:rPr>
          <w:spacing w:val="-3"/>
          <w:sz w:val="20"/>
        </w:rPr>
        <w:t> </w:t>
      </w:r>
      <w:r>
        <w:rPr>
          <w:sz w:val="20"/>
        </w:rPr>
        <w:t>“promise”</w:t>
      </w:r>
      <w:r>
        <w:rPr>
          <w:spacing w:val="-3"/>
          <w:sz w:val="20"/>
        </w:rPr>
        <w:t> </w:t>
      </w:r>
      <w:r>
        <w:rPr>
          <w:sz w:val="20"/>
        </w:rPr>
        <w:t>in</w:t>
      </w:r>
      <w:r>
        <w:rPr>
          <w:spacing w:val="-3"/>
          <w:sz w:val="20"/>
        </w:rPr>
        <w:t> </w:t>
      </w:r>
      <w:r>
        <w:rPr>
          <w:sz w:val="20"/>
        </w:rPr>
        <w:t>this</w:t>
      </w:r>
      <w:r>
        <w:rPr>
          <w:spacing w:val="-3"/>
          <w:sz w:val="20"/>
        </w:rPr>
        <w:t> </w:t>
      </w:r>
      <w:r>
        <w:rPr>
          <w:sz w:val="20"/>
        </w:rPr>
        <w:t>context.</w:t>
      </w:r>
      <w:r>
        <w:rPr>
          <w:spacing w:val="-3"/>
          <w:sz w:val="20"/>
        </w:rPr>
        <w:t> </w:t>
      </w:r>
      <w:r>
        <w:rPr>
          <w:sz w:val="20"/>
        </w:rPr>
        <w:t>In</w:t>
      </w:r>
      <w:r>
        <w:rPr>
          <w:spacing w:val="-4"/>
          <w:sz w:val="20"/>
        </w:rPr>
        <w:t> </w:t>
      </w:r>
      <w:r>
        <w:rPr>
          <w:rFonts w:ascii="Arial" w:hAnsi="Arial"/>
          <w:i/>
          <w:sz w:val="20"/>
        </w:rPr>
        <w:t>Thorner</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Major</w:t>
      </w:r>
      <w:r>
        <w:rPr>
          <w:rFonts w:ascii="Arial" w:hAnsi="Arial"/>
          <w:i/>
          <w:spacing w:val="-3"/>
          <w:sz w:val="20"/>
        </w:rPr>
        <w:t> </w:t>
      </w:r>
      <w:r>
        <w:rPr>
          <w:sz w:val="20"/>
        </w:rPr>
        <w:t>“assurance”</w:t>
      </w:r>
      <w:r>
        <w:rPr>
          <w:spacing w:val="-3"/>
          <w:sz w:val="20"/>
        </w:rPr>
        <w:t> </w:t>
      </w:r>
      <w:r>
        <w:rPr>
          <w:sz w:val="20"/>
        </w:rPr>
        <w:t>outnumbers</w:t>
      </w:r>
      <w:r>
        <w:rPr>
          <w:spacing w:val="-3"/>
          <w:sz w:val="20"/>
        </w:rPr>
        <w:t> </w:t>
      </w:r>
      <w:r>
        <w:rPr>
          <w:sz w:val="20"/>
        </w:rPr>
        <w:t>“promise” by 61 to 24.</w:t>
      </w:r>
    </w:p>
    <w:p>
      <w:pPr>
        <w:pStyle w:val="BodyText"/>
        <w:spacing w:before="4"/>
      </w:pPr>
    </w:p>
    <w:p>
      <w:pPr>
        <w:spacing w:before="0"/>
        <w:ind w:left="165" w:right="0" w:firstLine="0"/>
        <w:jc w:val="left"/>
        <w:rPr>
          <w:sz w:val="20"/>
        </w:rPr>
      </w:pPr>
      <w:r>
        <w:rPr>
          <w:color w:val="005DA1"/>
          <w:position w:val="5"/>
          <w:sz w:val="14"/>
          <w:u w:val="single" w:color="005DA1"/>
        </w:rPr>
        <w:t>1229</w:t>
      </w:r>
      <w:r>
        <w:rPr>
          <w:position w:val="5"/>
          <w:sz w:val="14"/>
        </w:rPr>
        <w:t>.</w:t>
      </w:r>
      <w:r>
        <w:rPr>
          <w:spacing w:val="55"/>
          <w:position w:val="5"/>
          <w:sz w:val="14"/>
        </w:rPr>
        <w:t>  </w:t>
      </w:r>
      <w:r>
        <w:rPr>
          <w:rFonts w:ascii="Arial"/>
          <w:i/>
          <w:sz w:val="20"/>
        </w:rPr>
        <w:t>Dillwyn</w:t>
      </w:r>
      <w:r>
        <w:rPr>
          <w:rFonts w:ascii="Arial"/>
          <w:i/>
          <w:spacing w:val="1"/>
          <w:sz w:val="20"/>
        </w:rPr>
        <w:t> </w:t>
      </w:r>
      <w:r>
        <w:rPr>
          <w:rFonts w:ascii="Arial"/>
          <w:i/>
          <w:sz w:val="20"/>
        </w:rPr>
        <w:t>v Llewelyn (1862) 4 D.</w:t>
      </w:r>
      <w:r>
        <w:rPr>
          <w:rFonts w:ascii="Arial"/>
          <w:i/>
          <w:spacing w:val="-1"/>
          <w:sz w:val="20"/>
        </w:rPr>
        <w:t> </w:t>
      </w:r>
      <w:r>
        <w:rPr>
          <w:rFonts w:ascii="Arial"/>
          <w:i/>
          <w:sz w:val="20"/>
        </w:rPr>
        <w:t>F. &amp; G. 517, 522</w:t>
      </w:r>
      <w:r>
        <w:rPr>
          <w:sz w:val="20"/>
        </w:rPr>
        <w:t>; above, para.4-</w:t>
      </w:r>
      <w:r>
        <w:rPr>
          <w:spacing w:val="-4"/>
          <w:sz w:val="20"/>
        </w:rPr>
        <w:t>144.</w:t>
      </w:r>
    </w:p>
    <w:p>
      <w:pPr>
        <w:pStyle w:val="BodyText"/>
        <w:spacing w:before="5"/>
      </w:pPr>
    </w:p>
    <w:p>
      <w:pPr>
        <w:spacing w:before="0"/>
        <w:ind w:left="165" w:right="0" w:firstLine="0"/>
        <w:jc w:val="left"/>
        <w:rPr>
          <w:sz w:val="20"/>
        </w:rPr>
      </w:pPr>
      <w:r>
        <w:rPr>
          <w:color w:val="005DA1"/>
          <w:position w:val="5"/>
          <w:sz w:val="14"/>
          <w:u w:val="single" w:color="005DA1"/>
        </w:rPr>
        <w:t>1230</w:t>
      </w:r>
      <w:r>
        <w:rPr>
          <w:position w:val="5"/>
          <w:sz w:val="14"/>
        </w:rPr>
        <w:t>.</w:t>
      </w:r>
      <w:r>
        <w:rPr>
          <w:spacing w:val="55"/>
          <w:position w:val="5"/>
          <w:sz w:val="14"/>
        </w:rPr>
        <w:t>  </w:t>
      </w:r>
      <w:r>
        <w:rPr>
          <w:sz w:val="20"/>
        </w:rPr>
        <w:t>Above,</w:t>
      </w:r>
      <w:r>
        <w:rPr>
          <w:spacing w:val="1"/>
          <w:sz w:val="20"/>
        </w:rPr>
        <w:t> </w:t>
      </w:r>
      <w:r>
        <w:rPr>
          <w:sz w:val="20"/>
        </w:rPr>
        <w:t>paras 4-078—4-</w:t>
      </w:r>
      <w:r>
        <w:rPr>
          <w:spacing w:val="-4"/>
          <w:sz w:val="20"/>
        </w:rPr>
        <w:t>081.</w:t>
      </w:r>
    </w:p>
    <w:p>
      <w:pPr>
        <w:pStyle w:val="BodyText"/>
        <w:spacing w:before="5"/>
      </w:pPr>
    </w:p>
    <w:p>
      <w:pPr>
        <w:spacing w:before="0"/>
        <w:ind w:left="165" w:right="0" w:firstLine="0"/>
        <w:jc w:val="left"/>
        <w:rPr>
          <w:sz w:val="20"/>
        </w:rPr>
      </w:pPr>
      <w:r>
        <w:rPr>
          <w:color w:val="005DA1"/>
          <w:position w:val="5"/>
          <w:sz w:val="14"/>
          <w:u w:val="single" w:color="005DA1"/>
        </w:rPr>
        <w:t>1231</w:t>
      </w:r>
      <w:r>
        <w:rPr>
          <w:position w:val="5"/>
          <w:sz w:val="14"/>
        </w:rPr>
        <w:t>.</w:t>
      </w:r>
      <w:r>
        <w:rPr>
          <w:spacing w:val="55"/>
          <w:position w:val="5"/>
          <w:sz w:val="14"/>
        </w:rPr>
        <w:t>  </w:t>
      </w:r>
      <w:r>
        <w:rPr>
          <w:sz w:val="20"/>
        </w:rPr>
        <w:t>See</w:t>
      </w:r>
      <w:r>
        <w:rPr>
          <w:spacing w:val="1"/>
          <w:sz w:val="20"/>
        </w:rPr>
        <w:t> </w:t>
      </w:r>
      <w:r>
        <w:rPr>
          <w:sz w:val="20"/>
        </w:rPr>
        <w:t>above, para.4-</w:t>
      </w:r>
      <w:r>
        <w:rPr>
          <w:spacing w:val="-4"/>
          <w:sz w:val="20"/>
        </w:rPr>
        <w:t>099.</w:t>
      </w:r>
    </w:p>
    <w:p>
      <w:pPr>
        <w:pStyle w:val="BodyText"/>
        <w:spacing w:before="5"/>
      </w:pPr>
    </w:p>
    <w:p>
      <w:pPr>
        <w:spacing w:line="227" w:lineRule="exact" w:before="0"/>
        <w:ind w:left="165" w:right="0" w:firstLine="0"/>
        <w:jc w:val="left"/>
        <w:rPr>
          <w:rFonts w:ascii="Arial" w:hAnsi="Arial"/>
          <w:i/>
          <w:sz w:val="20"/>
        </w:rPr>
      </w:pPr>
      <w:r>
        <w:rPr>
          <w:color w:val="005DA1"/>
          <w:position w:val="5"/>
          <w:sz w:val="14"/>
          <w:u w:val="single" w:color="005DA1"/>
        </w:rPr>
        <w:t>1232</w:t>
      </w:r>
      <w:r>
        <w:rPr>
          <w:position w:val="5"/>
          <w:sz w:val="14"/>
        </w:rPr>
        <w:t>.</w:t>
      </w:r>
      <w:r>
        <w:rPr>
          <w:spacing w:val="55"/>
          <w:position w:val="5"/>
          <w:sz w:val="14"/>
        </w:rPr>
        <w:t>  </w:t>
      </w:r>
      <w:r>
        <w:rPr>
          <w:sz w:val="20"/>
        </w:rPr>
        <w:t>See</w:t>
      </w:r>
      <w:r>
        <w:rPr>
          <w:spacing w:val="13"/>
          <w:sz w:val="20"/>
        </w:rPr>
        <w:t> </w:t>
      </w:r>
      <w:r>
        <w:rPr>
          <w:sz w:val="20"/>
        </w:rPr>
        <w:t>the</w:t>
      </w:r>
      <w:r>
        <w:rPr>
          <w:spacing w:val="12"/>
          <w:sz w:val="20"/>
        </w:rPr>
        <w:t> </w:t>
      </w:r>
      <w:r>
        <w:rPr>
          <w:sz w:val="20"/>
        </w:rPr>
        <w:t>reference</w:t>
      </w:r>
      <w:r>
        <w:rPr>
          <w:spacing w:val="12"/>
          <w:sz w:val="20"/>
        </w:rPr>
        <w:t> </w:t>
      </w:r>
      <w:r>
        <w:rPr>
          <w:sz w:val="20"/>
        </w:rPr>
        <w:t>to</w:t>
      </w:r>
      <w:r>
        <w:rPr>
          <w:spacing w:val="12"/>
          <w:sz w:val="20"/>
        </w:rPr>
        <w:t> </w:t>
      </w:r>
      <w:r>
        <w:rPr>
          <w:sz w:val="20"/>
        </w:rPr>
        <w:t>the</w:t>
      </w:r>
      <w:r>
        <w:rPr>
          <w:spacing w:val="12"/>
          <w:sz w:val="20"/>
        </w:rPr>
        <w:t> </w:t>
      </w:r>
      <w:r>
        <w:rPr>
          <w:sz w:val="20"/>
        </w:rPr>
        <w:t>landowner’s</w:t>
      </w:r>
      <w:r>
        <w:rPr>
          <w:spacing w:val="12"/>
          <w:sz w:val="20"/>
        </w:rPr>
        <w:t> </w:t>
      </w:r>
      <w:r>
        <w:rPr>
          <w:sz w:val="20"/>
        </w:rPr>
        <w:t>“profit”</w:t>
      </w:r>
      <w:r>
        <w:rPr>
          <w:spacing w:val="12"/>
          <w:sz w:val="20"/>
        </w:rPr>
        <w:t> </w:t>
      </w:r>
      <w:r>
        <w:rPr>
          <w:sz w:val="20"/>
        </w:rPr>
        <w:t>in</w:t>
      </w:r>
      <w:r>
        <w:rPr>
          <w:spacing w:val="11"/>
          <w:sz w:val="20"/>
        </w:rPr>
        <w:t> </w:t>
      </w:r>
      <w:r>
        <w:rPr>
          <w:rFonts w:ascii="Arial" w:hAnsi="Arial"/>
          <w:i/>
          <w:sz w:val="20"/>
        </w:rPr>
        <w:t>Ramsden</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Dyson</w:t>
      </w:r>
      <w:r>
        <w:rPr>
          <w:rFonts w:ascii="Arial" w:hAnsi="Arial"/>
          <w:i/>
          <w:spacing w:val="12"/>
          <w:sz w:val="20"/>
        </w:rPr>
        <w:t> </w:t>
      </w:r>
      <w:r>
        <w:rPr>
          <w:rFonts w:ascii="Arial" w:hAnsi="Arial"/>
          <w:i/>
          <w:sz w:val="20"/>
        </w:rPr>
        <w:t>(1866)</w:t>
      </w:r>
      <w:r>
        <w:rPr>
          <w:rFonts w:ascii="Arial" w:hAnsi="Arial"/>
          <w:i/>
          <w:spacing w:val="12"/>
          <w:sz w:val="20"/>
        </w:rPr>
        <w:t> </w:t>
      </w:r>
      <w:r>
        <w:rPr>
          <w:rFonts w:ascii="Arial" w:hAnsi="Arial"/>
          <w:i/>
          <w:sz w:val="20"/>
        </w:rPr>
        <w:t>L.R.</w:t>
      </w:r>
      <w:r>
        <w:rPr>
          <w:rFonts w:ascii="Arial" w:hAnsi="Arial"/>
          <w:i/>
          <w:spacing w:val="12"/>
          <w:sz w:val="20"/>
        </w:rPr>
        <w:t> </w:t>
      </w:r>
      <w:r>
        <w:rPr>
          <w:rFonts w:ascii="Arial" w:hAnsi="Arial"/>
          <w:i/>
          <w:sz w:val="20"/>
        </w:rPr>
        <w:t>1</w:t>
      </w:r>
      <w:r>
        <w:rPr>
          <w:rFonts w:ascii="Arial" w:hAnsi="Arial"/>
          <w:i/>
          <w:spacing w:val="12"/>
          <w:sz w:val="20"/>
        </w:rPr>
        <w:t> </w:t>
      </w:r>
      <w:r>
        <w:rPr>
          <w:rFonts w:ascii="Arial" w:hAnsi="Arial"/>
          <w:i/>
          <w:sz w:val="20"/>
        </w:rPr>
        <w:t>H.L.</w:t>
      </w:r>
      <w:r>
        <w:rPr>
          <w:rFonts w:ascii="Arial" w:hAnsi="Arial"/>
          <w:i/>
          <w:spacing w:val="12"/>
          <w:sz w:val="20"/>
        </w:rPr>
        <w:t> </w:t>
      </w:r>
      <w:r>
        <w:rPr>
          <w:rFonts w:ascii="Arial" w:hAnsi="Arial"/>
          <w:i/>
          <w:sz w:val="20"/>
        </w:rPr>
        <w:t>129,</w:t>
      </w:r>
      <w:r>
        <w:rPr>
          <w:rFonts w:ascii="Arial" w:hAnsi="Arial"/>
          <w:i/>
          <w:spacing w:val="12"/>
          <w:sz w:val="20"/>
        </w:rPr>
        <w:t> </w:t>
      </w:r>
      <w:r>
        <w:rPr>
          <w:rFonts w:ascii="Arial" w:hAnsi="Arial"/>
          <w:i/>
          <w:spacing w:val="-5"/>
          <w:sz w:val="20"/>
        </w:rPr>
        <w:t>141</w:t>
      </w:r>
    </w:p>
    <w:p>
      <w:pPr>
        <w:pStyle w:val="BodyText"/>
        <w:spacing w:line="227" w:lineRule="exact"/>
        <w:ind w:left="705"/>
      </w:pPr>
      <w:r>
        <w:rPr/>
        <w:t>and cf. above, para.4-</w:t>
      </w:r>
      <w:r>
        <w:rPr>
          <w:spacing w:val="-4"/>
        </w:rPr>
        <w:t>141.</w:t>
      </w:r>
    </w:p>
    <w:p>
      <w:pPr>
        <w:pStyle w:val="BodyText"/>
        <w:spacing w:before="5"/>
      </w:pPr>
    </w:p>
    <w:p>
      <w:pPr>
        <w:spacing w:before="0"/>
        <w:ind w:left="165" w:right="0" w:firstLine="0"/>
        <w:jc w:val="left"/>
        <w:rPr>
          <w:sz w:val="20"/>
        </w:rPr>
      </w:pPr>
      <w:r>
        <w:rPr>
          <w:color w:val="005DA1"/>
          <w:position w:val="5"/>
          <w:sz w:val="14"/>
          <w:u w:val="single" w:color="005DA1"/>
        </w:rPr>
        <w:t>1233</w:t>
      </w:r>
      <w:r>
        <w:rPr>
          <w:position w:val="5"/>
          <w:sz w:val="14"/>
        </w:rPr>
        <w:t>.</w:t>
      </w:r>
      <w:r>
        <w:rPr>
          <w:spacing w:val="55"/>
          <w:position w:val="5"/>
          <w:sz w:val="14"/>
        </w:rPr>
        <w:t>  </w:t>
      </w:r>
      <w:r>
        <w:rPr>
          <w:sz w:val="20"/>
        </w:rPr>
        <w:t>See</w:t>
      </w:r>
      <w:r>
        <w:rPr>
          <w:spacing w:val="23"/>
          <w:sz w:val="20"/>
        </w:rPr>
        <w:t> </w:t>
      </w:r>
      <w:r>
        <w:rPr>
          <w:sz w:val="20"/>
        </w:rPr>
        <w:t>Fuller</w:t>
      </w:r>
      <w:r>
        <w:rPr>
          <w:spacing w:val="22"/>
          <w:sz w:val="20"/>
        </w:rPr>
        <w:t> </w:t>
      </w:r>
      <w:r>
        <w:rPr>
          <w:sz w:val="20"/>
        </w:rPr>
        <w:t>and</w:t>
      </w:r>
      <w:r>
        <w:rPr>
          <w:spacing w:val="22"/>
          <w:sz w:val="20"/>
        </w:rPr>
        <w:t> </w:t>
      </w:r>
      <w:r>
        <w:rPr>
          <w:sz w:val="20"/>
        </w:rPr>
        <w:t>Eisenberg,</w:t>
      </w:r>
      <w:r>
        <w:rPr>
          <w:spacing w:val="22"/>
          <w:sz w:val="20"/>
        </w:rPr>
        <w:t> </w:t>
      </w:r>
      <w:r>
        <w:rPr>
          <w:rFonts w:ascii="Arial" w:hAnsi="Arial"/>
          <w:i/>
          <w:sz w:val="20"/>
        </w:rPr>
        <w:t>Basic</w:t>
      </w:r>
      <w:r>
        <w:rPr>
          <w:rFonts w:ascii="Arial" w:hAnsi="Arial"/>
          <w:i/>
          <w:spacing w:val="22"/>
          <w:sz w:val="20"/>
        </w:rPr>
        <w:t> </w:t>
      </w:r>
      <w:r>
        <w:rPr>
          <w:rFonts w:ascii="Arial" w:hAnsi="Arial"/>
          <w:i/>
          <w:sz w:val="20"/>
        </w:rPr>
        <w:t>Contract</w:t>
      </w:r>
      <w:r>
        <w:rPr>
          <w:rFonts w:ascii="Arial" w:hAnsi="Arial"/>
          <w:i/>
          <w:spacing w:val="22"/>
          <w:sz w:val="20"/>
        </w:rPr>
        <w:t> </w:t>
      </w:r>
      <w:r>
        <w:rPr>
          <w:rFonts w:ascii="Arial" w:hAnsi="Arial"/>
          <w:i/>
          <w:sz w:val="20"/>
        </w:rPr>
        <w:t>Law</w:t>
      </w:r>
      <w:r>
        <w:rPr>
          <w:rFonts w:ascii="Arial" w:hAnsi="Arial"/>
          <w:i/>
          <w:spacing w:val="22"/>
          <w:sz w:val="20"/>
        </w:rPr>
        <w:t> </w:t>
      </w:r>
      <w:r>
        <w:rPr>
          <w:sz w:val="20"/>
        </w:rPr>
        <w:t>(3rd</w:t>
      </w:r>
      <w:r>
        <w:rPr>
          <w:spacing w:val="22"/>
          <w:sz w:val="20"/>
        </w:rPr>
        <w:t> </w:t>
      </w:r>
      <w:r>
        <w:rPr>
          <w:sz w:val="20"/>
        </w:rPr>
        <w:t>ed.),</w:t>
      </w:r>
      <w:r>
        <w:rPr>
          <w:spacing w:val="22"/>
          <w:sz w:val="20"/>
        </w:rPr>
        <w:t> </w:t>
      </w:r>
      <w:r>
        <w:rPr>
          <w:sz w:val="20"/>
        </w:rPr>
        <w:t>p.70;</w:t>
      </w:r>
      <w:r>
        <w:rPr>
          <w:spacing w:val="22"/>
          <w:sz w:val="20"/>
        </w:rPr>
        <w:t> </w:t>
      </w:r>
      <w:r>
        <w:rPr>
          <w:sz w:val="20"/>
        </w:rPr>
        <w:t>“Unjust</w:t>
      </w:r>
      <w:r>
        <w:rPr>
          <w:spacing w:val="22"/>
          <w:sz w:val="20"/>
        </w:rPr>
        <w:t> </w:t>
      </w:r>
      <w:r>
        <w:rPr>
          <w:sz w:val="20"/>
        </w:rPr>
        <w:t>enrichment</w:t>
      </w:r>
      <w:r>
        <w:rPr>
          <w:spacing w:val="22"/>
          <w:sz w:val="20"/>
        </w:rPr>
        <w:t> </w:t>
      </w:r>
      <w:r>
        <w:rPr>
          <w:sz w:val="20"/>
        </w:rPr>
        <w:t>presents</w:t>
      </w:r>
      <w:r>
        <w:rPr>
          <w:spacing w:val="22"/>
          <w:sz w:val="20"/>
        </w:rPr>
        <w:t> </w:t>
      </w:r>
      <w:r>
        <w:rPr>
          <w:spacing w:val="-10"/>
          <w:sz w:val="20"/>
        </w:rPr>
        <w:t>a</w:t>
      </w:r>
    </w:p>
    <w:p>
      <w:pPr>
        <w:spacing w:after="0"/>
        <w:jc w:val="left"/>
        <w:rPr>
          <w:sz w:val="20"/>
        </w:rPr>
        <w:sectPr>
          <w:pgSz w:w="11900" w:h="16840"/>
          <w:pgMar w:header="971" w:footer="0" w:top="1160" w:bottom="280" w:left="1275" w:right="1275"/>
        </w:sectPr>
      </w:pPr>
    </w:p>
    <w:p>
      <w:pPr>
        <w:pStyle w:val="BodyText"/>
        <w:spacing w:before="24"/>
      </w:pPr>
    </w:p>
    <w:p>
      <w:pPr>
        <w:pStyle w:val="BodyText"/>
        <w:spacing w:line="235" w:lineRule="auto" w:before="1"/>
        <w:ind w:left="705"/>
      </w:pPr>
      <w:bookmarkStart w:name="_bookmark1833" w:id="1835"/>
      <w:bookmarkEnd w:id="1835"/>
      <w:r>
        <w:rPr/>
      </w:r>
      <w:r>
        <w:rPr/>
        <w:t>more urgent case for judicial intervention than losses through reliance which do not benefit the defendant.” cf. Fuller and Perdue (1936) 46 Yale L.J. 52, 56.</w:t>
      </w:r>
    </w:p>
    <w:p>
      <w:pPr>
        <w:pStyle w:val="BodyText"/>
        <w:spacing w:before="9"/>
      </w:pPr>
    </w:p>
    <w:p>
      <w:pPr>
        <w:spacing w:line="235" w:lineRule="auto" w:before="0"/>
        <w:ind w:left="705" w:right="167" w:hanging="541"/>
        <w:jc w:val="both"/>
        <w:rPr>
          <w:sz w:val="20"/>
        </w:rPr>
      </w:pPr>
      <w:r>
        <w:rPr>
          <w:color w:val="005DA1"/>
          <w:position w:val="5"/>
          <w:sz w:val="14"/>
          <w:u w:val="single" w:color="005DA1"/>
        </w:rPr>
        <w:t>1234</w:t>
      </w:r>
      <w:r>
        <w:rPr>
          <w:position w:val="5"/>
          <w:sz w:val="14"/>
        </w:rPr>
        <w:t>.</w:t>
      </w:r>
      <w:r>
        <w:rPr>
          <w:spacing w:val="80"/>
          <w:position w:val="5"/>
          <w:sz w:val="14"/>
        </w:rPr>
        <w:t> </w:t>
      </w:r>
      <w:r>
        <w:rPr>
          <w:rFonts w:ascii="Arial" w:hAnsi="Arial"/>
          <w:i/>
          <w:sz w:val="20"/>
        </w:rPr>
        <w:t>Taylors Fashions Ltd v Liverpool Victoria Trustee Co Ltd [1982] Q.B. 133, 153</w:t>
      </w:r>
      <w:r>
        <w:rPr>
          <w:sz w:val="20"/>
        </w:rPr>
        <w:t>, cf. above,</w:t>
      </w:r>
      <w:r>
        <w:rPr>
          <w:spacing w:val="80"/>
          <w:sz w:val="20"/>
        </w:rPr>
        <w:t> </w:t>
      </w:r>
      <w:r>
        <w:rPr>
          <w:sz w:val="20"/>
        </w:rPr>
        <w:t>para.4-181 at n.1149; where, however, a distinction is also drawn between </w:t>
      </w:r>
      <w:r>
        <w:rPr>
          <w:sz w:val="20"/>
        </w:rPr>
        <w:t>“promissory estoppel” and the principle in </w:t>
      </w:r>
      <w:r>
        <w:rPr>
          <w:rFonts w:ascii="Arial" w:hAnsi="Arial"/>
          <w:i/>
          <w:sz w:val="20"/>
        </w:rPr>
        <w:t>Ramsden v Dyson (1866) L.R. 1 H.L. 129 </w:t>
      </w:r>
      <w:r>
        <w:rPr>
          <w:sz w:val="20"/>
        </w:rPr>
        <w:t>(i.e. proprietary </w:t>
      </w:r>
      <w:r>
        <w:rPr>
          <w:spacing w:val="-2"/>
          <w:sz w:val="20"/>
        </w:rPr>
        <w:t>estoppel).</w:t>
      </w:r>
    </w:p>
    <w:p>
      <w:pPr>
        <w:pStyle w:val="BodyText"/>
        <w:spacing w:before="4"/>
      </w:pPr>
    </w:p>
    <w:p>
      <w:pPr>
        <w:spacing w:before="1"/>
        <w:ind w:left="165" w:right="0" w:firstLine="0"/>
        <w:jc w:val="left"/>
        <w:rPr>
          <w:sz w:val="20"/>
        </w:rPr>
      </w:pPr>
      <w:r>
        <w:rPr>
          <w:color w:val="005DA1"/>
          <w:position w:val="5"/>
          <w:sz w:val="14"/>
          <w:u w:val="single" w:color="005DA1"/>
        </w:rPr>
        <w:t>1235</w:t>
      </w:r>
      <w:r>
        <w:rPr>
          <w:position w:val="5"/>
          <w:sz w:val="14"/>
        </w:rPr>
        <w:t>.</w:t>
      </w:r>
      <w:r>
        <w:rPr>
          <w:spacing w:val="55"/>
          <w:position w:val="5"/>
          <w:sz w:val="14"/>
        </w:rPr>
        <w:t>  </w:t>
      </w:r>
      <w:r>
        <w:rPr>
          <w:rFonts w:ascii="Arial"/>
          <w:i/>
          <w:sz w:val="20"/>
        </w:rPr>
        <w:t>[1976]</w:t>
      </w:r>
      <w:r>
        <w:rPr>
          <w:rFonts w:ascii="Arial"/>
          <w:i/>
          <w:spacing w:val="1"/>
          <w:sz w:val="20"/>
        </w:rPr>
        <w:t> </w:t>
      </w:r>
      <w:r>
        <w:rPr>
          <w:rFonts w:ascii="Arial"/>
          <w:i/>
          <w:sz w:val="20"/>
        </w:rPr>
        <w:t>Ch. 179, </w:t>
      </w:r>
      <w:r>
        <w:rPr>
          <w:rFonts w:ascii="Arial"/>
          <w:i/>
          <w:spacing w:val="-4"/>
          <w:sz w:val="20"/>
        </w:rPr>
        <w:t>193</w:t>
      </w:r>
      <w:r>
        <w:rPr>
          <w:spacing w:val="-4"/>
          <w:sz w:val="20"/>
        </w:rPr>
        <w:t>.</w:t>
      </w:r>
    </w:p>
    <w:p>
      <w:pPr>
        <w:pStyle w:val="BodyText"/>
        <w:spacing w:before="8"/>
      </w:pPr>
    </w:p>
    <w:p>
      <w:pPr>
        <w:spacing w:line="235" w:lineRule="auto" w:before="0"/>
        <w:ind w:left="705" w:right="167" w:hanging="541"/>
        <w:jc w:val="both"/>
        <w:rPr>
          <w:sz w:val="20"/>
        </w:rPr>
      </w:pPr>
      <w:r>
        <w:rPr>
          <w:color w:val="005DA1"/>
          <w:position w:val="5"/>
          <w:sz w:val="14"/>
          <w:u w:val="single" w:color="005DA1"/>
        </w:rPr>
        <w:t>1236</w:t>
      </w:r>
      <w:r>
        <w:rPr>
          <w:position w:val="5"/>
          <w:sz w:val="14"/>
        </w:rPr>
        <w:t>.</w:t>
      </w:r>
      <w:r>
        <w:rPr>
          <w:spacing w:val="80"/>
          <w:position w:val="5"/>
          <w:sz w:val="14"/>
        </w:rPr>
        <w:t> </w:t>
      </w:r>
      <w:r>
        <w:rPr>
          <w:rFonts w:ascii="Arial" w:hAnsi="Arial"/>
          <w:i/>
          <w:sz w:val="20"/>
        </w:rPr>
        <w:t>Taylors Fashions Ltd v Liverpool Victoria Trustee Co Ltd [1982] Q.B. 133, 153</w:t>
      </w:r>
      <w:r>
        <w:rPr>
          <w:sz w:val="20"/>
        </w:rPr>
        <w:t>; cf. above,</w:t>
      </w:r>
      <w:r>
        <w:rPr>
          <w:spacing w:val="80"/>
          <w:sz w:val="20"/>
        </w:rPr>
        <w:t> </w:t>
      </w:r>
      <w:r>
        <w:rPr>
          <w:sz w:val="20"/>
        </w:rPr>
        <w:t>para.4-181</w:t>
      </w:r>
      <w:r>
        <w:rPr>
          <w:spacing w:val="-3"/>
          <w:sz w:val="20"/>
        </w:rPr>
        <w:t> </w:t>
      </w:r>
      <w:r>
        <w:rPr>
          <w:sz w:val="20"/>
        </w:rPr>
        <w:t>at</w:t>
      </w:r>
      <w:r>
        <w:rPr>
          <w:spacing w:val="-3"/>
          <w:sz w:val="20"/>
        </w:rPr>
        <w:t> </w:t>
      </w:r>
      <w:r>
        <w:rPr>
          <w:sz w:val="20"/>
        </w:rPr>
        <w:t>n.1149;</w:t>
      </w:r>
      <w:r>
        <w:rPr>
          <w:spacing w:val="-3"/>
          <w:sz w:val="20"/>
        </w:rPr>
        <w:t> </w:t>
      </w:r>
      <w:r>
        <w:rPr>
          <w:sz w:val="20"/>
        </w:rPr>
        <w:t>the</w:t>
      </w:r>
      <w:r>
        <w:rPr>
          <w:spacing w:val="-3"/>
          <w:sz w:val="20"/>
        </w:rPr>
        <w:t> </w:t>
      </w:r>
      <w:r>
        <w:rPr>
          <w:sz w:val="20"/>
        </w:rPr>
        <w:t>use</w:t>
      </w:r>
      <w:r>
        <w:rPr>
          <w:spacing w:val="-3"/>
          <w:sz w:val="20"/>
        </w:rPr>
        <w:t> </w:t>
      </w:r>
      <w:r>
        <w:rPr>
          <w:sz w:val="20"/>
        </w:rPr>
        <w:t>of</w:t>
      </w:r>
      <w:r>
        <w:rPr>
          <w:spacing w:val="-3"/>
          <w:sz w:val="20"/>
        </w:rPr>
        <w:t> </w:t>
      </w:r>
      <w:r>
        <w:rPr>
          <w:sz w:val="20"/>
        </w:rPr>
        <w:t>“promissory</w:t>
      </w:r>
      <w:r>
        <w:rPr>
          <w:spacing w:val="-3"/>
          <w:sz w:val="20"/>
        </w:rPr>
        <w:t> </w:t>
      </w:r>
      <w:r>
        <w:rPr>
          <w:sz w:val="20"/>
        </w:rPr>
        <w:t>estoppel”</w:t>
      </w:r>
      <w:r>
        <w:rPr>
          <w:spacing w:val="-3"/>
          <w:sz w:val="20"/>
        </w:rPr>
        <w:t> </w:t>
      </w:r>
      <w:r>
        <w:rPr>
          <w:sz w:val="20"/>
        </w:rPr>
        <w:t>to</w:t>
      </w:r>
      <w:r>
        <w:rPr>
          <w:spacing w:val="-3"/>
          <w:sz w:val="20"/>
        </w:rPr>
        <w:t> </w:t>
      </w:r>
      <w:r>
        <w:rPr>
          <w:sz w:val="20"/>
        </w:rPr>
        <w:t>describe</w:t>
      </w:r>
      <w:r>
        <w:rPr>
          <w:spacing w:val="-3"/>
          <w:sz w:val="20"/>
        </w:rPr>
        <w:t> </w:t>
      </w:r>
      <w:r>
        <w:rPr>
          <w:sz w:val="20"/>
        </w:rPr>
        <w:t>a</w:t>
      </w:r>
      <w:r>
        <w:rPr>
          <w:spacing w:val="-3"/>
          <w:sz w:val="20"/>
        </w:rPr>
        <w:t> </w:t>
      </w:r>
      <w:r>
        <w:rPr>
          <w:sz w:val="20"/>
        </w:rPr>
        <w:t>typical</w:t>
      </w:r>
      <w:r>
        <w:rPr>
          <w:spacing w:val="-3"/>
          <w:sz w:val="20"/>
        </w:rPr>
        <w:t> </w:t>
      </w:r>
      <w:r>
        <w:rPr>
          <w:sz w:val="20"/>
        </w:rPr>
        <w:t>proprietary</w:t>
      </w:r>
      <w:r>
        <w:rPr>
          <w:spacing w:val="-3"/>
          <w:sz w:val="20"/>
        </w:rPr>
        <w:t> </w:t>
      </w:r>
      <w:r>
        <w:rPr>
          <w:sz w:val="20"/>
        </w:rPr>
        <w:t>estoppel situation in </w:t>
      </w:r>
      <w:r>
        <w:rPr>
          <w:rFonts w:ascii="Arial" w:hAnsi="Arial"/>
          <w:i/>
          <w:sz w:val="20"/>
        </w:rPr>
        <w:t>Griffiths v Williams [1978] E.G.D. 919, 921 </w:t>
      </w:r>
      <w:r>
        <w:rPr>
          <w:sz w:val="20"/>
        </w:rPr>
        <w:t>may be a misprint.</w:t>
      </w:r>
    </w:p>
    <w:p>
      <w:pPr>
        <w:pStyle w:val="BodyText"/>
        <w:spacing w:before="9"/>
      </w:pPr>
    </w:p>
    <w:p>
      <w:pPr>
        <w:spacing w:line="235" w:lineRule="auto" w:before="0"/>
        <w:ind w:left="705" w:right="168" w:hanging="541"/>
        <w:jc w:val="both"/>
        <w:rPr>
          <w:sz w:val="20"/>
        </w:rPr>
      </w:pPr>
      <w:r>
        <w:rPr>
          <w:color w:val="005DA1"/>
          <w:position w:val="5"/>
          <w:sz w:val="14"/>
          <w:u w:val="single" w:color="005DA1"/>
        </w:rPr>
        <w:t>1237</w:t>
      </w:r>
      <w:r>
        <w:rPr>
          <w:position w:val="5"/>
          <w:sz w:val="14"/>
        </w:rPr>
        <w:t>.</w:t>
      </w:r>
      <w:r>
        <w:rPr>
          <w:spacing w:val="80"/>
          <w:w w:val="150"/>
          <w:position w:val="5"/>
          <w:sz w:val="14"/>
        </w:rPr>
        <w:t> </w:t>
      </w:r>
      <w:r>
        <w:rPr>
          <w:sz w:val="20"/>
        </w:rPr>
        <w:t>At</w:t>
      </w:r>
      <w:r>
        <w:rPr>
          <w:spacing w:val="28"/>
          <w:sz w:val="20"/>
        </w:rPr>
        <w:t> </w:t>
      </w:r>
      <w:r>
        <w:rPr>
          <w:sz w:val="20"/>
        </w:rPr>
        <w:t>paras</w:t>
      </w:r>
      <w:r>
        <w:rPr>
          <w:spacing w:val="28"/>
          <w:sz w:val="20"/>
        </w:rPr>
        <w:t> </w:t>
      </w:r>
      <w:r>
        <w:rPr>
          <w:sz w:val="20"/>
        </w:rPr>
        <w:t>4-182</w:t>
      </w:r>
      <w:r>
        <w:rPr>
          <w:spacing w:val="28"/>
          <w:sz w:val="20"/>
        </w:rPr>
        <w:t> </w:t>
      </w:r>
      <w:r>
        <w:rPr>
          <w:sz w:val="20"/>
        </w:rPr>
        <w:t>and</w:t>
      </w:r>
      <w:r>
        <w:rPr>
          <w:spacing w:val="28"/>
          <w:sz w:val="20"/>
        </w:rPr>
        <w:t> </w:t>
      </w:r>
      <w:r>
        <w:rPr>
          <w:sz w:val="20"/>
        </w:rPr>
        <w:t>4-183;</w:t>
      </w:r>
      <w:r>
        <w:rPr>
          <w:spacing w:val="28"/>
          <w:sz w:val="20"/>
        </w:rPr>
        <w:t> </w:t>
      </w:r>
      <w:r>
        <w:rPr>
          <w:sz w:val="20"/>
        </w:rPr>
        <w:t>cf.</w:t>
      </w:r>
      <w:r>
        <w:rPr>
          <w:spacing w:val="28"/>
          <w:sz w:val="20"/>
        </w:rPr>
        <w:t> </w:t>
      </w:r>
      <w:r>
        <w:rPr>
          <w:sz w:val="20"/>
        </w:rPr>
        <w:t>above,</w:t>
      </w:r>
      <w:r>
        <w:rPr>
          <w:spacing w:val="28"/>
          <w:sz w:val="20"/>
        </w:rPr>
        <w:t> </w:t>
      </w:r>
      <w:r>
        <w:rPr>
          <w:sz w:val="20"/>
        </w:rPr>
        <w:t>para.4-158.</w:t>
      </w:r>
      <w:r>
        <w:rPr>
          <w:spacing w:val="28"/>
          <w:sz w:val="20"/>
        </w:rPr>
        <w:t> </w:t>
      </w:r>
      <w:r>
        <w:rPr>
          <w:sz w:val="20"/>
        </w:rPr>
        <w:t>Lord</w:t>
      </w:r>
      <w:r>
        <w:rPr>
          <w:spacing w:val="28"/>
          <w:sz w:val="20"/>
        </w:rPr>
        <w:t> </w:t>
      </w:r>
      <w:r>
        <w:rPr>
          <w:sz w:val="20"/>
        </w:rPr>
        <w:t>Scott’s</w:t>
      </w:r>
      <w:r>
        <w:rPr>
          <w:spacing w:val="28"/>
          <w:sz w:val="20"/>
        </w:rPr>
        <w:t> </w:t>
      </w:r>
      <w:r>
        <w:rPr>
          <w:sz w:val="20"/>
        </w:rPr>
        <w:t>dictum</w:t>
      </w:r>
      <w:r>
        <w:rPr>
          <w:spacing w:val="28"/>
          <w:sz w:val="20"/>
        </w:rPr>
        <w:t> </w:t>
      </w:r>
      <w:r>
        <w:rPr>
          <w:sz w:val="20"/>
        </w:rPr>
        <w:t>in </w:t>
      </w:r>
      <w:r>
        <w:rPr>
          <w:rFonts w:ascii="Arial" w:hAnsi="Arial"/>
          <w:i/>
          <w:sz w:val="20"/>
        </w:rPr>
        <w:t>Cobbe</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Yeoman’s Row Management Ltd [2008] UKHL 55, [2008] 1 W.L.R. 1752 </w:t>
      </w:r>
      <w:r>
        <w:rPr>
          <w:sz w:val="20"/>
        </w:rPr>
        <w:t>at [14] (quoted in para.4-</w:t>
      </w:r>
      <w:r>
        <w:rPr>
          <w:sz w:val="20"/>
        </w:rPr>
        <w:t>181 above) falls short of stating that the requirements and effects of the two doctrines are identical.</w:t>
      </w:r>
    </w:p>
    <w:p>
      <w:pPr>
        <w:pStyle w:val="BodyText"/>
        <w:spacing w:before="9"/>
      </w:pPr>
    </w:p>
    <w:p>
      <w:pPr>
        <w:spacing w:line="235" w:lineRule="auto" w:before="0"/>
        <w:ind w:left="705" w:right="167" w:hanging="541"/>
        <w:jc w:val="both"/>
        <w:rPr>
          <w:sz w:val="20"/>
        </w:rPr>
      </w:pPr>
      <w:r>
        <w:rPr>
          <w:color w:val="005DA1"/>
          <w:position w:val="5"/>
          <w:sz w:val="14"/>
          <w:u w:val="single" w:color="005DA1"/>
        </w:rPr>
        <w:t>1238</w:t>
      </w:r>
      <w:r>
        <w:rPr>
          <w:position w:val="5"/>
          <w:sz w:val="14"/>
        </w:rPr>
        <w:t>.</w:t>
      </w:r>
      <w:r>
        <w:rPr>
          <w:spacing w:val="40"/>
          <w:position w:val="5"/>
          <w:sz w:val="14"/>
        </w:rPr>
        <w:t> </w:t>
      </w:r>
      <w:r>
        <w:rPr>
          <w:rFonts w:ascii="Arial" w:hAnsi="Arial"/>
          <w:i/>
          <w:sz w:val="20"/>
        </w:rPr>
        <w:t>Taylors</w:t>
      </w:r>
      <w:r>
        <w:rPr>
          <w:rFonts w:ascii="Arial" w:hAnsi="Arial"/>
          <w:i/>
          <w:spacing w:val="40"/>
          <w:sz w:val="20"/>
        </w:rPr>
        <w:t> </w:t>
      </w:r>
      <w:r>
        <w:rPr>
          <w:rFonts w:ascii="Arial" w:hAnsi="Arial"/>
          <w:i/>
          <w:sz w:val="20"/>
        </w:rPr>
        <w:t>Fashions</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Liverpool</w:t>
      </w:r>
      <w:r>
        <w:rPr>
          <w:rFonts w:ascii="Arial" w:hAnsi="Arial"/>
          <w:i/>
          <w:spacing w:val="40"/>
          <w:sz w:val="20"/>
        </w:rPr>
        <w:t> </w:t>
      </w:r>
      <w:r>
        <w:rPr>
          <w:rFonts w:ascii="Arial" w:hAnsi="Arial"/>
          <w:i/>
          <w:sz w:val="20"/>
        </w:rPr>
        <w:t>Victoria</w:t>
      </w:r>
      <w:r>
        <w:rPr>
          <w:rFonts w:ascii="Arial" w:hAnsi="Arial"/>
          <w:i/>
          <w:spacing w:val="40"/>
          <w:sz w:val="20"/>
        </w:rPr>
        <w:t> </w:t>
      </w:r>
      <w:r>
        <w:rPr>
          <w:rFonts w:ascii="Arial" w:hAnsi="Arial"/>
          <w:i/>
          <w:sz w:val="20"/>
        </w:rPr>
        <w:t>Trustee</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[1982]</w:t>
      </w:r>
      <w:r>
        <w:rPr>
          <w:rFonts w:ascii="Arial" w:hAnsi="Arial"/>
          <w:i/>
          <w:spacing w:val="40"/>
          <w:sz w:val="20"/>
        </w:rPr>
        <w:t> </w:t>
      </w:r>
      <w:r>
        <w:rPr>
          <w:rFonts w:ascii="Arial" w:hAnsi="Arial"/>
          <w:i/>
          <w:sz w:val="20"/>
        </w:rPr>
        <w:t>Q.B.</w:t>
      </w:r>
      <w:r>
        <w:rPr>
          <w:rFonts w:ascii="Arial" w:hAnsi="Arial"/>
          <w:i/>
          <w:spacing w:val="40"/>
          <w:sz w:val="20"/>
        </w:rPr>
        <w:t> </w:t>
      </w:r>
      <w:r>
        <w:rPr>
          <w:rFonts w:ascii="Arial" w:hAnsi="Arial"/>
          <w:i/>
          <w:sz w:val="20"/>
        </w:rPr>
        <w:t>133,</w:t>
      </w:r>
      <w:r>
        <w:rPr>
          <w:rFonts w:ascii="Arial" w:hAnsi="Arial"/>
          <w:i/>
          <w:spacing w:val="40"/>
          <w:sz w:val="20"/>
        </w:rPr>
        <w:t> </w:t>
      </w:r>
      <w:r>
        <w:rPr>
          <w:rFonts w:ascii="Arial" w:hAnsi="Arial"/>
          <w:i/>
          <w:sz w:val="20"/>
        </w:rPr>
        <w:t>155</w:t>
      </w:r>
      <w:r>
        <w:rPr>
          <w:sz w:val="20"/>
        </w:rPr>
        <w:t>;</w:t>
      </w:r>
      <w:r>
        <w:rPr>
          <w:spacing w:val="40"/>
          <w:sz w:val="20"/>
        </w:rPr>
        <w:t> </w:t>
      </w:r>
      <w:r>
        <w:rPr>
          <w:sz w:val="20"/>
        </w:rPr>
        <w:t>cf. </w:t>
      </w:r>
      <w:r>
        <w:rPr>
          <w:rFonts w:ascii="Arial" w:hAnsi="Arial"/>
          <w:i/>
          <w:sz w:val="20"/>
        </w:rPr>
        <w:t>Amalgamated Investment &amp; Property Co Ltd v Texas Commerce International Bank [1982] </w:t>
      </w:r>
      <w:r>
        <w:rPr>
          <w:rFonts w:ascii="Arial" w:hAnsi="Arial"/>
          <w:i/>
          <w:sz w:val="20"/>
        </w:rPr>
        <w:t>Q.B. 84, 104, 122</w:t>
      </w:r>
      <w:r>
        <w:rPr>
          <w:sz w:val="20"/>
        </w:rPr>
        <w:t>. cf. also the reference in </w:t>
      </w:r>
      <w:r>
        <w:rPr>
          <w:rFonts w:ascii="Arial" w:hAnsi="Arial"/>
          <w:i/>
          <w:sz w:val="20"/>
        </w:rPr>
        <w:t>Gillett v Holt [2001] Ch. 210 </w:t>
      </w:r>
      <w:r>
        <w:rPr>
          <w:sz w:val="20"/>
        </w:rPr>
        <w:t>at 232 to “the essential test</w:t>
      </w:r>
      <w:r>
        <w:rPr>
          <w:spacing w:val="40"/>
          <w:sz w:val="20"/>
        </w:rPr>
        <w:t> </w:t>
      </w:r>
      <w:r>
        <w:rPr>
          <w:sz w:val="20"/>
        </w:rPr>
        <w:t>of unconscionability” in cases of proprietary estoppel (above, para.4-158).</w:t>
      </w:r>
    </w:p>
    <w:p>
      <w:pPr>
        <w:pStyle w:val="BodyText"/>
        <w:spacing w:before="5"/>
      </w:pPr>
    </w:p>
    <w:p>
      <w:pPr>
        <w:spacing w:before="0"/>
        <w:ind w:left="165" w:right="0" w:firstLine="0"/>
        <w:jc w:val="left"/>
        <w:rPr>
          <w:sz w:val="20"/>
        </w:rPr>
      </w:pPr>
      <w:r>
        <w:rPr>
          <w:color w:val="005DA1"/>
          <w:position w:val="5"/>
          <w:sz w:val="14"/>
          <w:u w:val="single" w:color="005DA1"/>
        </w:rPr>
        <w:t>1239</w:t>
      </w:r>
      <w:r>
        <w:rPr>
          <w:position w:val="5"/>
          <w:sz w:val="14"/>
        </w:rPr>
        <w:t>.</w:t>
      </w:r>
      <w:r>
        <w:rPr>
          <w:spacing w:val="55"/>
          <w:position w:val="5"/>
          <w:sz w:val="14"/>
        </w:rPr>
        <w:t>  </w:t>
      </w:r>
      <w:r>
        <w:rPr>
          <w:sz w:val="20"/>
        </w:rPr>
        <w:t>Above,</w:t>
      </w:r>
      <w:r>
        <w:rPr>
          <w:spacing w:val="1"/>
          <w:sz w:val="20"/>
        </w:rPr>
        <w:t> </w:t>
      </w:r>
      <w:r>
        <w:rPr>
          <w:sz w:val="20"/>
        </w:rPr>
        <w:t>para.4-</w:t>
      </w:r>
      <w:r>
        <w:rPr>
          <w:spacing w:val="-4"/>
          <w:sz w:val="20"/>
        </w:rPr>
        <w:t>104.</w:t>
      </w:r>
    </w:p>
    <w:p>
      <w:pPr>
        <w:pStyle w:val="BodyText"/>
        <w:spacing w:before="9"/>
      </w:pPr>
    </w:p>
    <w:p>
      <w:pPr>
        <w:pStyle w:val="BodyText"/>
        <w:spacing w:line="235" w:lineRule="auto"/>
        <w:ind w:left="705" w:right="167" w:hanging="541"/>
        <w:jc w:val="both"/>
      </w:pPr>
      <w:r>
        <w:rPr>
          <w:color w:val="005DA1"/>
          <w:position w:val="5"/>
          <w:sz w:val="14"/>
          <w:u w:val="single" w:color="005DA1"/>
        </w:rPr>
        <w:t>1240</w:t>
      </w:r>
      <w:r>
        <w:rPr>
          <w:position w:val="5"/>
          <w:sz w:val="14"/>
        </w:rPr>
        <w:t>.</w:t>
      </w:r>
      <w:r>
        <w:rPr>
          <w:spacing w:val="80"/>
          <w:w w:val="150"/>
          <w:position w:val="5"/>
          <w:sz w:val="14"/>
        </w:rPr>
        <w:t> </w:t>
      </w:r>
      <w:r>
        <w:rPr/>
        <w:t>cf., </w:t>
      </w:r>
      <w:r>
        <w:rPr>
          <w:rFonts w:ascii="Arial" w:hAnsi="Arial"/>
          <w:i/>
        </w:rPr>
        <w:t>Haslemere Estates Ltd v Baker [1982] 1 W.L.R. 1109, 1119 </w:t>
      </w:r>
      <w:r>
        <w:rPr/>
        <w:t>where Megarry V.-C., </w:t>
      </w:r>
      <w:r>
        <w:rPr/>
        <w:t>rejecting the argument that proprietary estoppel arises “whenever justice and good conscience requires it,” said “I do not think that the subject is as wide and indefinite as that.” See also </w:t>
      </w:r>
      <w:r>
        <w:rPr>
          <w:rFonts w:ascii="Arial" w:hAnsi="Arial"/>
          <w:i/>
        </w:rPr>
        <w:t>Cobbe v Yeoman’s Row Management Ltd [2008] UKHL 55, [2008] 1 W.L.R. 1752 </w:t>
      </w:r>
      <w:r>
        <w:rPr/>
        <w:t>at [16], [17], [28] and [46], emphasising that unconscionability (or judicial disapproval) of the conduct of the party alleged to be estopped is not a sufficient (though it may be a necessary) condition of the operation of proprietary estoppel. Dicta emphasising the flexibility of the </w:t>
      </w:r>
      <w:r>
        <w:rPr>
          <w:rFonts w:ascii="Arial" w:hAnsi="Arial"/>
          <w:i/>
        </w:rPr>
        <w:t>remedy </w:t>
      </w:r>
      <w:r>
        <w:rPr/>
        <w:t>(above,</w:t>
      </w:r>
      <w:r>
        <w:rPr>
          <w:spacing w:val="80"/>
        </w:rPr>
        <w:t> </w:t>
      </w:r>
      <w:r>
        <w:rPr/>
        <w:t>para.4-173) must be read subject to the requirement of adopting a “principled approach” (ibid.) to this aspect of the doctrine and not be taken to refer to </w:t>
      </w:r>
      <w:r>
        <w:rPr>
          <w:rFonts w:ascii="Arial" w:hAnsi="Arial"/>
          <w:i/>
        </w:rPr>
        <w:t>conditions of liability</w:t>
      </w:r>
      <w:r>
        <w:rPr/>
        <w:t>.</w:t>
      </w:r>
    </w:p>
    <w:p>
      <w:pPr>
        <w:pStyle w:val="BodyText"/>
        <w:spacing w:before="2"/>
      </w:pPr>
    </w:p>
    <w:p>
      <w:pPr>
        <w:pStyle w:val="BodyText"/>
        <w:spacing w:before="1"/>
        <w:ind w:left="165"/>
      </w:pPr>
      <w:r>
        <w:rPr>
          <w:color w:val="005DA1"/>
          <w:position w:val="5"/>
          <w:sz w:val="14"/>
          <w:u w:val="single" w:color="005DA1"/>
        </w:rPr>
        <w:t>1241</w:t>
      </w:r>
      <w:r>
        <w:rPr>
          <w:position w:val="5"/>
          <w:sz w:val="14"/>
        </w:rPr>
        <w:t>.</w:t>
      </w:r>
      <w:r>
        <w:rPr>
          <w:spacing w:val="55"/>
          <w:position w:val="5"/>
          <w:sz w:val="14"/>
        </w:rPr>
        <w:t>  </w:t>
      </w:r>
      <w:r>
        <w:rPr/>
        <w:t>See</w:t>
      </w:r>
      <w:r>
        <w:rPr>
          <w:spacing w:val="1"/>
        </w:rPr>
        <w:t> </w:t>
      </w:r>
      <w:r>
        <w:rPr/>
        <w:t>above, paras 4-081 to 4-096, 4-147 to 4-</w:t>
      </w:r>
      <w:r>
        <w:rPr>
          <w:spacing w:val="-4"/>
        </w:rPr>
        <w:t>164.</w:t>
      </w:r>
    </w:p>
    <w:p>
      <w:pPr>
        <w:pStyle w:val="BodyText"/>
        <w:spacing w:before="4"/>
      </w:pPr>
    </w:p>
    <w:p>
      <w:pPr>
        <w:pStyle w:val="BodyText"/>
        <w:spacing w:before="1"/>
        <w:ind w:left="165"/>
      </w:pPr>
      <w:r>
        <w:rPr>
          <w:color w:val="005DA1"/>
          <w:position w:val="5"/>
          <w:sz w:val="14"/>
          <w:u w:val="single" w:color="005DA1"/>
        </w:rPr>
        <w:t>1242</w:t>
      </w:r>
      <w:r>
        <w:rPr>
          <w:position w:val="5"/>
          <w:sz w:val="14"/>
        </w:rPr>
        <w:t>.</w:t>
      </w:r>
      <w:r>
        <w:rPr>
          <w:spacing w:val="55"/>
          <w:position w:val="5"/>
          <w:sz w:val="14"/>
        </w:rPr>
        <w:t>  </w:t>
      </w:r>
      <w:r>
        <w:rPr/>
        <w:t>See</w:t>
      </w:r>
      <w:r>
        <w:rPr>
          <w:spacing w:val="1"/>
        </w:rPr>
        <w:t> </w:t>
      </w:r>
      <w:r>
        <w:rPr/>
        <w:t>above, paras 4-097 to 4-103, 4-168 to 4-</w:t>
      </w:r>
      <w:r>
        <w:rPr>
          <w:spacing w:val="-4"/>
        </w:rPr>
        <w:t>180.</w:t>
      </w:r>
    </w:p>
    <w:p>
      <w:pPr>
        <w:pStyle w:val="BodyText"/>
        <w:spacing w:before="4"/>
      </w:pPr>
    </w:p>
    <w:p>
      <w:pPr>
        <w:spacing w:before="1"/>
        <w:ind w:left="165" w:right="0" w:firstLine="0"/>
        <w:jc w:val="left"/>
        <w:rPr>
          <w:sz w:val="20"/>
        </w:rPr>
      </w:pPr>
      <w:r>
        <w:rPr>
          <w:color w:val="005DA1"/>
          <w:position w:val="5"/>
          <w:sz w:val="14"/>
          <w:u w:val="single" w:color="005DA1"/>
        </w:rPr>
        <w:t>1243</w:t>
      </w:r>
      <w:r>
        <w:rPr>
          <w:position w:val="5"/>
          <w:sz w:val="14"/>
        </w:rPr>
        <w:t>.</w:t>
      </w:r>
      <w:r>
        <w:rPr>
          <w:spacing w:val="55"/>
          <w:position w:val="5"/>
          <w:sz w:val="14"/>
        </w:rPr>
        <w:t>  </w:t>
      </w:r>
      <w:r>
        <w:rPr>
          <w:sz w:val="20"/>
        </w:rPr>
        <w:t>Above,</w:t>
      </w:r>
      <w:r>
        <w:rPr>
          <w:spacing w:val="1"/>
          <w:sz w:val="20"/>
        </w:rPr>
        <w:t> </w:t>
      </w:r>
      <w:r>
        <w:rPr>
          <w:sz w:val="20"/>
        </w:rPr>
        <w:t>para.4-</w:t>
      </w:r>
      <w:r>
        <w:rPr>
          <w:spacing w:val="-4"/>
          <w:sz w:val="20"/>
        </w:rPr>
        <w:t>144.</w:t>
      </w:r>
    </w:p>
    <w:p>
      <w:pPr>
        <w:pStyle w:val="BodyText"/>
        <w:spacing w:before="5"/>
      </w:pPr>
    </w:p>
    <w:p>
      <w:pPr>
        <w:spacing w:before="0"/>
        <w:ind w:left="165" w:right="0" w:firstLine="0"/>
        <w:jc w:val="left"/>
        <w:rPr>
          <w:sz w:val="20"/>
        </w:rPr>
      </w:pPr>
      <w:r>
        <w:rPr>
          <w:color w:val="005DA1"/>
          <w:position w:val="5"/>
          <w:sz w:val="14"/>
          <w:u w:val="single" w:color="005DA1"/>
        </w:rPr>
        <w:t>1244</w:t>
      </w:r>
      <w:r>
        <w:rPr>
          <w:position w:val="5"/>
          <w:sz w:val="14"/>
        </w:rPr>
        <w:t>.</w:t>
      </w:r>
      <w:r>
        <w:rPr>
          <w:spacing w:val="55"/>
          <w:position w:val="5"/>
          <w:sz w:val="14"/>
        </w:rPr>
        <w:t>  </w:t>
      </w:r>
      <w:r>
        <w:rPr>
          <w:sz w:val="20"/>
        </w:rPr>
        <w:t>See</w:t>
      </w:r>
      <w:r>
        <w:rPr>
          <w:spacing w:val="1"/>
          <w:sz w:val="20"/>
        </w:rPr>
        <w:t> </w:t>
      </w:r>
      <w:r>
        <w:rPr>
          <w:sz w:val="20"/>
        </w:rPr>
        <w:t>above, para.4-</w:t>
      </w:r>
      <w:r>
        <w:rPr>
          <w:spacing w:val="-4"/>
          <w:sz w:val="20"/>
        </w:rPr>
        <w:t>145.</w:t>
      </w:r>
    </w:p>
    <w:p>
      <w:pPr>
        <w:pStyle w:val="BodyText"/>
        <w:spacing w:before="5"/>
      </w:pPr>
    </w:p>
    <w:p>
      <w:pPr>
        <w:spacing w:before="0"/>
        <w:ind w:left="165" w:right="0" w:firstLine="0"/>
        <w:jc w:val="left"/>
        <w:rPr>
          <w:sz w:val="20"/>
        </w:rPr>
      </w:pPr>
      <w:r>
        <w:rPr>
          <w:color w:val="005DA1"/>
          <w:position w:val="5"/>
          <w:sz w:val="14"/>
          <w:u w:val="single" w:color="005DA1"/>
        </w:rPr>
        <w:t>1245</w:t>
      </w:r>
      <w:r>
        <w:rPr>
          <w:position w:val="5"/>
          <w:sz w:val="14"/>
        </w:rPr>
        <w:t>.</w:t>
      </w:r>
      <w:r>
        <w:rPr>
          <w:spacing w:val="55"/>
          <w:position w:val="5"/>
          <w:sz w:val="14"/>
        </w:rPr>
        <w:t>  </w:t>
      </w:r>
      <w:r>
        <w:rPr>
          <w:sz w:val="20"/>
        </w:rPr>
        <w:t>e.g.</w:t>
      </w:r>
      <w:r>
        <w:rPr>
          <w:spacing w:val="1"/>
          <w:sz w:val="20"/>
        </w:rPr>
        <w:t> </w:t>
      </w:r>
      <w:r>
        <w:rPr>
          <w:rFonts w:ascii="Arial"/>
          <w:i/>
          <w:sz w:val="20"/>
        </w:rPr>
        <w:t>Dillwyn v Llewelyn (1862) 4 D.</w:t>
      </w:r>
      <w:r>
        <w:rPr>
          <w:rFonts w:ascii="Arial"/>
          <w:i/>
          <w:spacing w:val="-1"/>
          <w:sz w:val="20"/>
        </w:rPr>
        <w:t> </w:t>
      </w:r>
      <w:r>
        <w:rPr>
          <w:rFonts w:ascii="Arial"/>
          <w:i/>
          <w:sz w:val="20"/>
        </w:rPr>
        <w:t>F. &amp; G. 517</w:t>
      </w:r>
      <w:r>
        <w:rPr>
          <w:sz w:val="20"/>
        </w:rPr>
        <w:t>, above, paras 4-143, 4-</w:t>
      </w:r>
      <w:r>
        <w:rPr>
          <w:spacing w:val="-4"/>
          <w:sz w:val="20"/>
        </w:rPr>
        <w:t>144.</w:t>
      </w:r>
    </w:p>
    <w:p>
      <w:pPr>
        <w:pStyle w:val="BodyText"/>
        <w:spacing w:before="5"/>
      </w:pPr>
    </w:p>
    <w:p>
      <w:pPr>
        <w:spacing w:before="0"/>
        <w:ind w:left="165" w:right="0" w:firstLine="0"/>
        <w:jc w:val="left"/>
        <w:rPr>
          <w:sz w:val="20"/>
        </w:rPr>
      </w:pPr>
      <w:r>
        <w:rPr>
          <w:color w:val="005DA1"/>
          <w:position w:val="5"/>
          <w:sz w:val="14"/>
          <w:u w:val="single" w:color="005DA1"/>
        </w:rPr>
        <w:t>1246</w:t>
      </w:r>
      <w:r>
        <w:rPr>
          <w:position w:val="5"/>
          <w:sz w:val="14"/>
        </w:rPr>
        <w:t>.</w:t>
      </w:r>
      <w:r>
        <w:rPr>
          <w:spacing w:val="55"/>
          <w:position w:val="5"/>
          <w:sz w:val="14"/>
        </w:rPr>
        <w:t>  </w:t>
      </w:r>
      <w:r>
        <w:rPr>
          <w:rFonts w:ascii="Arial"/>
          <w:i/>
          <w:sz w:val="20"/>
        </w:rPr>
        <w:t>[1976]</w:t>
      </w:r>
      <w:r>
        <w:rPr>
          <w:rFonts w:ascii="Arial"/>
          <w:i/>
          <w:spacing w:val="1"/>
          <w:sz w:val="20"/>
        </w:rPr>
        <w:t> </w:t>
      </w:r>
      <w:r>
        <w:rPr>
          <w:rFonts w:ascii="Arial"/>
          <w:i/>
          <w:sz w:val="20"/>
        </w:rPr>
        <w:t>Ch. 179, </w:t>
      </w:r>
      <w:r>
        <w:rPr>
          <w:rFonts w:ascii="Arial"/>
          <w:i/>
          <w:spacing w:val="-4"/>
          <w:sz w:val="20"/>
        </w:rPr>
        <w:t>199</w:t>
      </w:r>
      <w:r>
        <w:rPr>
          <w:spacing w:val="-4"/>
          <w:sz w:val="20"/>
        </w:rPr>
        <w:t>.</w:t>
      </w:r>
    </w:p>
    <w:p>
      <w:pPr>
        <w:pStyle w:val="BodyText"/>
        <w:spacing w:before="5"/>
      </w:pPr>
    </w:p>
    <w:p>
      <w:pPr>
        <w:spacing w:before="0"/>
        <w:ind w:left="165" w:right="0" w:firstLine="0"/>
        <w:jc w:val="left"/>
        <w:rPr>
          <w:sz w:val="20"/>
        </w:rPr>
      </w:pPr>
      <w:r>
        <w:rPr>
          <w:color w:val="005DA1"/>
          <w:position w:val="5"/>
          <w:sz w:val="14"/>
          <w:u w:val="single" w:color="005DA1"/>
        </w:rPr>
        <w:t>1247</w:t>
      </w:r>
      <w:r>
        <w:rPr>
          <w:position w:val="5"/>
          <w:sz w:val="14"/>
        </w:rPr>
        <w:t>.</w:t>
      </w:r>
      <w:r>
        <w:rPr>
          <w:spacing w:val="55"/>
          <w:position w:val="5"/>
          <w:sz w:val="14"/>
        </w:rPr>
        <w:t>  </w:t>
      </w:r>
      <w:r>
        <w:rPr>
          <w:rFonts w:ascii="Arial"/>
          <w:i/>
          <w:sz w:val="20"/>
        </w:rPr>
        <w:t>[1979]</w:t>
      </w:r>
      <w:r>
        <w:rPr>
          <w:rFonts w:ascii="Arial"/>
          <w:i/>
          <w:spacing w:val="1"/>
          <w:sz w:val="20"/>
        </w:rPr>
        <w:t> </w:t>
      </w:r>
      <w:r>
        <w:rPr>
          <w:rFonts w:ascii="Arial"/>
          <w:i/>
          <w:sz w:val="20"/>
        </w:rPr>
        <w:t>1 W.L.R. 431, 438</w:t>
      </w:r>
      <w:r>
        <w:rPr>
          <w:sz w:val="20"/>
        </w:rPr>
        <w:t>. For</w:t>
      </w:r>
      <w:r>
        <w:rPr>
          <w:spacing w:val="-1"/>
          <w:sz w:val="20"/>
        </w:rPr>
        <w:t> </w:t>
      </w:r>
      <w:r>
        <w:rPr>
          <w:sz w:val="20"/>
        </w:rPr>
        <w:t>other changes of circumstances, see above, para.4-</w:t>
      </w:r>
      <w:r>
        <w:rPr>
          <w:spacing w:val="-4"/>
          <w:sz w:val="20"/>
        </w:rPr>
        <w:t>180.</w:t>
      </w:r>
    </w:p>
    <w:p>
      <w:pPr>
        <w:pStyle w:val="BodyText"/>
        <w:spacing w:before="5"/>
      </w:pPr>
    </w:p>
    <w:p>
      <w:pPr>
        <w:spacing w:before="0"/>
        <w:ind w:left="165" w:right="0" w:firstLine="0"/>
        <w:jc w:val="left"/>
        <w:rPr>
          <w:sz w:val="20"/>
        </w:rPr>
      </w:pPr>
      <w:r>
        <w:rPr>
          <w:color w:val="005DA1"/>
          <w:position w:val="5"/>
          <w:sz w:val="14"/>
          <w:u w:val="single" w:color="005DA1"/>
        </w:rPr>
        <w:t>1248</w:t>
      </w:r>
      <w:r>
        <w:rPr>
          <w:position w:val="5"/>
          <w:sz w:val="14"/>
        </w:rPr>
        <w:t>.</w:t>
      </w:r>
      <w:r>
        <w:rPr>
          <w:spacing w:val="55"/>
          <w:position w:val="5"/>
          <w:sz w:val="14"/>
        </w:rPr>
        <w:t>  </w:t>
      </w:r>
      <w:r>
        <w:rPr>
          <w:sz w:val="20"/>
        </w:rPr>
        <w:t>Above,</w:t>
      </w:r>
      <w:r>
        <w:rPr>
          <w:spacing w:val="1"/>
          <w:sz w:val="20"/>
        </w:rPr>
        <w:t> </w:t>
      </w:r>
      <w:r>
        <w:rPr>
          <w:sz w:val="20"/>
        </w:rPr>
        <w:t>para.4-</w:t>
      </w:r>
      <w:r>
        <w:rPr>
          <w:spacing w:val="-4"/>
          <w:sz w:val="20"/>
        </w:rPr>
        <w:t>168.</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2"/>
        <w:ind w:left="2727" w:right="2730"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2247680">
                <wp:simplePos x="0" y="0"/>
                <wp:positionH relativeFrom="page">
                  <wp:posOffset>4707940</wp:posOffset>
                </wp:positionH>
                <wp:positionV relativeFrom="paragraph">
                  <wp:posOffset>377436</wp:posOffset>
                </wp:positionV>
                <wp:extent cx="42545" cy="1270"/>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68800" from="370.70401pt,29.719406pt" to="374.04001pt,29.719406pt" stroked="true" strokeweight=".428pt" strokecolor="#005da1">
                <v:stroke dashstyle="solid"/>
                <w10:wrap type="none"/>
              </v:line>
            </w:pict>
          </mc:Fallback>
        </mc:AlternateContent>
      </w: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w:t>
      </w:r>
      <w:bookmarkStart w:name="_bookmark1834" w:id="1836"/>
      <w:bookmarkEnd w:id="1836"/>
      <w:r>
        <w:rPr>
          <w:rFonts w:ascii="Arial"/>
          <w:b/>
          <w:sz w:val="24"/>
        </w:rPr>
        <w:t>Chapter</w:t>
      </w:r>
      <w:r>
        <w:rPr>
          <w:rFonts w:ascii="Arial"/>
          <w:b/>
          <w:sz w:val="24"/>
        </w:rPr>
        <w:t> 4 - Consideration </w:t>
      </w:r>
      <w:r>
        <w:rPr>
          <w:rFonts w:ascii="Arial"/>
          <w:b/>
          <w:color w:val="005DA1"/>
          <w:position w:val="11"/>
          <w:sz w:val="12"/>
        </w:rPr>
        <w:t>1</w:t>
      </w:r>
      <w:r>
        <w:rPr>
          <w:rFonts w:ascii="Arial"/>
          <w:b/>
          <w:color w:val="005DA1"/>
          <w:spacing w:val="40"/>
          <w:position w:val="11"/>
          <w:sz w:val="12"/>
        </w:rPr>
        <w:t> </w:t>
      </w:r>
      <w:r>
        <w:rPr>
          <w:rFonts w:ascii="Arial"/>
          <w:b/>
          <w:sz w:val="24"/>
        </w:rPr>
        <w:t>Section 12. - Special Cases</w:t>
      </w:r>
    </w:p>
    <w:p>
      <w:pPr>
        <w:pStyle w:val="BodyText"/>
        <w:spacing w:before="173"/>
        <w:rPr>
          <w:rFonts w:ascii="Arial"/>
          <w:b/>
          <w:sz w:val="24"/>
        </w:rPr>
      </w:pPr>
    </w:p>
    <w:p>
      <w:pPr>
        <w:spacing w:before="1"/>
        <w:ind w:left="165" w:right="0" w:firstLine="0"/>
        <w:jc w:val="left"/>
        <w:rPr>
          <w:rFonts w:ascii="Arial"/>
          <w:b/>
          <w:sz w:val="18"/>
        </w:rPr>
      </w:pPr>
      <w:r>
        <w:rPr>
          <w:rFonts w:ascii="Arial"/>
          <w:b/>
          <w:sz w:val="18"/>
        </w:rPr>
        <w:t>Defective promises</w:t>
      </w:r>
      <w:r>
        <w:rPr>
          <w:rFonts w:ascii="Arial"/>
          <w:b/>
          <w:spacing w:val="-1"/>
          <w:sz w:val="18"/>
        </w:rPr>
        <w:t> </w:t>
      </w:r>
      <w:r>
        <w:rPr>
          <w:rFonts w:ascii="Arial"/>
          <w:b/>
          <w:color w:val="005DA1"/>
          <w:spacing w:val="-4"/>
          <w:sz w:val="18"/>
          <w:u w:val="single" w:color="005DA1"/>
          <w:vertAlign w:val="superscript"/>
        </w:rPr>
        <w:t>1249</w:t>
      </w:r>
    </w:p>
    <w:p>
      <w:pPr>
        <w:pStyle w:val="BodyText"/>
        <w:spacing w:before="41"/>
        <w:rPr>
          <w:rFonts w:ascii="Arial"/>
          <w:b/>
          <w:sz w:val="18"/>
        </w:rPr>
      </w:pPr>
    </w:p>
    <w:p>
      <w:pPr>
        <w:pStyle w:val="Heading2"/>
      </w:pPr>
      <w:r>
        <w:rPr/>
        <w:t>4-</w:t>
      </w:r>
      <w:r>
        <w:rPr>
          <w:spacing w:val="-5"/>
        </w:rPr>
        <w:t>186</w:t>
      </w:r>
    </w:p>
    <w:p>
      <w:pPr>
        <w:pStyle w:val="BodyText"/>
        <w:spacing w:line="235" w:lineRule="auto" w:before="203"/>
        <w:ind w:left="165" w:right="167"/>
        <w:jc w:val="both"/>
      </w:pPr>
      <w:r>
        <w:rPr/>
        <w:t>Mutual promises are generally consideration for each other, </w:t>
      </w:r>
      <w:r>
        <w:rPr>
          <w:color w:val="005DA1"/>
          <w:u w:val="single" w:color="005DA1"/>
          <w:vertAlign w:val="superscript"/>
        </w:rPr>
        <w:t>1250</w:t>
      </w:r>
      <w:r>
        <w:rPr>
          <w:color w:val="005DA1"/>
          <w:vertAlign w:val="baseline"/>
        </w:rPr>
        <w:t> </w:t>
      </w:r>
      <w:r>
        <w:rPr>
          <w:vertAlign w:val="baseline"/>
        </w:rPr>
        <w:t>but difficulty is sometimes felt </w:t>
      </w:r>
      <w:r>
        <w:rPr>
          <w:vertAlign w:val="baseline"/>
        </w:rPr>
        <w:t>in treating one of the promises as consideration for the other if the former suffers from some defect, by reason of which it is not legally binding. The law on this topic is based on expediency rather than on any supposedly logical deductions which might be drawn from the doctrine of consideration. The question whether a defective promise can constitute consideration for a counter-promise depends on the policy of the rule of law making the former promise defective.</w:t>
      </w:r>
    </w:p>
    <w:p>
      <w:pPr>
        <w:pStyle w:val="BodyText"/>
      </w:pPr>
    </w:p>
    <w:p>
      <w:pPr>
        <w:pStyle w:val="BodyText"/>
        <w:spacing w:before="36"/>
      </w:pPr>
    </w:p>
    <w:p>
      <w:pPr>
        <w:spacing w:before="0"/>
        <w:ind w:left="165" w:right="0" w:firstLine="0"/>
        <w:jc w:val="both"/>
        <w:rPr>
          <w:rFonts w:ascii="Arial"/>
          <w:b/>
          <w:sz w:val="18"/>
        </w:rPr>
      </w:pPr>
      <w:r>
        <w:rPr>
          <w:rFonts w:ascii="Arial"/>
          <w:b/>
          <w:sz w:val="18"/>
        </w:rPr>
        <w:t>Policy </w:t>
      </w:r>
      <w:r>
        <w:rPr>
          <w:rFonts w:ascii="Arial"/>
          <w:b/>
          <w:spacing w:val="-2"/>
          <w:sz w:val="18"/>
        </w:rPr>
        <w:t>considerations</w:t>
      </w:r>
    </w:p>
    <w:p>
      <w:pPr>
        <w:pStyle w:val="BodyText"/>
        <w:spacing w:before="41"/>
        <w:rPr>
          <w:rFonts w:ascii="Arial"/>
          <w:b/>
          <w:sz w:val="18"/>
        </w:rPr>
      </w:pPr>
    </w:p>
    <w:p>
      <w:pPr>
        <w:pStyle w:val="Heading2"/>
      </w:pPr>
      <w:r>
        <w:rPr/>
        <w:t>4-</w:t>
      </w:r>
      <w:r>
        <w:rPr>
          <w:spacing w:val="-5"/>
        </w:rPr>
        <w:t>187</w:t>
      </w:r>
    </w:p>
    <w:p>
      <w:pPr>
        <w:pStyle w:val="BodyText"/>
        <w:spacing w:line="235" w:lineRule="auto" w:before="203"/>
        <w:ind w:left="164" w:right="167"/>
        <w:jc w:val="both"/>
      </w:pPr>
      <w:r>
        <w:rPr/>
        <w:t>One group of cases concerns contracts made between persons, one of whom lacks contractual capacity. A minor can enforce a promise made to him under such a contract even though the only consideration for it is his own promise, which does not bind him by reason of his minority. </w:t>
      </w:r>
      <w:r>
        <w:rPr>
          <w:color w:val="005DA1"/>
          <w:u w:val="single" w:color="005DA1"/>
          <w:vertAlign w:val="superscript"/>
        </w:rPr>
        <w:t>1251</w:t>
      </w:r>
      <w:r>
        <w:rPr>
          <w:color w:val="005DA1"/>
          <w:vertAlign w:val="baseline"/>
        </w:rPr>
        <w:t> </w:t>
      </w:r>
      <w:r>
        <w:rPr>
          <w:vertAlign w:val="baseline"/>
        </w:rPr>
        <w:t>The same rule applies where a person is entitled to avoid a contract on account of his or her mental incapacity, </w:t>
      </w:r>
      <w:r>
        <w:rPr>
          <w:color w:val="005DA1"/>
          <w:u w:val="single" w:color="005DA1"/>
          <w:vertAlign w:val="superscript"/>
        </w:rPr>
        <w:t>1252</w:t>
      </w:r>
      <w:r>
        <w:rPr>
          <w:color w:val="005DA1"/>
          <w:vertAlign w:val="baseline"/>
        </w:rPr>
        <w:t> </w:t>
      </w:r>
      <w:r>
        <w:rPr>
          <w:vertAlign w:val="baseline"/>
        </w:rPr>
        <w:t>The reason for these rules is that it is the policy of the law to protect the person </w:t>
      </w:r>
      <w:r>
        <w:rPr>
          <w:vertAlign w:val="baseline"/>
        </w:rPr>
        <w:t>under the incapacity, and not the other party, who is therefore not allowed to rely on that incapacity. It has, on the other hand, been said that a promise by which the Crown purported to fetter its discretion would not constitute consideration where, under the principles discussed in Chapter 11 below, </w:t>
      </w:r>
      <w:r>
        <w:rPr>
          <w:color w:val="005DA1"/>
          <w:u w:val="single" w:color="005DA1"/>
          <w:vertAlign w:val="superscript"/>
        </w:rPr>
        <w:t>1253</w:t>
      </w:r>
      <w:r>
        <w:rPr>
          <w:color w:val="005DA1"/>
          <w:spacing w:val="40"/>
          <w:vertAlign w:val="baseline"/>
        </w:rPr>
        <w:t> </w:t>
      </w:r>
      <w:r>
        <w:rPr>
          <w:vertAlign w:val="baseline"/>
        </w:rPr>
        <w:t>that promise did not bind the Crown. </w:t>
      </w:r>
      <w:r>
        <w:rPr>
          <w:color w:val="005DA1"/>
          <w:u w:val="single" w:color="005DA1"/>
          <w:vertAlign w:val="superscript"/>
        </w:rPr>
        <w:t>1254</w:t>
      </w:r>
      <w:r>
        <w:rPr>
          <w:color w:val="005DA1"/>
          <w:vertAlign w:val="baseline"/>
        </w:rPr>
        <w:t> </w:t>
      </w:r>
      <w:r>
        <w:rPr>
          <w:vertAlign w:val="baseline"/>
        </w:rPr>
        <w:t>A contrasting group of cases concerns contracts which are illegal. Obviously the illegal promise cannot be enforced and if both promises are illegal the consequence that neither can be enforced follows from the policy of the invalidating rule or rules rather than from the fact that an illegal promise cannot constitute consideration. </w:t>
      </w:r>
      <w:r>
        <w:rPr>
          <w:color w:val="005DA1"/>
          <w:u w:val="single" w:color="005DA1"/>
          <w:vertAlign w:val="superscript"/>
        </w:rPr>
        <w:t>1255</w:t>
      </w:r>
      <w:r>
        <w:rPr>
          <w:color w:val="005DA1"/>
          <w:vertAlign w:val="baseline"/>
        </w:rPr>
        <w:t> </w:t>
      </w:r>
      <w:r>
        <w:rPr>
          <w:vertAlign w:val="baseline"/>
        </w:rPr>
        <w:t>But in some</w:t>
      </w:r>
      <w:r>
        <w:rPr>
          <w:spacing w:val="40"/>
          <w:vertAlign w:val="baseline"/>
        </w:rPr>
        <w:t> </w:t>
      </w:r>
      <w:r>
        <w:rPr>
          <w:vertAlign w:val="baseline"/>
        </w:rPr>
        <w:t>cases of illegal contracts only one of the promises is illegal: this is, for example, often the position where the contract is in restraint of trade. In such a case, the party who makes the illegal promise</w:t>
      </w:r>
      <w:r>
        <w:rPr>
          <w:spacing w:val="40"/>
          <w:vertAlign w:val="baseline"/>
        </w:rPr>
        <w:t> </w:t>
      </w:r>
      <w:r>
        <w:rPr>
          <w:vertAlign w:val="baseline"/>
        </w:rPr>
        <w:t>(e.g. not to compete) cannot enforce the counter-promise (e.g. to pay a sum of money) if the illegal promise constitutes the sole consideration for the counter-promise. </w:t>
      </w:r>
      <w:r>
        <w:rPr>
          <w:color w:val="005DA1"/>
          <w:u w:val="single" w:color="005DA1"/>
          <w:vertAlign w:val="superscript"/>
        </w:rPr>
        <w:t>1256</w:t>
      </w:r>
      <w:r>
        <w:rPr>
          <w:color w:val="005DA1"/>
          <w:vertAlign w:val="baseline"/>
        </w:rPr>
        <w:t> </w:t>
      </w:r>
      <w:r>
        <w:rPr>
          <w:vertAlign w:val="baseline"/>
        </w:rPr>
        <w:t>Indeed, where one of the two promises is illegal, the counter-promise cannot be enforced even if there was </w:t>
      </w:r>
      <w:r>
        <w:rPr>
          <w:rFonts w:ascii="Arial"/>
          <w:i/>
          <w:vertAlign w:val="baseline"/>
        </w:rPr>
        <w:t>some </w:t>
      </w:r>
      <w:r>
        <w:rPr>
          <w:vertAlign w:val="baseline"/>
        </w:rPr>
        <w:t>other consideration for it, but the </w:t>
      </w:r>
      <w:r>
        <w:rPr>
          <w:rFonts w:ascii="Arial"/>
          <w:i/>
          <w:vertAlign w:val="baseline"/>
        </w:rPr>
        <w:t>main </w:t>
      </w:r>
      <w:r>
        <w:rPr>
          <w:vertAlign w:val="baseline"/>
        </w:rPr>
        <w:t>consideration for it was the illegal promise. The reason for this rule lies in the policy of the law to discourage illegal bargains. </w:t>
      </w:r>
      <w:r>
        <w:rPr>
          <w:color w:val="005DA1"/>
          <w:u w:val="single" w:color="005DA1"/>
          <w:vertAlign w:val="superscript"/>
        </w:rPr>
        <w:t>1257</w:t>
      </w:r>
    </w:p>
    <w:p>
      <w:pPr>
        <w:pStyle w:val="BodyText"/>
      </w:pPr>
    </w:p>
    <w:p>
      <w:pPr>
        <w:pStyle w:val="BodyText"/>
        <w:spacing w:before="31"/>
      </w:pPr>
    </w:p>
    <w:p>
      <w:pPr>
        <w:spacing w:before="0"/>
        <w:ind w:left="165" w:right="0" w:firstLine="0"/>
        <w:jc w:val="both"/>
        <w:rPr>
          <w:rFonts w:ascii="Arial"/>
          <w:b/>
          <w:sz w:val="18"/>
        </w:rPr>
      </w:pPr>
      <w:r>
        <w:rPr>
          <w:rFonts w:ascii="Arial"/>
          <w:b/>
          <w:sz w:val="18"/>
        </w:rPr>
        <w:t>Performance of defective </w:t>
      </w:r>
      <w:r>
        <w:rPr>
          <w:rFonts w:ascii="Arial"/>
          <w:b/>
          <w:spacing w:val="-2"/>
          <w:sz w:val="18"/>
        </w:rPr>
        <w:t>promises</w:t>
      </w:r>
    </w:p>
    <w:p>
      <w:pPr>
        <w:pStyle w:val="BodyText"/>
        <w:spacing w:before="41"/>
        <w:rPr>
          <w:rFonts w:ascii="Arial"/>
          <w:b/>
          <w:sz w:val="18"/>
        </w:rPr>
      </w:pPr>
    </w:p>
    <w:p>
      <w:pPr>
        <w:pStyle w:val="Heading2"/>
        <w:spacing w:before="1"/>
      </w:pPr>
      <w:r>
        <w:rPr/>
        <w:t>4-</w:t>
      </w:r>
      <w:r>
        <w:rPr>
          <w:spacing w:val="-5"/>
        </w:rPr>
        <w:t>188</w:t>
      </w:r>
    </w:p>
    <w:p>
      <w:pPr>
        <w:pStyle w:val="BodyText"/>
        <w:spacing w:line="235" w:lineRule="auto" w:before="202"/>
        <w:ind w:left="164" w:right="167"/>
        <w:jc w:val="both"/>
      </w:pPr>
      <w:r>
        <w:rPr/>
        <w:t>Where a defective </w:t>
      </w:r>
      <w:r>
        <w:rPr>
          <w:rFonts w:ascii="Arial"/>
          <w:i/>
        </w:rPr>
        <w:t>promise </w:t>
      </w:r>
      <w:r>
        <w:rPr/>
        <w:t>does not constitute consideration, the </w:t>
      </w:r>
      <w:r>
        <w:rPr>
          <w:rFonts w:ascii="Arial"/>
          <w:i/>
        </w:rPr>
        <w:t>performance </w:t>
      </w:r>
      <w:r>
        <w:rPr/>
        <w:t>of it can </w:t>
      </w:r>
      <w:r>
        <w:rPr/>
        <w:t>nevertheless sometimes provide consideration for the counter-promise. For example a mere promise to negotiate has</w:t>
      </w:r>
      <w:r>
        <w:rPr>
          <w:spacing w:val="-4"/>
        </w:rPr>
        <w:t> </w:t>
      </w:r>
      <w:r>
        <w:rPr/>
        <w:t>no</w:t>
      </w:r>
      <w:r>
        <w:rPr>
          <w:spacing w:val="-4"/>
        </w:rPr>
        <w:t> </w:t>
      </w:r>
      <w:r>
        <w:rPr/>
        <w:t>contractual</w:t>
      </w:r>
      <w:r>
        <w:rPr>
          <w:spacing w:val="-4"/>
        </w:rPr>
        <w:t> </w:t>
      </w:r>
      <w:r>
        <w:rPr/>
        <w:t>force</w:t>
      </w:r>
      <w:r>
        <w:rPr>
          <w:spacing w:val="-4"/>
        </w:rPr>
        <w:t> </w:t>
      </w:r>
      <w:r>
        <w:rPr>
          <w:color w:val="005DA1"/>
          <w:u w:val="single" w:color="005DA1"/>
          <w:vertAlign w:val="superscript"/>
        </w:rPr>
        <w:t>1258</w:t>
      </w:r>
      <w:r>
        <w:rPr>
          <w:color w:val="005DA1"/>
          <w:spacing w:val="-4"/>
          <w:vertAlign w:val="baseline"/>
        </w:rPr>
        <w:t> </w:t>
      </w:r>
      <w:r>
        <w:rPr>
          <w:vertAlign w:val="baseline"/>
        </w:rPr>
        <w:t>and</w:t>
      </w:r>
      <w:r>
        <w:rPr>
          <w:spacing w:val="-4"/>
          <w:vertAlign w:val="baseline"/>
        </w:rPr>
        <w:t> </w:t>
      </w:r>
      <w:r>
        <w:rPr>
          <w:vertAlign w:val="baseline"/>
        </w:rPr>
        <w:t>so</w:t>
      </w:r>
      <w:r>
        <w:rPr>
          <w:spacing w:val="-4"/>
          <w:vertAlign w:val="baseline"/>
        </w:rPr>
        <w:t> </w:t>
      </w:r>
      <w:r>
        <w:rPr>
          <w:vertAlign w:val="baseline"/>
        </w:rPr>
        <w:t>cannot</w:t>
      </w:r>
      <w:r>
        <w:rPr>
          <w:spacing w:val="-4"/>
          <w:vertAlign w:val="baseline"/>
        </w:rPr>
        <w:t> </w:t>
      </w:r>
      <w:r>
        <w:rPr>
          <w:vertAlign w:val="baseline"/>
        </w:rPr>
        <w:t>constitute</w:t>
      </w:r>
      <w:r>
        <w:rPr>
          <w:spacing w:val="-4"/>
          <w:vertAlign w:val="baseline"/>
        </w:rPr>
        <w:t> </w:t>
      </w:r>
      <w:r>
        <w:rPr>
          <w:vertAlign w:val="baseline"/>
        </w:rPr>
        <w:t>consideration</w:t>
      </w:r>
      <w:r>
        <w:rPr>
          <w:spacing w:val="-4"/>
          <w:vertAlign w:val="baseline"/>
        </w:rPr>
        <w:t> </w:t>
      </w:r>
      <w:r>
        <w:rPr>
          <w:vertAlign w:val="baseline"/>
        </w:rPr>
        <w:t>for</w:t>
      </w:r>
      <w:r>
        <w:rPr>
          <w:spacing w:val="-4"/>
          <w:vertAlign w:val="baseline"/>
        </w:rPr>
        <w:t> </w:t>
      </w:r>
      <w:r>
        <w:rPr>
          <w:vertAlign w:val="baseline"/>
        </w:rPr>
        <w:t>a</w:t>
      </w:r>
      <w:r>
        <w:rPr>
          <w:spacing w:val="-4"/>
          <w:vertAlign w:val="baseline"/>
        </w:rPr>
        <w:t> </w:t>
      </w:r>
      <w:r>
        <w:rPr>
          <w:vertAlign w:val="baseline"/>
        </w:rPr>
        <w:t>counter-promise;</w:t>
      </w:r>
      <w:r>
        <w:rPr>
          <w:spacing w:val="-4"/>
          <w:vertAlign w:val="baseline"/>
        </w:rPr>
        <w:t> </w:t>
      </w:r>
      <w:r>
        <w:rPr>
          <w:vertAlign w:val="baseline"/>
        </w:rPr>
        <w:t>but</w:t>
      </w:r>
      <w:r>
        <w:rPr>
          <w:spacing w:val="-4"/>
          <w:vertAlign w:val="baseline"/>
        </w:rPr>
        <w:t> </w:t>
      </w:r>
      <w:r>
        <w:rPr>
          <w:vertAlign w:val="baseline"/>
        </w:rPr>
        <w:t>actually carrying</w:t>
      </w:r>
      <w:r>
        <w:rPr>
          <w:spacing w:val="44"/>
          <w:vertAlign w:val="baseline"/>
        </w:rPr>
        <w:t> </w:t>
      </w:r>
      <w:r>
        <w:rPr>
          <w:vertAlign w:val="baseline"/>
        </w:rPr>
        <w:t>on</w:t>
      </w:r>
      <w:r>
        <w:rPr>
          <w:spacing w:val="44"/>
          <w:vertAlign w:val="baseline"/>
        </w:rPr>
        <w:t> </w:t>
      </w:r>
      <w:r>
        <w:rPr>
          <w:vertAlign w:val="baseline"/>
        </w:rPr>
        <w:t>the</w:t>
      </w:r>
      <w:r>
        <w:rPr>
          <w:spacing w:val="44"/>
          <w:vertAlign w:val="baseline"/>
        </w:rPr>
        <w:t> </w:t>
      </w:r>
      <w:r>
        <w:rPr>
          <w:vertAlign w:val="baseline"/>
        </w:rPr>
        <w:t>negotiations</w:t>
      </w:r>
      <w:r>
        <w:rPr>
          <w:spacing w:val="44"/>
          <w:vertAlign w:val="baseline"/>
        </w:rPr>
        <w:t> </w:t>
      </w:r>
      <w:r>
        <w:rPr>
          <w:vertAlign w:val="baseline"/>
        </w:rPr>
        <w:t>can</w:t>
      </w:r>
      <w:r>
        <w:rPr>
          <w:spacing w:val="45"/>
          <w:vertAlign w:val="baseline"/>
        </w:rPr>
        <w:t> </w:t>
      </w:r>
      <w:r>
        <w:rPr>
          <w:vertAlign w:val="baseline"/>
        </w:rPr>
        <w:t>satisfy</w:t>
      </w:r>
      <w:r>
        <w:rPr>
          <w:spacing w:val="44"/>
          <w:vertAlign w:val="baseline"/>
        </w:rPr>
        <w:t> </w:t>
      </w:r>
      <w:r>
        <w:rPr>
          <w:vertAlign w:val="baseline"/>
        </w:rPr>
        <w:t>the</w:t>
      </w:r>
      <w:r>
        <w:rPr>
          <w:spacing w:val="44"/>
          <w:vertAlign w:val="baseline"/>
        </w:rPr>
        <w:t> </w:t>
      </w:r>
      <w:r>
        <w:rPr>
          <w:vertAlign w:val="baseline"/>
        </w:rPr>
        <w:t>requirement</w:t>
      </w:r>
      <w:r>
        <w:rPr>
          <w:spacing w:val="44"/>
          <w:vertAlign w:val="baseline"/>
        </w:rPr>
        <w:t> </w:t>
      </w:r>
      <w:r>
        <w:rPr>
          <w:vertAlign w:val="baseline"/>
        </w:rPr>
        <w:t>of</w:t>
      </w:r>
      <w:r>
        <w:rPr>
          <w:spacing w:val="44"/>
          <w:vertAlign w:val="baseline"/>
        </w:rPr>
        <w:t> </w:t>
      </w:r>
      <w:r>
        <w:rPr>
          <w:vertAlign w:val="baseline"/>
        </w:rPr>
        <w:t>consideration.</w:t>
      </w:r>
      <w:r>
        <w:rPr>
          <w:spacing w:val="44"/>
          <w:vertAlign w:val="baseline"/>
        </w:rPr>
        <w:t> </w:t>
      </w:r>
      <w:r>
        <w:rPr>
          <w:color w:val="005DA1"/>
          <w:u w:val="single" w:color="005DA1"/>
          <w:vertAlign w:val="superscript"/>
        </w:rPr>
        <w:t>1259</w:t>
      </w:r>
      <w:r>
        <w:rPr>
          <w:color w:val="005DA1"/>
          <w:spacing w:val="44"/>
          <w:vertAlign w:val="baseline"/>
        </w:rPr>
        <w:t> </w:t>
      </w:r>
      <w:r>
        <w:rPr>
          <w:vertAlign w:val="baseline"/>
        </w:rPr>
        <w:t>Likewise,</w:t>
      </w:r>
      <w:r>
        <w:rPr>
          <w:spacing w:val="44"/>
          <w:vertAlign w:val="baseline"/>
        </w:rPr>
        <w:t> </w:t>
      </w:r>
      <w:r>
        <w:rPr>
          <w:vertAlign w:val="baseline"/>
        </w:rPr>
        <w:t>where</w:t>
      </w:r>
      <w:r>
        <w:rPr>
          <w:spacing w:val="44"/>
          <w:vertAlign w:val="baseline"/>
        </w:rPr>
        <w:t> </w:t>
      </w:r>
      <w:r>
        <w:rPr>
          <w:spacing w:val="-12"/>
          <w:vertAlign w:val="baseline"/>
        </w:rPr>
        <w:t>a</w:t>
      </w:r>
    </w:p>
    <w:p>
      <w:pPr>
        <w:pStyle w:val="BodyText"/>
        <w:spacing w:after="0" w:line="235" w:lineRule="auto"/>
        <w:jc w:val="both"/>
        <w:sectPr>
          <w:headerReference w:type="default" r:id="rId60"/>
          <w:headerReference w:type="even" r:id="rId61"/>
          <w:pgSz w:w="11900" w:h="16840"/>
          <w:pgMar w:header="971" w:footer="0" w:top="1160" w:bottom="280" w:left="1275" w:right="1275"/>
          <w:pgNumType w:start="1"/>
        </w:sectPr>
      </w:pPr>
    </w:p>
    <w:p>
      <w:pPr>
        <w:pStyle w:val="BodyText"/>
        <w:spacing w:before="24"/>
      </w:pPr>
    </w:p>
    <w:p>
      <w:pPr>
        <w:pStyle w:val="BodyText"/>
        <w:spacing w:line="235" w:lineRule="auto" w:before="1"/>
        <w:ind w:left="164" w:right="167"/>
        <w:jc w:val="both"/>
      </w:pPr>
      <w:r>
        <w:rPr/>
        <w:t>promise would not bind the Crown because it purported to fetter the Crown’s discretion, the </w:t>
      </w:r>
      <w:r>
        <w:rPr/>
        <w:t>actual performance of the promise can nevertheless constitute consideration for a counterpromise. </w:t>
      </w:r>
      <w:r>
        <w:rPr>
          <w:color w:val="005DA1"/>
          <w:u w:val="single" w:color="005DA1"/>
          <w:vertAlign w:val="superscript"/>
        </w:rPr>
        <w:t>1260</w:t>
      </w:r>
      <w:r>
        <w:rPr>
          <w:color w:val="005DA1"/>
          <w:vertAlign w:val="baseline"/>
        </w:rPr>
        <w:t> </w:t>
      </w:r>
      <w:r>
        <w:rPr>
          <w:vertAlign w:val="baseline"/>
        </w:rPr>
        <w:t>A similar</w:t>
      </w:r>
      <w:r>
        <w:rPr>
          <w:spacing w:val="-2"/>
          <w:vertAlign w:val="baseline"/>
        </w:rPr>
        <w:t> </w:t>
      </w:r>
      <w:r>
        <w:rPr>
          <w:vertAlign w:val="baseline"/>
        </w:rPr>
        <w:t>principle</w:t>
      </w:r>
      <w:r>
        <w:rPr>
          <w:spacing w:val="-2"/>
          <w:vertAlign w:val="baseline"/>
        </w:rPr>
        <w:t> </w:t>
      </w:r>
      <w:r>
        <w:rPr>
          <w:vertAlign w:val="baseline"/>
        </w:rPr>
        <w:t>applies</w:t>
      </w:r>
      <w:r>
        <w:rPr>
          <w:spacing w:val="-2"/>
          <w:vertAlign w:val="baseline"/>
        </w:rPr>
        <w:t> </w:t>
      </w:r>
      <w:r>
        <w:rPr>
          <w:vertAlign w:val="baseline"/>
        </w:rPr>
        <w:t>where</w:t>
      </w:r>
      <w:r>
        <w:rPr>
          <w:spacing w:val="-2"/>
          <w:vertAlign w:val="baseline"/>
        </w:rPr>
        <w:t> </w:t>
      </w:r>
      <w:r>
        <w:rPr>
          <w:vertAlign w:val="baseline"/>
        </w:rPr>
        <w:t>a</w:t>
      </w:r>
      <w:r>
        <w:rPr>
          <w:spacing w:val="-2"/>
          <w:vertAlign w:val="baseline"/>
        </w:rPr>
        <w:t> </w:t>
      </w:r>
      <w:r>
        <w:rPr>
          <w:vertAlign w:val="baseline"/>
        </w:rPr>
        <w:t>victim</w:t>
      </w:r>
      <w:r>
        <w:rPr>
          <w:spacing w:val="-2"/>
          <w:vertAlign w:val="baseline"/>
        </w:rPr>
        <w:t> </w:t>
      </w:r>
      <w:r>
        <w:rPr>
          <w:vertAlign w:val="baseline"/>
        </w:rPr>
        <w:t>of</w:t>
      </w:r>
      <w:r>
        <w:rPr>
          <w:spacing w:val="-2"/>
          <w:vertAlign w:val="baseline"/>
        </w:rPr>
        <w:t> </w:t>
      </w:r>
      <w:r>
        <w:rPr>
          <w:vertAlign w:val="baseline"/>
        </w:rPr>
        <w:t>fraud,</w:t>
      </w:r>
      <w:r>
        <w:rPr>
          <w:spacing w:val="-2"/>
          <w:vertAlign w:val="baseline"/>
        </w:rPr>
        <w:t> </w:t>
      </w:r>
      <w:r>
        <w:rPr>
          <w:vertAlign w:val="baseline"/>
        </w:rPr>
        <w:t>misrepresentation,</w:t>
      </w:r>
      <w:r>
        <w:rPr>
          <w:spacing w:val="-2"/>
          <w:vertAlign w:val="baseline"/>
        </w:rPr>
        <w:t> </w:t>
      </w:r>
      <w:r>
        <w:rPr>
          <w:vertAlign w:val="baseline"/>
        </w:rPr>
        <w:t>duress</w:t>
      </w:r>
      <w:r>
        <w:rPr>
          <w:spacing w:val="-2"/>
          <w:vertAlign w:val="baseline"/>
        </w:rPr>
        <w:t> </w:t>
      </w:r>
      <w:r>
        <w:rPr>
          <w:vertAlign w:val="baseline"/>
        </w:rPr>
        <w:t>or</w:t>
      </w:r>
      <w:r>
        <w:rPr>
          <w:spacing w:val="-2"/>
          <w:vertAlign w:val="baseline"/>
        </w:rPr>
        <w:t> </w:t>
      </w:r>
      <w:r>
        <w:rPr>
          <w:vertAlign w:val="baseline"/>
        </w:rPr>
        <w:t>undue</w:t>
      </w:r>
      <w:r>
        <w:rPr>
          <w:spacing w:val="-2"/>
          <w:vertAlign w:val="baseline"/>
        </w:rPr>
        <w:t> </w:t>
      </w:r>
      <w:r>
        <w:rPr>
          <w:vertAlign w:val="baseline"/>
        </w:rPr>
        <w:t>influence</w:t>
      </w:r>
      <w:r>
        <w:rPr>
          <w:spacing w:val="-2"/>
          <w:vertAlign w:val="baseline"/>
        </w:rPr>
        <w:t> </w:t>
      </w:r>
      <w:r>
        <w:rPr>
          <w:vertAlign w:val="baseline"/>
        </w:rPr>
        <w:t>can</w:t>
      </w:r>
      <w:r>
        <w:rPr>
          <w:spacing w:val="-2"/>
          <w:vertAlign w:val="baseline"/>
        </w:rPr>
        <w:t> </w:t>
      </w:r>
      <w:r>
        <w:rPr>
          <w:vertAlign w:val="baseline"/>
        </w:rPr>
        <w:t>sue but not be sued: by suing, he affirms the contract, makes his own promise binding, and so supplies consideration. But where the promise of one party is illegal even its performance does not entitle that party to enforce the counter-promise, </w:t>
      </w:r>
      <w:r>
        <w:rPr>
          <w:color w:val="005DA1"/>
          <w:u w:val="single" w:color="005DA1"/>
          <w:vertAlign w:val="superscript"/>
        </w:rPr>
        <w:t>1261</w:t>
      </w:r>
      <w:r>
        <w:rPr>
          <w:color w:val="005DA1"/>
          <w:vertAlign w:val="baseline"/>
        </w:rPr>
        <w:t> </w:t>
      </w:r>
      <w:r>
        <w:rPr>
          <w:vertAlign w:val="baseline"/>
        </w:rPr>
        <w:t>for the law must not give him any incentive to perform the illegal promise.</w:t>
      </w:r>
    </w:p>
    <w:p>
      <w:pPr>
        <w:pStyle w:val="BodyText"/>
      </w:pPr>
    </w:p>
    <w:p>
      <w:pPr>
        <w:pStyle w:val="BodyText"/>
        <w:spacing w:before="36"/>
      </w:pPr>
    </w:p>
    <w:p>
      <w:pPr>
        <w:spacing w:before="0"/>
        <w:ind w:left="165" w:right="0" w:firstLine="0"/>
        <w:jc w:val="both"/>
        <w:rPr>
          <w:rFonts w:ascii="Arial"/>
          <w:b/>
          <w:sz w:val="18"/>
        </w:rPr>
      </w:pPr>
      <w:r>
        <w:rPr>
          <w:rFonts w:ascii="Arial"/>
          <w:b/>
          <w:sz w:val="18"/>
        </w:rPr>
        <w:t>Promise defective by </w:t>
      </w:r>
      <w:r>
        <w:rPr>
          <w:rFonts w:ascii="Arial"/>
          <w:b/>
          <w:spacing w:val="-2"/>
          <w:sz w:val="18"/>
        </w:rPr>
        <w:t>statute</w:t>
      </w:r>
    </w:p>
    <w:p>
      <w:pPr>
        <w:pStyle w:val="BodyText"/>
        <w:spacing w:before="41"/>
        <w:rPr>
          <w:rFonts w:ascii="Arial"/>
          <w:b/>
          <w:sz w:val="18"/>
        </w:rPr>
      </w:pPr>
    </w:p>
    <w:p>
      <w:pPr>
        <w:pStyle w:val="Heading2"/>
      </w:pPr>
      <w:r>
        <w:rPr/>
        <w:t>4-</w:t>
      </w:r>
      <w:r>
        <w:rPr>
          <w:spacing w:val="-5"/>
        </w:rPr>
        <w:t>189</w:t>
      </w:r>
    </w:p>
    <w:p>
      <w:pPr>
        <w:pStyle w:val="BodyText"/>
        <w:spacing w:line="235" w:lineRule="auto" w:before="203"/>
        <w:ind w:left="165" w:right="167"/>
        <w:jc w:val="both"/>
      </w:pPr>
      <w:r>
        <w:rPr/>
        <w:t>Where one of the promises is defective by statute, the statute may expressly solve the problem whether the person giving the defective promise can sue on the counter-promise. </w:t>
      </w:r>
      <w:r>
        <w:rPr>
          <w:color w:val="005DA1"/>
          <w:u w:val="single" w:color="005DA1"/>
          <w:vertAlign w:val="superscript"/>
        </w:rPr>
        <w:t>1262</w:t>
      </w:r>
      <w:r>
        <w:rPr>
          <w:color w:val="005DA1"/>
          <w:vertAlign w:val="baseline"/>
        </w:rPr>
        <w:t> </w:t>
      </w:r>
      <w:r>
        <w:rPr>
          <w:vertAlign w:val="baseline"/>
        </w:rPr>
        <w:t>Thus a party who gives a promise which is defective under s.4 of the Statute of Frauds 1677, or under s.34 of the Matrimonial Causes Act 1973 may, in spite of not being bound by that promise, be entitled to enforce the counter-promise, </w:t>
      </w:r>
      <w:r>
        <w:rPr>
          <w:color w:val="005DA1"/>
          <w:u w:val="single" w:color="005DA1"/>
          <w:vertAlign w:val="superscript"/>
        </w:rPr>
        <w:t>1263</w:t>
      </w:r>
      <w:r>
        <w:rPr>
          <w:color w:val="005DA1"/>
          <w:vertAlign w:val="baseline"/>
        </w:rPr>
        <w:t> </w:t>
      </w:r>
      <w:r>
        <w:rPr>
          <w:vertAlign w:val="baseline"/>
        </w:rPr>
        <w:t>and this may be so even though for other purposes (such as the validity of a disposition) his or her promise, precisely because it is void, cannot constitute consideration. </w:t>
      </w:r>
      <w:r>
        <w:rPr>
          <w:color w:val="005DA1"/>
          <w:u w:val="single" w:color="005DA1"/>
          <w:vertAlign w:val="superscript"/>
        </w:rPr>
        <w:t>1264</w:t>
      </w:r>
      <w:r>
        <w:rPr>
          <w:color w:val="005DA1"/>
          <w:vertAlign w:val="baseline"/>
        </w:rPr>
        <w:t> </w:t>
      </w:r>
      <w:r>
        <w:rPr>
          <w:vertAlign w:val="baseline"/>
        </w:rPr>
        <w:t>Where a statute invalidates a promise but does not provide for the effect of its invalidity on the other party’s counter-promise, the general rule seems to be that the invalid promise is not good consideration</w:t>
      </w:r>
      <w:r>
        <w:rPr>
          <w:spacing w:val="-4"/>
          <w:vertAlign w:val="baseline"/>
        </w:rPr>
        <w:t> </w:t>
      </w:r>
      <w:r>
        <w:rPr>
          <w:color w:val="005DA1"/>
          <w:u w:val="single" w:color="005DA1"/>
          <w:vertAlign w:val="superscript"/>
        </w:rPr>
        <w:t>1265</w:t>
      </w:r>
      <w:r>
        <w:rPr>
          <w:vertAlign w:val="baseline"/>
        </w:rPr>
        <w:t>;</w:t>
      </w:r>
      <w:r>
        <w:rPr>
          <w:spacing w:val="-4"/>
          <w:vertAlign w:val="baseline"/>
        </w:rPr>
        <w:t> </w:t>
      </w:r>
      <w:r>
        <w:rPr>
          <w:vertAlign w:val="baseline"/>
        </w:rPr>
        <w:t>but,</w:t>
      </w:r>
      <w:r>
        <w:rPr>
          <w:spacing w:val="-4"/>
          <w:vertAlign w:val="baseline"/>
        </w:rPr>
        <w:t> </w:t>
      </w:r>
      <w:r>
        <w:rPr>
          <w:vertAlign w:val="baseline"/>
        </w:rPr>
        <w:t>unless</w:t>
      </w:r>
      <w:r>
        <w:rPr>
          <w:spacing w:val="-4"/>
          <w:vertAlign w:val="baseline"/>
        </w:rPr>
        <w:t> </w:t>
      </w:r>
      <w:r>
        <w:rPr>
          <w:vertAlign w:val="baseline"/>
        </w:rPr>
        <w:t>that</w:t>
      </w:r>
      <w:r>
        <w:rPr>
          <w:spacing w:val="-4"/>
          <w:vertAlign w:val="baseline"/>
        </w:rPr>
        <w:t> </w:t>
      </w:r>
      <w:r>
        <w:rPr>
          <w:vertAlign w:val="baseline"/>
        </w:rPr>
        <w:t>promise</w:t>
      </w:r>
      <w:r>
        <w:rPr>
          <w:spacing w:val="-4"/>
          <w:vertAlign w:val="baseline"/>
        </w:rPr>
        <w:t> </w:t>
      </w:r>
      <w:r>
        <w:rPr>
          <w:vertAlign w:val="baseline"/>
        </w:rPr>
        <w:t>is</w:t>
      </w:r>
      <w:r>
        <w:rPr>
          <w:spacing w:val="-4"/>
          <w:vertAlign w:val="baseline"/>
        </w:rPr>
        <w:t> </w:t>
      </w:r>
      <w:r>
        <w:rPr>
          <w:vertAlign w:val="baseline"/>
        </w:rPr>
        <w:t>illegal,</w:t>
      </w:r>
      <w:r>
        <w:rPr>
          <w:spacing w:val="-4"/>
          <w:vertAlign w:val="baseline"/>
        </w:rPr>
        <w:t> </w:t>
      </w:r>
      <w:r>
        <w:rPr>
          <w:vertAlign w:val="baseline"/>
        </w:rPr>
        <w:t>the</w:t>
      </w:r>
      <w:r>
        <w:rPr>
          <w:spacing w:val="-4"/>
          <w:vertAlign w:val="baseline"/>
        </w:rPr>
        <w:t> </w:t>
      </w:r>
      <w:r>
        <w:rPr>
          <w:vertAlign w:val="baseline"/>
        </w:rPr>
        <w:t>party</w:t>
      </w:r>
      <w:r>
        <w:rPr>
          <w:spacing w:val="-4"/>
          <w:vertAlign w:val="baseline"/>
        </w:rPr>
        <w:t> </w:t>
      </w:r>
      <w:r>
        <w:rPr>
          <w:vertAlign w:val="baseline"/>
        </w:rPr>
        <w:t>giving</w:t>
      </w:r>
      <w:r>
        <w:rPr>
          <w:spacing w:val="-4"/>
          <w:vertAlign w:val="baseline"/>
        </w:rPr>
        <w:t> </w:t>
      </w:r>
      <w:r>
        <w:rPr>
          <w:vertAlign w:val="baseline"/>
        </w:rPr>
        <w:t>it</w:t>
      </w:r>
      <w:r>
        <w:rPr>
          <w:spacing w:val="-4"/>
          <w:vertAlign w:val="baseline"/>
        </w:rPr>
        <w:t> </w:t>
      </w:r>
      <w:r>
        <w:rPr>
          <w:vertAlign w:val="baseline"/>
        </w:rPr>
        <w:t>can</w:t>
      </w:r>
      <w:r>
        <w:rPr>
          <w:spacing w:val="-4"/>
          <w:vertAlign w:val="baseline"/>
        </w:rPr>
        <w:t> </w:t>
      </w:r>
      <w:r>
        <w:rPr>
          <w:vertAlign w:val="baseline"/>
        </w:rPr>
        <w:t>sue</w:t>
      </w:r>
      <w:r>
        <w:rPr>
          <w:spacing w:val="-4"/>
          <w:vertAlign w:val="baseline"/>
        </w:rPr>
        <w:t> </w:t>
      </w:r>
      <w:r>
        <w:rPr>
          <w:vertAlign w:val="baseline"/>
        </w:rPr>
        <w:t>on</w:t>
      </w:r>
      <w:r>
        <w:rPr>
          <w:spacing w:val="-4"/>
          <w:vertAlign w:val="baseline"/>
        </w:rPr>
        <w:t> </w:t>
      </w:r>
      <w:r>
        <w:rPr>
          <w:vertAlign w:val="baseline"/>
        </w:rPr>
        <w:t>the</w:t>
      </w:r>
      <w:r>
        <w:rPr>
          <w:spacing w:val="-4"/>
          <w:vertAlign w:val="baseline"/>
        </w:rPr>
        <w:t> </w:t>
      </w:r>
      <w:r>
        <w:rPr>
          <w:vertAlign w:val="baseline"/>
        </w:rPr>
        <w:t>counter-promise if he actually performs his promise. </w:t>
      </w:r>
      <w:r>
        <w:rPr>
          <w:color w:val="005DA1"/>
          <w:u w:val="single" w:color="005DA1"/>
          <w:vertAlign w:val="superscript"/>
        </w:rPr>
        <w:t>1266</w:t>
      </w:r>
    </w:p>
    <w:p>
      <w:pPr>
        <w:pStyle w:val="BodyText"/>
      </w:pPr>
    </w:p>
    <w:p>
      <w:pPr>
        <w:pStyle w:val="BodyText"/>
        <w:spacing w:before="34"/>
      </w:pPr>
    </w:p>
    <w:p>
      <w:pPr>
        <w:spacing w:before="0"/>
        <w:ind w:left="165" w:right="0" w:firstLine="0"/>
        <w:jc w:val="left"/>
        <w:rPr>
          <w:rFonts w:ascii="Arial"/>
          <w:b/>
          <w:sz w:val="18"/>
        </w:rPr>
      </w:pPr>
      <w:r>
        <w:rPr>
          <w:rFonts w:ascii="Arial"/>
          <w:b/>
          <w:sz w:val="18"/>
        </w:rPr>
        <w:t>Both promises defective by </w:t>
      </w:r>
      <w:r>
        <w:rPr>
          <w:rFonts w:ascii="Arial"/>
          <w:b/>
          <w:spacing w:val="-2"/>
          <w:sz w:val="18"/>
        </w:rPr>
        <w:t>statute</w:t>
      </w:r>
    </w:p>
    <w:p>
      <w:pPr>
        <w:pStyle w:val="BodyText"/>
        <w:spacing w:before="42"/>
        <w:rPr>
          <w:rFonts w:ascii="Arial"/>
          <w:b/>
          <w:sz w:val="18"/>
        </w:rPr>
      </w:pPr>
    </w:p>
    <w:p>
      <w:pPr>
        <w:pStyle w:val="Heading2"/>
      </w:pPr>
      <w:r>
        <w:rPr/>
        <w:t>4-</w:t>
      </w:r>
      <w:r>
        <w:rPr>
          <w:spacing w:val="-5"/>
        </w:rPr>
        <w:t>190</w:t>
      </w:r>
    </w:p>
    <w:p>
      <w:pPr>
        <w:pStyle w:val="BodyText"/>
        <w:spacing w:line="235" w:lineRule="auto" w:before="202"/>
        <w:ind w:left="164" w:right="167"/>
        <w:jc w:val="both"/>
      </w:pPr>
      <w:r>
        <w:rPr/>
        <w:t>A statute may also invalidate </w:t>
      </w:r>
      <w:r>
        <w:rPr>
          <w:rFonts w:ascii="Arial" w:hAnsi="Arial"/>
          <w:i/>
        </w:rPr>
        <w:t>both </w:t>
      </w:r>
      <w:r>
        <w:rPr/>
        <w:t>promises. Formerly, this was the position with regard to </w:t>
      </w:r>
      <w:r>
        <w:rPr/>
        <w:t>contracts “by way of gaming or wagering”, which were “null and void” under section 18 of the Gaming Act 1845. This section has been repealed by the Gambling Act 2005, </w:t>
      </w:r>
      <w:r>
        <w:rPr>
          <w:color w:val="005DA1"/>
          <w:u w:val="single" w:color="005DA1"/>
          <w:vertAlign w:val="superscript"/>
        </w:rPr>
        <w:t>1267</w:t>
      </w:r>
      <w:r>
        <w:rPr>
          <w:color w:val="005DA1"/>
          <w:vertAlign w:val="baseline"/>
        </w:rPr>
        <w:t> </w:t>
      </w:r>
      <w:r>
        <w:rPr>
          <w:vertAlign w:val="baseline"/>
        </w:rPr>
        <w:t>section 335(1) of which provides that, as</w:t>
      </w:r>
      <w:r>
        <w:rPr>
          <w:spacing w:val="-2"/>
          <w:vertAlign w:val="baseline"/>
        </w:rPr>
        <w:t> </w:t>
      </w:r>
      <w:r>
        <w:rPr>
          <w:vertAlign w:val="baseline"/>
        </w:rPr>
        <w:t>a</w:t>
      </w:r>
      <w:r>
        <w:rPr>
          <w:spacing w:val="-2"/>
          <w:vertAlign w:val="baseline"/>
        </w:rPr>
        <w:t> </w:t>
      </w:r>
      <w:r>
        <w:rPr>
          <w:vertAlign w:val="baseline"/>
        </w:rPr>
        <w:t>general</w:t>
      </w:r>
      <w:r>
        <w:rPr>
          <w:spacing w:val="-2"/>
          <w:vertAlign w:val="baseline"/>
        </w:rPr>
        <w:t> </w:t>
      </w:r>
      <w:r>
        <w:rPr>
          <w:vertAlign w:val="baseline"/>
        </w:rPr>
        <w:t>rule,</w:t>
      </w:r>
      <w:r>
        <w:rPr>
          <w:spacing w:val="-2"/>
          <w:vertAlign w:val="baseline"/>
        </w:rPr>
        <w:t> </w:t>
      </w:r>
      <w:r>
        <w:rPr>
          <w:vertAlign w:val="baseline"/>
        </w:rPr>
        <w:t>“[t]he</w:t>
      </w:r>
      <w:r>
        <w:rPr>
          <w:spacing w:val="-2"/>
          <w:vertAlign w:val="baseline"/>
        </w:rPr>
        <w:t> </w:t>
      </w:r>
      <w:r>
        <w:rPr>
          <w:vertAlign w:val="baseline"/>
        </w:rPr>
        <w:t>fact</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relates</w:t>
      </w:r>
      <w:r>
        <w:rPr>
          <w:spacing w:val="-2"/>
          <w:vertAlign w:val="baseline"/>
        </w:rPr>
        <w:t> </w:t>
      </w:r>
      <w:r>
        <w:rPr>
          <w:vertAlign w:val="baseline"/>
        </w:rPr>
        <w:t>to</w:t>
      </w:r>
      <w:r>
        <w:rPr>
          <w:spacing w:val="-2"/>
          <w:vertAlign w:val="baseline"/>
        </w:rPr>
        <w:t> </w:t>
      </w:r>
      <w:r>
        <w:rPr>
          <w:vertAlign w:val="baseline"/>
        </w:rPr>
        <w:t>gambling</w:t>
      </w:r>
      <w:r>
        <w:rPr>
          <w:spacing w:val="-2"/>
          <w:vertAlign w:val="baseline"/>
        </w:rPr>
        <w:t> </w:t>
      </w:r>
      <w:r>
        <w:rPr>
          <w:vertAlign w:val="baseline"/>
        </w:rPr>
        <w:t>shall</w:t>
      </w:r>
      <w:r>
        <w:rPr>
          <w:spacing w:val="-2"/>
          <w:vertAlign w:val="baseline"/>
        </w:rPr>
        <w:t> </w:t>
      </w:r>
      <w:r>
        <w:rPr>
          <w:vertAlign w:val="baseline"/>
        </w:rPr>
        <w:t>not</w:t>
      </w:r>
      <w:r>
        <w:rPr>
          <w:spacing w:val="-2"/>
          <w:vertAlign w:val="baseline"/>
        </w:rPr>
        <w:t> </w:t>
      </w:r>
      <w:r>
        <w:rPr>
          <w:vertAlign w:val="baseline"/>
        </w:rPr>
        <w:t>prevent</w:t>
      </w:r>
      <w:r>
        <w:rPr>
          <w:spacing w:val="-2"/>
          <w:vertAlign w:val="baseline"/>
        </w:rPr>
        <w:t> </w:t>
      </w:r>
      <w:r>
        <w:rPr>
          <w:vertAlign w:val="baseline"/>
        </w:rPr>
        <w:t>its</w:t>
      </w:r>
      <w:r>
        <w:rPr>
          <w:spacing w:val="-2"/>
          <w:vertAlign w:val="baseline"/>
        </w:rPr>
        <w:t> </w:t>
      </w:r>
      <w:r>
        <w:rPr>
          <w:vertAlign w:val="baseline"/>
        </w:rPr>
        <w:t>enforcement.”</w:t>
      </w:r>
      <w:r>
        <w:rPr>
          <w:spacing w:val="-2"/>
          <w:vertAlign w:val="baseline"/>
        </w:rPr>
        <w:t> </w:t>
      </w:r>
      <w:r>
        <w:rPr>
          <w:vertAlign w:val="baseline"/>
        </w:rPr>
        <w:t>This subsection</w:t>
      </w:r>
      <w:r>
        <w:rPr>
          <w:spacing w:val="-1"/>
          <w:vertAlign w:val="baseline"/>
        </w:rPr>
        <w:t> </w:t>
      </w:r>
      <w:r>
        <w:rPr>
          <w:vertAlign w:val="baseline"/>
        </w:rPr>
        <w:t>does</w:t>
      </w:r>
      <w:r>
        <w:rPr>
          <w:spacing w:val="-1"/>
          <w:vertAlign w:val="baseline"/>
        </w:rPr>
        <w:t> </w:t>
      </w:r>
      <w:r>
        <w:rPr>
          <w:vertAlign w:val="baseline"/>
        </w:rPr>
        <w:t>not</w:t>
      </w:r>
      <w:r>
        <w:rPr>
          <w:spacing w:val="-1"/>
          <w:vertAlign w:val="baseline"/>
        </w:rPr>
        <w:t> </w:t>
      </w:r>
      <w:r>
        <w:rPr>
          <w:vertAlign w:val="baseline"/>
        </w:rPr>
        <w:t>prejudice</w:t>
      </w:r>
      <w:r>
        <w:rPr>
          <w:spacing w:val="-1"/>
          <w:vertAlign w:val="baseline"/>
        </w:rPr>
        <w:t> </w:t>
      </w:r>
      <w:r>
        <w:rPr>
          <w:vertAlign w:val="baseline"/>
        </w:rPr>
        <w:t>“any</w:t>
      </w:r>
      <w:r>
        <w:rPr>
          <w:spacing w:val="-1"/>
          <w:vertAlign w:val="baseline"/>
        </w:rPr>
        <w:t> </w:t>
      </w:r>
      <w:r>
        <w:rPr>
          <w:vertAlign w:val="baseline"/>
        </w:rPr>
        <w:t>rule</w:t>
      </w:r>
      <w:r>
        <w:rPr>
          <w:spacing w:val="-1"/>
          <w:vertAlign w:val="baseline"/>
        </w:rPr>
        <w:t> </w:t>
      </w:r>
      <w:r>
        <w:rPr>
          <w:vertAlign w:val="baseline"/>
        </w:rPr>
        <w:t>of</w:t>
      </w:r>
      <w:r>
        <w:rPr>
          <w:spacing w:val="-1"/>
          <w:vertAlign w:val="baseline"/>
        </w:rPr>
        <w:t> </w:t>
      </w:r>
      <w:r>
        <w:rPr>
          <w:vertAlign w:val="baseline"/>
        </w:rPr>
        <w:t>law</w:t>
      </w:r>
      <w:r>
        <w:rPr>
          <w:spacing w:val="-1"/>
          <w:vertAlign w:val="baseline"/>
        </w:rPr>
        <w:t> </w:t>
      </w:r>
      <w:r>
        <w:rPr>
          <w:vertAlign w:val="baseline"/>
        </w:rPr>
        <w:t>preventing</w:t>
      </w:r>
      <w:r>
        <w:rPr>
          <w:spacing w:val="-1"/>
          <w:vertAlign w:val="baseline"/>
        </w:rPr>
        <w:t> </w:t>
      </w:r>
      <w:r>
        <w:rPr>
          <w:vertAlign w:val="baseline"/>
        </w:rPr>
        <w:t>the</w:t>
      </w:r>
      <w:r>
        <w:rPr>
          <w:spacing w:val="-1"/>
          <w:vertAlign w:val="baseline"/>
        </w:rPr>
        <w:t> </w:t>
      </w:r>
      <w:r>
        <w:rPr>
          <w:vertAlign w:val="baseline"/>
        </w:rPr>
        <w:t>enforcement</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ground of unlawfulness … ” </w:t>
      </w:r>
      <w:r>
        <w:rPr>
          <w:color w:val="005DA1"/>
          <w:u w:val="single" w:color="005DA1"/>
          <w:vertAlign w:val="superscript"/>
        </w:rPr>
        <w:t>1268</w:t>
      </w:r>
      <w:r>
        <w:rPr>
          <w:color w:val="005DA1"/>
          <w:vertAlign w:val="baseline"/>
        </w:rPr>
        <w:t> </w:t>
      </w:r>
      <w:r>
        <w:rPr>
          <w:vertAlign w:val="baseline"/>
        </w:rPr>
        <w:t>so that where (for example) a party had, in relation to the gambling contract committed</w:t>
      </w:r>
      <w:r>
        <w:rPr>
          <w:spacing w:val="-1"/>
          <w:vertAlign w:val="baseline"/>
        </w:rPr>
        <w:t> </w:t>
      </w:r>
      <w:r>
        <w:rPr>
          <w:vertAlign w:val="baseline"/>
        </w:rPr>
        <w:t>an</w:t>
      </w:r>
      <w:r>
        <w:rPr>
          <w:spacing w:val="-1"/>
          <w:vertAlign w:val="baseline"/>
        </w:rPr>
        <w:t> </w:t>
      </w:r>
      <w:r>
        <w:rPr>
          <w:vertAlign w:val="baseline"/>
        </w:rPr>
        <w:t>offence</w:t>
      </w:r>
      <w:r>
        <w:rPr>
          <w:spacing w:val="-1"/>
          <w:vertAlign w:val="baseline"/>
        </w:rPr>
        <w:t> </w:t>
      </w:r>
      <w:r>
        <w:rPr>
          <w:vertAlign w:val="baseline"/>
        </w:rPr>
        <w:t>under</w:t>
      </w:r>
      <w:r>
        <w:rPr>
          <w:spacing w:val="-1"/>
          <w:vertAlign w:val="baseline"/>
        </w:rPr>
        <w:t> </w:t>
      </w:r>
      <w:r>
        <w:rPr>
          <w:vertAlign w:val="baseline"/>
        </w:rPr>
        <w:t>the</w:t>
      </w:r>
      <w:r>
        <w:rPr>
          <w:spacing w:val="-1"/>
          <w:vertAlign w:val="baseline"/>
        </w:rPr>
        <w:t> </w:t>
      </w:r>
      <w:r>
        <w:rPr>
          <w:vertAlign w:val="baseline"/>
        </w:rPr>
        <w:t>2005</w:t>
      </w:r>
      <w:r>
        <w:rPr>
          <w:spacing w:val="-1"/>
          <w:vertAlign w:val="baseline"/>
        </w:rPr>
        <w:t> </w:t>
      </w:r>
      <w:r>
        <w:rPr>
          <w:vertAlign w:val="baseline"/>
        </w:rPr>
        <w:t>Act,</w:t>
      </w:r>
      <w:r>
        <w:rPr>
          <w:spacing w:val="-1"/>
          <w:vertAlign w:val="baseline"/>
        </w:rPr>
        <w:t> </w:t>
      </w:r>
      <w:r>
        <w:rPr>
          <w:color w:val="005DA1"/>
          <w:u w:val="single" w:color="005DA1"/>
          <w:vertAlign w:val="superscript"/>
        </w:rPr>
        <w:t>1269</w:t>
      </w:r>
      <w:r>
        <w:rPr>
          <w:color w:val="005DA1"/>
          <w:spacing w:val="-1"/>
          <w:vertAlign w:val="baseline"/>
        </w:rPr>
        <w:t> </w:t>
      </w:r>
      <w:r>
        <w:rPr>
          <w:vertAlign w:val="baseline"/>
        </w:rPr>
        <w:t>then,</w:t>
      </w:r>
      <w:r>
        <w:rPr>
          <w:spacing w:val="-1"/>
          <w:vertAlign w:val="baseline"/>
        </w:rPr>
        <w:t> </w:t>
      </w:r>
      <w:r>
        <w:rPr>
          <w:vertAlign w:val="baseline"/>
        </w:rPr>
        <w:t>under</w:t>
      </w:r>
      <w:r>
        <w:rPr>
          <w:spacing w:val="-1"/>
          <w:vertAlign w:val="baseline"/>
        </w:rPr>
        <w:t> </w:t>
      </w:r>
      <w:r>
        <w:rPr>
          <w:vertAlign w:val="baseline"/>
        </w:rPr>
        <w:t>the</w:t>
      </w:r>
      <w:r>
        <w:rPr>
          <w:spacing w:val="-1"/>
          <w:vertAlign w:val="baseline"/>
        </w:rPr>
        <w:t> </w:t>
      </w:r>
      <w:r>
        <w:rPr>
          <w:vertAlign w:val="baseline"/>
        </w:rPr>
        <w:t>law</w:t>
      </w:r>
      <w:r>
        <w:rPr>
          <w:spacing w:val="-1"/>
          <w:vertAlign w:val="baseline"/>
        </w:rPr>
        <w:t> </w:t>
      </w:r>
      <w:r>
        <w:rPr>
          <w:vertAlign w:val="baseline"/>
        </w:rPr>
        <w:t>relating</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effects</w:t>
      </w:r>
      <w:r>
        <w:rPr>
          <w:spacing w:val="-1"/>
          <w:vertAlign w:val="baseline"/>
        </w:rPr>
        <w:t> </w:t>
      </w:r>
      <w:r>
        <w:rPr>
          <w:vertAlign w:val="baseline"/>
        </w:rPr>
        <w:t>of</w:t>
      </w:r>
      <w:r>
        <w:rPr>
          <w:spacing w:val="-1"/>
          <w:vertAlign w:val="baseline"/>
        </w:rPr>
        <w:t> </w:t>
      </w:r>
      <w:r>
        <w:rPr>
          <w:vertAlign w:val="baseline"/>
        </w:rPr>
        <w:t>illegality</w:t>
      </w:r>
      <w:r>
        <w:rPr>
          <w:spacing w:val="-1"/>
          <w:vertAlign w:val="baseline"/>
        </w:rPr>
        <w:t> </w:t>
      </w:r>
      <w:r>
        <w:rPr>
          <w:vertAlign w:val="baseline"/>
        </w:rPr>
        <w:t>on contracts, </w:t>
      </w:r>
      <w:r>
        <w:rPr>
          <w:color w:val="005DA1"/>
          <w:u w:val="single" w:color="005DA1"/>
          <w:vertAlign w:val="superscript"/>
        </w:rPr>
        <w:t>1270</w:t>
      </w:r>
      <w:r>
        <w:rPr>
          <w:color w:val="005DA1"/>
          <w:vertAlign w:val="baseline"/>
        </w:rPr>
        <w:t> </w:t>
      </w:r>
      <w:r>
        <w:rPr>
          <w:vertAlign w:val="baseline"/>
        </w:rPr>
        <w:t>the illegality would often, though not necessarily, </w:t>
      </w:r>
      <w:r>
        <w:rPr>
          <w:color w:val="005DA1"/>
          <w:u w:val="single" w:color="005DA1"/>
          <w:vertAlign w:val="superscript"/>
        </w:rPr>
        <w:t>1271</w:t>
      </w:r>
      <w:r>
        <w:rPr>
          <w:color w:val="005DA1"/>
          <w:vertAlign w:val="baseline"/>
        </w:rPr>
        <w:t> </w:t>
      </w:r>
      <w:r>
        <w:rPr>
          <w:vertAlign w:val="baseline"/>
        </w:rPr>
        <w:t>prevent that party from enforcing the other party’s promise; and where both parties had committed such an offence or such offences, then these rules would often, though again not necessarily, </w:t>
      </w:r>
      <w:r>
        <w:rPr>
          <w:color w:val="005DA1"/>
          <w:u w:val="single" w:color="005DA1"/>
          <w:vertAlign w:val="superscript"/>
        </w:rPr>
        <w:t>1272</w:t>
      </w:r>
      <w:r>
        <w:rPr>
          <w:color w:val="005DA1"/>
          <w:vertAlign w:val="baseline"/>
        </w:rPr>
        <w:t> </w:t>
      </w:r>
      <w:r>
        <w:rPr>
          <w:vertAlign w:val="baseline"/>
        </w:rPr>
        <w:t>lead to the result that neither party’s promise would be legally enforceable by the other. The promises of each party would also be legally unenforceable</w:t>
      </w:r>
      <w:r>
        <w:rPr>
          <w:spacing w:val="-2"/>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Gambling</w:t>
      </w:r>
      <w:r>
        <w:rPr>
          <w:spacing w:val="-2"/>
          <w:vertAlign w:val="baseline"/>
        </w:rPr>
        <w:t> </w:t>
      </w:r>
      <w:r>
        <w:rPr>
          <w:vertAlign w:val="baseline"/>
        </w:rPr>
        <w:t>Commission</w:t>
      </w:r>
      <w:r>
        <w:rPr>
          <w:spacing w:val="-2"/>
          <w:vertAlign w:val="baseline"/>
        </w:rPr>
        <w:t> </w:t>
      </w:r>
      <w:r>
        <w:rPr>
          <w:vertAlign w:val="baseline"/>
        </w:rPr>
        <w:t>was</w:t>
      </w:r>
      <w:r>
        <w:rPr>
          <w:spacing w:val="-2"/>
          <w:vertAlign w:val="baseline"/>
        </w:rPr>
        <w:t> </w:t>
      </w:r>
      <w:r>
        <w:rPr>
          <w:vertAlign w:val="baseline"/>
        </w:rPr>
        <w:t>satisfied</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bet</w:t>
      </w:r>
      <w:r>
        <w:rPr>
          <w:spacing w:val="-2"/>
          <w:vertAlign w:val="baseline"/>
        </w:rPr>
        <w:t> </w:t>
      </w:r>
      <w:r>
        <w:rPr>
          <w:vertAlign w:val="baseline"/>
        </w:rPr>
        <w:t>was</w:t>
      </w:r>
      <w:r>
        <w:rPr>
          <w:spacing w:val="-2"/>
          <w:vertAlign w:val="baseline"/>
        </w:rPr>
        <w:t> </w:t>
      </w:r>
      <w:r>
        <w:rPr>
          <w:vertAlign w:val="baseline"/>
        </w:rPr>
        <w:t>“substantially</w:t>
      </w:r>
      <w:r>
        <w:rPr>
          <w:spacing w:val="-2"/>
          <w:vertAlign w:val="baseline"/>
        </w:rPr>
        <w:t> </w:t>
      </w:r>
      <w:r>
        <w:rPr>
          <w:vertAlign w:val="baseline"/>
        </w:rPr>
        <w:t>unfair”</w:t>
      </w:r>
      <w:r>
        <w:rPr>
          <w:spacing w:val="-2"/>
          <w:vertAlign w:val="baseline"/>
        </w:rPr>
        <w:t> </w:t>
      </w:r>
      <w:r>
        <w:rPr>
          <w:vertAlign w:val="baseline"/>
        </w:rPr>
        <w:t>and on that ground made an order by virtue of which “any contract … in relation to the bet [was] void.” </w:t>
      </w:r>
      <w:r>
        <w:rPr>
          <w:color w:val="005DA1"/>
          <w:u w:val="single" w:color="005DA1"/>
          <w:vertAlign w:val="superscript"/>
        </w:rPr>
        <w:t>1273</w:t>
      </w:r>
      <w:r>
        <w:rPr>
          <w:color w:val="005DA1"/>
          <w:vertAlign w:val="baseline"/>
        </w:rPr>
        <w:t> </w:t>
      </w:r>
      <w:r>
        <w:rPr>
          <w:vertAlign w:val="baseline"/>
        </w:rPr>
        <w:t>It is also possible for the promises of both parties to be void under other legislation: for example, under section 4 of the Marine Insurance Act 1906, by which a contract of marine insurance is void where</w:t>
      </w:r>
      <w:r>
        <w:rPr>
          <w:spacing w:val="-1"/>
          <w:vertAlign w:val="baseline"/>
        </w:rPr>
        <w:t> </w:t>
      </w:r>
      <w:r>
        <w:rPr>
          <w:vertAlign w:val="baseline"/>
        </w:rPr>
        <w:t>the</w:t>
      </w:r>
      <w:r>
        <w:rPr>
          <w:spacing w:val="-1"/>
          <w:vertAlign w:val="baseline"/>
        </w:rPr>
        <w:t> </w:t>
      </w:r>
      <w:r>
        <w:rPr>
          <w:vertAlign w:val="baseline"/>
        </w:rPr>
        <w:t>assured</w:t>
      </w:r>
      <w:r>
        <w:rPr>
          <w:spacing w:val="-1"/>
          <w:vertAlign w:val="baseline"/>
        </w:rPr>
        <w:t> </w:t>
      </w:r>
      <w:r>
        <w:rPr>
          <w:vertAlign w:val="baseline"/>
        </w:rPr>
        <w:t>has</w:t>
      </w:r>
      <w:r>
        <w:rPr>
          <w:spacing w:val="-1"/>
          <w:vertAlign w:val="baseline"/>
        </w:rPr>
        <w:t> </w:t>
      </w:r>
      <w:r>
        <w:rPr>
          <w:vertAlign w:val="baseline"/>
        </w:rPr>
        <w:t>no</w:t>
      </w:r>
      <w:r>
        <w:rPr>
          <w:spacing w:val="-1"/>
          <w:vertAlign w:val="baseline"/>
        </w:rPr>
        <w:t> </w:t>
      </w:r>
      <w:r>
        <w:rPr>
          <w:vertAlign w:val="baseline"/>
        </w:rPr>
        <w:t>“insurable</w:t>
      </w:r>
      <w:r>
        <w:rPr>
          <w:spacing w:val="-1"/>
          <w:vertAlign w:val="baseline"/>
        </w:rPr>
        <w:t> </w:t>
      </w:r>
      <w:r>
        <w:rPr>
          <w:vertAlign w:val="baseline"/>
        </w:rPr>
        <w:t>interest”,</w:t>
      </w:r>
      <w:r>
        <w:rPr>
          <w:spacing w:val="-1"/>
          <w:vertAlign w:val="baseline"/>
        </w:rPr>
        <w:t> </w:t>
      </w:r>
      <w:r>
        <w:rPr>
          <w:vertAlign w:val="baseline"/>
        </w:rPr>
        <w:t>as</w:t>
      </w:r>
      <w:r>
        <w:rPr>
          <w:spacing w:val="-1"/>
          <w:vertAlign w:val="baseline"/>
        </w:rPr>
        <w:t> </w:t>
      </w:r>
      <w:r>
        <w:rPr>
          <w:vertAlign w:val="baseline"/>
        </w:rPr>
        <w:t>defined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Act.</w:t>
      </w:r>
      <w:r>
        <w:rPr>
          <w:spacing w:val="-2"/>
          <w:vertAlign w:val="baseline"/>
        </w:rPr>
        <w:t> </w:t>
      </w:r>
      <w:r>
        <w:rPr>
          <w:color w:val="005DA1"/>
          <w:u w:val="single" w:color="005DA1"/>
          <w:vertAlign w:val="superscript"/>
        </w:rPr>
        <w:t>1274</w:t>
      </w:r>
      <w:r>
        <w:rPr>
          <w:color w:val="005DA1"/>
          <w:spacing w:val="-1"/>
          <w:vertAlign w:val="baseline"/>
        </w:rPr>
        <w:t> </w:t>
      </w:r>
      <w:r>
        <w:rPr>
          <w:vertAlign w:val="baseline"/>
        </w:rPr>
        <w:t>In</w:t>
      </w:r>
      <w:r>
        <w:rPr>
          <w:spacing w:val="-1"/>
          <w:vertAlign w:val="baseline"/>
        </w:rPr>
        <w:t> </w:t>
      </w:r>
      <w:r>
        <w:rPr>
          <w:vertAlign w:val="baseline"/>
        </w:rPr>
        <w:t>such</w:t>
      </w:r>
      <w:r>
        <w:rPr>
          <w:spacing w:val="-1"/>
          <w:vertAlign w:val="baseline"/>
        </w:rPr>
        <w:t> </w:t>
      </w:r>
      <w:r>
        <w:rPr>
          <w:vertAlign w:val="baseline"/>
        </w:rPr>
        <w:t>cases,</w:t>
      </w:r>
      <w:r>
        <w:rPr>
          <w:spacing w:val="-1"/>
          <w:vertAlign w:val="baseline"/>
        </w:rPr>
        <w:t> </w:t>
      </w:r>
      <w:r>
        <w:rPr>
          <w:vertAlign w:val="baseline"/>
        </w:rPr>
        <w:t>the</w:t>
      </w:r>
      <w:r>
        <w:rPr>
          <w:spacing w:val="-1"/>
          <w:vertAlign w:val="baseline"/>
        </w:rPr>
        <w:t> </w:t>
      </w:r>
      <w:r>
        <w:rPr>
          <w:vertAlign w:val="baseline"/>
        </w:rPr>
        <w:t>making</w:t>
      </w:r>
      <w:r>
        <w:rPr>
          <w:spacing w:val="-1"/>
          <w:vertAlign w:val="baseline"/>
        </w:rPr>
        <w:t> </w:t>
      </w:r>
      <w:r>
        <w:rPr>
          <w:vertAlign w:val="baseline"/>
        </w:rPr>
        <w:t>or performance of one of the promises would clearly not make the other promise enforceable. This conclusion</w:t>
      </w:r>
      <w:r>
        <w:rPr>
          <w:spacing w:val="-1"/>
          <w:vertAlign w:val="baseline"/>
        </w:rPr>
        <w:t> </w:t>
      </w:r>
      <w:r>
        <w:rPr>
          <w:vertAlign w:val="baseline"/>
        </w:rPr>
        <w:t>follows</w:t>
      </w:r>
      <w:r>
        <w:rPr>
          <w:spacing w:val="-1"/>
          <w:vertAlign w:val="baseline"/>
        </w:rPr>
        <w:t> </w:t>
      </w:r>
      <w:r>
        <w:rPr>
          <w:vertAlign w:val="baseline"/>
        </w:rPr>
        <w:t>simply</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fact</w:t>
      </w:r>
      <w:r>
        <w:rPr>
          <w:spacing w:val="-1"/>
          <w:vertAlign w:val="baseline"/>
        </w:rPr>
        <w:t> </w:t>
      </w:r>
      <w:r>
        <w:rPr>
          <w:vertAlign w:val="baseline"/>
        </w:rPr>
        <w:t>that</w:t>
      </w:r>
      <w:r>
        <w:rPr>
          <w:spacing w:val="-1"/>
          <w:vertAlign w:val="baseline"/>
        </w:rPr>
        <w:t> </w:t>
      </w:r>
      <w:r>
        <w:rPr>
          <w:vertAlign w:val="baseline"/>
        </w:rPr>
        <w:t>both</w:t>
      </w:r>
      <w:r>
        <w:rPr>
          <w:spacing w:val="-1"/>
          <w:vertAlign w:val="baseline"/>
        </w:rPr>
        <w:t> </w:t>
      </w:r>
      <w:r>
        <w:rPr>
          <w:vertAlign w:val="baseline"/>
        </w:rPr>
        <w:t>promises</w:t>
      </w:r>
      <w:r>
        <w:rPr>
          <w:spacing w:val="-1"/>
          <w:vertAlign w:val="baseline"/>
        </w:rPr>
        <w:t> </w:t>
      </w:r>
      <w:r>
        <w:rPr>
          <w:vertAlign w:val="baseline"/>
        </w:rPr>
        <w:t>are</w:t>
      </w:r>
      <w:r>
        <w:rPr>
          <w:spacing w:val="-1"/>
          <w:vertAlign w:val="baseline"/>
        </w:rPr>
        <w:t> </w:t>
      </w:r>
      <w:r>
        <w:rPr>
          <w:vertAlign w:val="baseline"/>
        </w:rPr>
        <w:t>void</w:t>
      </w:r>
      <w:r>
        <w:rPr>
          <w:spacing w:val="-1"/>
          <w:vertAlign w:val="baseline"/>
        </w:rPr>
        <w:t> </w:t>
      </w:r>
      <w:r>
        <w:rPr>
          <w:vertAlign w:val="baseline"/>
        </w:rPr>
        <w:t>by</w:t>
      </w:r>
      <w:r>
        <w:rPr>
          <w:spacing w:val="-1"/>
          <w:vertAlign w:val="baseline"/>
        </w:rPr>
        <w:t> </w:t>
      </w:r>
      <w:r>
        <w:rPr>
          <w:vertAlign w:val="baseline"/>
        </w:rPr>
        <w:t>statute,</w:t>
      </w:r>
      <w:r>
        <w:rPr>
          <w:spacing w:val="-1"/>
          <w:vertAlign w:val="baseline"/>
        </w:rPr>
        <w:t> </w:t>
      </w:r>
      <w:r>
        <w:rPr>
          <w:vertAlign w:val="baseline"/>
        </w:rPr>
        <w:t>so</w:t>
      </w:r>
      <w:r>
        <w:rPr>
          <w:spacing w:val="-1"/>
          <w:vertAlign w:val="baseline"/>
        </w:rPr>
        <w:t> </w:t>
      </w:r>
      <w:r>
        <w:rPr>
          <w:vertAlign w:val="baseline"/>
        </w:rPr>
        <w:t>that</w:t>
      </w:r>
      <w:r>
        <w:rPr>
          <w:spacing w:val="-1"/>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no</w:t>
      </w:r>
      <w:r>
        <w:rPr>
          <w:spacing w:val="-1"/>
          <w:vertAlign w:val="baseline"/>
        </w:rPr>
        <w:t> </w:t>
      </w:r>
      <w:r>
        <w:rPr>
          <w:vertAlign w:val="baseline"/>
        </w:rPr>
        <w:t>need to enquire whether the making or performance of one of the promises can constitute consideration for the other. The question whether the making or performance of such a void promise could constitute consideration</w:t>
      </w:r>
      <w:r>
        <w:rPr>
          <w:spacing w:val="40"/>
          <w:vertAlign w:val="baseline"/>
        </w:rPr>
        <w:t> </w:t>
      </w:r>
      <w:r>
        <w:rPr>
          <w:vertAlign w:val="baseline"/>
        </w:rPr>
        <w:t>might,</w:t>
      </w:r>
      <w:r>
        <w:rPr>
          <w:spacing w:val="40"/>
          <w:vertAlign w:val="baseline"/>
        </w:rPr>
        <w:t> </w:t>
      </w:r>
      <w:r>
        <w:rPr>
          <w:vertAlign w:val="baseline"/>
        </w:rPr>
        <w:t>however,</w:t>
      </w:r>
      <w:r>
        <w:rPr>
          <w:spacing w:val="40"/>
          <w:vertAlign w:val="baseline"/>
        </w:rPr>
        <w:t> </w:t>
      </w:r>
      <w:r>
        <w:rPr>
          <w:vertAlign w:val="baseline"/>
        </w:rPr>
        <w:t>arise</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context</w:t>
      </w:r>
      <w:r>
        <w:rPr>
          <w:spacing w:val="40"/>
          <w:vertAlign w:val="baseline"/>
        </w:rPr>
        <w:t> </w:t>
      </w:r>
      <w:r>
        <w:rPr>
          <w:vertAlign w:val="baseline"/>
        </w:rPr>
        <w:t>other</w:t>
      </w:r>
      <w:r>
        <w:rPr>
          <w:spacing w:val="40"/>
          <w:vertAlign w:val="baseline"/>
        </w:rPr>
        <w:t> </w:t>
      </w:r>
      <w:r>
        <w:rPr>
          <w:vertAlign w:val="baseline"/>
        </w:rPr>
        <w:t>than</w:t>
      </w:r>
      <w:r>
        <w:rPr>
          <w:spacing w:val="40"/>
          <w:vertAlign w:val="baseline"/>
        </w:rPr>
        <w:t> </w:t>
      </w:r>
      <w:r>
        <w:rPr>
          <w:vertAlign w:val="baseline"/>
        </w:rPr>
        <w:t>that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enforceability</w:t>
      </w:r>
      <w:r>
        <w:rPr>
          <w:spacing w:val="40"/>
          <w:vertAlign w:val="baseline"/>
        </w:rPr>
        <w:t> </w:t>
      </w:r>
      <w:r>
        <w:rPr>
          <w:vertAlign w:val="baseline"/>
        </w:rPr>
        <w:t>of</w:t>
      </w:r>
      <w:r>
        <w:rPr>
          <w:spacing w:val="40"/>
          <w:vertAlign w:val="baseline"/>
        </w:rPr>
        <w:t> </w:t>
      </w:r>
      <w:r>
        <w:rPr>
          <w:vertAlign w:val="baseline"/>
        </w:rPr>
        <w:t>the counter-promise:</w:t>
      </w:r>
      <w:r>
        <w:rPr>
          <w:spacing w:val="-2"/>
          <w:vertAlign w:val="baseline"/>
        </w:rPr>
        <w:t> </w:t>
      </w:r>
      <w:r>
        <w:rPr>
          <w:vertAlign w:val="baseline"/>
        </w:rPr>
        <w:t>for</w:t>
      </w:r>
      <w:r>
        <w:rPr>
          <w:spacing w:val="-2"/>
          <w:vertAlign w:val="baseline"/>
        </w:rPr>
        <w:t> </w:t>
      </w:r>
      <w:r>
        <w:rPr>
          <w:vertAlign w:val="baseline"/>
        </w:rPr>
        <w:t>example,</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context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question</w:t>
      </w:r>
      <w:r>
        <w:rPr>
          <w:spacing w:val="-2"/>
          <w:vertAlign w:val="baseline"/>
        </w:rPr>
        <w:t> </w:t>
      </w:r>
      <w:r>
        <w:rPr>
          <w:vertAlign w:val="baseline"/>
        </w:rPr>
        <w:t>whether</w:t>
      </w:r>
      <w:r>
        <w:rPr>
          <w:spacing w:val="-2"/>
          <w:vertAlign w:val="baseline"/>
        </w:rPr>
        <w:t> </w:t>
      </w:r>
      <w:r>
        <w:rPr>
          <w:vertAlign w:val="baseline"/>
        </w:rPr>
        <w:t>the</w:t>
      </w:r>
      <w:r>
        <w:rPr>
          <w:spacing w:val="-2"/>
          <w:vertAlign w:val="baseline"/>
        </w:rPr>
        <w:t> </w:t>
      </w:r>
      <w:r>
        <w:rPr>
          <w:vertAlign w:val="baseline"/>
        </w:rPr>
        <w:t>performance</w:t>
      </w:r>
      <w:r>
        <w:rPr>
          <w:spacing w:val="-2"/>
          <w:vertAlign w:val="baseline"/>
        </w:rPr>
        <w:t> </w:t>
      </w:r>
      <w:r>
        <w:rPr>
          <w:vertAlign w:val="baseline"/>
        </w:rPr>
        <w:t>could</w:t>
      </w:r>
      <w:r>
        <w:rPr>
          <w:spacing w:val="-2"/>
          <w:vertAlign w:val="baseline"/>
        </w:rPr>
        <w:t> </w:t>
      </w:r>
      <w:r>
        <w:rPr>
          <w:vertAlign w:val="baseline"/>
        </w:rPr>
        <w:t>constitute consideration for the purpose of a rule of law by which a transfer or disposition of property was effective only if made for valuable consideration. This was the question which arose in </w:t>
      </w:r>
      <w:r>
        <w:rPr>
          <w:rFonts w:ascii="Arial" w:hAnsi="Arial"/>
          <w:i/>
          <w:vertAlign w:val="baseline"/>
        </w:rPr>
        <w:t>Lipkin Gorman v Karpnale Ltd </w:t>
      </w:r>
      <w:r>
        <w:rPr>
          <w:color w:val="005DA1"/>
          <w:u w:val="single" w:color="005DA1"/>
          <w:vertAlign w:val="superscript"/>
        </w:rPr>
        <w:t>1275</w:t>
      </w:r>
      <w:r>
        <w:rPr>
          <w:color w:val="005DA1"/>
          <w:vertAlign w:val="baseline"/>
        </w:rPr>
        <w:t> </w:t>
      </w:r>
      <w:r>
        <w:rPr>
          <w:vertAlign w:val="baseline"/>
        </w:rPr>
        <w:t>where stolen money had been used by a thief for gambling at a club of which he was a member and it was held that the club had not received the money for valuable consideration so as to be entitled, as against the victim of the theft, to retain it. We have noted that the club had not provided consideration for the member’s payment by exchanging the money for gaming chips. </w:t>
      </w:r>
      <w:r>
        <w:rPr>
          <w:color w:val="005DA1"/>
          <w:u w:val="single" w:color="005DA1"/>
          <w:vertAlign w:val="superscript"/>
        </w:rPr>
        <w:t>1276</w:t>
      </w:r>
      <w:r>
        <w:rPr>
          <w:color w:val="005DA1"/>
          <w:spacing w:val="40"/>
          <w:vertAlign w:val="baseline"/>
        </w:rPr>
        <w:t> </w:t>
      </w:r>
      <w:r>
        <w:rPr>
          <w:vertAlign w:val="baseline"/>
        </w:rPr>
        <w:t>The present point is that the club had not provided consideration for the payments made to it by the member and received by it in good faith by allowing him to gamble in the club or by promising to pay, or actually paying him, in respect of any bets won by him. This aspect of the decision was based on section</w:t>
      </w:r>
      <w:r>
        <w:rPr>
          <w:spacing w:val="12"/>
          <w:vertAlign w:val="baseline"/>
        </w:rPr>
        <w:t> </w:t>
      </w:r>
      <w:r>
        <w:rPr>
          <w:vertAlign w:val="baseline"/>
        </w:rPr>
        <w:t>18</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Gaming</w:t>
      </w:r>
      <w:r>
        <w:rPr>
          <w:spacing w:val="12"/>
          <w:vertAlign w:val="baseline"/>
        </w:rPr>
        <w:t> </w:t>
      </w:r>
      <w:r>
        <w:rPr>
          <w:vertAlign w:val="baseline"/>
        </w:rPr>
        <w:t>Act</w:t>
      </w:r>
      <w:r>
        <w:rPr>
          <w:spacing w:val="12"/>
          <w:vertAlign w:val="baseline"/>
        </w:rPr>
        <w:t> </w:t>
      </w:r>
      <w:r>
        <w:rPr>
          <w:vertAlign w:val="baseline"/>
        </w:rPr>
        <w:t>1845</w:t>
      </w:r>
      <w:r>
        <w:rPr>
          <w:spacing w:val="12"/>
          <w:vertAlign w:val="baseline"/>
        </w:rPr>
        <w:t> </w:t>
      </w:r>
      <w:r>
        <w:rPr>
          <w:vertAlign w:val="baseline"/>
        </w:rPr>
        <w:t>and</w:t>
      </w:r>
      <w:r>
        <w:rPr>
          <w:spacing w:val="12"/>
          <w:vertAlign w:val="baseline"/>
        </w:rPr>
        <w:t> </w:t>
      </w:r>
      <w:r>
        <w:rPr>
          <w:vertAlign w:val="baseline"/>
        </w:rPr>
        <w:t>is</w:t>
      </w:r>
      <w:r>
        <w:rPr>
          <w:spacing w:val="12"/>
          <w:vertAlign w:val="baseline"/>
        </w:rPr>
        <w:t> </w:t>
      </w:r>
      <w:r>
        <w:rPr>
          <w:vertAlign w:val="baseline"/>
        </w:rPr>
        <w:t>undermined</w:t>
      </w:r>
      <w:r>
        <w:rPr>
          <w:spacing w:val="12"/>
          <w:vertAlign w:val="baseline"/>
        </w:rPr>
        <w:t> </w:t>
      </w:r>
      <w:r>
        <w:rPr>
          <w:vertAlign w:val="baseline"/>
        </w:rPr>
        <w:t>by</w:t>
      </w:r>
      <w:r>
        <w:rPr>
          <w:spacing w:val="12"/>
          <w:vertAlign w:val="baseline"/>
        </w:rPr>
        <w:t> </w:t>
      </w:r>
      <w:r>
        <w:rPr>
          <w:vertAlign w:val="baseline"/>
        </w:rPr>
        <w:t>the</w:t>
      </w:r>
      <w:r>
        <w:rPr>
          <w:spacing w:val="12"/>
          <w:vertAlign w:val="baseline"/>
        </w:rPr>
        <w:t> </w:t>
      </w:r>
      <w:r>
        <w:rPr>
          <w:vertAlign w:val="baseline"/>
        </w:rPr>
        <w:t>repeal</w:t>
      </w:r>
      <w:r>
        <w:rPr>
          <w:spacing w:val="12"/>
          <w:vertAlign w:val="baseline"/>
        </w:rPr>
        <w:t> </w:t>
      </w:r>
      <w:r>
        <w:rPr>
          <w:vertAlign w:val="baseline"/>
        </w:rPr>
        <w:t>of</w:t>
      </w:r>
      <w:r>
        <w:rPr>
          <w:spacing w:val="12"/>
          <w:vertAlign w:val="baseline"/>
        </w:rPr>
        <w:t> </w:t>
      </w:r>
      <w:r>
        <w:rPr>
          <w:vertAlign w:val="baseline"/>
        </w:rPr>
        <w:t>that</w:t>
      </w:r>
      <w:r>
        <w:rPr>
          <w:spacing w:val="12"/>
          <w:vertAlign w:val="baseline"/>
        </w:rPr>
        <w:t> </w:t>
      </w:r>
      <w:r>
        <w:rPr>
          <w:vertAlign w:val="baseline"/>
        </w:rPr>
        <w:t>section</w:t>
      </w:r>
      <w:r>
        <w:rPr>
          <w:spacing w:val="12"/>
          <w:vertAlign w:val="baseline"/>
        </w:rPr>
        <w:t> </w:t>
      </w:r>
      <w:r>
        <w:rPr>
          <w:vertAlign w:val="baseline"/>
        </w:rPr>
        <w:t>by</w:t>
      </w:r>
      <w:r>
        <w:rPr>
          <w:spacing w:val="12"/>
          <w:vertAlign w:val="baseline"/>
        </w:rPr>
        <w:t> </w:t>
      </w:r>
      <w:r>
        <w:rPr>
          <w:vertAlign w:val="baseline"/>
        </w:rPr>
        <w:t>the</w:t>
      </w:r>
      <w:r>
        <w:rPr>
          <w:spacing w:val="12"/>
          <w:vertAlign w:val="baseline"/>
        </w:rPr>
        <w:t> </w:t>
      </w:r>
      <w:r>
        <w:rPr>
          <w:spacing w:val="-2"/>
          <w:vertAlign w:val="baseline"/>
        </w:rPr>
        <w:t>Gambling</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Act 2005 and by the general rule, laid down in that Act, that contracts relating to gambling are legally enforceable. Under that rule, the club’s promises to its members, or the performance of </w:t>
      </w:r>
      <w:r>
        <w:rPr/>
        <w:t>those promises, would clearly constitute good consideration for the club’s receipt of the member’s</w:t>
      </w:r>
      <w:r>
        <w:rPr>
          <w:spacing w:val="40"/>
        </w:rPr>
        <w:t> </w:t>
      </w:r>
      <w:r>
        <w:rPr/>
        <w:t>payments. A number of other problems which could arise under the 2005 Act on facts such as those of the </w:t>
      </w:r>
      <w:r>
        <w:rPr>
          <w:rFonts w:ascii="Arial" w:hAnsi="Arial"/>
          <w:i/>
        </w:rPr>
        <w:t>Lipkin Gorman </w:t>
      </w:r>
      <w:r>
        <w:rPr/>
        <w:t>case are discussed below in Volume II, paragraphs 41-049 to 41-051.</w:t>
      </w:r>
    </w:p>
    <w:p>
      <w:pPr>
        <w:pStyle w:val="BodyText"/>
      </w:pPr>
    </w:p>
    <w:p>
      <w:pPr>
        <w:pStyle w:val="BodyText"/>
        <w:spacing w:before="36"/>
      </w:pPr>
    </w:p>
    <w:p>
      <w:pPr>
        <w:spacing w:before="0"/>
        <w:ind w:left="165" w:right="0" w:firstLine="0"/>
        <w:jc w:val="both"/>
        <w:rPr>
          <w:rFonts w:ascii="Arial"/>
          <w:b/>
          <w:sz w:val="18"/>
        </w:rPr>
      </w:pPr>
      <w:r>
        <w:rPr>
          <w:rFonts w:ascii="Arial"/>
          <w:b/>
          <w:sz w:val="18"/>
        </w:rPr>
        <w:t>Unilateral </w:t>
      </w:r>
      <w:r>
        <w:rPr>
          <w:rFonts w:ascii="Arial"/>
          <w:b/>
          <w:spacing w:val="-2"/>
          <w:sz w:val="18"/>
        </w:rPr>
        <w:t>contracts</w:t>
      </w:r>
    </w:p>
    <w:p>
      <w:pPr>
        <w:pStyle w:val="BodyText"/>
        <w:spacing w:before="42"/>
        <w:rPr>
          <w:rFonts w:ascii="Arial"/>
          <w:b/>
          <w:sz w:val="18"/>
        </w:rPr>
      </w:pPr>
    </w:p>
    <w:p>
      <w:pPr>
        <w:pStyle w:val="Heading2"/>
      </w:pPr>
      <w:r>
        <w:rPr/>
        <w:t>4-</w:t>
      </w:r>
      <w:r>
        <w:rPr>
          <w:spacing w:val="-5"/>
        </w:rPr>
        <w:t>191</w:t>
      </w:r>
    </w:p>
    <w:p>
      <w:pPr>
        <w:pStyle w:val="BodyText"/>
        <w:spacing w:line="235" w:lineRule="auto" w:before="202"/>
        <w:ind w:left="165" w:right="167"/>
        <w:jc w:val="both"/>
      </w:pPr>
      <w:r>
        <w:rPr/>
        <w:t>In the case of a unilateral contract, </w:t>
      </w:r>
      <w:r>
        <w:rPr>
          <w:color w:val="005DA1"/>
          <w:u w:val="single" w:color="005DA1"/>
          <w:vertAlign w:val="superscript"/>
        </w:rPr>
        <w:t>1277</w:t>
      </w:r>
      <w:r>
        <w:rPr>
          <w:color w:val="005DA1"/>
          <w:vertAlign w:val="baseline"/>
        </w:rPr>
        <w:t> </w:t>
      </w:r>
      <w:r>
        <w:rPr>
          <w:vertAlign w:val="baseline"/>
        </w:rPr>
        <w:t>the promisee clearly provides consideration if he </w:t>
      </w:r>
      <w:r>
        <w:rPr>
          <w:vertAlign w:val="baseline"/>
        </w:rPr>
        <w:t>completes</w:t>
      </w:r>
      <w:r>
        <w:rPr>
          <w:spacing w:val="40"/>
          <w:vertAlign w:val="baseline"/>
        </w:rPr>
        <w:t> </w:t>
      </w:r>
      <w:r>
        <w:rPr>
          <w:vertAlign w:val="baseline"/>
        </w:rPr>
        <w:t>the stipulated act or forbearance (such as walking to York, or not smoking for a year). </w:t>
      </w:r>
      <w:r>
        <w:rPr>
          <w:color w:val="005DA1"/>
          <w:u w:val="single" w:color="005DA1"/>
          <w:vertAlign w:val="superscript"/>
        </w:rPr>
        <w:t>1278</w:t>
      </w:r>
      <w:r>
        <w:rPr>
          <w:color w:val="005DA1"/>
          <w:vertAlign w:val="baseline"/>
        </w:rPr>
        <w:t> </w:t>
      </w:r>
      <w:r>
        <w:rPr>
          <w:vertAlign w:val="baseline"/>
        </w:rPr>
        <w:t>This amounts</w:t>
      </w:r>
      <w:r>
        <w:rPr>
          <w:spacing w:val="-1"/>
          <w:vertAlign w:val="baseline"/>
        </w:rPr>
        <w:t> </w:t>
      </w:r>
      <w:r>
        <w:rPr>
          <w:vertAlign w:val="baseline"/>
        </w:rPr>
        <w:t>in</w:t>
      </w:r>
      <w:r>
        <w:rPr>
          <w:spacing w:val="-1"/>
          <w:vertAlign w:val="baseline"/>
        </w:rPr>
        <w:t> </w:t>
      </w:r>
      <w:r>
        <w:rPr>
          <w:vertAlign w:val="baseline"/>
        </w:rPr>
        <w:t>law</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detriment</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promisee;</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promisor</w:t>
      </w:r>
      <w:r>
        <w:rPr>
          <w:spacing w:val="-1"/>
          <w:vertAlign w:val="baseline"/>
        </w:rPr>
        <w:t> </w:t>
      </w:r>
      <w:r>
        <w:rPr>
          <w:vertAlign w:val="baseline"/>
        </w:rPr>
        <w:t>may</w:t>
      </w:r>
      <w:r>
        <w:rPr>
          <w:spacing w:val="-1"/>
          <w:vertAlign w:val="baseline"/>
        </w:rPr>
        <w:t> </w:t>
      </w:r>
      <w:r>
        <w:rPr>
          <w:vertAlign w:val="baseline"/>
        </w:rPr>
        <w:t>also</w:t>
      </w:r>
      <w:r>
        <w:rPr>
          <w:spacing w:val="-1"/>
          <w:vertAlign w:val="baseline"/>
        </w:rPr>
        <w:t> </w:t>
      </w:r>
      <w:r>
        <w:rPr>
          <w:vertAlign w:val="baseline"/>
        </w:rPr>
        <w:t>obtain</w:t>
      </w:r>
      <w:r>
        <w:rPr>
          <w:spacing w:val="-1"/>
          <w:vertAlign w:val="baseline"/>
        </w:rPr>
        <w:t> </w:t>
      </w:r>
      <w:r>
        <w:rPr>
          <w:vertAlign w:val="baseline"/>
        </w:rPr>
        <w:t>a</w:t>
      </w:r>
      <w:r>
        <w:rPr>
          <w:spacing w:val="-1"/>
          <w:vertAlign w:val="baseline"/>
        </w:rPr>
        <w:t> </w:t>
      </w:r>
      <w:r>
        <w:rPr>
          <w:vertAlign w:val="baseline"/>
        </w:rPr>
        <w:t>benefit:</w:t>
      </w:r>
      <w:r>
        <w:rPr>
          <w:spacing w:val="-1"/>
          <w:vertAlign w:val="baseline"/>
        </w:rPr>
        <w:t> </w:t>
      </w:r>
      <w:r>
        <w:rPr>
          <w:vertAlign w:val="baseline"/>
        </w:rPr>
        <w:t>e.g.</w:t>
      </w:r>
      <w:r>
        <w:rPr>
          <w:spacing w:val="-1"/>
          <w:vertAlign w:val="baseline"/>
        </w:rPr>
        <w:t> </w:t>
      </w:r>
      <w:r>
        <w:rPr>
          <w:vertAlign w:val="baseline"/>
        </w:rPr>
        <w:t>where he</w:t>
      </w:r>
      <w:r>
        <w:rPr>
          <w:spacing w:val="-1"/>
          <w:vertAlign w:val="baseline"/>
        </w:rPr>
        <w:t> </w:t>
      </w:r>
      <w:r>
        <w:rPr>
          <w:vertAlign w:val="baseline"/>
        </w:rPr>
        <w:t>promises</w:t>
      </w:r>
      <w:r>
        <w:rPr>
          <w:spacing w:val="-1"/>
          <w:vertAlign w:val="baseline"/>
        </w:rPr>
        <w:t> </w:t>
      </w:r>
      <w:r>
        <w:rPr>
          <w:vertAlign w:val="baseline"/>
        </w:rPr>
        <w:t>a</w:t>
      </w:r>
      <w:r>
        <w:rPr>
          <w:spacing w:val="-1"/>
          <w:vertAlign w:val="baseline"/>
        </w:rPr>
        <w:t> </w:t>
      </w:r>
      <w:r>
        <w:rPr>
          <w:vertAlign w:val="baseline"/>
        </w:rPr>
        <w:t>reward</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return</w:t>
      </w:r>
      <w:r>
        <w:rPr>
          <w:spacing w:val="-1"/>
          <w:vertAlign w:val="baseline"/>
        </w:rPr>
        <w:t> </w:t>
      </w:r>
      <w:r>
        <w:rPr>
          <w:vertAlign w:val="baseline"/>
        </w:rPr>
        <w:t>of</w:t>
      </w:r>
      <w:r>
        <w:rPr>
          <w:spacing w:val="-1"/>
          <w:vertAlign w:val="baseline"/>
        </w:rPr>
        <w:t> </w:t>
      </w:r>
      <w:r>
        <w:rPr>
          <w:vertAlign w:val="baseline"/>
        </w:rPr>
        <w:t>lost</w:t>
      </w:r>
      <w:r>
        <w:rPr>
          <w:spacing w:val="-1"/>
          <w:vertAlign w:val="baseline"/>
        </w:rPr>
        <w:t> </w:t>
      </w:r>
      <w:r>
        <w:rPr>
          <w:vertAlign w:val="baseline"/>
        </w:rPr>
        <w:t>property</w:t>
      </w:r>
      <w:r>
        <w:rPr>
          <w:spacing w:val="-1"/>
          <w:vertAlign w:val="baseline"/>
        </w:rPr>
        <w:t> </w:t>
      </w:r>
      <w:r>
        <w:rPr>
          <w:vertAlign w:val="baseline"/>
        </w:rPr>
        <w:t>and</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actually</w:t>
      </w:r>
      <w:r>
        <w:rPr>
          <w:spacing w:val="-1"/>
          <w:vertAlign w:val="baseline"/>
        </w:rPr>
        <w:t> </w:t>
      </w:r>
      <w:r>
        <w:rPr>
          <w:vertAlign w:val="baseline"/>
        </w:rPr>
        <w:t>returned</w:t>
      </w:r>
      <w:r>
        <w:rPr>
          <w:spacing w:val="-1"/>
          <w:vertAlign w:val="baseline"/>
        </w:rPr>
        <w:t> </w:t>
      </w:r>
      <w:r>
        <w:rPr>
          <w:vertAlign w:val="baseline"/>
        </w:rPr>
        <w:t>to</w:t>
      </w:r>
      <w:r>
        <w:rPr>
          <w:spacing w:val="-1"/>
          <w:vertAlign w:val="baseline"/>
        </w:rPr>
        <w:t> </w:t>
      </w:r>
      <w:r>
        <w:rPr>
          <w:vertAlign w:val="baseline"/>
        </w:rPr>
        <w:t>him.</w:t>
      </w:r>
      <w:r>
        <w:rPr>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suggested in Chapter 2 that commencement of performance can amount to acceptance of an offer of a unilateral contract, </w:t>
      </w:r>
      <w:r>
        <w:rPr>
          <w:color w:val="005DA1"/>
          <w:u w:val="single" w:color="005DA1"/>
          <w:vertAlign w:val="superscript"/>
        </w:rPr>
        <w:t>1279</w:t>
      </w:r>
      <w:r>
        <w:rPr>
          <w:color w:val="005DA1"/>
          <w:vertAlign w:val="baseline"/>
        </w:rPr>
        <w:t> </w:t>
      </w:r>
      <w:r>
        <w:rPr>
          <w:vertAlign w:val="baseline"/>
        </w:rPr>
        <w:t>and it is here submitted that such commencement can also amount to consideration; for it may in law be a detriment to the promisee to walk only part of the way to York, or to refrain from smoking for part of the year. Difficult questions of fact may, indeed, arise in determining whether performance has actually begun and whether such a beginning was made “on the strength of” </w:t>
      </w:r>
      <w:r>
        <w:rPr>
          <w:color w:val="005DA1"/>
          <w:u w:val="single" w:color="005DA1"/>
          <w:vertAlign w:val="superscript"/>
        </w:rPr>
        <w:t>1280</w:t>
      </w:r>
      <w:r>
        <w:rPr>
          <w:color w:val="005DA1"/>
          <w:vertAlign w:val="baseline"/>
        </w:rPr>
        <w:t> </w:t>
      </w:r>
      <w:r>
        <w:rPr>
          <w:vertAlign w:val="baseline"/>
        </w:rPr>
        <w:t>the promise. This is particularly true where the stipulated performance is a forbearance; but if an actual forbearance to sue can constitute good consideration, </w:t>
      </w:r>
      <w:r>
        <w:rPr>
          <w:color w:val="005DA1"/>
          <w:u w:val="single" w:color="005DA1"/>
          <w:vertAlign w:val="superscript"/>
        </w:rPr>
        <w:t>1281</w:t>
      </w:r>
      <w:r>
        <w:rPr>
          <w:color w:val="005DA1"/>
          <w:vertAlign w:val="baseline"/>
        </w:rPr>
        <w:t> </w:t>
      </w:r>
      <w:r>
        <w:rPr>
          <w:vertAlign w:val="baseline"/>
        </w:rPr>
        <w:t>it must in principle be possible to tell when a forbearance has begun. Thus commencement of performance (whether of an act or of a forbearance) may provide both an acceptance and consideration, and may accordingly deprive the promisor of his right to withdraw the promise. </w:t>
      </w:r>
      <w:r>
        <w:rPr>
          <w:color w:val="005DA1"/>
          <w:u w:val="single" w:color="005DA1"/>
          <w:vertAlign w:val="superscript"/>
        </w:rPr>
        <w:t>1282</w:t>
      </w:r>
      <w:r>
        <w:rPr>
          <w:color w:val="005DA1"/>
          <w:vertAlign w:val="baseline"/>
        </w:rPr>
        <w:t> </w:t>
      </w:r>
      <w:r>
        <w:rPr>
          <w:vertAlign w:val="baseline"/>
        </w:rPr>
        <w:t>Of course, the promisor’s liability to pay the amount promised (e.g. the £100 for walking to York) does not accrue </w:t>
      </w:r>
      <w:r>
        <w:rPr>
          <w:color w:val="005DA1"/>
          <w:u w:val="single" w:color="005DA1"/>
          <w:vertAlign w:val="superscript"/>
        </w:rPr>
        <w:t>1283</w:t>
      </w:r>
      <w:r>
        <w:rPr>
          <w:color w:val="005DA1"/>
          <w:vertAlign w:val="baseline"/>
        </w:rPr>
        <w:t> </w:t>
      </w:r>
      <w:r>
        <w:rPr>
          <w:vertAlign w:val="baseline"/>
        </w:rPr>
        <w:t>before the promisee has fully </w:t>
      </w:r>
      <w:bookmarkStart w:name="_bookmark1835" w:id="1837"/>
      <w:bookmarkEnd w:id="1837"/>
      <w:r>
        <w:rPr>
          <w:vertAlign w:val="baseline"/>
        </w:rPr>
        <w:t>performed</w:t>
      </w:r>
      <w:r>
        <w:rPr>
          <w:spacing w:val="-1"/>
          <w:vertAlign w:val="baseline"/>
        </w:rPr>
        <w:t> </w:t>
      </w:r>
      <w:r>
        <w:rPr>
          <w:vertAlign w:val="baseline"/>
        </w:rPr>
        <w:t>the</w:t>
      </w:r>
      <w:r>
        <w:rPr>
          <w:spacing w:val="-1"/>
          <w:vertAlign w:val="baseline"/>
        </w:rPr>
        <w:t> </w:t>
      </w:r>
      <w:r>
        <w:rPr>
          <w:vertAlign w:val="baseline"/>
        </w:rPr>
        <w:t>required</w:t>
      </w:r>
      <w:r>
        <w:rPr>
          <w:spacing w:val="-1"/>
          <w:vertAlign w:val="baseline"/>
        </w:rPr>
        <w:t> </w:t>
      </w:r>
      <w:r>
        <w:rPr>
          <w:vertAlign w:val="baseline"/>
        </w:rPr>
        <w:t>act</w:t>
      </w:r>
      <w:r>
        <w:rPr>
          <w:spacing w:val="-1"/>
          <w:vertAlign w:val="baseline"/>
        </w:rPr>
        <w:t> </w:t>
      </w:r>
      <w:r>
        <w:rPr>
          <w:vertAlign w:val="baseline"/>
        </w:rPr>
        <w:t>or</w:t>
      </w:r>
      <w:r>
        <w:rPr>
          <w:spacing w:val="-1"/>
          <w:vertAlign w:val="baseline"/>
        </w:rPr>
        <w:t> </w:t>
      </w:r>
      <w:r>
        <w:rPr>
          <w:vertAlign w:val="baseline"/>
        </w:rPr>
        <w:t>forbearance.</w:t>
      </w:r>
      <w:r>
        <w:rPr>
          <w:spacing w:val="-1"/>
          <w:vertAlign w:val="baseline"/>
        </w:rPr>
        <w:t> </w:t>
      </w:r>
      <w:r>
        <w:rPr>
          <w:vertAlign w:val="baseline"/>
        </w:rPr>
        <w:t>The</w:t>
      </w:r>
      <w:r>
        <w:rPr>
          <w:spacing w:val="-1"/>
          <w:vertAlign w:val="baseline"/>
        </w:rPr>
        <w:t> </w:t>
      </w:r>
      <w:r>
        <w:rPr>
          <w:vertAlign w:val="baseline"/>
        </w:rPr>
        <w:t>present</w:t>
      </w:r>
      <w:r>
        <w:rPr>
          <w:spacing w:val="-1"/>
          <w:vertAlign w:val="baseline"/>
        </w:rPr>
        <w:t> </w:t>
      </w:r>
      <w:r>
        <w:rPr>
          <w:vertAlign w:val="baseline"/>
        </w:rPr>
        <w:t>point</w:t>
      </w:r>
      <w:r>
        <w:rPr>
          <w:spacing w:val="-1"/>
          <w:vertAlign w:val="baseline"/>
        </w:rPr>
        <w:t> </w:t>
      </w:r>
      <w:r>
        <w:rPr>
          <w:vertAlign w:val="baseline"/>
        </w:rPr>
        <w:t>is</w:t>
      </w:r>
      <w:r>
        <w:rPr>
          <w:spacing w:val="-1"/>
          <w:vertAlign w:val="baseline"/>
        </w:rPr>
        <w:t> </w:t>
      </w:r>
      <w:r>
        <w:rPr>
          <w:vertAlign w:val="baseline"/>
        </w:rPr>
        <w:t>merely</w:t>
      </w:r>
      <w:r>
        <w:rPr>
          <w:spacing w:val="-1"/>
          <w:vertAlign w:val="baseline"/>
        </w:rPr>
        <w:t> </w:t>
      </w:r>
      <w:r>
        <w:rPr>
          <w:vertAlign w:val="baseline"/>
        </w:rPr>
        <w:t>that,</w:t>
      </w:r>
      <w:r>
        <w:rPr>
          <w:spacing w:val="-1"/>
          <w:vertAlign w:val="baseline"/>
        </w:rPr>
        <w:t> </w:t>
      </w:r>
      <w:r>
        <w:rPr>
          <w:vertAlign w:val="baseline"/>
        </w:rPr>
        <w:t>after</w:t>
      </w:r>
      <w:r>
        <w:rPr>
          <w:spacing w:val="-1"/>
          <w:vertAlign w:val="baseline"/>
        </w:rPr>
        <w:t> </w:t>
      </w:r>
      <w:r>
        <w:rPr>
          <w:vertAlign w:val="baseline"/>
        </w:rPr>
        <w:t>part</w:t>
      </w:r>
      <w:r>
        <w:rPr>
          <w:spacing w:val="-1"/>
          <w:vertAlign w:val="baseline"/>
        </w:rPr>
        <w:t> </w:t>
      </w:r>
      <w:r>
        <w:rPr>
          <w:vertAlign w:val="baseline"/>
        </w:rPr>
        <w:t>performance</w:t>
      </w:r>
      <w:r>
        <w:rPr>
          <w:spacing w:val="-1"/>
          <w:vertAlign w:val="baseline"/>
        </w:rPr>
        <w:t> </w:t>
      </w:r>
      <w:r>
        <w:rPr>
          <w:vertAlign w:val="baseline"/>
        </w:rPr>
        <w:t>by the promisee, the promisor cannot withdraw with impunity. </w:t>
      </w:r>
      <w:r>
        <w:rPr>
          <w:color w:val="005DA1"/>
          <w:u w:val="single" w:color="005DA1"/>
          <w:vertAlign w:val="superscript"/>
        </w:rPr>
        <w:t>1284</w:t>
      </w:r>
    </w:p>
    <w:p>
      <w:pPr>
        <w:pStyle w:val="BodyText"/>
        <w:spacing w:before="75"/>
      </w:pPr>
    </w:p>
    <w:p>
      <w:pPr>
        <w:pStyle w:val="Heading2"/>
      </w:pPr>
      <w:r>
        <w:rPr/>
        <w:t>4-</w:t>
      </w:r>
      <w:r>
        <w:rPr>
          <w:spacing w:val="-5"/>
        </w:rPr>
        <w:t>192</w:t>
      </w:r>
    </w:p>
    <w:p>
      <w:pPr>
        <w:pStyle w:val="BodyText"/>
        <w:spacing w:line="235" w:lineRule="auto" w:before="203"/>
        <w:ind w:left="164" w:right="167"/>
        <w:jc w:val="both"/>
      </w:pPr>
      <w:bookmarkStart w:name="_bookmark1836" w:id="1838"/>
      <w:bookmarkEnd w:id="1838"/>
      <w:r>
        <w:rPr/>
      </w:r>
      <w:r>
        <w:rPr/>
        <w:t>The further suggestion has been made that a unilateral contract may be made as soon as the offer </w:t>
      </w:r>
      <w:r>
        <w:rPr/>
        <w:t>is received by the offeree </w:t>
      </w:r>
      <w:r>
        <w:rPr>
          <w:color w:val="005DA1"/>
          <w:u w:val="single" w:color="005DA1"/>
          <w:vertAlign w:val="superscript"/>
        </w:rPr>
        <w:t>1285</w:t>
      </w:r>
      <w:r>
        <w:rPr>
          <w:vertAlign w:val="baseline"/>
        </w:rPr>
        <w:t>; and this could be interpreted to mean that the contract was binding even before the offeree had acted on it in any way. But at this stage the offeree has clearly not provided</w:t>
      </w:r>
      <w:r>
        <w:rPr>
          <w:spacing w:val="40"/>
          <w:vertAlign w:val="baseline"/>
        </w:rPr>
        <w:t> </w:t>
      </w:r>
      <w:bookmarkStart w:name="_bookmark1837" w:id="1839"/>
      <w:bookmarkEnd w:id="1839"/>
      <w:r>
        <w:rPr>
          <w:vertAlign w:val="baseline"/>
        </w:rPr>
        <w:t>any</w:t>
      </w:r>
      <w:r>
        <w:rPr>
          <w:vertAlign w:val="baseline"/>
        </w:rPr>
        <w:t> consideration, and in the case in which the suggestion was made no problem of consideration </w:t>
      </w:r>
      <w:bookmarkStart w:name="_bookmark1838" w:id="1840"/>
      <w:bookmarkEnd w:id="1840"/>
      <w:r>
        <w:rPr>
          <w:vertAlign w:val="baseline"/>
        </w:rPr>
        <w:t>arose</w:t>
      </w:r>
      <w:r>
        <w:rPr>
          <w:vertAlign w:val="baseline"/>
        </w:rPr>
        <w:t> as the offeree had in fact completed the required act </w:t>
      </w:r>
      <w:r>
        <w:rPr>
          <w:color w:val="005DA1"/>
          <w:u w:val="single" w:color="005DA1"/>
          <w:vertAlign w:val="superscript"/>
        </w:rPr>
        <w:t>1286</w:t>
      </w:r>
      <w:r>
        <w:rPr>
          <w:color w:val="005DA1"/>
          <w:vertAlign w:val="baseline"/>
        </w:rPr>
        <w:t> </w:t>
      </w:r>
      <w:r>
        <w:rPr>
          <w:vertAlign w:val="baseline"/>
        </w:rPr>
        <w:t>before any attempt to withdraw the offer was made. Except in the case of bankers’ irrevocable credits, </w:t>
      </w:r>
      <w:r>
        <w:rPr>
          <w:color w:val="005DA1"/>
          <w:u w:val="single" w:color="005DA1"/>
          <w:vertAlign w:val="superscript"/>
        </w:rPr>
        <w:t>1287</w:t>
      </w:r>
      <w:r>
        <w:rPr>
          <w:color w:val="005DA1"/>
          <w:vertAlign w:val="baseline"/>
        </w:rPr>
        <w:t> </w:t>
      </w:r>
      <w:r>
        <w:rPr>
          <w:vertAlign w:val="baseline"/>
        </w:rPr>
        <w:t>the better view is that an offer of a unilateral contract is not binding on receipt of the offer, but only when the offeree has begun to render the required performance.</w:t>
      </w:r>
    </w:p>
    <w:p>
      <w:pPr>
        <w:pStyle w:val="BodyText"/>
      </w:pPr>
    </w:p>
    <w:p>
      <w:pPr>
        <w:pStyle w:val="BodyText"/>
        <w:spacing w:before="35"/>
      </w:pPr>
    </w:p>
    <w:p>
      <w:pPr>
        <w:spacing w:before="1"/>
        <w:ind w:left="165" w:right="0" w:firstLine="0"/>
        <w:jc w:val="left"/>
        <w:rPr>
          <w:rFonts w:ascii="Arial"/>
          <w:b/>
          <w:sz w:val="18"/>
        </w:rPr>
      </w:pPr>
      <w:r>
        <w:rPr>
          <w:rFonts w:ascii="Arial"/>
          <w:b/>
          <w:sz w:val="18"/>
        </w:rPr>
        <w:t>Firm </w:t>
      </w:r>
      <w:r>
        <w:rPr>
          <w:rFonts w:ascii="Arial"/>
          <w:b/>
          <w:spacing w:val="-2"/>
          <w:sz w:val="18"/>
        </w:rPr>
        <w:t>offers</w:t>
      </w:r>
    </w:p>
    <w:p>
      <w:pPr>
        <w:pStyle w:val="BodyText"/>
        <w:spacing w:before="41"/>
        <w:rPr>
          <w:rFonts w:ascii="Arial"/>
          <w:b/>
          <w:sz w:val="18"/>
        </w:rPr>
      </w:pPr>
    </w:p>
    <w:p>
      <w:pPr>
        <w:pStyle w:val="Heading2"/>
      </w:pPr>
      <w:r>
        <w:rPr/>
        <w:t>4-</w:t>
      </w:r>
      <w:r>
        <w:rPr>
          <w:spacing w:val="-5"/>
        </w:rPr>
        <w:t>193</w:t>
      </w:r>
    </w:p>
    <w:p>
      <w:pPr>
        <w:pStyle w:val="BodyText"/>
        <w:spacing w:line="235" w:lineRule="auto" w:before="203"/>
        <w:ind w:left="165" w:right="167"/>
        <w:jc w:val="both"/>
      </w:pPr>
      <w:r>
        <w:rPr/>
        <w:t>A “firm” offer is one containing a promise not to withdraw it for a specified time. Such a promise </w:t>
      </w:r>
      <w:r>
        <w:rPr/>
        <w:t>does </w:t>
      </w:r>
      <w:bookmarkStart w:name="_bookmark1839" w:id="1841"/>
      <w:bookmarkEnd w:id="1841"/>
      <w:r>
        <w:rPr/>
        <w:t>not</w:t>
      </w:r>
      <w:r>
        <w:rPr/>
        <w:t> prevent the offeror from withdrawing the offer within that period since prima facie such a promise </w:t>
      </w:r>
      <w:bookmarkStart w:name="_bookmark1840" w:id="1842"/>
      <w:bookmarkEnd w:id="1842"/>
      <w:r>
        <w:rPr/>
        <w:t>will</w:t>
      </w:r>
      <w:r>
        <w:rPr>
          <w:spacing w:val="-4"/>
        </w:rPr>
        <w:t> </w:t>
      </w:r>
      <w:r>
        <w:rPr/>
        <w:t>be</w:t>
      </w:r>
      <w:r>
        <w:rPr>
          <w:spacing w:val="-4"/>
        </w:rPr>
        <w:t> </w:t>
      </w:r>
      <w:r>
        <w:rPr/>
        <w:t>unsupported</w:t>
      </w:r>
      <w:r>
        <w:rPr>
          <w:spacing w:val="-4"/>
        </w:rPr>
        <w:t> </w:t>
      </w:r>
      <w:r>
        <w:rPr/>
        <w:t>by</w:t>
      </w:r>
      <w:r>
        <w:rPr>
          <w:spacing w:val="-4"/>
        </w:rPr>
        <w:t> </w:t>
      </w:r>
      <w:r>
        <w:rPr/>
        <w:t>consideration.</w:t>
      </w:r>
      <w:r>
        <w:rPr>
          <w:spacing w:val="-4"/>
        </w:rPr>
        <w:t> </w:t>
      </w:r>
      <w:r>
        <w:rPr>
          <w:color w:val="005DA1"/>
          <w:u w:val="single" w:color="005DA1"/>
          <w:vertAlign w:val="superscript"/>
        </w:rPr>
        <w:t>1288</w:t>
      </w:r>
      <w:r>
        <w:rPr>
          <w:color w:val="005DA1"/>
          <w:spacing w:val="-4"/>
          <w:vertAlign w:val="baseline"/>
        </w:rPr>
        <w:t> </w:t>
      </w:r>
      <w:r>
        <w:rPr>
          <w:vertAlign w:val="baseline"/>
        </w:rPr>
        <w:t>Consideration</w:t>
      </w:r>
      <w:r>
        <w:rPr>
          <w:spacing w:val="-4"/>
          <w:vertAlign w:val="baseline"/>
        </w:rPr>
        <w:t> </w:t>
      </w:r>
      <w:r>
        <w:rPr>
          <w:vertAlign w:val="baseline"/>
        </w:rPr>
        <w:t>for</w:t>
      </w:r>
      <w:r>
        <w:rPr>
          <w:spacing w:val="-4"/>
          <w:vertAlign w:val="baseline"/>
        </w:rPr>
        <w:t> </w:t>
      </w:r>
      <w:r>
        <w:rPr>
          <w:vertAlign w:val="baseline"/>
        </w:rPr>
        <w:t>such</w:t>
      </w:r>
      <w:r>
        <w:rPr>
          <w:spacing w:val="-4"/>
          <w:vertAlign w:val="baseline"/>
        </w:rPr>
        <w:t> </w:t>
      </w:r>
      <w:r>
        <w:rPr>
          <w:vertAlign w:val="baseline"/>
        </w:rPr>
        <w:t>a</w:t>
      </w:r>
      <w:r>
        <w:rPr>
          <w:spacing w:val="-4"/>
          <w:vertAlign w:val="baseline"/>
        </w:rPr>
        <w:t> </w:t>
      </w:r>
      <w:r>
        <w:rPr>
          <w:vertAlign w:val="baseline"/>
        </w:rPr>
        <w:t>promise</w:t>
      </w:r>
      <w:r>
        <w:rPr>
          <w:spacing w:val="-4"/>
          <w:vertAlign w:val="baseline"/>
        </w:rPr>
        <w:t> </w:t>
      </w:r>
      <w:r>
        <w:rPr>
          <w:vertAlign w:val="baseline"/>
        </w:rPr>
        <w:t>is</w:t>
      </w:r>
      <w:r>
        <w:rPr>
          <w:spacing w:val="-4"/>
          <w:vertAlign w:val="baseline"/>
        </w:rPr>
        <w:t> </w:t>
      </w:r>
      <w:r>
        <w:rPr>
          <w:vertAlign w:val="baseline"/>
        </w:rPr>
        <w:t>most</w:t>
      </w:r>
      <w:r>
        <w:rPr>
          <w:spacing w:val="-4"/>
          <w:vertAlign w:val="baseline"/>
        </w:rPr>
        <w:t> </w:t>
      </w:r>
      <w:r>
        <w:rPr>
          <w:vertAlign w:val="baseline"/>
        </w:rPr>
        <w:t>obviously</w:t>
      </w:r>
      <w:r>
        <w:rPr>
          <w:spacing w:val="-4"/>
          <w:vertAlign w:val="baseline"/>
        </w:rPr>
        <w:t> </w:t>
      </w:r>
      <w:r>
        <w:rPr>
          <w:vertAlign w:val="baseline"/>
        </w:rPr>
        <w:t>provided if the offeree pays (or promises to pay) a sum of money for the promise and so buys an option. </w:t>
      </w:r>
      <w:r>
        <w:rPr>
          <w:color w:val="005DA1"/>
          <w:u w:val="single" w:color="005DA1"/>
          <w:vertAlign w:val="superscript"/>
        </w:rPr>
        <w:t>1289</w:t>
      </w:r>
      <w:r>
        <w:rPr>
          <w:color w:val="005DA1"/>
          <w:vertAlign w:val="baseline"/>
        </w:rPr>
        <w:t> </w:t>
      </w:r>
      <w:r>
        <w:rPr>
          <w:vertAlign w:val="baseline"/>
        </w:rPr>
        <w:t>Consideration may also be provided by some other promise: for example, in the case of an offer to</w:t>
      </w:r>
      <w:r>
        <w:rPr>
          <w:spacing w:val="40"/>
          <w:vertAlign w:val="baseline"/>
        </w:rPr>
        <w:t> </w:t>
      </w:r>
      <w:r>
        <w:rPr>
          <w:vertAlign w:val="baseline"/>
        </w:rPr>
        <w:t>sell a house, the offeree may provide consideration for the offeror’s promise to hold the offer open by promising</w:t>
      </w:r>
      <w:r>
        <w:rPr>
          <w:spacing w:val="-1"/>
          <w:vertAlign w:val="baseline"/>
        </w:rPr>
        <w:t> </w:t>
      </w:r>
      <w:r>
        <w:rPr>
          <w:vertAlign w:val="baseline"/>
        </w:rPr>
        <w:t>to</w:t>
      </w:r>
      <w:r>
        <w:rPr>
          <w:spacing w:val="-1"/>
          <w:vertAlign w:val="baseline"/>
        </w:rPr>
        <w:t> </w:t>
      </w:r>
      <w:r>
        <w:rPr>
          <w:vertAlign w:val="baseline"/>
        </w:rPr>
        <w:t>apply</w:t>
      </w:r>
      <w:r>
        <w:rPr>
          <w:spacing w:val="-1"/>
          <w:vertAlign w:val="baseline"/>
        </w:rPr>
        <w:t> </w:t>
      </w:r>
      <w:r>
        <w:rPr>
          <w:vertAlign w:val="baseline"/>
        </w:rPr>
        <w:t>for</w:t>
      </w:r>
      <w:r>
        <w:rPr>
          <w:spacing w:val="-1"/>
          <w:vertAlign w:val="baseline"/>
        </w:rPr>
        <w:t> </w:t>
      </w:r>
      <w:r>
        <w:rPr>
          <w:vertAlign w:val="baseline"/>
        </w:rPr>
        <w:t>a</w:t>
      </w:r>
      <w:r>
        <w:rPr>
          <w:spacing w:val="-1"/>
          <w:vertAlign w:val="baseline"/>
        </w:rPr>
        <w:t> </w:t>
      </w:r>
      <w:r>
        <w:rPr>
          <w:vertAlign w:val="baseline"/>
        </w:rPr>
        <w:t>mortgage</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house;</w:t>
      </w:r>
      <w:r>
        <w:rPr>
          <w:spacing w:val="-1"/>
          <w:vertAlign w:val="baseline"/>
        </w:rPr>
        <w:t> </w:t>
      </w:r>
      <w:r>
        <w:rPr>
          <w:vertAlign w:val="baseline"/>
        </w:rPr>
        <w:t>and,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case</w:t>
      </w:r>
      <w:r>
        <w:rPr>
          <w:spacing w:val="-1"/>
          <w:vertAlign w:val="baseline"/>
        </w:rPr>
        <w:t> </w:t>
      </w:r>
      <w:r>
        <w:rPr>
          <w:vertAlign w:val="baseline"/>
        </w:rPr>
        <w:t>of</w:t>
      </w:r>
      <w:r>
        <w:rPr>
          <w:spacing w:val="-1"/>
          <w:vertAlign w:val="baseline"/>
        </w:rPr>
        <w:t> </w:t>
      </w:r>
      <w:r>
        <w:rPr>
          <w:vertAlign w:val="baseline"/>
        </w:rPr>
        <w:t>an</w:t>
      </w:r>
      <w:r>
        <w:rPr>
          <w:spacing w:val="-1"/>
          <w:vertAlign w:val="baseline"/>
        </w:rPr>
        <w:t> </w:t>
      </w:r>
      <w:r>
        <w:rPr>
          <w:vertAlign w:val="baseline"/>
        </w:rPr>
        <w:t>offer</w:t>
      </w:r>
      <w:r>
        <w:rPr>
          <w:spacing w:val="-1"/>
          <w:vertAlign w:val="baseline"/>
        </w:rPr>
        <w:t> </w:t>
      </w:r>
      <w:r>
        <w:rPr>
          <w:vertAlign w:val="baseline"/>
        </w:rPr>
        <w:t>to</w:t>
      </w:r>
      <w:r>
        <w:rPr>
          <w:spacing w:val="-1"/>
          <w:vertAlign w:val="baseline"/>
        </w:rPr>
        <w:t> </w:t>
      </w:r>
      <w:r>
        <w:rPr>
          <w:vertAlign w:val="baseline"/>
        </w:rPr>
        <w:t>buy</w:t>
      </w:r>
      <w:r>
        <w:rPr>
          <w:spacing w:val="-1"/>
          <w:vertAlign w:val="baseline"/>
        </w:rPr>
        <w:t> </w:t>
      </w:r>
      <w:r>
        <w:rPr>
          <w:vertAlign w:val="baseline"/>
        </w:rPr>
        <w:t>shares,</w:t>
      </w:r>
      <w:r>
        <w:rPr>
          <w:spacing w:val="-1"/>
          <w:vertAlign w:val="baseline"/>
        </w:rPr>
        <w:t> </w:t>
      </w:r>
      <w:r>
        <w:rPr>
          <w:vertAlign w:val="baseline"/>
        </w:rPr>
        <w:t>the</w:t>
      </w:r>
      <w:r>
        <w:rPr>
          <w:spacing w:val="-1"/>
          <w:vertAlign w:val="baseline"/>
        </w:rPr>
        <w:t> </w:t>
      </w:r>
      <w:r>
        <w:rPr>
          <w:vertAlign w:val="baseline"/>
        </w:rPr>
        <w:t>offeree may provide consideration for the offeror’s promise not to withdraw the offer for a specified time by promising</w:t>
      </w:r>
      <w:r>
        <w:rPr>
          <w:spacing w:val="-2"/>
          <w:vertAlign w:val="baseline"/>
        </w:rPr>
        <w:t> </w:t>
      </w:r>
      <w:r>
        <w:rPr>
          <w:vertAlign w:val="baseline"/>
        </w:rPr>
        <w:t>not</w:t>
      </w:r>
      <w:r>
        <w:rPr>
          <w:spacing w:val="-2"/>
          <w:vertAlign w:val="baseline"/>
        </w:rPr>
        <w:t> </w:t>
      </w:r>
      <w:r>
        <w:rPr>
          <w:vertAlign w:val="baseline"/>
        </w:rPr>
        <w:t>to</w:t>
      </w:r>
      <w:r>
        <w:rPr>
          <w:spacing w:val="-2"/>
          <w:vertAlign w:val="baseline"/>
        </w:rPr>
        <w:t> </w:t>
      </w:r>
      <w:r>
        <w:rPr>
          <w:vertAlign w:val="baseline"/>
        </w:rPr>
        <w:t>dispose</w:t>
      </w:r>
      <w:r>
        <w:rPr>
          <w:spacing w:val="-2"/>
          <w:vertAlign w:val="baseline"/>
        </w:rPr>
        <w:t> </w:t>
      </w:r>
      <w:r>
        <w:rPr>
          <w:vertAlign w:val="baseline"/>
        </w:rPr>
        <w:t>of</w:t>
      </w:r>
      <w:r>
        <w:rPr>
          <w:spacing w:val="-2"/>
          <w:vertAlign w:val="baseline"/>
        </w:rPr>
        <w:t> </w:t>
      </w:r>
      <w:r>
        <w:rPr>
          <w:vertAlign w:val="baseline"/>
        </w:rPr>
        <w:t>those</w:t>
      </w:r>
      <w:r>
        <w:rPr>
          <w:spacing w:val="-2"/>
          <w:vertAlign w:val="baseline"/>
        </w:rPr>
        <w:t> </w:t>
      </w:r>
      <w:r>
        <w:rPr>
          <w:vertAlign w:val="baseline"/>
        </w:rPr>
        <w:t>shares</w:t>
      </w:r>
      <w:r>
        <w:rPr>
          <w:spacing w:val="-2"/>
          <w:vertAlign w:val="baseline"/>
        </w:rPr>
        <w:t> </w:t>
      </w:r>
      <w:r>
        <w:rPr>
          <w:vertAlign w:val="baseline"/>
        </w:rPr>
        <w:t>elsewhere</w:t>
      </w:r>
      <w:r>
        <w:rPr>
          <w:spacing w:val="-2"/>
          <w:vertAlign w:val="baseline"/>
        </w:rPr>
        <w:t> </w:t>
      </w:r>
      <w:r>
        <w:rPr>
          <w:vertAlign w:val="baseline"/>
        </w:rPr>
        <w:t>during</w:t>
      </w:r>
      <w:r>
        <w:rPr>
          <w:spacing w:val="-2"/>
          <w:vertAlign w:val="baseline"/>
        </w:rPr>
        <w:t> </w:t>
      </w:r>
      <w:r>
        <w:rPr>
          <w:vertAlign w:val="baseline"/>
        </w:rPr>
        <w:t>that</w:t>
      </w:r>
      <w:r>
        <w:rPr>
          <w:spacing w:val="-2"/>
          <w:vertAlign w:val="baseline"/>
        </w:rPr>
        <w:t> </w:t>
      </w:r>
      <w:r>
        <w:rPr>
          <w:vertAlign w:val="baseline"/>
        </w:rPr>
        <w:t>time.</w:t>
      </w:r>
      <w:r>
        <w:rPr>
          <w:spacing w:val="-2"/>
          <w:vertAlign w:val="baseline"/>
        </w:rPr>
        <w:t> </w:t>
      </w:r>
      <w:r>
        <w:rPr>
          <w:vertAlign w:val="baseline"/>
        </w:rPr>
        <w:t>The</w:t>
      </w:r>
      <w:r>
        <w:rPr>
          <w:spacing w:val="-2"/>
          <w:vertAlign w:val="baseline"/>
        </w:rPr>
        <w:t> </w:t>
      </w:r>
      <w:r>
        <w:rPr>
          <w:vertAlign w:val="baseline"/>
        </w:rPr>
        <w:t>performance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offeree’s </w:t>
      </w:r>
      <w:bookmarkStart w:name="_bookmark1841" w:id="1843"/>
      <w:bookmarkEnd w:id="1843"/>
      <w:r>
        <w:rPr>
          <w:vertAlign w:val="baseline"/>
        </w:rPr>
        <w:t>promise</w:t>
      </w:r>
      <w:r>
        <w:rPr>
          <w:vertAlign w:val="baseline"/>
        </w:rPr>
        <w:t> in such cases could likewise provide consideration for the offeror’s promise to keep the offer open. In one case a vendor of land entered into a so-called “lock-out” agreement </w:t>
      </w:r>
      <w:r>
        <w:rPr>
          <w:color w:val="005DA1"/>
          <w:u w:val="single" w:color="005DA1"/>
          <w:vertAlign w:val="superscript"/>
        </w:rPr>
        <w:t>1290</w:t>
      </w:r>
      <w:r>
        <w:rPr>
          <w:color w:val="005DA1"/>
          <w:vertAlign w:val="baseline"/>
        </w:rPr>
        <w:t> </w:t>
      </w:r>
      <w:r>
        <w:rPr>
          <w:vertAlign w:val="baseline"/>
        </w:rPr>
        <w:t>by which he promised a prospective purchaser not to consider other offers if that purchaser would exchange </w:t>
      </w:r>
      <w:bookmarkStart w:name="_bookmark1842" w:id="1844"/>
      <w:bookmarkEnd w:id="1844"/>
      <w:r>
        <w:rPr>
          <w:vertAlign w:val="baseline"/>
        </w:rPr>
        <w:t>contracts</w:t>
      </w:r>
      <w:r>
        <w:rPr>
          <w:vertAlign w:val="baseline"/>
        </w:rPr>
        <w:t> within two weeks; and it was said that “the promise by the [purchaser] to get on by limiting himself to just two weeks” </w:t>
      </w:r>
      <w:r>
        <w:rPr>
          <w:color w:val="005DA1"/>
          <w:u w:val="single" w:color="005DA1"/>
          <w:vertAlign w:val="superscript"/>
        </w:rPr>
        <w:t>1291</w:t>
      </w:r>
      <w:r>
        <w:rPr>
          <w:color w:val="005DA1"/>
          <w:vertAlign w:val="baseline"/>
        </w:rPr>
        <w:t> </w:t>
      </w:r>
      <w:r>
        <w:rPr>
          <w:vertAlign w:val="baseline"/>
        </w:rPr>
        <w:t>constituted consideration for the vendor’s promise not to consider other offers.</w:t>
      </w:r>
      <w:r>
        <w:rPr>
          <w:spacing w:val="10"/>
          <w:vertAlign w:val="baseline"/>
        </w:rPr>
        <w:t> </w:t>
      </w:r>
      <w:r>
        <w:rPr>
          <w:vertAlign w:val="baseline"/>
        </w:rPr>
        <w:t>The</w:t>
      </w:r>
      <w:r>
        <w:rPr>
          <w:spacing w:val="10"/>
          <w:vertAlign w:val="baseline"/>
        </w:rPr>
        <w:t> </w:t>
      </w:r>
      <w:r>
        <w:rPr>
          <w:vertAlign w:val="baseline"/>
        </w:rPr>
        <w:t>case</w:t>
      </w:r>
      <w:r>
        <w:rPr>
          <w:spacing w:val="10"/>
          <w:vertAlign w:val="baseline"/>
        </w:rPr>
        <w:t> </w:t>
      </w:r>
      <w:r>
        <w:rPr>
          <w:vertAlign w:val="baseline"/>
        </w:rPr>
        <w:t>is</w:t>
      </w:r>
      <w:r>
        <w:rPr>
          <w:spacing w:val="10"/>
          <w:vertAlign w:val="baseline"/>
        </w:rPr>
        <w:t> </w:t>
      </w:r>
      <w:r>
        <w:rPr>
          <w:vertAlign w:val="baseline"/>
        </w:rPr>
        <w:t>not</w:t>
      </w:r>
      <w:r>
        <w:rPr>
          <w:spacing w:val="10"/>
          <w:vertAlign w:val="baseline"/>
        </w:rPr>
        <w:t> </w:t>
      </w:r>
      <w:r>
        <w:rPr>
          <w:vertAlign w:val="baseline"/>
        </w:rPr>
        <w:t>strictly</w:t>
      </w:r>
      <w:r>
        <w:rPr>
          <w:spacing w:val="10"/>
          <w:vertAlign w:val="baseline"/>
        </w:rPr>
        <w:t> </w:t>
      </w:r>
      <w:r>
        <w:rPr>
          <w:vertAlign w:val="baseline"/>
        </w:rPr>
        <w:t>one</w:t>
      </w:r>
      <w:r>
        <w:rPr>
          <w:spacing w:val="10"/>
          <w:vertAlign w:val="baseline"/>
        </w:rPr>
        <w:t> </w:t>
      </w:r>
      <w:r>
        <w:rPr>
          <w:vertAlign w:val="baseline"/>
        </w:rPr>
        <w:t>of</w:t>
      </w:r>
      <w:r>
        <w:rPr>
          <w:spacing w:val="10"/>
          <w:vertAlign w:val="baseline"/>
        </w:rPr>
        <w:t> </w:t>
      </w:r>
      <w:r>
        <w:rPr>
          <w:vertAlign w:val="baseline"/>
        </w:rPr>
        <w:t>a</w:t>
      </w:r>
      <w:r>
        <w:rPr>
          <w:spacing w:val="10"/>
          <w:vertAlign w:val="baseline"/>
        </w:rPr>
        <w:t> </w:t>
      </w:r>
      <w:r>
        <w:rPr>
          <w:vertAlign w:val="baseline"/>
        </w:rPr>
        <w:t>firm</w:t>
      </w:r>
      <w:r>
        <w:rPr>
          <w:spacing w:val="10"/>
          <w:vertAlign w:val="baseline"/>
        </w:rPr>
        <w:t> </w:t>
      </w:r>
      <w:r>
        <w:rPr>
          <w:vertAlign w:val="baseline"/>
        </w:rPr>
        <w:t>offer</w:t>
      </w:r>
      <w:r>
        <w:rPr>
          <w:spacing w:val="10"/>
          <w:vertAlign w:val="baseline"/>
        </w:rPr>
        <w:t> </w:t>
      </w:r>
      <w:r>
        <w:rPr>
          <w:vertAlign w:val="baseline"/>
        </w:rPr>
        <w:t>since</w:t>
      </w:r>
      <w:r>
        <w:rPr>
          <w:spacing w:val="10"/>
          <w:vertAlign w:val="baseline"/>
        </w:rPr>
        <w:t> </w:t>
      </w:r>
      <w:r>
        <w:rPr>
          <w:vertAlign w:val="baseline"/>
        </w:rPr>
        <w:t>the</w:t>
      </w:r>
      <w:r>
        <w:rPr>
          <w:spacing w:val="10"/>
          <w:vertAlign w:val="baseline"/>
        </w:rPr>
        <w:t> </w:t>
      </w:r>
      <w:r>
        <w:rPr>
          <w:vertAlign w:val="baseline"/>
        </w:rPr>
        <w:t>vendor’s</w:t>
      </w:r>
      <w:r>
        <w:rPr>
          <w:spacing w:val="10"/>
          <w:vertAlign w:val="baseline"/>
        </w:rPr>
        <w:t> </w:t>
      </w:r>
      <w:r>
        <w:rPr>
          <w:vertAlign w:val="baseline"/>
        </w:rPr>
        <w:t>promise</w:t>
      </w:r>
      <w:r>
        <w:rPr>
          <w:spacing w:val="10"/>
          <w:vertAlign w:val="baseline"/>
        </w:rPr>
        <w:t> </w:t>
      </w:r>
      <w:r>
        <w:rPr>
          <w:vertAlign w:val="baseline"/>
        </w:rPr>
        <w:t>would</w:t>
      </w:r>
      <w:r>
        <w:rPr>
          <w:spacing w:val="10"/>
          <w:vertAlign w:val="baseline"/>
        </w:rPr>
        <w:t> </w:t>
      </w:r>
      <w:r>
        <w:rPr>
          <w:vertAlign w:val="baseline"/>
        </w:rPr>
        <w:t>not</w:t>
      </w:r>
      <w:r>
        <w:rPr>
          <w:spacing w:val="10"/>
          <w:vertAlign w:val="baseline"/>
        </w:rPr>
        <w:t> </w:t>
      </w:r>
      <w:r>
        <w:rPr>
          <w:vertAlign w:val="baseline"/>
        </w:rPr>
        <w:t>in</w:t>
      </w:r>
      <w:r>
        <w:rPr>
          <w:spacing w:val="10"/>
          <w:vertAlign w:val="baseline"/>
        </w:rPr>
        <w:t> </w:t>
      </w:r>
      <w:r>
        <w:rPr>
          <w:vertAlign w:val="baseline"/>
        </w:rPr>
        <w:t>terms</w:t>
      </w:r>
      <w:r>
        <w:rPr>
          <w:spacing w:val="10"/>
          <w:vertAlign w:val="baseline"/>
        </w:rPr>
        <w:t> </w:t>
      </w:r>
      <w:r>
        <w:rPr>
          <w:spacing w:val="-4"/>
          <w:vertAlign w:val="baseline"/>
        </w:rPr>
        <w:t>have</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1843" w:id="1845"/>
      <w:bookmarkEnd w:id="1845"/>
      <w:r>
        <w:rPr/>
      </w:r>
      <w:r>
        <w:rPr/>
        <w:t>prevented him from simply deciding not to sell at all; but the practical effect of a binding “lock-out” agreement may be to prevent the vendor from withdrawing his offer; and the reasoning quoted above </w:t>
      </w:r>
      <w:r>
        <w:rPr>
          <w:color w:val="005DA1"/>
          <w:u w:val="single" w:color="005DA1"/>
          <w:vertAlign w:val="superscript"/>
        </w:rPr>
        <w:t>1292</w:t>
      </w:r>
      <w:r>
        <w:rPr>
          <w:color w:val="005DA1"/>
          <w:vertAlign w:val="baseline"/>
        </w:rPr>
        <w:t> </w:t>
      </w:r>
      <w:r>
        <w:rPr>
          <w:vertAlign w:val="baseline"/>
        </w:rPr>
        <w:t>could apply to the case of a firm offer. On the facts of the case from which it is taken, </w:t>
      </w:r>
      <w:r>
        <w:rPr>
          <w:vertAlign w:val="baseline"/>
        </w:rPr>
        <w:t>the reasoning gives rise to some difficulty since it does not appear that the purchaser made any promise to exchange contracts within two weeks. It seems more plausible to say that the vendor’s promise</w:t>
      </w:r>
      <w:r>
        <w:rPr>
          <w:spacing w:val="80"/>
          <w:vertAlign w:val="baseline"/>
        </w:rPr>
        <w:t> </w:t>
      </w:r>
      <w:r>
        <w:rPr>
          <w:vertAlign w:val="baseline"/>
        </w:rPr>
        <w:t>had</w:t>
      </w:r>
      <w:r>
        <w:rPr>
          <w:spacing w:val="-2"/>
          <w:vertAlign w:val="baseline"/>
        </w:rPr>
        <w:t> </w:t>
      </w:r>
      <w:r>
        <w:rPr>
          <w:vertAlign w:val="baseline"/>
        </w:rPr>
        <w:t>become</w:t>
      </w:r>
      <w:r>
        <w:rPr>
          <w:spacing w:val="-2"/>
          <w:vertAlign w:val="baseline"/>
        </w:rPr>
        <w:t> </w:t>
      </w:r>
      <w:r>
        <w:rPr>
          <w:vertAlign w:val="baseline"/>
        </w:rPr>
        <w:t>binding</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unilateral</w:t>
      </w:r>
      <w:r>
        <w:rPr>
          <w:spacing w:val="-2"/>
          <w:vertAlign w:val="baseline"/>
        </w:rPr>
        <w:t> </w:t>
      </w:r>
      <w:r>
        <w:rPr>
          <w:vertAlign w:val="baseline"/>
        </w:rPr>
        <w:t>contract</w:t>
      </w:r>
      <w:r>
        <w:rPr>
          <w:spacing w:val="-2"/>
          <w:vertAlign w:val="baseline"/>
        </w:rPr>
        <w:t> </w:t>
      </w:r>
      <w:r>
        <w:rPr>
          <w:vertAlign w:val="baseline"/>
        </w:rPr>
        <w:t>under</w:t>
      </w:r>
      <w:r>
        <w:rPr>
          <w:spacing w:val="-2"/>
          <w:vertAlign w:val="baseline"/>
        </w:rPr>
        <w:t> </w:t>
      </w:r>
      <w:r>
        <w:rPr>
          <w:vertAlign w:val="baseline"/>
        </w:rPr>
        <w:t>which</w:t>
      </w:r>
      <w:r>
        <w:rPr>
          <w:spacing w:val="-2"/>
          <w:vertAlign w:val="baseline"/>
        </w:rPr>
        <w:t> </w:t>
      </w:r>
      <w:r>
        <w:rPr>
          <w:vertAlign w:val="baseline"/>
        </w:rPr>
        <w:t>the</w:t>
      </w:r>
      <w:r>
        <w:rPr>
          <w:spacing w:val="-2"/>
          <w:vertAlign w:val="baseline"/>
        </w:rPr>
        <w:t> </w:t>
      </w:r>
      <w:r>
        <w:rPr>
          <w:vertAlign w:val="baseline"/>
        </w:rPr>
        <w:t>purchaser</w:t>
      </w:r>
      <w:r>
        <w:rPr>
          <w:spacing w:val="-2"/>
          <w:vertAlign w:val="baseline"/>
        </w:rPr>
        <w:t> </w:t>
      </w:r>
      <w:r>
        <w:rPr>
          <w:vertAlign w:val="baseline"/>
        </w:rPr>
        <w:t>had</w:t>
      </w:r>
      <w:r>
        <w:rPr>
          <w:spacing w:val="-2"/>
          <w:vertAlign w:val="baseline"/>
        </w:rPr>
        <w:t> </w:t>
      </w:r>
      <w:r>
        <w:rPr>
          <w:vertAlign w:val="baseline"/>
        </w:rPr>
        <w:t>provided</w:t>
      </w:r>
      <w:r>
        <w:rPr>
          <w:spacing w:val="-2"/>
          <w:vertAlign w:val="baseline"/>
        </w:rPr>
        <w:t> </w:t>
      </w:r>
      <w:r>
        <w:rPr>
          <w:vertAlign w:val="baseline"/>
        </w:rPr>
        <w:t>consideration</w:t>
      </w:r>
      <w:r>
        <w:rPr>
          <w:spacing w:val="-2"/>
          <w:vertAlign w:val="baseline"/>
        </w:rPr>
        <w:t> </w:t>
      </w:r>
      <w:r>
        <w:rPr>
          <w:vertAlign w:val="baseline"/>
        </w:rPr>
        <w:t>by actually making efforts to meet the deadline, even though he had not promised to do so. Similar reasoning can apply if a seller of land promises to keep an offer open for a month, asking the buyer during that period to make efforts to raise the necessary money. If the buyer makes such efforts (without promising to do so), it is arguable that he has by part performance accepted the seller’s offer of</w:t>
      </w:r>
      <w:r>
        <w:rPr>
          <w:spacing w:val="-1"/>
          <w:vertAlign w:val="baseline"/>
        </w:rPr>
        <w:t> </w:t>
      </w:r>
      <w:r>
        <w:rPr>
          <w:vertAlign w:val="baseline"/>
        </w:rPr>
        <w:t>a</w:t>
      </w:r>
      <w:r>
        <w:rPr>
          <w:spacing w:val="-1"/>
          <w:vertAlign w:val="baseline"/>
        </w:rPr>
        <w:t> </w:t>
      </w:r>
      <w:r>
        <w:rPr>
          <w:vertAlign w:val="baseline"/>
        </w:rPr>
        <w:t>unilateral</w:t>
      </w:r>
      <w:r>
        <w:rPr>
          <w:spacing w:val="-1"/>
          <w:vertAlign w:val="baseline"/>
        </w:rPr>
        <w:t> </w:t>
      </w:r>
      <w:r>
        <w:rPr>
          <w:vertAlign w:val="baseline"/>
        </w:rPr>
        <w:t>contract</w:t>
      </w:r>
      <w:r>
        <w:rPr>
          <w:spacing w:val="-1"/>
          <w:vertAlign w:val="baseline"/>
        </w:rPr>
        <w:t> </w:t>
      </w:r>
      <w:r>
        <w:rPr>
          <w:vertAlign w:val="baseline"/>
        </w:rPr>
        <w:t>to</w:t>
      </w:r>
      <w:r>
        <w:rPr>
          <w:spacing w:val="-1"/>
          <w:vertAlign w:val="baseline"/>
        </w:rPr>
        <w:t> </w:t>
      </w:r>
      <w:r>
        <w:rPr>
          <w:vertAlign w:val="baseline"/>
        </w:rPr>
        <w:t>keep</w:t>
      </w:r>
      <w:r>
        <w:rPr>
          <w:spacing w:val="-1"/>
          <w:vertAlign w:val="baseline"/>
        </w:rPr>
        <w:t> </w:t>
      </w:r>
      <w:r>
        <w:rPr>
          <w:vertAlign w:val="baseline"/>
        </w:rPr>
        <w:t>the</w:t>
      </w:r>
      <w:r>
        <w:rPr>
          <w:spacing w:val="-1"/>
          <w:vertAlign w:val="baseline"/>
        </w:rPr>
        <w:t> </w:t>
      </w:r>
      <w:r>
        <w:rPr>
          <w:vertAlign w:val="baseline"/>
        </w:rPr>
        <w:t>principal</w:t>
      </w:r>
      <w:r>
        <w:rPr>
          <w:spacing w:val="-1"/>
          <w:vertAlign w:val="baseline"/>
        </w:rPr>
        <w:t> </w:t>
      </w:r>
      <w:r>
        <w:rPr>
          <w:vertAlign w:val="baseline"/>
        </w:rPr>
        <w:t>offer</w:t>
      </w:r>
      <w:r>
        <w:rPr>
          <w:spacing w:val="-1"/>
          <w:vertAlign w:val="baseline"/>
        </w:rPr>
        <w:t> </w:t>
      </w:r>
      <w:r>
        <w:rPr>
          <w:vertAlign w:val="baseline"/>
        </w:rPr>
        <w:t>open.</w:t>
      </w:r>
      <w:r>
        <w:rPr>
          <w:spacing w:val="-1"/>
          <w:vertAlign w:val="baseline"/>
        </w:rPr>
        <w:t> </w:t>
      </w:r>
      <w:r>
        <w:rPr>
          <w:vertAlign w:val="baseline"/>
        </w:rPr>
        <w:t>Similarly,</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possible</w:t>
      </w:r>
      <w:r>
        <w:rPr>
          <w:spacing w:val="-1"/>
          <w:vertAlign w:val="baseline"/>
        </w:rPr>
        <w:t> </w:t>
      </w:r>
      <w:r>
        <w:rPr>
          <w:vertAlign w:val="baseline"/>
        </w:rPr>
        <w:t>for</w:t>
      </w:r>
      <w:r>
        <w:rPr>
          <w:spacing w:val="-1"/>
          <w:vertAlign w:val="baseline"/>
        </w:rPr>
        <w:t> </w:t>
      </w:r>
      <w:r>
        <w:rPr>
          <w:vertAlign w:val="baseline"/>
        </w:rPr>
        <w:t>a</w:t>
      </w:r>
      <w:r>
        <w:rPr>
          <w:spacing w:val="-1"/>
          <w:vertAlign w:val="baseline"/>
        </w:rPr>
        <w:t> </w:t>
      </w:r>
      <w:r>
        <w:rPr>
          <w:vertAlign w:val="baseline"/>
        </w:rPr>
        <w:t>person,</w:t>
      </w:r>
      <w:r>
        <w:rPr>
          <w:spacing w:val="-1"/>
          <w:vertAlign w:val="baseline"/>
        </w:rPr>
        <w:t> </w:t>
      </w:r>
      <w:r>
        <w:rPr>
          <w:vertAlign w:val="baseline"/>
        </w:rPr>
        <w:t>to</w:t>
      </w:r>
      <w:r>
        <w:rPr>
          <w:spacing w:val="-1"/>
          <w:vertAlign w:val="baseline"/>
        </w:rPr>
        <w:t> </w:t>
      </w:r>
      <w:r>
        <w:rPr>
          <w:vertAlign w:val="baseline"/>
        </w:rPr>
        <w:t>whom</w:t>
      </w:r>
      <w:r>
        <w:rPr>
          <w:spacing w:val="-1"/>
          <w:vertAlign w:val="baseline"/>
        </w:rPr>
        <w:t> </w:t>
      </w:r>
      <w:r>
        <w:rPr>
          <w:vertAlign w:val="baseline"/>
        </w:rPr>
        <w:t>a </w:t>
      </w:r>
      <w:bookmarkStart w:name="_bookmark1844" w:id="1846"/>
      <w:bookmarkEnd w:id="1846"/>
      <w:r>
        <w:rPr>
          <w:vertAlign w:val="baseline"/>
        </w:rPr>
        <w:t>promise</w:t>
      </w:r>
      <w:r>
        <w:rPr>
          <w:vertAlign w:val="baseline"/>
        </w:rPr>
        <w:t> not to revoke an offer for the sale of a house has been made, to provide consideration for</w:t>
      </w:r>
      <w:r>
        <w:rPr>
          <w:spacing w:val="40"/>
          <w:vertAlign w:val="baseline"/>
        </w:rPr>
        <w:t> </w:t>
      </w:r>
      <w:bookmarkStart w:name="_bookmark1845" w:id="1847"/>
      <w:bookmarkEnd w:id="1847"/>
      <w:r>
        <w:rPr>
          <w:vertAlign w:val="baseline"/>
        </w:rPr>
        <w:t>that</w:t>
      </w:r>
      <w:r>
        <w:rPr>
          <w:vertAlign w:val="baseline"/>
        </w:rPr>
        <w:t> promise by incurring the expense of a survey. </w:t>
      </w:r>
      <w:r>
        <w:rPr>
          <w:color w:val="005DA1"/>
          <w:u w:val="single" w:color="005DA1"/>
          <w:vertAlign w:val="superscript"/>
        </w:rPr>
        <w:t>1293</w:t>
      </w:r>
      <w:r>
        <w:rPr>
          <w:color w:val="005DA1"/>
          <w:vertAlign w:val="baseline"/>
        </w:rPr>
        <w:t> </w:t>
      </w:r>
      <w:r>
        <w:rPr>
          <w:vertAlign w:val="baseline"/>
        </w:rPr>
        <w:t>Consideration may also be provided by the </w:t>
      </w:r>
      <w:bookmarkStart w:name="_bookmark1846" w:id="1848"/>
      <w:bookmarkEnd w:id="1848"/>
      <w:r>
        <w:rPr>
          <w:vertAlign w:val="baseline"/>
        </w:rPr>
        <w:t>promisee’s</w:t>
      </w:r>
      <w:r>
        <w:rPr>
          <w:vertAlign w:val="baseline"/>
        </w:rPr>
        <w:t> entering into another contract with the promisor. </w:t>
      </w:r>
      <w:r>
        <w:rPr>
          <w:color w:val="005DA1"/>
          <w:u w:val="single" w:color="005DA1"/>
          <w:vertAlign w:val="superscript"/>
        </w:rPr>
        <w:t>1294</w:t>
      </w:r>
      <w:r>
        <w:rPr>
          <w:color w:val="005DA1"/>
          <w:vertAlign w:val="baseline"/>
        </w:rPr>
        <w:t> </w:t>
      </w:r>
      <w:r>
        <w:rPr>
          <w:vertAlign w:val="baseline"/>
        </w:rPr>
        <w:t>On the other hand, the equitable </w:t>
      </w:r>
      <w:bookmarkStart w:name="_bookmark1847" w:id="1849"/>
      <w:bookmarkEnd w:id="1849"/>
      <w:r>
        <w:rPr>
          <w:vertAlign w:val="baseline"/>
        </w:rPr>
        <w:t>doctrine</w:t>
      </w:r>
      <w:r>
        <w:rPr>
          <w:vertAlign w:val="baseline"/>
        </w:rPr>
        <w:t> of </w:t>
      </w:r>
      <w:r>
        <w:rPr>
          <w:rFonts w:ascii="Arial" w:hAnsi="Arial"/>
          <w:i/>
          <w:vertAlign w:val="baseline"/>
        </w:rPr>
        <w:t>Hughes v Metropolitan Ry </w:t>
      </w:r>
      <w:r>
        <w:rPr>
          <w:color w:val="005DA1"/>
          <w:u w:val="single" w:color="005DA1"/>
          <w:vertAlign w:val="superscript"/>
        </w:rPr>
        <w:t>1295</w:t>
      </w:r>
      <w:r>
        <w:rPr>
          <w:color w:val="005DA1"/>
          <w:vertAlign w:val="baseline"/>
        </w:rPr>
        <w:t> </w:t>
      </w:r>
      <w:r>
        <w:rPr>
          <w:vertAlign w:val="baseline"/>
        </w:rPr>
        <w:t>and of the </w:t>
      </w:r>
      <w:r>
        <w:rPr>
          <w:rFonts w:ascii="Arial" w:hAnsi="Arial"/>
          <w:i/>
          <w:vertAlign w:val="baseline"/>
        </w:rPr>
        <w:t>High Trees </w:t>
      </w:r>
      <w:r>
        <w:rPr>
          <w:vertAlign w:val="baseline"/>
        </w:rPr>
        <w:t>case </w:t>
      </w:r>
      <w:r>
        <w:rPr>
          <w:color w:val="005DA1"/>
          <w:u w:val="single" w:color="005DA1"/>
          <w:vertAlign w:val="superscript"/>
        </w:rPr>
        <w:t>1296</w:t>
      </w:r>
      <w:r>
        <w:rPr>
          <w:color w:val="005DA1"/>
          <w:vertAlign w:val="baseline"/>
        </w:rPr>
        <w:t> </w:t>
      </w:r>
      <w:r>
        <w:rPr>
          <w:vertAlign w:val="baseline"/>
        </w:rPr>
        <w:t>will not avail the offeree </w:t>
      </w:r>
      <w:bookmarkStart w:name="_bookmark1848" w:id="1850"/>
      <w:bookmarkEnd w:id="1850"/>
      <w:r>
        <w:rPr>
          <w:vertAlign w:val="baseline"/>
        </w:rPr>
        <w:t>since</w:t>
      </w:r>
      <w:r>
        <w:rPr>
          <w:vertAlign w:val="baseline"/>
        </w:rPr>
        <w:t> it does not create new causes of action where none existed before. </w:t>
      </w:r>
      <w:r>
        <w:rPr>
          <w:color w:val="005DA1"/>
          <w:u w:val="single" w:color="005DA1"/>
          <w:vertAlign w:val="superscript"/>
        </w:rPr>
        <w:t>1297</w:t>
      </w:r>
      <w:r>
        <w:rPr>
          <w:color w:val="005DA1"/>
          <w:vertAlign w:val="baseline"/>
        </w:rPr>
        <w:t> </w:t>
      </w:r>
      <w:r>
        <w:rPr>
          <w:vertAlign w:val="baseline"/>
        </w:rPr>
        <w:t>Nor does it seem </w:t>
      </w:r>
      <w:bookmarkStart w:name="_bookmark1849" w:id="1851"/>
      <w:bookmarkEnd w:id="1851"/>
      <w:r>
        <w:rPr>
          <w:vertAlign w:val="baseline"/>
        </w:rPr>
        <w:t>probable</w:t>
      </w:r>
      <w:r>
        <w:rPr>
          <w:vertAlign w:val="baseline"/>
        </w:rPr>
        <w:t> that the offeree will be able to claim damages in tort </w:t>
      </w:r>
      <w:r>
        <w:rPr>
          <w:color w:val="005DA1"/>
          <w:u w:val="single" w:color="005DA1"/>
          <w:vertAlign w:val="superscript"/>
        </w:rPr>
        <w:t>1298</w:t>
      </w:r>
      <w:r>
        <w:rPr>
          <w:color w:val="005DA1"/>
          <w:vertAlign w:val="baseline"/>
        </w:rPr>
        <w:t> </w:t>
      </w:r>
      <w:r>
        <w:rPr>
          <w:vertAlign w:val="baseline"/>
        </w:rPr>
        <w:t>under the principles laid down in </w:t>
      </w:r>
      <w:r>
        <w:rPr>
          <w:rFonts w:ascii="Arial" w:hAnsi="Arial"/>
          <w:i/>
          <w:vertAlign w:val="baseline"/>
        </w:rPr>
        <w:t>Hedley Byrne &amp; Co Ltd v Heller &amp; Partners Ltd</w:t>
      </w:r>
      <w:r>
        <w:rPr>
          <w:vertAlign w:val="baseline"/>
        </w:rPr>
        <w:t>. </w:t>
      </w:r>
      <w:r>
        <w:rPr>
          <w:color w:val="005DA1"/>
          <w:u w:val="single" w:color="005DA1"/>
          <w:vertAlign w:val="superscript"/>
        </w:rPr>
        <w:t>1299</w:t>
      </w:r>
    </w:p>
    <w:p>
      <w:pPr>
        <w:pStyle w:val="BodyText"/>
      </w:pPr>
    </w:p>
    <w:p>
      <w:pPr>
        <w:pStyle w:val="BodyText"/>
        <w:spacing w:before="31"/>
      </w:pPr>
    </w:p>
    <w:p>
      <w:pPr>
        <w:spacing w:before="1"/>
        <w:ind w:left="165" w:right="0" w:firstLine="0"/>
        <w:jc w:val="left"/>
        <w:rPr>
          <w:rFonts w:ascii="Arial"/>
          <w:b/>
          <w:sz w:val="18"/>
        </w:rPr>
      </w:pPr>
      <w:r>
        <w:rPr>
          <w:rFonts w:ascii="Arial"/>
          <w:b/>
          <w:spacing w:val="-2"/>
          <w:sz w:val="18"/>
        </w:rPr>
        <w:t>Exceptions</w:t>
      </w:r>
    </w:p>
    <w:p>
      <w:pPr>
        <w:pStyle w:val="BodyText"/>
        <w:spacing w:before="41"/>
        <w:rPr>
          <w:rFonts w:ascii="Arial"/>
          <w:b/>
          <w:sz w:val="18"/>
        </w:rPr>
      </w:pPr>
    </w:p>
    <w:p>
      <w:pPr>
        <w:pStyle w:val="Heading2"/>
      </w:pPr>
      <w:r>
        <w:rPr/>
        <w:t>4-</w:t>
      </w:r>
      <w:r>
        <w:rPr>
          <w:spacing w:val="-5"/>
        </w:rPr>
        <w:t>194</w:t>
      </w:r>
    </w:p>
    <w:p>
      <w:pPr>
        <w:pStyle w:val="BodyText"/>
        <w:spacing w:line="235" w:lineRule="auto" w:before="202"/>
        <w:ind w:left="164" w:right="167"/>
        <w:jc w:val="both"/>
      </w:pPr>
      <w:bookmarkStart w:name="_bookmark1850" w:id="1852"/>
      <w:bookmarkEnd w:id="1852"/>
      <w:r>
        <w:rPr/>
      </w:r>
      <w:bookmarkStart w:name="_bookmark1851" w:id="1853"/>
      <w:bookmarkEnd w:id="1853"/>
      <w:r>
        <w:rPr/>
      </w:r>
      <w:r>
        <w:rPr/>
        <w:t>The general rule that a promise to keep an offer open is not binding has been criticised </w:t>
      </w:r>
      <w:r>
        <w:rPr>
          <w:color w:val="005DA1"/>
          <w:u w:val="single" w:color="005DA1"/>
          <w:vertAlign w:val="superscript"/>
        </w:rPr>
        <w:t>1300</w:t>
      </w:r>
      <w:r>
        <w:rPr>
          <w:vertAlign w:val="baseline"/>
        </w:rPr>
        <w:t>; </w:t>
      </w:r>
      <w:r>
        <w:rPr>
          <w:vertAlign w:val="baseline"/>
        </w:rPr>
        <w:t>indeed, there are some situations in which it has been said that “the market would disdain to take” </w:t>
      </w:r>
      <w:r>
        <w:rPr>
          <w:color w:val="005DA1"/>
          <w:u w:val="single" w:color="005DA1"/>
          <w:vertAlign w:val="superscript"/>
        </w:rPr>
        <w:t>1301</w:t>
      </w:r>
      <w:r>
        <w:rPr>
          <w:color w:val="005DA1"/>
          <w:vertAlign w:val="baseline"/>
        </w:rPr>
        <w:t> </w:t>
      </w:r>
      <w:r>
        <w:rPr>
          <w:vertAlign w:val="baseline"/>
        </w:rPr>
        <w:t>the point that such a promise was not binding. The rule does not, of course, apply if the promise does not </w:t>
      </w:r>
      <w:bookmarkStart w:name="_bookmark1852" w:id="1854"/>
      <w:bookmarkEnd w:id="1854"/>
      <w:r>
        <w:rPr>
          <w:vertAlign w:val="baseline"/>
        </w:rPr>
        <w:t>need</w:t>
      </w:r>
      <w:r>
        <w:rPr>
          <w:vertAlign w:val="baseline"/>
        </w:rPr>
        <w:t> to be supported by consideration because it is made in a deed; and it is rejected by the Vienna Convention on Contracts for the International Sale of Goods. </w:t>
      </w:r>
      <w:r>
        <w:rPr>
          <w:color w:val="005DA1"/>
          <w:u w:val="single" w:color="005DA1"/>
          <w:vertAlign w:val="superscript"/>
        </w:rPr>
        <w:t>1302</w:t>
      </w:r>
      <w:r>
        <w:rPr>
          <w:color w:val="005DA1"/>
          <w:vertAlign w:val="baseline"/>
        </w:rPr>
        <w:t> </w:t>
      </w:r>
      <w:r>
        <w:rPr>
          <w:vertAlign w:val="baseline"/>
        </w:rPr>
        <w:t>It is also subject to a common law exception in the law of insurance where an underwriter who initials a slip under an “open cover” arrangement is regarded as making a “standing offer” which the insured can accept from time to time </w:t>
      </w:r>
      <w:bookmarkStart w:name="_bookmark1853" w:id="1855"/>
      <w:bookmarkEnd w:id="1855"/>
      <w:r>
        <w:rPr>
          <w:vertAlign w:val="baseline"/>
        </w:rPr>
        <w:t>by</w:t>
      </w:r>
      <w:r>
        <w:rPr>
          <w:vertAlign w:val="baseline"/>
        </w:rPr>
        <w:t> making “declarations” under it. The underwriter’s commitment is regarded as binding even though there is no consideration for his implied promise not to revoke the “standing offer.” </w:t>
      </w:r>
      <w:r>
        <w:rPr>
          <w:color w:val="005DA1"/>
          <w:u w:val="single" w:color="005DA1"/>
          <w:vertAlign w:val="superscript"/>
        </w:rPr>
        <w:t>1303</w:t>
      </w:r>
      <w:r>
        <w:rPr>
          <w:color w:val="005DA1"/>
          <w:vertAlign w:val="baseline"/>
        </w:rPr>
        <w:t> </w:t>
      </w:r>
      <w:r>
        <w:rPr>
          <w:vertAlign w:val="baseline"/>
        </w:rPr>
        <w:t>But even with </w:t>
      </w:r>
      <w:bookmarkStart w:name="_bookmark1854" w:id="1856"/>
      <w:bookmarkEnd w:id="1856"/>
      <w:r>
        <w:rPr>
          <w:vertAlign w:val="baseline"/>
        </w:rPr>
        <w:t>these</w:t>
      </w:r>
      <w:r>
        <w:rPr>
          <w:vertAlign w:val="baseline"/>
        </w:rPr>
        <w:t> mitigations, the rule can still cause hardship to an offeree who has acted in reliance on the promise to keep the offer open. </w:t>
      </w:r>
      <w:r>
        <w:rPr>
          <w:color w:val="005DA1"/>
          <w:u w:val="single" w:color="005DA1"/>
          <w:vertAlign w:val="superscript"/>
        </w:rPr>
        <w:t>1304</w:t>
      </w:r>
      <w:r>
        <w:rPr>
          <w:color w:val="005DA1"/>
          <w:vertAlign w:val="baseline"/>
        </w:rPr>
        <w:t> </w:t>
      </w:r>
      <w:r>
        <w:rPr>
          <w:vertAlign w:val="baseline"/>
        </w:rPr>
        <w:t>On the other hand, the rule does sometimes provide necessary protection for the offeror: e.g. when an offer is made by a customer on a form provided by a supplier and expressed to be irrevocable; or when the period of irrevocability is not specified, so that the </w:t>
      </w:r>
      <w:bookmarkStart w:name="_bookmark1855" w:id="1857"/>
      <w:bookmarkEnd w:id="1857"/>
      <w:r>
        <w:rPr>
          <w:vertAlign w:val="baseline"/>
        </w:rPr>
        <w:t>offeror</w:t>
      </w:r>
      <w:r>
        <w:rPr>
          <w:vertAlign w:val="baseline"/>
        </w:rPr>
        <w:t> is left subject to an indefinite obligation without acquiring any corresponding right. Any further development of the law on the point will require a balancing of these conflicting factors. </w:t>
      </w:r>
      <w:r>
        <w:rPr>
          <w:color w:val="005DA1"/>
          <w:u w:val="single" w:color="005DA1"/>
          <w:vertAlign w:val="superscript"/>
        </w:rPr>
        <w:t>1305</w:t>
      </w:r>
    </w:p>
    <w:p>
      <w:pPr>
        <w:pStyle w:val="BodyText"/>
      </w:pPr>
    </w:p>
    <w:p>
      <w:pPr>
        <w:pStyle w:val="BodyText"/>
        <w:spacing w:before="33"/>
      </w:pPr>
    </w:p>
    <w:p>
      <w:pPr>
        <w:spacing w:before="0"/>
        <w:ind w:left="165" w:right="0" w:firstLine="0"/>
        <w:jc w:val="left"/>
        <w:rPr>
          <w:rFonts w:ascii="Arial"/>
          <w:b/>
          <w:sz w:val="18"/>
        </w:rPr>
      </w:pPr>
      <w:r>
        <w:rPr>
          <w:rFonts w:ascii="Arial"/>
          <w:b/>
          <w:sz w:val="18"/>
        </w:rPr>
        <w:t>Auction sales without </w:t>
      </w:r>
      <w:r>
        <w:rPr>
          <w:rFonts w:ascii="Arial"/>
          <w:b/>
          <w:spacing w:val="-2"/>
          <w:sz w:val="18"/>
        </w:rPr>
        <w:t>reserve</w:t>
      </w:r>
    </w:p>
    <w:p>
      <w:pPr>
        <w:pStyle w:val="BodyText"/>
        <w:spacing w:before="42"/>
        <w:rPr>
          <w:rFonts w:ascii="Arial"/>
          <w:b/>
          <w:sz w:val="18"/>
        </w:rPr>
      </w:pPr>
    </w:p>
    <w:p>
      <w:pPr>
        <w:pStyle w:val="Heading2"/>
      </w:pPr>
      <w:r>
        <w:rPr/>
        <w:t>4-</w:t>
      </w:r>
      <w:r>
        <w:rPr>
          <w:spacing w:val="-5"/>
        </w:rPr>
        <w:t>195</w:t>
      </w:r>
    </w:p>
    <w:p>
      <w:pPr>
        <w:pStyle w:val="BodyText"/>
        <w:spacing w:line="235" w:lineRule="auto" w:before="202"/>
        <w:ind w:left="165" w:right="167"/>
        <w:jc w:val="both"/>
      </w:pPr>
      <w:r>
        <w:rPr/>
        <w:t>Where goods are put up for auction without reserve, there is no contract </w:t>
      </w:r>
      <w:r>
        <w:rPr>
          <w:rFonts w:ascii="Arial" w:hAnsi="Arial"/>
          <w:i/>
        </w:rPr>
        <w:t>of sale </w:t>
      </w:r>
      <w:r>
        <w:rPr/>
        <w:t>if the auctioneer </w:t>
      </w:r>
      <w:bookmarkStart w:name="_bookmark1856" w:id="1858"/>
      <w:bookmarkEnd w:id="1858"/>
      <w:r>
        <w:rPr/>
        <w:t>refuses</w:t>
      </w:r>
      <w:r>
        <w:rPr/>
        <w:t> to knock the goods down to the highest bidder; but the auctioneer is liable to the highest </w:t>
      </w:r>
      <w:bookmarkStart w:name="_bookmark1857" w:id="1859"/>
      <w:bookmarkEnd w:id="1859"/>
      <w:r>
        <w:rPr/>
        <w:t>bidder</w:t>
      </w:r>
      <w:r>
        <w:rPr/>
        <w:t> on a separate promise that the auction will be without reserve. </w:t>
      </w:r>
      <w:r>
        <w:rPr>
          <w:color w:val="005DA1"/>
          <w:u w:val="single" w:color="005DA1"/>
          <w:vertAlign w:val="superscript"/>
        </w:rPr>
        <w:t>1306</w:t>
      </w:r>
      <w:r>
        <w:rPr>
          <w:color w:val="005DA1"/>
          <w:vertAlign w:val="baseline"/>
        </w:rPr>
        <w:t> </w:t>
      </w:r>
      <w:r>
        <w:rPr>
          <w:vertAlign w:val="baseline"/>
        </w:rPr>
        <w:t>It can be argued that there</w:t>
      </w:r>
      <w:r>
        <w:rPr>
          <w:spacing w:val="40"/>
          <w:vertAlign w:val="baseline"/>
        </w:rPr>
        <w:t> </w:t>
      </w:r>
      <w:r>
        <w:rPr>
          <w:vertAlign w:val="baseline"/>
        </w:rPr>
        <w:t>is no consideration for this promise as the bidder is not bound by his unaccepted bid. </w:t>
      </w:r>
      <w:r>
        <w:rPr>
          <w:color w:val="005DA1"/>
          <w:u w:val="single" w:color="005DA1"/>
          <w:vertAlign w:val="superscript"/>
        </w:rPr>
        <w:t>1307</w:t>
      </w:r>
      <w:r>
        <w:rPr>
          <w:color w:val="005DA1"/>
          <w:vertAlign w:val="baseline"/>
        </w:rPr>
        <w:t> </w:t>
      </w:r>
      <w:r>
        <w:rPr>
          <w:vertAlign w:val="baseline"/>
        </w:rPr>
        <w:t>But it </w:t>
      </w:r>
      <w:r>
        <w:rPr>
          <w:vertAlign w:val="baseline"/>
        </w:rPr>
        <w:t>has </w:t>
      </w:r>
      <w:bookmarkStart w:name="_bookmark1858" w:id="1860"/>
      <w:bookmarkEnd w:id="1860"/>
      <w:r>
        <w:rPr>
          <w:vertAlign w:val="baseline"/>
        </w:rPr>
        <w:t>been</w:t>
      </w:r>
      <w:r>
        <w:rPr>
          <w:vertAlign w:val="baseline"/>
        </w:rPr>
        <w:t> held that there is both a detriment to the bidder, since he runs the risk of being bound, and a benefit to the auctioneer, as the bidding is driven up. </w:t>
      </w:r>
      <w:r>
        <w:rPr>
          <w:color w:val="005DA1"/>
          <w:u w:val="single" w:color="005DA1"/>
          <w:vertAlign w:val="superscript"/>
        </w:rPr>
        <w:t>1308</w:t>
      </w:r>
      <w:r>
        <w:rPr>
          <w:color w:val="005DA1"/>
          <w:vertAlign w:val="baseline"/>
        </w:rPr>
        <w:t> </w:t>
      </w:r>
      <w:r>
        <w:rPr>
          <w:vertAlign w:val="baseline"/>
        </w:rPr>
        <w:t>Hence there is consideration for the auctioneer’s separate promise, and it makes no difference to the auctioneer’s liability </w:t>
      </w:r>
      <w:r>
        <w:rPr>
          <w:rFonts w:ascii="Arial" w:hAnsi="Arial"/>
          <w:i/>
          <w:vertAlign w:val="baseline"/>
        </w:rPr>
        <w:t>on this promise </w:t>
      </w:r>
      <w:bookmarkStart w:name="_bookmark1859" w:id="1861"/>
      <w:bookmarkEnd w:id="1861"/>
      <w:r>
        <w:rPr>
          <w:rFonts w:ascii="Arial" w:hAnsi="Arial"/>
          <w:i/>
          <w:vertAlign w:val="baseline"/>
        </w:rPr>
      </w:r>
      <w:r>
        <w:rPr>
          <w:vertAlign w:val="baseline"/>
        </w:rPr>
        <w:t>that he would not be liable if he did not put the goods up for sale at all (since an advertisement of an </w:t>
      </w:r>
      <w:bookmarkStart w:name="_bookmark1860" w:id="1862"/>
      <w:bookmarkEnd w:id="1862"/>
      <w:r>
        <w:rPr>
          <w:vertAlign w:val="baseline"/>
        </w:rPr>
        <w:t>auction</w:t>
      </w:r>
      <w:r>
        <w:rPr>
          <w:vertAlign w:val="baseline"/>
        </w:rPr>
        <w:t> is not an offer to hold it), </w:t>
      </w:r>
      <w:r>
        <w:rPr>
          <w:color w:val="005DA1"/>
          <w:u w:val="single" w:color="005DA1"/>
          <w:vertAlign w:val="superscript"/>
        </w:rPr>
        <w:t>1309</w:t>
      </w:r>
      <w:r>
        <w:rPr>
          <w:color w:val="005DA1"/>
          <w:vertAlign w:val="baseline"/>
        </w:rPr>
        <w:t> </w:t>
      </w:r>
      <w:r>
        <w:rPr>
          <w:vertAlign w:val="baseline"/>
        </w:rPr>
        <w:t>or that there was no contract </w:t>
      </w:r>
      <w:r>
        <w:rPr>
          <w:rFonts w:ascii="Arial" w:hAnsi="Arial"/>
          <w:i/>
          <w:vertAlign w:val="baseline"/>
        </w:rPr>
        <w:t>of sale </w:t>
      </w:r>
      <w:r>
        <w:rPr>
          <w:vertAlign w:val="baseline"/>
        </w:rPr>
        <w:t>because of his refusal to accept the highest bid. </w:t>
      </w:r>
      <w:r>
        <w:rPr>
          <w:color w:val="005DA1"/>
          <w:u w:val="single" w:color="005DA1"/>
          <w:vertAlign w:val="superscript"/>
        </w:rPr>
        <w:t>1310</w:t>
      </w:r>
    </w:p>
    <w:p>
      <w:pPr>
        <w:pStyle w:val="BodyText"/>
      </w:pPr>
    </w:p>
    <w:p>
      <w:pPr>
        <w:pStyle w:val="BodyText"/>
        <w:spacing w:before="35"/>
      </w:pPr>
    </w:p>
    <w:p>
      <w:pPr>
        <w:spacing w:before="0"/>
        <w:ind w:left="165" w:right="0" w:firstLine="0"/>
        <w:jc w:val="left"/>
        <w:rPr>
          <w:rFonts w:ascii="Arial"/>
          <w:b/>
          <w:sz w:val="18"/>
        </w:rPr>
      </w:pPr>
      <w:r>
        <w:rPr>
          <w:rFonts w:ascii="Arial"/>
          <w:b/>
          <w:sz w:val="18"/>
        </w:rPr>
        <w:t>Novation of partnership </w:t>
      </w:r>
      <w:r>
        <w:rPr>
          <w:rFonts w:ascii="Arial"/>
          <w:b/>
          <w:spacing w:val="-2"/>
          <w:sz w:val="18"/>
        </w:rPr>
        <w:t>debts</w:t>
      </w:r>
    </w:p>
    <w:p>
      <w:pPr>
        <w:pStyle w:val="BodyText"/>
        <w:spacing w:before="41"/>
        <w:rPr>
          <w:rFonts w:ascii="Arial"/>
          <w:b/>
          <w:sz w:val="18"/>
        </w:rPr>
      </w:pPr>
    </w:p>
    <w:p>
      <w:pPr>
        <w:pStyle w:val="Heading2"/>
        <w:spacing w:before="1"/>
      </w:pPr>
      <w:r>
        <w:rPr/>
        <w:t>4-</w:t>
      </w:r>
      <w:r>
        <w:rPr>
          <w:spacing w:val="-5"/>
        </w:rPr>
        <w:t>196</w:t>
      </w:r>
    </w:p>
    <w:p>
      <w:pPr>
        <w:pStyle w:val="Heading2"/>
        <w:spacing w:after="0"/>
        <w:sectPr>
          <w:pgSz w:w="11900" w:h="16840"/>
          <w:pgMar w:header="971" w:footer="0" w:top="1160" w:bottom="280" w:left="1275" w:right="1275"/>
        </w:sectPr>
      </w:pPr>
    </w:p>
    <w:p>
      <w:pPr>
        <w:pStyle w:val="BodyText"/>
        <w:spacing w:before="124"/>
        <w:rPr>
          <w:rFonts w:ascii="Arial"/>
          <w:b/>
        </w:rPr>
      </w:pPr>
    </w:p>
    <w:p>
      <w:pPr>
        <w:pStyle w:val="BodyText"/>
        <w:spacing w:line="235" w:lineRule="auto" w:before="1"/>
        <w:ind w:left="165" w:right="167"/>
        <w:jc w:val="both"/>
      </w:pPr>
      <w:bookmarkStart w:name="_bookmark1861" w:id="1863"/>
      <w:bookmarkEnd w:id="1863"/>
      <w:r>
        <w:rPr/>
      </w:r>
      <w:r>
        <w:rPr/>
        <w:t>When the composition of a partnership changes, it is usual to arrange that liability for the debts </w:t>
      </w:r>
      <w:r>
        <w:rPr/>
        <w:t>owed by the existing partners should be transferred by novation </w:t>
      </w:r>
      <w:r>
        <w:rPr>
          <w:color w:val="005DA1"/>
          <w:u w:val="single" w:color="005DA1"/>
          <w:vertAlign w:val="superscript"/>
        </w:rPr>
        <w:t>1311</w:t>
      </w:r>
      <w:r>
        <w:rPr>
          <w:color w:val="005DA1"/>
          <w:vertAlign w:val="baseline"/>
        </w:rPr>
        <w:t> </w:t>
      </w:r>
      <w:r>
        <w:rPr>
          <w:vertAlign w:val="baseline"/>
        </w:rPr>
        <w:t>to the new partners. Two situations call for discussion.</w:t>
      </w:r>
    </w:p>
    <w:p>
      <w:pPr>
        <w:pStyle w:val="BodyText"/>
        <w:spacing w:before="88"/>
      </w:pPr>
    </w:p>
    <w:p>
      <w:pPr>
        <w:pStyle w:val="ListParagraph"/>
        <w:numPr>
          <w:ilvl w:val="0"/>
          <w:numId w:val="9"/>
        </w:numPr>
        <w:tabs>
          <w:tab w:pos="467" w:val="left" w:leader="none"/>
        </w:tabs>
        <w:spacing w:line="235" w:lineRule="auto" w:before="1" w:after="0"/>
        <w:ind w:left="165" w:right="167" w:firstLine="0"/>
        <w:jc w:val="both"/>
        <w:rPr>
          <w:sz w:val="20"/>
        </w:rPr>
      </w:pPr>
      <w:r>
        <w:rPr>
          <w:sz w:val="20"/>
        </w:rPr>
        <w:t>A and B are in partnership; A retires and C is admitted as a new partner; it is agreed between A, </w:t>
      </w:r>
      <w:r>
        <w:rPr>
          <w:sz w:val="20"/>
        </w:rPr>
        <w:t>B and C, and the creditors of the old firm of A and B, that A shall cease to be liable for the firm’s debts, </w:t>
      </w:r>
      <w:bookmarkStart w:name="_bookmark1862" w:id="1864"/>
      <w:bookmarkEnd w:id="1864"/>
      <w:r>
        <w:rPr>
          <w:sz w:val="20"/>
        </w:rPr>
        <w:t>and</w:t>
      </w:r>
      <w:r>
        <w:rPr>
          <w:sz w:val="20"/>
        </w:rPr>
        <w:t> that C shall undertake such liability. The result is that the creditors can sue C and can no longer sue A. They provide good consideration for C’s promise to pay by abandoning their claim against A </w:t>
      </w:r>
      <w:r>
        <w:rPr>
          <w:color w:val="005DA1"/>
          <w:sz w:val="20"/>
          <w:u w:val="single" w:color="005DA1"/>
          <w:vertAlign w:val="superscript"/>
        </w:rPr>
        <w:t>1312</w:t>
      </w:r>
      <w:r>
        <w:rPr>
          <w:sz w:val="20"/>
          <w:vertAlign w:val="baseline"/>
        </w:rPr>
        <w:t>; and A provides good consideration for their promise to release him by procuring a substitute debtor, C.</w:t>
      </w:r>
    </w:p>
    <w:p>
      <w:pPr>
        <w:pStyle w:val="BodyText"/>
        <w:spacing w:before="87"/>
      </w:pPr>
    </w:p>
    <w:p>
      <w:pPr>
        <w:pStyle w:val="ListParagraph"/>
        <w:numPr>
          <w:ilvl w:val="0"/>
          <w:numId w:val="9"/>
        </w:numPr>
        <w:tabs>
          <w:tab w:pos="471" w:val="left" w:leader="none"/>
        </w:tabs>
        <w:spacing w:line="235" w:lineRule="auto" w:before="0" w:after="0"/>
        <w:ind w:left="165" w:right="167" w:firstLine="0"/>
        <w:jc w:val="both"/>
        <w:rPr>
          <w:sz w:val="20"/>
        </w:rPr>
      </w:pPr>
      <w:r>
        <w:rPr>
          <w:sz w:val="20"/>
        </w:rPr>
        <w:t>A and B are in partnership; A retires; it is agreed between A, B and the creditors of the firm that </w:t>
      </w:r>
      <w:r>
        <w:rPr>
          <w:sz w:val="20"/>
        </w:rPr>
        <w:t>A shall</w:t>
      </w:r>
      <w:r>
        <w:rPr>
          <w:spacing w:val="-2"/>
          <w:sz w:val="20"/>
        </w:rPr>
        <w:t> </w:t>
      </w:r>
      <w:r>
        <w:rPr>
          <w:sz w:val="20"/>
        </w:rPr>
        <w:t>cease</w:t>
      </w:r>
      <w:r>
        <w:rPr>
          <w:spacing w:val="-2"/>
          <w:sz w:val="20"/>
        </w:rPr>
        <w:t> </w:t>
      </w:r>
      <w:r>
        <w:rPr>
          <w:sz w:val="20"/>
        </w:rPr>
        <w:t>to</w:t>
      </w:r>
      <w:r>
        <w:rPr>
          <w:spacing w:val="-2"/>
          <w:sz w:val="20"/>
        </w:rPr>
        <w:t> </w:t>
      </w:r>
      <w:r>
        <w:rPr>
          <w:sz w:val="20"/>
        </w:rPr>
        <w:t>be</w:t>
      </w:r>
      <w:r>
        <w:rPr>
          <w:spacing w:val="-2"/>
          <w:sz w:val="20"/>
        </w:rPr>
        <w:t> </w:t>
      </w:r>
      <w:r>
        <w:rPr>
          <w:sz w:val="20"/>
        </w:rPr>
        <w:t>liable</w:t>
      </w:r>
      <w:r>
        <w:rPr>
          <w:spacing w:val="-2"/>
          <w:sz w:val="20"/>
        </w:rPr>
        <w:t> </w:t>
      </w:r>
      <w:r>
        <w:rPr>
          <w:sz w:val="20"/>
        </w:rPr>
        <w:t>and</w:t>
      </w:r>
      <w:r>
        <w:rPr>
          <w:spacing w:val="-2"/>
          <w:sz w:val="20"/>
        </w:rPr>
        <w:t> </w:t>
      </w:r>
      <w:r>
        <w:rPr>
          <w:sz w:val="20"/>
        </w:rPr>
        <w:t>that</w:t>
      </w:r>
      <w:r>
        <w:rPr>
          <w:spacing w:val="-2"/>
          <w:sz w:val="20"/>
        </w:rPr>
        <w:t> </w:t>
      </w:r>
      <w:r>
        <w:rPr>
          <w:sz w:val="20"/>
        </w:rPr>
        <w:t>B</w:t>
      </w:r>
      <w:r>
        <w:rPr>
          <w:spacing w:val="-2"/>
          <w:sz w:val="20"/>
        </w:rPr>
        <w:t> </w:t>
      </w:r>
      <w:r>
        <w:rPr>
          <w:sz w:val="20"/>
        </w:rPr>
        <w:t>shall</w:t>
      </w:r>
      <w:r>
        <w:rPr>
          <w:spacing w:val="-2"/>
          <w:sz w:val="20"/>
        </w:rPr>
        <w:t> </w:t>
      </w:r>
      <w:r>
        <w:rPr>
          <w:sz w:val="20"/>
        </w:rPr>
        <w:t>be</w:t>
      </w:r>
      <w:r>
        <w:rPr>
          <w:spacing w:val="-2"/>
          <w:sz w:val="20"/>
        </w:rPr>
        <w:t> </w:t>
      </w:r>
      <w:r>
        <w:rPr>
          <w:sz w:val="20"/>
        </w:rPr>
        <w:t>solely</w:t>
      </w:r>
      <w:r>
        <w:rPr>
          <w:spacing w:val="-2"/>
          <w:sz w:val="20"/>
        </w:rPr>
        <w:t> </w:t>
      </w:r>
      <w:r>
        <w:rPr>
          <w:sz w:val="20"/>
        </w:rPr>
        <w:t>liable.</w:t>
      </w:r>
      <w:r>
        <w:rPr>
          <w:spacing w:val="-2"/>
          <w:sz w:val="20"/>
        </w:rPr>
        <w:t> </w:t>
      </w:r>
      <w:r>
        <w:rPr>
          <w:sz w:val="20"/>
        </w:rPr>
        <w:t>It</w:t>
      </w:r>
      <w:r>
        <w:rPr>
          <w:spacing w:val="-2"/>
          <w:sz w:val="20"/>
        </w:rPr>
        <w:t> </w:t>
      </w:r>
      <w:r>
        <w:rPr>
          <w:sz w:val="20"/>
        </w:rPr>
        <w:t>seems</w:t>
      </w:r>
      <w:r>
        <w:rPr>
          <w:spacing w:val="-2"/>
          <w:sz w:val="20"/>
        </w:rPr>
        <w:t> </w:t>
      </w:r>
      <w:r>
        <w:rPr>
          <w:sz w:val="20"/>
        </w:rPr>
        <w:t>that</w:t>
      </w:r>
      <w:r>
        <w:rPr>
          <w:spacing w:val="-2"/>
          <w:sz w:val="20"/>
        </w:rPr>
        <w:t> </w:t>
      </w:r>
      <w:r>
        <w:rPr>
          <w:sz w:val="20"/>
        </w:rPr>
        <w:t>the</w:t>
      </w:r>
      <w:r>
        <w:rPr>
          <w:spacing w:val="-2"/>
          <w:sz w:val="20"/>
        </w:rPr>
        <w:t> </w:t>
      </w:r>
      <w:r>
        <w:rPr>
          <w:sz w:val="20"/>
        </w:rPr>
        <w:t>creditors</w:t>
      </w:r>
      <w:r>
        <w:rPr>
          <w:spacing w:val="-2"/>
          <w:sz w:val="20"/>
        </w:rPr>
        <w:t> </w:t>
      </w:r>
      <w:r>
        <w:rPr>
          <w:sz w:val="20"/>
        </w:rPr>
        <w:t>cannot</w:t>
      </w:r>
      <w:r>
        <w:rPr>
          <w:spacing w:val="-2"/>
          <w:sz w:val="20"/>
        </w:rPr>
        <w:t> </w:t>
      </w:r>
      <w:r>
        <w:rPr>
          <w:sz w:val="20"/>
        </w:rPr>
        <w:t>sue</w:t>
      </w:r>
      <w:r>
        <w:rPr>
          <w:spacing w:val="-2"/>
          <w:sz w:val="20"/>
        </w:rPr>
        <w:t> </w:t>
      </w:r>
      <w:r>
        <w:rPr>
          <w:sz w:val="20"/>
        </w:rPr>
        <w:t>A,</w:t>
      </w:r>
      <w:r>
        <w:rPr>
          <w:spacing w:val="-2"/>
          <w:sz w:val="20"/>
        </w:rPr>
        <w:t> </w:t>
      </w:r>
      <w:r>
        <w:rPr>
          <w:sz w:val="20"/>
        </w:rPr>
        <w:t>but</w:t>
      </w:r>
      <w:r>
        <w:rPr>
          <w:spacing w:val="-2"/>
          <w:sz w:val="20"/>
        </w:rPr>
        <w:t> </w:t>
      </w:r>
      <w:r>
        <w:rPr>
          <w:sz w:val="20"/>
        </w:rPr>
        <w:t>it is hard to see what consideration moves from him. In one case it was said that there was </w:t>
      </w:r>
      <w:bookmarkStart w:name="_bookmark1863" w:id="1865"/>
      <w:bookmarkEnd w:id="1865"/>
      <w:r>
        <w:rPr>
          <w:sz w:val="20"/>
        </w:rPr>
        <w:t>consideration</w:t>
      </w:r>
      <w:r>
        <w:rPr>
          <w:sz w:val="20"/>
        </w:rPr>
        <w:t> in that a remedy against a single debtor might be easier to enforce than one against </w:t>
      </w:r>
      <w:bookmarkStart w:name="_bookmark1864" w:id="1866"/>
      <w:bookmarkEnd w:id="1866"/>
      <w:r>
        <w:rPr>
          <w:sz w:val="20"/>
        </w:rPr>
        <w:t>several,</w:t>
      </w:r>
      <w:r>
        <w:rPr>
          <w:spacing w:val="-2"/>
          <w:sz w:val="20"/>
        </w:rPr>
        <w:t> </w:t>
      </w:r>
      <w:r>
        <w:rPr>
          <w:sz w:val="20"/>
        </w:rPr>
        <w:t>all</w:t>
      </w:r>
      <w:r>
        <w:rPr>
          <w:spacing w:val="-2"/>
          <w:sz w:val="20"/>
        </w:rPr>
        <w:t> </w:t>
      </w:r>
      <w:r>
        <w:rPr>
          <w:sz w:val="20"/>
        </w:rPr>
        <w:t>of</w:t>
      </w:r>
      <w:r>
        <w:rPr>
          <w:spacing w:val="-2"/>
          <w:sz w:val="20"/>
        </w:rPr>
        <w:t> </w:t>
      </w:r>
      <w:r>
        <w:rPr>
          <w:sz w:val="20"/>
        </w:rPr>
        <w:t>whom</w:t>
      </w:r>
      <w:r>
        <w:rPr>
          <w:spacing w:val="-2"/>
          <w:sz w:val="20"/>
        </w:rPr>
        <w:t> </w:t>
      </w:r>
      <w:r>
        <w:rPr>
          <w:sz w:val="20"/>
        </w:rPr>
        <w:t>were</w:t>
      </w:r>
      <w:r>
        <w:rPr>
          <w:spacing w:val="-2"/>
          <w:sz w:val="20"/>
        </w:rPr>
        <w:t> </w:t>
      </w:r>
      <w:r>
        <w:rPr>
          <w:sz w:val="20"/>
        </w:rPr>
        <w:t>solvent</w:t>
      </w:r>
      <w:r>
        <w:rPr>
          <w:spacing w:val="-3"/>
          <w:sz w:val="20"/>
        </w:rPr>
        <w:t> </w:t>
      </w:r>
      <w:r>
        <w:rPr>
          <w:color w:val="005DA1"/>
          <w:sz w:val="20"/>
          <w:u w:val="single" w:color="005DA1"/>
          <w:vertAlign w:val="superscript"/>
        </w:rPr>
        <w:t>1313</w:t>
      </w:r>
      <w:r>
        <w:rPr>
          <w:sz w:val="20"/>
          <w:vertAlign w:val="baseline"/>
        </w:rPr>
        <w:t>;</w:t>
      </w:r>
      <w:r>
        <w:rPr>
          <w:spacing w:val="-2"/>
          <w:sz w:val="20"/>
          <w:vertAlign w:val="baseline"/>
        </w:rPr>
        <w:t> </w:t>
      </w:r>
      <w:r>
        <w:rPr>
          <w:sz w:val="20"/>
          <w:vertAlign w:val="baseline"/>
        </w:rPr>
        <w:t>thus</w:t>
      </w:r>
      <w:r>
        <w:rPr>
          <w:spacing w:val="-2"/>
          <w:sz w:val="20"/>
          <w:vertAlign w:val="baseline"/>
        </w:rPr>
        <w:t> </w:t>
      </w:r>
      <w:r>
        <w:rPr>
          <w:sz w:val="20"/>
          <w:vertAlign w:val="baseline"/>
        </w:rPr>
        <w:t>the</w:t>
      </w:r>
      <w:r>
        <w:rPr>
          <w:spacing w:val="-2"/>
          <w:sz w:val="20"/>
          <w:vertAlign w:val="baseline"/>
        </w:rPr>
        <w:t> </w:t>
      </w:r>
      <w:r>
        <w:rPr>
          <w:sz w:val="20"/>
          <w:vertAlign w:val="baseline"/>
        </w:rPr>
        <w:t>creditors</w:t>
      </w:r>
      <w:r>
        <w:rPr>
          <w:spacing w:val="-2"/>
          <w:sz w:val="20"/>
          <w:vertAlign w:val="baseline"/>
        </w:rPr>
        <w:t> </w:t>
      </w:r>
      <w:r>
        <w:rPr>
          <w:sz w:val="20"/>
          <w:vertAlign w:val="baseline"/>
        </w:rPr>
        <w:t>benefit</w:t>
      </w:r>
      <w:r>
        <w:rPr>
          <w:spacing w:val="-2"/>
          <w:sz w:val="20"/>
          <w:vertAlign w:val="baseline"/>
        </w:rPr>
        <w:t> </w:t>
      </w:r>
      <w:r>
        <w:rPr>
          <w:sz w:val="20"/>
          <w:vertAlign w:val="baseline"/>
        </w:rPr>
        <w:t>by</w:t>
      </w:r>
      <w:r>
        <w:rPr>
          <w:spacing w:val="-2"/>
          <w:sz w:val="20"/>
          <w:vertAlign w:val="baseline"/>
        </w:rPr>
        <w:t> </w:t>
      </w:r>
      <w:r>
        <w:rPr>
          <w:sz w:val="20"/>
          <w:vertAlign w:val="baseline"/>
        </w:rPr>
        <w:t>the</w:t>
      </w:r>
      <w:r>
        <w:rPr>
          <w:spacing w:val="-2"/>
          <w:sz w:val="20"/>
          <w:vertAlign w:val="baseline"/>
        </w:rPr>
        <w:t> </w:t>
      </w:r>
      <w:r>
        <w:rPr>
          <w:sz w:val="20"/>
          <w:vertAlign w:val="baseline"/>
        </w:rPr>
        <w:t>release</w:t>
      </w:r>
      <w:r>
        <w:rPr>
          <w:spacing w:val="-2"/>
          <w:sz w:val="20"/>
          <w:vertAlign w:val="baseline"/>
        </w:rPr>
        <w:t> </w:t>
      </w:r>
      <w:r>
        <w:rPr>
          <w:sz w:val="20"/>
          <w:vertAlign w:val="baseline"/>
        </w:rPr>
        <w:t>of</w:t>
      </w:r>
      <w:r>
        <w:rPr>
          <w:spacing w:val="-2"/>
          <w:sz w:val="20"/>
          <w:vertAlign w:val="baseline"/>
        </w:rPr>
        <w:t> </w:t>
      </w:r>
      <w:r>
        <w:rPr>
          <w:sz w:val="20"/>
          <w:vertAlign w:val="baseline"/>
        </w:rPr>
        <w:t>A.</w:t>
      </w:r>
      <w:r>
        <w:rPr>
          <w:spacing w:val="-2"/>
          <w:sz w:val="20"/>
          <w:vertAlign w:val="baseline"/>
        </w:rPr>
        <w:t> </w:t>
      </w:r>
      <w:r>
        <w:rPr>
          <w:sz w:val="20"/>
          <w:vertAlign w:val="baseline"/>
        </w:rPr>
        <w:t>This</w:t>
      </w:r>
      <w:r>
        <w:rPr>
          <w:spacing w:val="-2"/>
          <w:sz w:val="20"/>
          <w:vertAlign w:val="baseline"/>
        </w:rPr>
        <w:t> </w:t>
      </w:r>
      <w:r>
        <w:rPr>
          <w:sz w:val="20"/>
          <w:vertAlign w:val="baseline"/>
        </w:rPr>
        <w:t>is</w:t>
      </w:r>
      <w:r>
        <w:rPr>
          <w:spacing w:val="-2"/>
          <w:sz w:val="20"/>
          <w:vertAlign w:val="baseline"/>
        </w:rPr>
        <w:t> </w:t>
      </w:r>
      <w:r>
        <w:rPr>
          <w:sz w:val="20"/>
          <w:vertAlign w:val="baseline"/>
        </w:rPr>
        <w:t>a</w:t>
      </w:r>
      <w:r>
        <w:rPr>
          <w:spacing w:val="-2"/>
          <w:sz w:val="20"/>
          <w:vertAlign w:val="baseline"/>
        </w:rPr>
        <w:t> </w:t>
      </w:r>
      <w:r>
        <w:rPr>
          <w:sz w:val="20"/>
          <w:vertAlign w:val="baseline"/>
        </w:rPr>
        <w:t>possible, if invented, </w:t>
      </w:r>
      <w:r>
        <w:rPr>
          <w:color w:val="005DA1"/>
          <w:sz w:val="20"/>
          <w:u w:val="single" w:color="005DA1"/>
          <w:vertAlign w:val="superscript"/>
        </w:rPr>
        <w:t>1314</w:t>
      </w:r>
      <w:r>
        <w:rPr>
          <w:color w:val="005DA1"/>
          <w:sz w:val="20"/>
          <w:vertAlign w:val="baseline"/>
        </w:rPr>
        <w:t> </w:t>
      </w:r>
      <w:r>
        <w:rPr>
          <w:sz w:val="20"/>
          <w:vertAlign w:val="baseline"/>
        </w:rPr>
        <w:t>consideration.</w:t>
      </w:r>
    </w:p>
    <w:p>
      <w:pPr>
        <w:pStyle w:val="BodyText"/>
        <w:spacing w:before="79"/>
      </w:pPr>
    </w:p>
    <w:p>
      <w:pPr>
        <w:pStyle w:val="Heading2"/>
      </w:pPr>
      <w:r>
        <w:rPr/>
        <w:t>4-</w:t>
      </w:r>
      <w:r>
        <w:rPr>
          <w:spacing w:val="-5"/>
        </w:rPr>
        <w:t>197</w:t>
      </w:r>
    </w:p>
    <w:p>
      <w:pPr>
        <w:pStyle w:val="BodyText"/>
        <w:spacing w:line="235" w:lineRule="auto" w:before="203"/>
        <w:ind w:left="165" w:right="167"/>
        <w:jc w:val="both"/>
      </w:pPr>
      <w:r>
        <w:rPr/>
        <w:t>The second of the situations discussed in para.4-196 above should be distinguished from that </w:t>
      </w:r>
      <w:r>
        <w:rPr/>
        <w:t>in</w:t>
      </w:r>
      <w:r>
        <w:rPr>
          <w:spacing w:val="40"/>
        </w:rPr>
        <w:t> </w:t>
      </w:r>
      <w:bookmarkStart w:name="_bookmark1865" w:id="1867"/>
      <w:bookmarkEnd w:id="1867"/>
      <w:r>
        <w:rPr/>
        <w:t>which</w:t>
      </w:r>
      <w:r>
        <w:rPr/>
        <w:t> the original liability is incurred by an individual who then enters into a partnership. This was the position in </w:t>
      </w:r>
      <w:r>
        <w:rPr>
          <w:rFonts w:ascii="Arial"/>
          <w:i/>
        </w:rPr>
        <w:t>Re Burton Marsden Douglas </w:t>
      </w:r>
      <w:r>
        <w:rPr>
          <w:color w:val="005DA1"/>
          <w:u w:val="single" w:color="005DA1"/>
          <w:vertAlign w:val="superscript"/>
        </w:rPr>
        <w:t>1315</w:t>
      </w:r>
      <w:r>
        <w:rPr>
          <w:color w:val="005DA1"/>
          <w:vertAlign w:val="baseline"/>
        </w:rPr>
        <w:t> </w:t>
      </w:r>
      <w:r>
        <w:rPr>
          <w:vertAlign w:val="baseline"/>
        </w:rPr>
        <w:t>where A, a solicitor, incurred liabilities to a client (X) and then entered into partnership with B and C. It was held that B and C were not liable for the liabilities incurred by A to X before A had entered into the partnership with B and C. There had been no novation of those liabilities since (a) there had been no agreement to novate them and (b) if there had been</w:t>
      </w:r>
      <w:r>
        <w:rPr>
          <w:spacing w:val="-1"/>
          <w:vertAlign w:val="baseline"/>
        </w:rPr>
        <w:t> </w:t>
      </w:r>
      <w:r>
        <w:rPr>
          <w:vertAlign w:val="baseline"/>
        </w:rPr>
        <w:t>such</w:t>
      </w:r>
      <w:r>
        <w:rPr>
          <w:spacing w:val="-1"/>
          <w:vertAlign w:val="baseline"/>
        </w:rPr>
        <w:t> </w:t>
      </w:r>
      <w:r>
        <w:rPr>
          <w:vertAlign w:val="baseline"/>
        </w:rPr>
        <w:t>an</w:t>
      </w:r>
      <w:r>
        <w:rPr>
          <w:spacing w:val="-1"/>
          <w:vertAlign w:val="baseline"/>
        </w:rPr>
        <w:t> </w:t>
      </w:r>
      <w:r>
        <w:rPr>
          <w:vertAlign w:val="baseline"/>
        </w:rPr>
        <w:t>agreement,</w:t>
      </w:r>
      <w:r>
        <w:rPr>
          <w:spacing w:val="-1"/>
          <w:vertAlign w:val="baseline"/>
        </w:rPr>
        <w:t> </w:t>
      </w:r>
      <w:r>
        <w:rPr>
          <w:vertAlign w:val="baseline"/>
        </w:rPr>
        <w:t>there</w:t>
      </w:r>
      <w:r>
        <w:rPr>
          <w:spacing w:val="-1"/>
          <w:vertAlign w:val="baseline"/>
        </w:rPr>
        <w:t> </w:t>
      </w:r>
      <w:r>
        <w:rPr>
          <w:vertAlign w:val="baseline"/>
        </w:rPr>
        <w:t>would</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no</w:t>
      </w:r>
      <w:r>
        <w:rPr>
          <w:spacing w:val="-1"/>
          <w:vertAlign w:val="baseline"/>
        </w:rPr>
        <w:t> </w:t>
      </w:r>
      <w:r>
        <w:rPr>
          <w:vertAlign w:val="baseline"/>
        </w:rPr>
        <w:t>consideration</w:t>
      </w:r>
      <w:r>
        <w:rPr>
          <w:spacing w:val="-1"/>
          <w:vertAlign w:val="baseline"/>
        </w:rPr>
        <w:t> </w:t>
      </w:r>
      <w:r>
        <w:rPr>
          <w:vertAlign w:val="baseline"/>
        </w:rPr>
        <w:t>for</w:t>
      </w:r>
      <w:r>
        <w:rPr>
          <w:spacing w:val="-1"/>
          <w:vertAlign w:val="baseline"/>
        </w:rPr>
        <w:t> </w:t>
      </w:r>
      <w:r>
        <w:rPr>
          <w:vertAlign w:val="baseline"/>
        </w:rPr>
        <w:t>any</w:t>
      </w:r>
      <w:r>
        <w:rPr>
          <w:spacing w:val="-1"/>
          <w:vertAlign w:val="baseline"/>
        </w:rPr>
        <w:t> </w:t>
      </w:r>
      <w:r>
        <w:rPr>
          <w:vertAlign w:val="baseline"/>
        </w:rPr>
        <w:t>promise</w:t>
      </w:r>
      <w:r>
        <w:rPr>
          <w:spacing w:val="-1"/>
          <w:vertAlign w:val="baseline"/>
        </w:rPr>
        <w:t> </w:t>
      </w:r>
      <w:r>
        <w:rPr>
          <w:vertAlign w:val="baseline"/>
        </w:rPr>
        <w:t>by</w:t>
      </w:r>
      <w:r>
        <w:rPr>
          <w:spacing w:val="-1"/>
          <w:vertAlign w:val="baseline"/>
        </w:rPr>
        <w:t> </w:t>
      </w:r>
      <w:r>
        <w:rPr>
          <w:vertAlign w:val="baseline"/>
        </w:rPr>
        <w:t>B</w:t>
      </w:r>
      <w:r>
        <w:rPr>
          <w:spacing w:val="-1"/>
          <w:vertAlign w:val="baseline"/>
        </w:rPr>
        <w:t> </w:t>
      </w:r>
      <w:r>
        <w:rPr>
          <w:vertAlign w:val="baseline"/>
        </w:rPr>
        <w:t>and</w:t>
      </w:r>
      <w:r>
        <w:rPr>
          <w:spacing w:val="-1"/>
          <w:vertAlign w:val="baseline"/>
        </w:rPr>
        <w:t> </w:t>
      </w:r>
      <w:r>
        <w:rPr>
          <w:vertAlign w:val="baseline"/>
        </w:rPr>
        <w:t>C</w:t>
      </w:r>
      <w:r>
        <w:rPr>
          <w:spacing w:val="-1"/>
          <w:vertAlign w:val="baseline"/>
        </w:rPr>
        <w:t> </w:t>
      </w:r>
      <w:r>
        <w:rPr>
          <w:vertAlign w:val="baseline"/>
        </w:rPr>
        <w:t>to</w:t>
      </w:r>
      <w:r>
        <w:rPr>
          <w:spacing w:val="-1"/>
          <w:vertAlign w:val="baseline"/>
        </w:rPr>
        <w:t> </w:t>
      </w:r>
      <w:r>
        <w:rPr>
          <w:vertAlign w:val="baseline"/>
        </w:rPr>
        <w:t>X</w:t>
      </w:r>
      <w:r>
        <w:rPr>
          <w:spacing w:val="-1"/>
          <w:vertAlign w:val="baseline"/>
        </w:rPr>
        <w:t> </w:t>
      </w:r>
      <w:r>
        <w:rPr>
          <w:vertAlign w:val="baseline"/>
        </w:rPr>
        <w:t>to discharge those liabilities since there had been no promise by X to release A.</w:t>
      </w:r>
    </w:p>
    <w:p>
      <w:pPr>
        <w:pStyle w:val="BodyText"/>
      </w:pPr>
    </w:p>
    <w:p>
      <w:pPr>
        <w:pStyle w:val="BodyText"/>
        <w:spacing w:before="36"/>
      </w:pPr>
    </w:p>
    <w:p>
      <w:pPr>
        <w:spacing w:before="0"/>
        <w:ind w:left="165" w:right="0" w:firstLine="0"/>
        <w:jc w:val="left"/>
        <w:rPr>
          <w:rFonts w:ascii="Arial"/>
          <w:b/>
          <w:sz w:val="18"/>
        </w:rPr>
      </w:pPr>
      <w:r>
        <w:rPr>
          <w:rFonts w:ascii="Arial"/>
          <w:b/>
          <w:sz w:val="18"/>
        </w:rPr>
        <w:t>Gratuitous </w:t>
      </w:r>
      <w:r>
        <w:rPr>
          <w:rFonts w:ascii="Arial"/>
          <w:b/>
          <w:spacing w:val="-2"/>
          <w:sz w:val="18"/>
        </w:rPr>
        <w:t>bailments</w:t>
      </w:r>
    </w:p>
    <w:p>
      <w:pPr>
        <w:pStyle w:val="BodyText"/>
        <w:spacing w:before="41"/>
        <w:rPr>
          <w:rFonts w:ascii="Arial"/>
          <w:b/>
          <w:sz w:val="18"/>
        </w:rPr>
      </w:pPr>
    </w:p>
    <w:p>
      <w:pPr>
        <w:pStyle w:val="Heading2"/>
      </w:pPr>
      <w:r>
        <w:rPr/>
        <w:t>4-</w:t>
      </w:r>
      <w:r>
        <w:rPr>
          <w:spacing w:val="-5"/>
        </w:rPr>
        <w:t>198</w:t>
      </w:r>
    </w:p>
    <w:p>
      <w:pPr>
        <w:pStyle w:val="BodyText"/>
        <w:spacing w:before="199"/>
        <w:ind w:left="165"/>
        <w:jc w:val="both"/>
      </w:pPr>
      <w:r>
        <w:rPr/>
        <w:t>A gratuitous bailment may be for the benefit of the bailee or for the benefit of the </w:t>
      </w:r>
      <w:r>
        <w:rPr>
          <w:spacing w:val="-2"/>
        </w:rPr>
        <w:t>bailor.</w:t>
      </w:r>
    </w:p>
    <w:p>
      <w:pPr>
        <w:pStyle w:val="BodyText"/>
        <w:spacing w:before="207"/>
      </w:pPr>
    </w:p>
    <w:p>
      <w:pPr>
        <w:pStyle w:val="ListParagraph"/>
        <w:numPr>
          <w:ilvl w:val="0"/>
          <w:numId w:val="10"/>
        </w:numPr>
        <w:tabs>
          <w:tab w:pos="435" w:val="left" w:leader="none"/>
        </w:tabs>
        <w:spacing w:line="240" w:lineRule="auto" w:before="0" w:after="0"/>
        <w:ind w:left="435" w:right="0" w:hanging="270"/>
        <w:jc w:val="both"/>
        <w:rPr>
          <w:rFonts w:ascii="Arial"/>
          <w:b/>
          <w:sz w:val="18"/>
        </w:rPr>
      </w:pPr>
      <w:r>
        <w:rPr>
          <w:rFonts w:ascii="Arial"/>
          <w:b/>
          <w:sz w:val="18"/>
        </w:rPr>
        <w:t>For benefit of </w:t>
      </w:r>
      <w:r>
        <w:rPr>
          <w:rFonts w:ascii="Arial"/>
          <w:b/>
          <w:spacing w:val="-2"/>
          <w:sz w:val="18"/>
        </w:rPr>
        <w:t>bailee</w:t>
      </w:r>
    </w:p>
    <w:p>
      <w:pPr>
        <w:pStyle w:val="BodyText"/>
        <w:spacing w:before="50"/>
        <w:rPr>
          <w:rFonts w:ascii="Arial"/>
          <w:b/>
          <w:sz w:val="18"/>
        </w:rPr>
      </w:pPr>
    </w:p>
    <w:p>
      <w:pPr>
        <w:pStyle w:val="BodyText"/>
        <w:spacing w:line="235" w:lineRule="auto"/>
        <w:ind w:left="165" w:right="167"/>
        <w:jc w:val="both"/>
      </w:pPr>
      <w:bookmarkStart w:name="_bookmark1866" w:id="1868"/>
      <w:bookmarkEnd w:id="1868"/>
      <w:r>
        <w:rPr/>
      </w:r>
      <w:r>
        <w:rPr/>
        <w:t>The first possibility is illustrated by </w:t>
      </w:r>
      <w:r>
        <w:rPr>
          <w:rFonts w:ascii="Arial" w:hAnsi="Arial"/>
          <w:i/>
        </w:rPr>
        <w:t>Bainbridge v Firmstone </w:t>
      </w:r>
      <w:r>
        <w:rPr>
          <w:color w:val="005DA1"/>
          <w:u w:val="single" w:color="005DA1"/>
          <w:vertAlign w:val="superscript"/>
        </w:rPr>
        <w:t>1316</w:t>
      </w:r>
      <w:r>
        <w:rPr>
          <w:color w:val="005DA1"/>
          <w:vertAlign w:val="baseline"/>
        </w:rPr>
        <w:t> </w:t>
      </w:r>
      <w:r>
        <w:rPr>
          <w:vertAlign w:val="baseline"/>
        </w:rPr>
        <w:t>where the defendant asked for </w:t>
      </w:r>
      <w:r>
        <w:rPr>
          <w:vertAlign w:val="baseline"/>
        </w:rPr>
        <w:t>and received permission from the plaintiff to weigh two boilers belonging to the plaintiff. In performing this operation, the defendant damaged the boilers, and the plaintiff claimed damages for breach of the defendant’s promise to return the boilers in good condition. The defendant argued that, as he was not paid to weigh or look after the boilers, no consideration for his promise had been provided by the plaintiff; but the court rejected this argument. Patteson J. said: “I suppose the defendant thought he </w:t>
      </w:r>
      <w:bookmarkStart w:name="_bookmark1867" w:id="1869"/>
      <w:bookmarkEnd w:id="1869"/>
      <w:r>
        <w:rPr>
          <w:vertAlign w:val="baseline"/>
        </w:rPr>
        <w:t>had</w:t>
      </w:r>
      <w:r>
        <w:rPr>
          <w:vertAlign w:val="baseline"/>
        </w:rPr>
        <w:t> some benefit; at any rate, there is a detriment to the plaintiff from his parting with the possession for even so short a time.” </w:t>
      </w:r>
      <w:r>
        <w:rPr>
          <w:color w:val="005DA1"/>
          <w:u w:val="single" w:color="005DA1"/>
          <w:vertAlign w:val="superscript"/>
        </w:rPr>
        <w:t>1317</w:t>
      </w:r>
      <w:r>
        <w:rPr>
          <w:color w:val="005DA1"/>
          <w:vertAlign w:val="baseline"/>
        </w:rPr>
        <w:t> </w:t>
      </w:r>
      <w:r>
        <w:rPr>
          <w:vertAlign w:val="baseline"/>
        </w:rPr>
        <w:t>This consideration would also support some other promise by the defendant, e.g. a promise to repair the boilers. It is more doubtful whether there would be any consideration moving from the defendant for any promise by the plaintiff to allow the defendant to have possession of the boilers. A mere promise to return the boilers might not suffice on the ground that it was no more than a promise to perform a duty imposed by law on all bailees; but a promise to </w:t>
      </w:r>
      <w:bookmarkStart w:name="_bookmark1868" w:id="1870"/>
      <w:bookmarkEnd w:id="1870"/>
      <w:r>
        <w:rPr>
          <w:vertAlign w:val="baseline"/>
        </w:rPr>
        <w:t>repair</w:t>
      </w:r>
      <w:r>
        <w:rPr>
          <w:vertAlign w:val="baseline"/>
        </w:rPr>
        <w:t> the boilers or to improve them in some way, or one to look after them for a fixed time, would probably be regarded as consideration moving from the defendant. </w:t>
      </w:r>
      <w:r>
        <w:rPr>
          <w:color w:val="005DA1"/>
          <w:u w:val="single" w:color="005DA1"/>
          <w:vertAlign w:val="superscript"/>
        </w:rPr>
        <w:t>1318</w:t>
      </w:r>
    </w:p>
    <w:p>
      <w:pPr>
        <w:pStyle w:val="BodyText"/>
      </w:pPr>
    </w:p>
    <w:p>
      <w:pPr>
        <w:pStyle w:val="BodyText"/>
        <w:spacing w:before="33"/>
      </w:pPr>
    </w:p>
    <w:p>
      <w:pPr>
        <w:pStyle w:val="ListParagraph"/>
        <w:numPr>
          <w:ilvl w:val="0"/>
          <w:numId w:val="10"/>
        </w:numPr>
        <w:tabs>
          <w:tab w:pos="435" w:val="left" w:leader="none"/>
        </w:tabs>
        <w:spacing w:line="240" w:lineRule="auto" w:before="1" w:after="0"/>
        <w:ind w:left="435" w:right="0" w:hanging="270"/>
        <w:jc w:val="both"/>
        <w:rPr>
          <w:rFonts w:ascii="Arial"/>
          <w:b/>
          <w:sz w:val="18"/>
        </w:rPr>
      </w:pPr>
      <w:r>
        <w:rPr>
          <w:rFonts w:ascii="Arial"/>
          <w:b/>
          <w:sz w:val="18"/>
        </w:rPr>
        <w:t>For benefit of </w:t>
      </w:r>
      <w:r>
        <w:rPr>
          <w:rFonts w:ascii="Arial"/>
          <w:b/>
          <w:spacing w:val="-2"/>
          <w:sz w:val="18"/>
        </w:rPr>
        <w:t>bailor</w:t>
      </w:r>
    </w:p>
    <w:p>
      <w:pPr>
        <w:pStyle w:val="BodyText"/>
        <w:spacing w:before="49"/>
        <w:rPr>
          <w:rFonts w:ascii="Arial"/>
          <w:b/>
          <w:sz w:val="18"/>
        </w:rPr>
      </w:pPr>
    </w:p>
    <w:p>
      <w:pPr>
        <w:pStyle w:val="BodyText"/>
        <w:spacing w:line="235" w:lineRule="auto"/>
        <w:ind w:left="165" w:right="167"/>
        <w:jc w:val="both"/>
      </w:pPr>
      <w:r>
        <w:rPr/>
        <w:t>The second possibility would, for example, arise where a thing was deposited by A with B, not for use but</w:t>
      </w:r>
      <w:r>
        <w:rPr>
          <w:spacing w:val="37"/>
        </w:rPr>
        <w:t> </w:t>
      </w:r>
      <w:r>
        <w:rPr/>
        <w:t>for</w:t>
      </w:r>
      <w:r>
        <w:rPr>
          <w:spacing w:val="37"/>
        </w:rPr>
        <w:t> </w:t>
      </w:r>
      <w:r>
        <w:rPr/>
        <w:t>safe-keeping,</w:t>
      </w:r>
      <w:r>
        <w:rPr>
          <w:spacing w:val="37"/>
        </w:rPr>
        <w:t> </w:t>
      </w:r>
      <w:r>
        <w:rPr/>
        <w:t>without</w:t>
      </w:r>
      <w:r>
        <w:rPr>
          <w:spacing w:val="37"/>
        </w:rPr>
        <w:t> </w:t>
      </w:r>
      <w:r>
        <w:rPr/>
        <w:t>reward.</w:t>
      </w:r>
      <w:r>
        <w:rPr>
          <w:spacing w:val="37"/>
        </w:rPr>
        <w:t> </w:t>
      </w:r>
      <w:r>
        <w:rPr/>
        <w:t>In</w:t>
      </w:r>
      <w:r>
        <w:rPr>
          <w:spacing w:val="37"/>
        </w:rPr>
        <w:t> </w:t>
      </w:r>
      <w:r>
        <w:rPr/>
        <w:t>such</w:t>
      </w:r>
      <w:r>
        <w:rPr>
          <w:spacing w:val="37"/>
        </w:rPr>
        <w:t> </w:t>
      </w:r>
      <w:r>
        <w:rPr/>
        <w:t>a</w:t>
      </w:r>
      <w:r>
        <w:rPr>
          <w:spacing w:val="37"/>
        </w:rPr>
        <w:t> </w:t>
      </w:r>
      <w:r>
        <w:rPr/>
        <w:t>case,</w:t>
      </w:r>
      <w:r>
        <w:rPr>
          <w:spacing w:val="37"/>
        </w:rPr>
        <w:t> </w:t>
      </w:r>
      <w:r>
        <w:rPr/>
        <w:t>A’s</w:t>
      </w:r>
      <w:r>
        <w:rPr>
          <w:spacing w:val="37"/>
        </w:rPr>
        <w:t> </w:t>
      </w:r>
      <w:r>
        <w:rPr/>
        <w:t>parting</w:t>
      </w:r>
      <w:r>
        <w:rPr>
          <w:spacing w:val="37"/>
        </w:rPr>
        <w:t> </w:t>
      </w:r>
      <w:r>
        <w:rPr/>
        <w:t>with</w:t>
      </w:r>
      <w:r>
        <w:rPr>
          <w:spacing w:val="37"/>
        </w:rPr>
        <w:t> </w:t>
      </w:r>
      <w:r>
        <w:rPr/>
        <w:t>the</w:t>
      </w:r>
      <w:r>
        <w:rPr>
          <w:spacing w:val="37"/>
        </w:rPr>
        <w:t> </w:t>
      </w:r>
      <w:r>
        <w:rPr/>
        <w:t>possession</w:t>
      </w:r>
      <w:r>
        <w:rPr>
          <w:spacing w:val="37"/>
        </w:rPr>
        <w:t> </w:t>
      </w:r>
      <w:r>
        <w:rPr/>
        <w:t>is</w:t>
      </w:r>
      <w:r>
        <w:rPr>
          <w:spacing w:val="37"/>
        </w:rPr>
        <w:t> </w:t>
      </w:r>
      <w:r>
        <w:rPr/>
        <w:t>hardly</w:t>
      </w:r>
      <w:r>
        <w:rPr>
          <w:spacing w:val="37"/>
        </w:rPr>
        <w:t> </w:t>
      </w:r>
      <w:r>
        <w:rPr>
          <w:spacing w:val="-10"/>
        </w:rPr>
        <w:t>a</w:t>
      </w:r>
    </w:p>
    <w:p>
      <w:pPr>
        <w:pStyle w:val="BodyText"/>
        <w:spacing w:after="0" w:line="235" w:lineRule="auto"/>
        <w:jc w:val="both"/>
        <w:sectPr>
          <w:pgSz w:w="11900" w:h="16840"/>
          <w:pgMar w:header="971" w:footer="0" w:top="1160" w:bottom="280" w:left="1275" w:right="1275"/>
        </w:sectPr>
      </w:pPr>
    </w:p>
    <w:p>
      <w:pPr>
        <w:pStyle w:val="BodyText"/>
        <w:spacing w:before="184"/>
      </w:pPr>
    </w:p>
    <w:p>
      <w:pPr>
        <w:pStyle w:val="BodyText"/>
        <w:spacing w:line="235" w:lineRule="auto" w:before="1"/>
        <w:ind w:left="165" w:right="167"/>
        <w:jc w:val="both"/>
      </w:pPr>
      <w:bookmarkStart w:name="_bookmark1869" w:id="1871"/>
      <w:bookmarkEnd w:id="1871"/>
      <w:r>
        <w:rPr/>
      </w:r>
      <w:bookmarkStart w:name="_bookmark1870" w:id="1872"/>
      <w:bookmarkEnd w:id="1872"/>
      <w:r>
        <w:rPr/>
      </w:r>
      <w:r>
        <w:rPr/>
        <w:t>detriment to him; and B’s duty to look after the thing </w:t>
      </w:r>
      <w:r>
        <w:rPr>
          <w:color w:val="005DA1"/>
          <w:u w:val="single" w:color="005DA1"/>
          <w:vertAlign w:val="superscript"/>
        </w:rPr>
        <w:t>1319</w:t>
      </w:r>
      <w:r>
        <w:rPr>
          <w:color w:val="005DA1"/>
          <w:vertAlign w:val="baseline"/>
        </w:rPr>
        <w:t> </w:t>
      </w:r>
      <w:r>
        <w:rPr>
          <w:vertAlign w:val="baseline"/>
        </w:rPr>
        <w:t>does not arise out of a contractual </w:t>
      </w:r>
      <w:r>
        <w:rPr>
          <w:vertAlign w:val="baseline"/>
        </w:rPr>
        <w:t>promise </w:t>
      </w:r>
      <w:r>
        <w:rPr>
          <w:color w:val="005DA1"/>
          <w:u w:val="single" w:color="005DA1"/>
          <w:vertAlign w:val="superscript"/>
        </w:rPr>
        <w:t>1320</w:t>
      </w:r>
      <w:r>
        <w:rPr>
          <w:color w:val="005DA1"/>
          <w:vertAlign w:val="baseline"/>
        </w:rPr>
        <w:t> </w:t>
      </w:r>
      <w:r>
        <w:rPr>
          <w:vertAlign w:val="baseline"/>
        </w:rPr>
        <w:t>but is imposed by law. </w:t>
      </w:r>
      <w:r>
        <w:rPr>
          <w:color w:val="005DA1"/>
          <w:u w:val="single" w:color="005DA1"/>
          <w:vertAlign w:val="superscript"/>
        </w:rPr>
        <w:t>1321</w:t>
      </w:r>
      <w:r>
        <w:rPr>
          <w:color w:val="005DA1"/>
          <w:vertAlign w:val="baseline"/>
        </w:rPr>
        <w:t> </w:t>
      </w:r>
      <w:r>
        <w:rPr>
          <w:vertAlign w:val="baseline"/>
        </w:rPr>
        <w:t>It follows that B’s </w:t>
      </w:r>
      <w:r>
        <w:rPr>
          <w:rFonts w:ascii="Arial" w:hAnsi="Arial"/>
          <w:i/>
          <w:vertAlign w:val="baseline"/>
        </w:rPr>
        <w:t>only </w:t>
      </w:r>
      <w:r>
        <w:rPr>
          <w:vertAlign w:val="baseline"/>
        </w:rPr>
        <w:t>duty is that imposed by law. Thus B is under no obligation before he actually receives the thing; and if he promised to do anything which went beyond </w:t>
      </w:r>
      <w:bookmarkStart w:name="_bookmark1871" w:id="1873"/>
      <w:bookmarkEnd w:id="1873"/>
      <w:r>
        <w:rPr>
          <w:vertAlign w:val="baseline"/>
        </w:rPr>
        <w:t>the</w:t>
      </w:r>
      <w:r>
        <w:rPr>
          <w:vertAlign w:val="baseline"/>
        </w:rPr>
        <w:t> duty imposed by law (for example, to keep the thing in repair) he would be bound by his promise only</w:t>
      </w:r>
      <w:r>
        <w:rPr>
          <w:spacing w:val="-2"/>
          <w:vertAlign w:val="baseline"/>
        </w:rPr>
        <w:t> </w:t>
      </w:r>
      <w:r>
        <w:rPr>
          <w:vertAlign w:val="baseline"/>
        </w:rPr>
        <w:t>if</w:t>
      </w:r>
      <w:r>
        <w:rPr>
          <w:spacing w:val="-2"/>
          <w:vertAlign w:val="baseline"/>
        </w:rPr>
        <w:t> </w:t>
      </w:r>
      <w:r>
        <w:rPr>
          <w:vertAlign w:val="baseline"/>
        </w:rPr>
        <w:t>A</w:t>
      </w:r>
      <w:r>
        <w:rPr>
          <w:spacing w:val="-2"/>
          <w:vertAlign w:val="baseline"/>
        </w:rPr>
        <w:t> </w:t>
      </w:r>
      <w:r>
        <w:rPr>
          <w:vertAlign w:val="baseline"/>
        </w:rPr>
        <w:t>had</w:t>
      </w:r>
      <w:r>
        <w:rPr>
          <w:spacing w:val="-2"/>
          <w:vertAlign w:val="baseline"/>
        </w:rPr>
        <w:t> </w:t>
      </w:r>
      <w:r>
        <w:rPr>
          <w:vertAlign w:val="baseline"/>
        </w:rPr>
        <w:t>provided</w:t>
      </w:r>
      <w:r>
        <w:rPr>
          <w:spacing w:val="-2"/>
          <w:vertAlign w:val="baseline"/>
        </w:rPr>
        <w:t> </w:t>
      </w:r>
      <w:r>
        <w:rPr>
          <w:vertAlign w:val="baseline"/>
        </w:rPr>
        <w:t>some</w:t>
      </w:r>
      <w:r>
        <w:rPr>
          <w:spacing w:val="-2"/>
          <w:vertAlign w:val="baseline"/>
        </w:rPr>
        <w:t> </w:t>
      </w:r>
      <w:r>
        <w:rPr>
          <w:vertAlign w:val="baseline"/>
        </w:rPr>
        <w:t>consideration</w:t>
      </w:r>
      <w:r>
        <w:rPr>
          <w:spacing w:val="-2"/>
          <w:vertAlign w:val="baseline"/>
        </w:rPr>
        <w:t> </w:t>
      </w:r>
      <w:r>
        <w:rPr>
          <w:vertAlign w:val="baseline"/>
        </w:rPr>
        <w:t>for</w:t>
      </w:r>
      <w:r>
        <w:rPr>
          <w:spacing w:val="-2"/>
          <w:vertAlign w:val="baseline"/>
        </w:rPr>
        <w:t> </w:t>
      </w:r>
      <w:r>
        <w:rPr>
          <w:vertAlign w:val="baseline"/>
        </w:rPr>
        <w:t>it</w:t>
      </w:r>
      <w:r>
        <w:rPr>
          <w:spacing w:val="-2"/>
          <w:vertAlign w:val="baseline"/>
        </w:rPr>
        <w:t> </w:t>
      </w:r>
      <w:r>
        <w:rPr>
          <w:vertAlign w:val="baseline"/>
        </w:rPr>
        <w:t>apart</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delivery</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chattel.</w:t>
      </w:r>
      <w:r>
        <w:rPr>
          <w:spacing w:val="-3"/>
          <w:vertAlign w:val="baseline"/>
        </w:rPr>
        <w:t> </w:t>
      </w:r>
      <w:r>
        <w:rPr>
          <w:color w:val="005DA1"/>
          <w:u w:val="single" w:color="005DA1"/>
          <w:vertAlign w:val="superscript"/>
        </w:rPr>
        <w:t>1322</w:t>
      </w:r>
      <w:r>
        <w:rPr>
          <w:color w:val="005DA1"/>
          <w:spacing w:val="-2"/>
          <w:vertAlign w:val="baseline"/>
        </w:rPr>
        <w:t> </w:t>
      </w:r>
      <w:r>
        <w:rPr>
          <w:vertAlign w:val="baseline"/>
        </w:rPr>
        <w:t>To</w:t>
      </w:r>
      <w:r>
        <w:rPr>
          <w:spacing w:val="-2"/>
          <w:vertAlign w:val="baseline"/>
        </w:rPr>
        <w:t> </w:t>
      </w:r>
      <w:r>
        <w:rPr>
          <w:vertAlign w:val="baseline"/>
        </w:rPr>
        <w:t>constitute such</w:t>
      </w:r>
      <w:r>
        <w:rPr>
          <w:spacing w:val="-2"/>
          <w:vertAlign w:val="baseline"/>
        </w:rPr>
        <w:t> </w:t>
      </w:r>
      <w:r>
        <w:rPr>
          <w:vertAlign w:val="baseline"/>
        </w:rPr>
        <w:t>consideration,</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necessary</w:t>
      </w:r>
      <w:r>
        <w:rPr>
          <w:spacing w:val="-2"/>
          <w:vertAlign w:val="baseline"/>
        </w:rPr>
        <w:t> </w:t>
      </w:r>
      <w:r>
        <w:rPr>
          <w:vertAlign w:val="baseline"/>
        </w:rPr>
        <w:t>to</w:t>
      </w:r>
      <w:r>
        <w:rPr>
          <w:spacing w:val="-2"/>
          <w:vertAlign w:val="baseline"/>
        </w:rPr>
        <w:t> </w:t>
      </w:r>
      <w:r>
        <w:rPr>
          <w:vertAlign w:val="baseline"/>
        </w:rPr>
        <w:t>show</w:t>
      </w:r>
      <w:r>
        <w:rPr>
          <w:spacing w:val="-2"/>
          <w:vertAlign w:val="baseline"/>
        </w:rPr>
        <w:t> </w:t>
      </w:r>
      <w:r>
        <w:rPr>
          <w:vertAlign w:val="baseline"/>
        </w:rPr>
        <w:t>that</w:t>
      </w:r>
      <w:r>
        <w:rPr>
          <w:spacing w:val="-2"/>
          <w:vertAlign w:val="baseline"/>
        </w:rPr>
        <w:t> </w:t>
      </w:r>
      <w:r>
        <w:rPr>
          <w:vertAlign w:val="baseline"/>
        </w:rPr>
        <w:t>B</w:t>
      </w:r>
      <w:r>
        <w:rPr>
          <w:spacing w:val="-2"/>
          <w:vertAlign w:val="baseline"/>
        </w:rPr>
        <w:t> </w:t>
      </w:r>
      <w:r>
        <w:rPr>
          <w:vertAlign w:val="baseline"/>
        </w:rPr>
        <w:t>obtained</w:t>
      </w:r>
      <w:r>
        <w:rPr>
          <w:spacing w:val="-2"/>
          <w:vertAlign w:val="baseline"/>
        </w:rPr>
        <w:t> </w:t>
      </w:r>
      <w:r>
        <w:rPr>
          <w:vertAlign w:val="baseline"/>
        </w:rPr>
        <w:t>any</w:t>
      </w:r>
      <w:r>
        <w:rPr>
          <w:spacing w:val="-2"/>
          <w:vertAlign w:val="baseline"/>
        </w:rPr>
        <w:t> </w:t>
      </w:r>
      <w:r>
        <w:rPr>
          <w:vertAlign w:val="baseline"/>
        </w:rPr>
        <w:t>benefit</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bailment:</w:t>
      </w:r>
      <w:r>
        <w:rPr>
          <w:spacing w:val="-2"/>
          <w:vertAlign w:val="baseline"/>
        </w:rPr>
        <w:t> </w:t>
      </w:r>
      <w:r>
        <w:rPr>
          <w:vertAlign w:val="baseline"/>
        </w:rPr>
        <w:t>thus</w:t>
      </w:r>
      <w:r>
        <w:rPr>
          <w:spacing w:val="-2"/>
          <w:vertAlign w:val="baseline"/>
        </w:rPr>
        <w:t> </w:t>
      </w:r>
      <w:r>
        <w:rPr>
          <w:vertAlign w:val="baseline"/>
        </w:rPr>
        <w:t>it</w:t>
      </w:r>
      <w:r>
        <w:rPr>
          <w:spacing w:val="-2"/>
          <w:vertAlign w:val="baseline"/>
        </w:rPr>
        <w:t> </w:t>
      </w:r>
      <w:r>
        <w:rPr>
          <w:vertAlign w:val="baseline"/>
        </w:rPr>
        <w:t>is </w:t>
      </w:r>
      <w:bookmarkStart w:name="_bookmark1872" w:id="1874"/>
      <w:bookmarkEnd w:id="1874"/>
      <w:r>
        <w:rPr>
          <w:vertAlign w:val="baseline"/>
        </w:rPr>
        <w:t>enough</w:t>
      </w:r>
      <w:r>
        <w:rPr>
          <w:vertAlign w:val="baseline"/>
        </w:rPr>
        <w:t> if A reimburses (or promises to reimburse) B for any expenses that B has incurred for the </w:t>
      </w:r>
      <w:bookmarkStart w:name="_bookmark1873" w:id="1875"/>
      <w:bookmarkEnd w:id="1875"/>
      <w:r>
        <w:rPr>
          <w:vertAlign w:val="baseline"/>
        </w:rPr>
        <w:t>purpose</w:t>
      </w:r>
      <w:r>
        <w:rPr>
          <w:vertAlign w:val="baseline"/>
        </w:rPr>
        <w:t> of performing his promise. </w:t>
      </w:r>
      <w:r>
        <w:rPr>
          <w:color w:val="005DA1"/>
          <w:u w:val="single" w:color="005DA1"/>
          <w:vertAlign w:val="superscript"/>
        </w:rPr>
        <w:t>1323</w:t>
      </w:r>
      <w:r>
        <w:rPr>
          <w:color w:val="005DA1"/>
          <w:vertAlign w:val="baseline"/>
        </w:rPr>
        <w:t> </w:t>
      </w:r>
      <w:r>
        <w:rPr>
          <w:vertAlign w:val="baseline"/>
        </w:rPr>
        <w:t>This follows from the principle that consideration may consist </w:t>
      </w:r>
      <w:r>
        <w:rPr>
          <w:rFonts w:ascii="Arial" w:hAnsi="Arial"/>
          <w:i/>
          <w:vertAlign w:val="baseline"/>
        </w:rPr>
        <w:t>either </w:t>
      </w:r>
      <w:r>
        <w:rPr>
          <w:vertAlign w:val="baseline"/>
        </w:rPr>
        <w:t>in a benefit to the promisor (B) </w:t>
      </w:r>
      <w:r>
        <w:rPr>
          <w:rFonts w:ascii="Arial" w:hAnsi="Arial"/>
          <w:i/>
          <w:vertAlign w:val="baseline"/>
        </w:rPr>
        <w:t>or </w:t>
      </w:r>
      <w:r>
        <w:rPr>
          <w:vertAlign w:val="baseline"/>
        </w:rPr>
        <w:t>in a detriment to the promisee (A). </w:t>
      </w:r>
      <w:r>
        <w:rPr>
          <w:color w:val="005DA1"/>
          <w:u w:val="single" w:color="005DA1"/>
          <w:vertAlign w:val="superscript"/>
        </w:rPr>
        <w:t>1324</w:t>
      </w:r>
    </w:p>
    <w:p>
      <w:pPr>
        <w:pStyle w:val="BodyText"/>
      </w:pPr>
    </w:p>
    <w:p>
      <w:pPr>
        <w:pStyle w:val="BodyText"/>
        <w:spacing w:before="35"/>
      </w:pPr>
    </w:p>
    <w:p>
      <w:pPr>
        <w:pStyle w:val="ListParagraph"/>
        <w:numPr>
          <w:ilvl w:val="0"/>
          <w:numId w:val="10"/>
        </w:numPr>
        <w:tabs>
          <w:tab w:pos="435" w:val="left" w:leader="none"/>
        </w:tabs>
        <w:spacing w:line="240" w:lineRule="auto" w:before="0" w:after="0"/>
        <w:ind w:left="435" w:right="0" w:hanging="270"/>
        <w:jc w:val="left"/>
        <w:rPr>
          <w:rFonts w:ascii="Arial" w:hAnsi="Arial"/>
          <w:b/>
          <w:sz w:val="18"/>
        </w:rPr>
      </w:pPr>
      <w:r>
        <w:rPr>
          <w:rFonts w:ascii="Arial" w:hAnsi="Arial"/>
          <w:b/>
          <w:sz w:val="18"/>
        </w:rPr>
        <w:t>Promises defining gratuitous bailee’s custodial </w:t>
      </w:r>
      <w:r>
        <w:rPr>
          <w:rFonts w:ascii="Arial" w:hAnsi="Arial"/>
          <w:b/>
          <w:spacing w:val="-4"/>
          <w:sz w:val="18"/>
        </w:rPr>
        <w:t>duty</w:t>
      </w:r>
    </w:p>
    <w:p>
      <w:pPr>
        <w:pStyle w:val="BodyText"/>
        <w:spacing w:before="50"/>
        <w:rPr>
          <w:rFonts w:ascii="Arial"/>
          <w:b/>
          <w:sz w:val="18"/>
        </w:rPr>
      </w:pPr>
    </w:p>
    <w:p>
      <w:pPr>
        <w:pStyle w:val="BodyText"/>
        <w:spacing w:line="235" w:lineRule="auto"/>
        <w:ind w:left="164" w:right="167"/>
        <w:jc w:val="both"/>
      </w:pPr>
      <w:bookmarkStart w:name="_bookmark1874" w:id="1876"/>
      <w:bookmarkEnd w:id="1876"/>
      <w:r>
        <w:rPr/>
      </w:r>
      <w:r>
        <w:rPr/>
        <w:t>The liability of a gratuitous bailee for breaches of duty as such a bailee calls for further discussion </w:t>
      </w:r>
      <w:r>
        <w:rPr/>
        <w:t>in the light of the decision of the Court of Appeal in </w:t>
      </w:r>
      <w:r>
        <w:rPr>
          <w:rFonts w:ascii="Arial" w:hAnsi="Arial"/>
          <w:i/>
        </w:rPr>
        <w:t>Yearworth v North Bristol NHS Trust</w:t>
      </w:r>
      <w:r>
        <w:rPr/>
        <w:t>. </w:t>
      </w:r>
      <w:r>
        <w:rPr>
          <w:color w:val="005DA1"/>
          <w:u w:val="single" w:color="005DA1"/>
          <w:vertAlign w:val="superscript"/>
        </w:rPr>
        <w:t>1325</w:t>
      </w:r>
      <w:r>
        <w:rPr>
          <w:color w:val="005DA1"/>
          <w:vertAlign w:val="baseline"/>
        </w:rPr>
        <w:t> </w:t>
      </w:r>
      <w:r>
        <w:rPr>
          <w:vertAlign w:val="baseline"/>
        </w:rPr>
        <w:t>In that case, men who had been treated for cancer and had undergone chemotherapy, were told that this might lead to their becoming infertile, and were given the opportunity of having samples of their</w:t>
      </w:r>
      <w:r>
        <w:rPr>
          <w:spacing w:val="40"/>
          <w:vertAlign w:val="baseline"/>
        </w:rPr>
        <w:t> </w:t>
      </w:r>
      <w:bookmarkStart w:name="_bookmark1875" w:id="1877"/>
      <w:bookmarkEnd w:id="1877"/>
      <w:r>
        <w:rPr>
          <w:vertAlign w:val="baseline"/>
        </w:rPr>
        <w:t>semen</w:t>
      </w:r>
      <w:r>
        <w:rPr>
          <w:vertAlign w:val="baseline"/>
        </w:rPr>
        <w:t> frozen and stored by the defendant, whose fertility unit “extended, and broke, a particular promise to the men, namely that ‘the sperm will be stored … at minus 196C”’. </w:t>
      </w:r>
      <w:r>
        <w:rPr>
          <w:color w:val="005DA1"/>
          <w:u w:val="single" w:color="005DA1"/>
          <w:vertAlign w:val="superscript"/>
        </w:rPr>
        <w:t>1326</w:t>
      </w:r>
      <w:r>
        <w:rPr>
          <w:color w:val="005DA1"/>
          <w:vertAlign w:val="baseline"/>
        </w:rPr>
        <w:t> </w:t>
      </w:r>
      <w:r>
        <w:rPr>
          <w:vertAlign w:val="baseline"/>
        </w:rPr>
        <w:t>In consequence of the breach, the sperm thawed and became useless. It was held that the defendant had become a </w:t>
      </w:r>
      <w:bookmarkStart w:name="_bookmark1876" w:id="1878"/>
      <w:bookmarkEnd w:id="1878"/>
      <w:r>
        <w:rPr>
          <w:vertAlign w:val="baseline"/>
        </w:rPr>
        <w:t>gratuitous</w:t>
      </w:r>
      <w:r>
        <w:rPr>
          <w:vertAlign w:val="baseline"/>
        </w:rPr>
        <w:t> bailee of the sperm and was liable as such to the men for breach of its duty under the bailment; and this duty was described </w:t>
      </w:r>
      <w:r>
        <w:rPr>
          <w:color w:val="005DA1"/>
          <w:u w:val="single" w:color="005DA1"/>
          <w:vertAlign w:val="superscript"/>
        </w:rPr>
        <w:t>1327</w:t>
      </w:r>
      <w:r>
        <w:rPr>
          <w:color w:val="005DA1"/>
          <w:vertAlign w:val="baseline"/>
        </w:rPr>
        <w:t> </w:t>
      </w:r>
      <w:r>
        <w:rPr>
          <w:vertAlign w:val="baseline"/>
        </w:rPr>
        <w:t>as “a breach not just of the duty owed by every gratuitous </w:t>
      </w:r>
      <w:bookmarkStart w:name="_bookmark1877" w:id="1879"/>
      <w:bookmarkEnd w:id="1879"/>
      <w:r>
        <w:rPr>
          <w:vertAlign w:val="baseline"/>
        </w:rPr>
        <w:t>bailee</w:t>
      </w:r>
      <w:r>
        <w:rPr>
          <w:vertAlign w:val="baseline"/>
        </w:rPr>
        <w:t> but of a specific promise extended by the trust to the men.” These words may seem to be inconsistent with the view, taken in sub-para.4-198(2) above, </w:t>
      </w:r>
      <w:r>
        <w:rPr>
          <w:color w:val="005DA1"/>
          <w:u w:val="single" w:color="005DA1"/>
          <w:vertAlign w:val="superscript"/>
        </w:rPr>
        <w:t>1328</w:t>
      </w:r>
      <w:r>
        <w:rPr>
          <w:color w:val="005DA1"/>
          <w:vertAlign w:val="baseline"/>
        </w:rPr>
        <w:t> </w:t>
      </w:r>
      <w:r>
        <w:rPr>
          <w:vertAlign w:val="baseline"/>
        </w:rPr>
        <w:t>that a gratuitous bailee was subject </w:t>
      </w:r>
      <w:bookmarkStart w:name="_bookmark1878" w:id="1880"/>
      <w:bookmarkEnd w:id="1880"/>
      <w:r>
        <w:rPr>
          <w:vertAlign w:val="baseline"/>
        </w:rPr>
        <w:t>only</w:t>
      </w:r>
      <w:r>
        <w:rPr>
          <w:vertAlign w:val="baseline"/>
        </w:rPr>
        <w:t> to the duty imposed on such as bailees by virtue of the bailment and was not bound by any promise going beyond that duty unless the bailor had provided some consideration for that promise. </w:t>
      </w:r>
      <w:r>
        <w:rPr>
          <w:color w:val="005DA1"/>
          <w:u w:val="single" w:color="005DA1"/>
          <w:vertAlign w:val="superscript"/>
        </w:rPr>
        <w:t>1329</w:t>
      </w:r>
      <w:r>
        <w:rPr>
          <w:color w:val="005DA1"/>
          <w:vertAlign w:val="baseline"/>
        </w:rPr>
        <w:t> </w:t>
      </w:r>
      <w:r>
        <w:rPr>
          <w:vertAlign w:val="baseline"/>
        </w:rPr>
        <w:t>It is, however, submitted that there is no such inconsistency since a distinction must be drawn between a “specific promise” which serves merely to define the scope of B’s </w:t>
      </w:r>
      <w:r>
        <w:rPr>
          <w:rFonts w:ascii="Arial" w:hAnsi="Arial"/>
          <w:i/>
          <w:vertAlign w:val="baseline"/>
        </w:rPr>
        <w:t>custodial </w:t>
      </w:r>
      <w:r>
        <w:rPr>
          <w:vertAlign w:val="baseline"/>
        </w:rPr>
        <w:t>duty as bailee </w:t>
      </w:r>
      <w:bookmarkStart w:name="_bookmark1879" w:id="1881"/>
      <w:bookmarkEnd w:id="1881"/>
      <w:r>
        <w:rPr>
          <w:vertAlign w:val="baseline"/>
        </w:rPr>
        <w:t>and</w:t>
      </w:r>
      <w:r>
        <w:rPr>
          <w:vertAlign w:val="baseline"/>
        </w:rPr>
        <w:t> one which purports to impose on B further duties, going beyond that duty. The passage of the judgment (quoted above </w:t>
      </w:r>
      <w:r>
        <w:rPr>
          <w:color w:val="005DA1"/>
          <w:u w:val="single" w:color="005DA1"/>
          <w:vertAlign w:val="superscript"/>
        </w:rPr>
        <w:t>1330</w:t>
      </w:r>
      <w:r>
        <w:rPr>
          <w:vertAlign w:val="baseline"/>
        </w:rPr>
        <w:t>) appears to refer back to an earlier statement which deals with the </w:t>
      </w:r>
      <w:bookmarkStart w:name="_bookmark1880" w:id="1882"/>
      <w:bookmarkEnd w:id="1882"/>
      <w:r>
        <w:rPr>
          <w:vertAlign w:val="baseline"/>
        </w:rPr>
        <w:t>situation</w:t>
      </w:r>
      <w:r>
        <w:rPr>
          <w:vertAlign w:val="baseline"/>
        </w:rPr>
        <w:t> “where the gratuitous bailee has extended, and broken, a particular promise to his bailor … that the chattel will be stored in a particular place or in a particular way” </w:t>
      </w:r>
      <w:r>
        <w:rPr>
          <w:color w:val="005DA1"/>
          <w:u w:val="single" w:color="005DA1"/>
          <w:vertAlign w:val="superscript"/>
        </w:rPr>
        <w:t>1331</w:t>
      </w:r>
      <w:r>
        <w:rPr>
          <w:vertAlign w:val="baseline"/>
        </w:rPr>
        <w:t>: e.g., where he has promised to store goods under cover but stored them in the open and they were destroyed or damaged in consequence of having been so stored. Here the bailee would be in breach of the custodial duty which is the central feature of the bailment relationship. The defendant’s breach of duty in the </w:t>
      </w:r>
      <w:r>
        <w:rPr>
          <w:rFonts w:ascii="Arial" w:hAnsi="Arial"/>
          <w:i/>
          <w:vertAlign w:val="baseline"/>
        </w:rPr>
        <w:t>Yearworth </w:t>
      </w:r>
      <w:r>
        <w:rPr>
          <w:vertAlign w:val="baseline"/>
        </w:rPr>
        <w:t>case was of this nature, performance of the promise to keep the sperm at the </w:t>
      </w:r>
      <w:bookmarkStart w:name="_bookmark1881" w:id="1883"/>
      <w:bookmarkEnd w:id="1883"/>
      <w:r>
        <w:rPr>
          <w:vertAlign w:val="baseline"/>
        </w:rPr>
        <w:t>specified</w:t>
      </w:r>
      <w:r>
        <w:rPr>
          <w:vertAlign w:val="baseline"/>
        </w:rPr>
        <w:t> temperature being essential to its preservation. The same could </w:t>
      </w:r>
      <w:r>
        <w:rPr>
          <w:rFonts w:ascii="Arial" w:hAnsi="Arial"/>
          <w:i/>
          <w:vertAlign w:val="baseline"/>
        </w:rPr>
        <w:t>not </w:t>
      </w:r>
      <w:r>
        <w:rPr>
          <w:vertAlign w:val="baseline"/>
        </w:rPr>
        <w:t>be said of the example, given in the text above, </w:t>
      </w:r>
      <w:r>
        <w:rPr>
          <w:color w:val="005DA1"/>
          <w:u w:val="single" w:color="005DA1"/>
          <w:vertAlign w:val="superscript"/>
        </w:rPr>
        <w:t>1332</w:t>
      </w:r>
      <w:r>
        <w:rPr>
          <w:color w:val="005DA1"/>
          <w:vertAlign w:val="baseline"/>
        </w:rPr>
        <w:t> </w:t>
      </w:r>
      <w:r>
        <w:rPr>
          <w:vertAlign w:val="baseline"/>
        </w:rPr>
        <w:t>of a promise to keep the thing bailed in repair. Performance of such a </w:t>
      </w:r>
      <w:bookmarkStart w:name="_bookmark1882" w:id="1884"/>
      <w:bookmarkEnd w:id="1884"/>
      <w:r>
        <w:rPr>
          <w:vertAlign w:val="baseline"/>
        </w:rPr>
        <w:t>promise</w:t>
      </w:r>
      <w:r>
        <w:rPr>
          <w:vertAlign w:val="baseline"/>
        </w:rPr>
        <w:t> would go beyond the essential custodial duty of the bailee since the promise would not merely</w:t>
      </w:r>
      <w:r>
        <w:rPr>
          <w:spacing w:val="-2"/>
          <w:vertAlign w:val="baseline"/>
        </w:rPr>
        <w:t> </w:t>
      </w:r>
      <w:r>
        <w:rPr>
          <w:vertAlign w:val="baseline"/>
        </w:rPr>
        <w:t>define</w:t>
      </w:r>
      <w:r>
        <w:rPr>
          <w:spacing w:val="-2"/>
          <w:vertAlign w:val="baseline"/>
        </w:rPr>
        <w:t> </w:t>
      </w:r>
      <w:r>
        <w:rPr>
          <w:vertAlign w:val="baseline"/>
        </w:rPr>
        <w:t>the</w:t>
      </w:r>
      <w:r>
        <w:rPr>
          <w:spacing w:val="-2"/>
          <w:vertAlign w:val="baseline"/>
        </w:rPr>
        <w:t> </w:t>
      </w:r>
      <w:r>
        <w:rPr>
          <w:vertAlign w:val="baseline"/>
        </w:rPr>
        <w:t>way</w:t>
      </w:r>
      <w:r>
        <w:rPr>
          <w:spacing w:val="-2"/>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that</w:t>
      </w:r>
      <w:r>
        <w:rPr>
          <w:spacing w:val="-2"/>
          <w:vertAlign w:val="baseline"/>
        </w:rPr>
        <w:t> </w:t>
      </w:r>
      <w:r>
        <w:rPr>
          <w:vertAlign w:val="baseline"/>
        </w:rPr>
        <w:t>duty</w:t>
      </w:r>
      <w:r>
        <w:rPr>
          <w:spacing w:val="-2"/>
          <w:vertAlign w:val="baseline"/>
        </w:rPr>
        <w:t> </w:t>
      </w:r>
      <w:r>
        <w:rPr>
          <w:vertAlign w:val="baseline"/>
        </w:rPr>
        <w:t>was</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performed</w:t>
      </w:r>
      <w:r>
        <w:rPr>
          <w:spacing w:val="-2"/>
          <w:vertAlign w:val="baseline"/>
        </w:rPr>
        <w:t> </w:t>
      </w:r>
      <w:r>
        <w:rPr>
          <w:color w:val="005DA1"/>
          <w:u w:val="single" w:color="005DA1"/>
          <w:vertAlign w:val="superscript"/>
        </w:rPr>
        <w:t>1333</w:t>
      </w:r>
      <w:r>
        <w:rPr>
          <w:color w:val="005DA1"/>
          <w:spacing w:val="-2"/>
          <w:vertAlign w:val="baseline"/>
        </w:rPr>
        <w:t> </w:t>
      </w:r>
      <w:r>
        <w:rPr>
          <w:vertAlign w:val="baseline"/>
        </w:rPr>
        <w:t>but</w:t>
      </w:r>
      <w:r>
        <w:rPr>
          <w:spacing w:val="-2"/>
          <w:vertAlign w:val="baseline"/>
        </w:rPr>
        <w:t> </w:t>
      </w:r>
      <w:r>
        <w:rPr>
          <w:vertAlign w:val="baseline"/>
        </w:rPr>
        <w:t>would</w:t>
      </w:r>
      <w:r>
        <w:rPr>
          <w:spacing w:val="-2"/>
          <w:vertAlign w:val="baseline"/>
        </w:rPr>
        <w:t> </w:t>
      </w:r>
      <w:r>
        <w:rPr>
          <w:vertAlign w:val="baseline"/>
        </w:rPr>
        <w:t>impose</w:t>
      </w:r>
      <w:r>
        <w:rPr>
          <w:spacing w:val="-2"/>
          <w:vertAlign w:val="baseline"/>
        </w:rPr>
        <w:t> </w:t>
      </w:r>
      <w:r>
        <w:rPr>
          <w:vertAlign w:val="baseline"/>
        </w:rPr>
        <w:t>an</w:t>
      </w:r>
      <w:r>
        <w:rPr>
          <w:spacing w:val="-2"/>
          <w:vertAlign w:val="baseline"/>
        </w:rPr>
        <w:t> </w:t>
      </w:r>
      <w:r>
        <w:rPr>
          <w:vertAlign w:val="baseline"/>
        </w:rPr>
        <w:t>additional</w:t>
      </w:r>
      <w:r>
        <w:rPr>
          <w:spacing w:val="-2"/>
          <w:vertAlign w:val="baseline"/>
        </w:rPr>
        <w:t> </w:t>
      </w:r>
      <w:r>
        <w:rPr>
          <w:vertAlign w:val="baseline"/>
        </w:rPr>
        <w:t>duty </w:t>
      </w:r>
      <w:bookmarkStart w:name="_bookmark1883" w:id="1885"/>
      <w:bookmarkEnd w:id="1885"/>
      <w:r>
        <w:rPr>
          <w:vertAlign w:val="baseline"/>
        </w:rPr>
        <w:t>to</w:t>
      </w:r>
      <w:r>
        <w:rPr>
          <w:vertAlign w:val="baseline"/>
        </w:rPr>
        <w:t> carry out the repairs and so to improve the thing which has been bailed. It is submitted that the problem here discussed arises at least in part because the distinction drawn in the </w:t>
      </w:r>
      <w:r>
        <w:rPr>
          <w:rFonts w:ascii="Arial" w:hAnsi="Arial"/>
          <w:i/>
          <w:vertAlign w:val="baseline"/>
        </w:rPr>
        <w:t>Yearworth </w:t>
      </w:r>
      <w:r>
        <w:rPr>
          <w:vertAlign w:val="baseline"/>
        </w:rPr>
        <w:t>case</w:t>
      </w:r>
      <w:r>
        <w:rPr>
          <w:spacing w:val="40"/>
          <w:vertAlign w:val="baseline"/>
        </w:rPr>
        <w:t> </w:t>
      </w:r>
      <w:r>
        <w:rPr>
          <w:color w:val="005DA1"/>
          <w:u w:val="single" w:color="005DA1"/>
          <w:vertAlign w:val="superscript"/>
        </w:rPr>
        <w:t>1334</w:t>
      </w:r>
      <w:r>
        <w:rPr>
          <w:color w:val="005DA1"/>
          <w:vertAlign w:val="baseline"/>
        </w:rPr>
        <w:t> </w:t>
      </w:r>
      <w:r>
        <w:rPr>
          <w:vertAlign w:val="baseline"/>
        </w:rPr>
        <w:t>between breach of “the duty owed by every gratuitous bailee” and breach of a “specific promise” made by such a bailee uses categories of which the first is unduly general and which are not mutually </w:t>
      </w:r>
      <w:bookmarkStart w:name="_bookmark1884" w:id="1886"/>
      <w:bookmarkEnd w:id="1886"/>
      <w:r>
        <w:rPr>
          <w:vertAlign w:val="baseline"/>
        </w:rPr>
        <w:t>exclusive.</w:t>
      </w:r>
      <w:r>
        <w:rPr>
          <w:spacing w:val="-2"/>
          <w:vertAlign w:val="baseline"/>
        </w:rPr>
        <w:t> </w:t>
      </w:r>
      <w:r>
        <w:rPr>
          <w:vertAlign w:val="baseline"/>
        </w:rPr>
        <w:t>Both</w:t>
      </w:r>
      <w:r>
        <w:rPr>
          <w:spacing w:val="-2"/>
          <w:vertAlign w:val="baseline"/>
        </w:rPr>
        <w:t> </w:t>
      </w:r>
      <w:r>
        <w:rPr>
          <w:vertAlign w:val="baseline"/>
        </w:rPr>
        <w:t>these</w:t>
      </w:r>
      <w:r>
        <w:rPr>
          <w:spacing w:val="-2"/>
          <w:vertAlign w:val="baseline"/>
        </w:rPr>
        <w:t> </w:t>
      </w:r>
      <w:r>
        <w:rPr>
          <w:vertAlign w:val="baseline"/>
        </w:rPr>
        <w:t>points</w:t>
      </w:r>
      <w:r>
        <w:rPr>
          <w:spacing w:val="-2"/>
          <w:vertAlign w:val="baseline"/>
        </w:rPr>
        <w:t> </w:t>
      </w:r>
      <w:r>
        <w:rPr>
          <w:vertAlign w:val="baseline"/>
        </w:rPr>
        <w:t>follow</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fact</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scope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duty</w:t>
      </w:r>
      <w:r>
        <w:rPr>
          <w:spacing w:val="-2"/>
          <w:vertAlign w:val="baseline"/>
        </w:rPr>
        <w:t> </w:t>
      </w:r>
      <w:r>
        <w:rPr>
          <w:vertAlign w:val="baseline"/>
        </w:rPr>
        <w:t>owed</w:t>
      </w:r>
      <w:r>
        <w:rPr>
          <w:spacing w:val="-2"/>
          <w:vertAlign w:val="baseline"/>
        </w:rPr>
        <w:t> </w:t>
      </w:r>
      <w:r>
        <w:rPr>
          <w:vertAlign w:val="baseline"/>
        </w:rPr>
        <w:t>by</w:t>
      </w:r>
      <w:r>
        <w:rPr>
          <w:spacing w:val="-2"/>
          <w:vertAlign w:val="baseline"/>
        </w:rPr>
        <w:t> </w:t>
      </w:r>
      <w:r>
        <w:rPr>
          <w:vertAlign w:val="baseline"/>
        </w:rPr>
        <w:t>a</w:t>
      </w:r>
      <w:r>
        <w:rPr>
          <w:spacing w:val="-2"/>
          <w:vertAlign w:val="baseline"/>
        </w:rPr>
        <w:t> </w:t>
      </w:r>
      <w:r>
        <w:rPr>
          <w:vertAlign w:val="baseline"/>
        </w:rPr>
        <w:t>gratuitous</w:t>
      </w:r>
      <w:r>
        <w:rPr>
          <w:spacing w:val="-2"/>
          <w:vertAlign w:val="baseline"/>
        </w:rPr>
        <w:t> </w:t>
      </w:r>
      <w:r>
        <w:rPr>
          <w:vertAlign w:val="baseline"/>
        </w:rPr>
        <w:t>bailee may</w:t>
      </w:r>
      <w:r>
        <w:rPr>
          <w:spacing w:val="-1"/>
          <w:vertAlign w:val="baseline"/>
        </w:rPr>
        <w:t> </w:t>
      </w:r>
      <w:r>
        <w:rPr>
          <w:vertAlign w:val="baseline"/>
        </w:rPr>
        <w:t>well</w:t>
      </w:r>
      <w:r>
        <w:rPr>
          <w:spacing w:val="-1"/>
          <w:vertAlign w:val="baseline"/>
        </w:rPr>
        <w:t> </w:t>
      </w:r>
      <w:r>
        <w:rPr>
          <w:vertAlign w:val="baseline"/>
        </w:rPr>
        <w:t>depend</w:t>
      </w:r>
      <w:r>
        <w:rPr>
          <w:spacing w:val="-1"/>
          <w:vertAlign w:val="baseline"/>
        </w:rPr>
        <w:t> </w:t>
      </w:r>
      <w:r>
        <w:rPr>
          <w:vertAlign w:val="baseline"/>
        </w:rPr>
        <w:t>on</w:t>
      </w:r>
      <w:r>
        <w:rPr>
          <w:spacing w:val="-1"/>
          <w:vertAlign w:val="baseline"/>
        </w:rPr>
        <w:t> </w:t>
      </w:r>
      <w:r>
        <w:rPr>
          <w:vertAlign w:val="baseline"/>
        </w:rPr>
        <w:t>a</w:t>
      </w:r>
      <w:r>
        <w:rPr>
          <w:spacing w:val="-1"/>
          <w:vertAlign w:val="baseline"/>
        </w:rPr>
        <w:t> </w:t>
      </w:r>
      <w:r>
        <w:rPr>
          <w:vertAlign w:val="baseline"/>
        </w:rPr>
        <w:t>“particular</w:t>
      </w:r>
      <w:r>
        <w:rPr>
          <w:spacing w:val="-1"/>
          <w:vertAlign w:val="baseline"/>
        </w:rPr>
        <w:t> </w:t>
      </w:r>
      <w:r>
        <w:rPr>
          <w:vertAlign w:val="baseline"/>
        </w:rPr>
        <w:t>promise”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kind</w:t>
      </w:r>
      <w:r>
        <w:rPr>
          <w:spacing w:val="-1"/>
          <w:vertAlign w:val="baseline"/>
        </w:rPr>
        <w:t> </w:t>
      </w:r>
      <w:r>
        <w:rPr>
          <w:vertAlign w:val="baseline"/>
        </w:rPr>
        <w:t>referred</w:t>
      </w:r>
      <w:r>
        <w:rPr>
          <w:spacing w:val="-1"/>
          <w:vertAlign w:val="baseline"/>
        </w:rPr>
        <w:t> </w:t>
      </w:r>
      <w:r>
        <w:rPr>
          <w:vertAlign w:val="baseline"/>
        </w:rPr>
        <w:t>to</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judgment,</w:t>
      </w:r>
      <w:r>
        <w:rPr>
          <w:spacing w:val="-2"/>
          <w:vertAlign w:val="baseline"/>
        </w:rPr>
        <w:t> </w:t>
      </w:r>
      <w:r>
        <w:rPr>
          <w:color w:val="005DA1"/>
          <w:u w:val="single" w:color="005DA1"/>
          <w:vertAlign w:val="superscript"/>
        </w:rPr>
        <w:t>1335</w:t>
      </w:r>
      <w:r>
        <w:rPr>
          <w:color w:val="005DA1"/>
          <w:spacing w:val="-1"/>
          <w:vertAlign w:val="baseline"/>
        </w:rPr>
        <w:t> </w:t>
      </w:r>
      <w:r>
        <w:rPr>
          <w:vertAlign w:val="baseline"/>
        </w:rPr>
        <w:t>i.e.</w:t>
      </w:r>
      <w:r>
        <w:rPr>
          <w:spacing w:val="-1"/>
          <w:vertAlign w:val="baseline"/>
        </w:rPr>
        <w:t> </w:t>
      </w:r>
      <w:r>
        <w:rPr>
          <w:vertAlign w:val="baseline"/>
        </w:rPr>
        <w:t>on</w:t>
      </w:r>
      <w:r>
        <w:rPr>
          <w:spacing w:val="-1"/>
          <w:vertAlign w:val="baseline"/>
        </w:rPr>
        <w:t> </w:t>
      </w:r>
      <w:r>
        <w:rPr>
          <w:vertAlign w:val="baseline"/>
        </w:rPr>
        <w:t>one</w:t>
      </w:r>
      <w:r>
        <w:rPr>
          <w:spacing w:val="-1"/>
          <w:vertAlign w:val="baseline"/>
        </w:rPr>
        <w:t> </w:t>
      </w:r>
      <w:r>
        <w:rPr>
          <w:vertAlign w:val="baseline"/>
        </w:rPr>
        <w:t>as</w:t>
      </w:r>
      <w:r>
        <w:rPr>
          <w:spacing w:val="-1"/>
          <w:vertAlign w:val="baseline"/>
        </w:rPr>
        <w:t> </w:t>
      </w:r>
      <w:r>
        <w:rPr>
          <w:vertAlign w:val="baseline"/>
        </w:rPr>
        <w:t>to where and how the thing bailed will be stored. That was the type of promise under consideration in</w:t>
      </w:r>
      <w:r>
        <w:rPr>
          <w:spacing w:val="40"/>
          <w:vertAlign w:val="baseline"/>
        </w:rPr>
        <w:t> </w:t>
      </w:r>
      <w:bookmarkStart w:name="_bookmark1885" w:id="1887"/>
      <w:bookmarkEnd w:id="1887"/>
      <w:r>
        <w:rPr>
          <w:vertAlign w:val="baseline"/>
        </w:rPr>
        <w:t>the</w:t>
      </w:r>
      <w:r>
        <w:rPr>
          <w:vertAlign w:val="baseline"/>
        </w:rPr>
        <w:t> </w:t>
      </w:r>
      <w:r>
        <w:rPr>
          <w:rFonts w:ascii="Arial" w:hAnsi="Arial"/>
          <w:i/>
          <w:vertAlign w:val="baseline"/>
        </w:rPr>
        <w:t>Yearworth </w:t>
      </w:r>
      <w:r>
        <w:rPr>
          <w:vertAlign w:val="baseline"/>
        </w:rPr>
        <w:t>case; and where such a promise is made there is no distinction of substance between </w:t>
      </w:r>
      <w:bookmarkStart w:name="_bookmark1886" w:id="1888"/>
      <w:bookmarkEnd w:id="1888"/>
      <w:r>
        <w:rPr>
          <w:vertAlign w:val="baseline"/>
        </w:rPr>
        <w:t>the</w:t>
      </w:r>
      <w:r>
        <w:rPr>
          <w:vertAlign w:val="baseline"/>
        </w:rPr>
        <w:t> “particular promise” referred to in one part in the judgment </w:t>
      </w:r>
      <w:r>
        <w:rPr>
          <w:color w:val="005DA1"/>
          <w:u w:val="single" w:color="005DA1"/>
          <w:vertAlign w:val="superscript"/>
        </w:rPr>
        <w:t>1336</w:t>
      </w:r>
      <w:r>
        <w:rPr>
          <w:color w:val="005DA1"/>
          <w:vertAlign w:val="baseline"/>
        </w:rPr>
        <w:t> </w:t>
      </w:r>
      <w:r>
        <w:rPr>
          <w:vertAlign w:val="baseline"/>
        </w:rPr>
        <w:t>and the “specific promise” referred to in another. </w:t>
      </w:r>
      <w:r>
        <w:rPr>
          <w:color w:val="005DA1"/>
          <w:u w:val="single" w:color="005DA1"/>
          <w:vertAlign w:val="superscript"/>
        </w:rPr>
        <w:t>1337</w:t>
      </w:r>
      <w:r>
        <w:rPr>
          <w:color w:val="005DA1"/>
          <w:vertAlign w:val="baseline"/>
        </w:rPr>
        <w:t> </w:t>
      </w:r>
      <w:r>
        <w:rPr>
          <w:vertAlign w:val="baseline"/>
        </w:rPr>
        <w:t>Whether such a promise is described as a “particular” or as a “specific” one, its effect is to define the custodial duty of the gratuitous bailee; and this is so whether or not the promise </w:t>
      </w:r>
      <w:bookmarkStart w:name="_bookmark1887" w:id="1889"/>
      <w:bookmarkEnd w:id="1889"/>
      <w:r>
        <w:rPr>
          <w:vertAlign w:val="baseline"/>
        </w:rPr>
        <w:t>has</w:t>
      </w:r>
      <w:r>
        <w:rPr>
          <w:vertAlign w:val="baseline"/>
        </w:rPr>
        <w:t> contractual force. It follows that, in such cases, the concept of a “duty owed by every gratuitous bailee” </w:t>
      </w:r>
      <w:r>
        <w:rPr>
          <w:color w:val="005DA1"/>
          <w:u w:val="single" w:color="005DA1"/>
          <w:vertAlign w:val="superscript"/>
        </w:rPr>
        <w:t>1338</w:t>
      </w:r>
      <w:r>
        <w:rPr>
          <w:color w:val="005DA1"/>
          <w:vertAlign w:val="baseline"/>
        </w:rPr>
        <w:t> </w:t>
      </w:r>
      <w:r>
        <w:rPr>
          <w:vertAlign w:val="baseline"/>
        </w:rPr>
        <w:t>is (with respect) one of limited practical value.</w:t>
      </w:r>
    </w:p>
    <w:p>
      <w:pPr>
        <w:pStyle w:val="BodyText"/>
      </w:pPr>
    </w:p>
    <w:p>
      <w:pPr>
        <w:pStyle w:val="BodyText"/>
        <w:spacing w:before="83"/>
      </w:pPr>
    </w:p>
    <w:p>
      <w:pPr>
        <w:spacing w:before="0"/>
        <w:ind w:left="165" w:right="0" w:firstLine="0"/>
        <w:jc w:val="both"/>
        <w:rPr>
          <w:rFonts w:ascii="Arial"/>
          <w:b/>
          <w:sz w:val="18"/>
        </w:rPr>
      </w:pPr>
      <w:r>
        <w:rPr>
          <w:rFonts w:ascii="Arial"/>
          <w:b/>
          <w:sz w:val="18"/>
        </w:rPr>
        <w:t>Gratuitous </w:t>
      </w:r>
      <w:r>
        <w:rPr>
          <w:rFonts w:ascii="Arial"/>
          <w:b/>
          <w:spacing w:val="-2"/>
          <w:sz w:val="18"/>
        </w:rPr>
        <w:t>services</w:t>
      </w:r>
    </w:p>
    <w:p>
      <w:pPr>
        <w:pStyle w:val="BodyText"/>
        <w:spacing w:before="41"/>
        <w:rPr>
          <w:rFonts w:ascii="Arial"/>
          <w:b/>
          <w:sz w:val="18"/>
        </w:rPr>
      </w:pPr>
    </w:p>
    <w:p>
      <w:pPr>
        <w:pStyle w:val="Heading2"/>
        <w:spacing w:before="1"/>
      </w:pPr>
      <w:r>
        <w:rPr/>
        <w:t>4-</w:t>
      </w:r>
      <w:r>
        <w:rPr>
          <w:spacing w:val="-5"/>
        </w:rPr>
        <w:t>199</w:t>
      </w:r>
    </w:p>
    <w:p>
      <w:pPr>
        <w:pStyle w:val="Heading2"/>
        <w:spacing w:after="0"/>
        <w:sectPr>
          <w:pgSz w:w="11900" w:h="16840"/>
          <w:pgMar w:header="971" w:footer="0" w:top="1160" w:bottom="280" w:left="1275" w:right="1275"/>
        </w:sectPr>
      </w:pPr>
    </w:p>
    <w:p>
      <w:pPr>
        <w:pStyle w:val="BodyText"/>
        <w:rPr>
          <w:rFonts w:ascii="Arial"/>
          <w:b/>
        </w:rPr>
      </w:pPr>
    </w:p>
    <w:p>
      <w:pPr>
        <w:pStyle w:val="BodyText"/>
        <w:spacing w:before="15"/>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77" name="Image 377"/>
            <wp:cNvGraphicFramePr>
              <a:graphicFrameLocks/>
            </wp:cNvGraphicFramePr>
            <a:graphic>
              <a:graphicData uri="http://schemas.openxmlformats.org/drawingml/2006/picture">
                <pic:pic>
                  <pic:nvPicPr>
                    <pic:cNvPr id="377" name="Image 377"/>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Normally a promise to render services without reward is not supported by consideration and is </w:t>
      </w:r>
      <w:bookmarkStart w:name="_bookmark1888" w:id="1890"/>
      <w:bookmarkEnd w:id="1890"/>
      <w:r>
        <w:rPr/>
        <w:t>therefore</w:t>
      </w:r>
      <w:r>
        <w:rPr/>
        <w:t> not binding contractually. For example, where A gratuitously promises to insure B’s </w:t>
      </w:r>
      <w:r>
        <w:rPr/>
        <w:t>property but fails to do so, A is not liable to B for breach of contract if the property is destroyed or damaged.</w:t>
      </w:r>
      <w:r>
        <w:rPr>
          <w:spacing w:val="40"/>
        </w:rPr>
        <w:t> </w:t>
      </w:r>
      <w:r>
        <w:rPr>
          <w:color w:val="005DA1"/>
          <w:u w:val="single" w:color="005DA1"/>
          <w:vertAlign w:val="superscript"/>
        </w:rPr>
        <w:t>1339</w:t>
      </w:r>
      <w:r>
        <w:rPr>
          <w:color w:val="005DA1"/>
          <w:spacing w:val="-2"/>
          <w:vertAlign w:val="baseline"/>
        </w:rPr>
        <w:t> </w:t>
      </w:r>
      <w:bookmarkStart w:name="_bookmark1889" w:id="1891"/>
      <w:bookmarkEnd w:id="1891"/>
      <w:r>
        <w:rPr>
          <w:color w:val="005DA1"/>
          <w:spacing w:val="1"/>
          <w:vertAlign w:val="baseline"/>
        </w:rPr>
      </w:r>
      <w:r>
        <w:rPr>
          <w:vertAlign w:val="baseline"/>
        </w:rPr>
        <w:t>A</w:t>
      </w:r>
      <w:r>
        <w:rPr>
          <w:spacing w:val="-2"/>
          <w:vertAlign w:val="baseline"/>
        </w:rPr>
        <w:t> </w:t>
      </w:r>
      <w:r>
        <w:rPr>
          <w:vertAlign w:val="baseline"/>
        </w:rPr>
        <w:t>firm</w:t>
      </w:r>
      <w:r>
        <w:rPr>
          <w:spacing w:val="-2"/>
          <w:vertAlign w:val="baseline"/>
        </w:rPr>
        <w:t> </w:t>
      </w:r>
      <w:r>
        <w:rPr>
          <w:vertAlign w:val="baseline"/>
        </w:rPr>
        <w:t>of</w:t>
      </w:r>
      <w:r>
        <w:rPr>
          <w:spacing w:val="-2"/>
          <w:vertAlign w:val="baseline"/>
        </w:rPr>
        <w:t> </w:t>
      </w:r>
      <w:r>
        <w:rPr>
          <w:vertAlign w:val="baseline"/>
        </w:rPr>
        <w:t>solicitors</w:t>
      </w:r>
      <w:r>
        <w:rPr>
          <w:spacing w:val="-2"/>
          <w:vertAlign w:val="baseline"/>
        </w:rPr>
        <w:t> </w:t>
      </w:r>
      <w:r>
        <w:rPr>
          <w:vertAlign w:val="baseline"/>
        </w:rPr>
        <w:t>is</w:t>
      </w:r>
      <w:r>
        <w:rPr>
          <w:spacing w:val="-2"/>
          <w:vertAlign w:val="baseline"/>
        </w:rPr>
        <w:t> </w:t>
      </w:r>
      <w:r>
        <w:rPr>
          <w:vertAlign w:val="baseline"/>
        </w:rPr>
        <w:t>likewise</w:t>
      </w:r>
      <w:r>
        <w:rPr>
          <w:spacing w:val="-2"/>
          <w:vertAlign w:val="baseline"/>
        </w:rPr>
        <w:t> </w:t>
      </w:r>
      <w:r>
        <w:rPr>
          <w:vertAlign w:val="baseline"/>
        </w:rPr>
        <w:t>not</w:t>
      </w:r>
      <w:r>
        <w:rPr>
          <w:spacing w:val="-2"/>
          <w:vertAlign w:val="baseline"/>
        </w:rPr>
        <w:t> </w:t>
      </w:r>
      <w:r>
        <w:rPr>
          <w:vertAlign w:val="baseline"/>
        </w:rPr>
        <w:t>bound</w:t>
      </w:r>
      <w:r>
        <w:rPr>
          <w:spacing w:val="-2"/>
          <w:vertAlign w:val="baseline"/>
        </w:rPr>
        <w:t> </w:t>
      </w:r>
      <w:r>
        <w:rPr>
          <w:vertAlign w:val="baseline"/>
        </w:rPr>
        <w:t>by</w:t>
      </w:r>
      <w:r>
        <w:rPr>
          <w:spacing w:val="-2"/>
          <w:vertAlign w:val="baseline"/>
        </w:rPr>
        <w:t> </w:t>
      </w:r>
      <w:r>
        <w:rPr>
          <w:vertAlign w:val="baseline"/>
        </w:rPr>
        <w:t>its</w:t>
      </w:r>
      <w:r>
        <w:rPr>
          <w:spacing w:val="-2"/>
          <w:vertAlign w:val="baseline"/>
        </w:rPr>
        <w:t> </w:t>
      </w:r>
      <w:r>
        <w:rPr>
          <w:vertAlign w:val="baseline"/>
        </w:rPr>
        <w:t>promise</w:t>
      </w:r>
      <w:r>
        <w:rPr>
          <w:spacing w:val="-2"/>
          <w:vertAlign w:val="baseline"/>
        </w:rPr>
        <w:t> </w:t>
      </w:r>
      <w:r>
        <w:rPr>
          <w:vertAlign w:val="baseline"/>
        </w:rPr>
        <w:t>not</w:t>
      </w:r>
      <w:r>
        <w:rPr>
          <w:spacing w:val="-2"/>
          <w:vertAlign w:val="baseline"/>
        </w:rPr>
        <w:t> </w:t>
      </w:r>
      <w:r>
        <w:rPr>
          <w:vertAlign w:val="baseline"/>
        </w:rPr>
        <w:t>to</w:t>
      </w:r>
      <w:r>
        <w:rPr>
          <w:spacing w:val="-2"/>
          <w:vertAlign w:val="baseline"/>
        </w:rPr>
        <w:t> </w:t>
      </w:r>
      <w:r>
        <w:rPr>
          <w:vertAlign w:val="baseline"/>
        </w:rPr>
        <w:t>charge</w:t>
      </w:r>
      <w:r>
        <w:rPr>
          <w:spacing w:val="-2"/>
          <w:vertAlign w:val="baseline"/>
        </w:rPr>
        <w:t> </w:t>
      </w:r>
      <w:r>
        <w:rPr>
          <w:vertAlign w:val="baseline"/>
        </w:rPr>
        <w:t>its</w:t>
      </w:r>
      <w:r>
        <w:rPr>
          <w:spacing w:val="-2"/>
          <w:vertAlign w:val="baseline"/>
        </w:rPr>
        <w:t> </w:t>
      </w:r>
      <w:r>
        <w:rPr>
          <w:vertAlign w:val="baseline"/>
        </w:rPr>
        <w:t>client</w:t>
      </w:r>
      <w:r>
        <w:rPr>
          <w:spacing w:val="-2"/>
          <w:vertAlign w:val="baseline"/>
        </w:rPr>
        <w:t> </w:t>
      </w:r>
      <w:r>
        <w:rPr>
          <w:vertAlign w:val="baseline"/>
        </w:rPr>
        <w:t>for</w:t>
      </w:r>
      <w:r>
        <w:rPr>
          <w:spacing w:val="-2"/>
          <w:vertAlign w:val="baseline"/>
        </w:rPr>
        <w:t> </w:t>
      </w:r>
      <w:r>
        <w:rPr>
          <w:vertAlign w:val="baseline"/>
        </w:rPr>
        <w:t>work</w:t>
      </w:r>
      <w:r>
        <w:rPr>
          <w:spacing w:val="-2"/>
          <w:vertAlign w:val="baseline"/>
        </w:rPr>
        <w:t> </w:t>
      </w:r>
      <w:r>
        <w:rPr>
          <w:vertAlign w:val="baseline"/>
        </w:rPr>
        <w:t>done</w:t>
      </w:r>
      <w:r>
        <w:rPr>
          <w:spacing w:val="-2"/>
          <w:vertAlign w:val="baseline"/>
        </w:rPr>
        <w:t> </w:t>
      </w:r>
      <w:r>
        <w:rPr>
          <w:vertAlign w:val="baseline"/>
        </w:rPr>
        <w:t>after</w:t>
      </w:r>
      <w:r>
        <w:rPr>
          <w:spacing w:val="-2"/>
          <w:vertAlign w:val="baseline"/>
        </w:rPr>
        <w:t> </w:t>
      </w:r>
      <w:r>
        <w:rPr>
          <w:vertAlign w:val="baseline"/>
        </w:rPr>
        <w:t>a </w:t>
      </w:r>
      <w:bookmarkStart w:name="_bookmark1890" w:id="1892"/>
      <w:bookmarkEnd w:id="1892"/>
      <w:r>
        <w:rPr>
          <w:vertAlign w:val="baseline"/>
        </w:rPr>
        <w:t>specified</w:t>
      </w:r>
      <w:r>
        <w:rPr>
          <w:vertAlign w:val="baseline"/>
        </w:rPr>
        <w:t> date, since, without more, such a promise is not supported by any consideration. </w:t>
      </w:r>
      <w:r>
        <w:rPr>
          <w:color w:val="005DA1"/>
          <w:u w:val="single" w:color="005DA1"/>
          <w:vertAlign w:val="superscript"/>
        </w:rPr>
        <w:t>1340</w:t>
      </w:r>
      <w:r>
        <w:rPr>
          <w:color w:val="005DA1"/>
          <w:vertAlign w:val="baseline"/>
        </w:rPr>
        <w:t> </w:t>
      </w:r>
      <w:r>
        <w:rPr>
          <w:vertAlign w:val="baseline"/>
        </w:rPr>
        <w:t>Where an</w:t>
      </w:r>
      <w:r>
        <w:rPr>
          <w:spacing w:val="6"/>
          <w:vertAlign w:val="baseline"/>
        </w:rPr>
        <w:t> </w:t>
      </w:r>
      <w:r>
        <w:rPr>
          <w:vertAlign w:val="baseline"/>
        </w:rPr>
        <w:t>architect</w:t>
      </w:r>
      <w:r>
        <w:rPr>
          <w:spacing w:val="6"/>
          <w:vertAlign w:val="baseline"/>
        </w:rPr>
        <w:t> </w:t>
      </w:r>
      <w:r>
        <w:rPr>
          <w:vertAlign w:val="baseline"/>
        </w:rPr>
        <w:t>(A)</w:t>
      </w:r>
      <w:r>
        <w:rPr>
          <w:spacing w:val="6"/>
          <w:vertAlign w:val="baseline"/>
        </w:rPr>
        <w:t> </w:t>
      </w:r>
      <w:r>
        <w:rPr>
          <w:vertAlign w:val="baseline"/>
        </w:rPr>
        <w:t>had</w:t>
      </w:r>
      <w:r>
        <w:rPr>
          <w:spacing w:val="6"/>
          <w:vertAlign w:val="baseline"/>
        </w:rPr>
        <w:t> </w:t>
      </w:r>
      <w:r>
        <w:rPr>
          <w:vertAlign w:val="baseline"/>
        </w:rPr>
        <w:t>provided</w:t>
      </w:r>
      <w:r>
        <w:rPr>
          <w:spacing w:val="6"/>
          <w:vertAlign w:val="baseline"/>
        </w:rPr>
        <w:t> </w:t>
      </w:r>
      <w:r>
        <w:rPr>
          <w:vertAlign w:val="baseline"/>
        </w:rPr>
        <w:t>professional</w:t>
      </w:r>
      <w:r>
        <w:rPr>
          <w:spacing w:val="6"/>
          <w:vertAlign w:val="baseline"/>
        </w:rPr>
        <w:t> </w:t>
      </w:r>
      <w:r>
        <w:rPr>
          <w:vertAlign w:val="baseline"/>
        </w:rPr>
        <w:t>services</w:t>
      </w:r>
      <w:r>
        <w:rPr>
          <w:spacing w:val="6"/>
          <w:vertAlign w:val="baseline"/>
        </w:rPr>
        <w:t> </w:t>
      </w:r>
      <w:r>
        <w:rPr>
          <w:vertAlign w:val="baseline"/>
        </w:rPr>
        <w:t>as</w:t>
      </w:r>
      <w:r>
        <w:rPr>
          <w:spacing w:val="6"/>
          <w:vertAlign w:val="baseline"/>
        </w:rPr>
        <w:t> </w:t>
      </w:r>
      <w:r>
        <w:rPr>
          <w:vertAlign w:val="baseline"/>
        </w:rPr>
        <w:t>such</w:t>
      </w:r>
      <w:r>
        <w:rPr>
          <w:spacing w:val="6"/>
          <w:vertAlign w:val="baseline"/>
        </w:rPr>
        <w:t> </w:t>
      </w:r>
      <w:r>
        <w:rPr>
          <w:vertAlign w:val="baseline"/>
        </w:rPr>
        <w:t>for</w:t>
      </w:r>
      <w:r>
        <w:rPr>
          <w:spacing w:val="6"/>
          <w:vertAlign w:val="baseline"/>
        </w:rPr>
        <w:t> </w:t>
      </w:r>
      <w:r>
        <w:rPr>
          <w:vertAlign w:val="baseline"/>
        </w:rPr>
        <w:t>friends</w:t>
      </w:r>
      <w:r>
        <w:rPr>
          <w:spacing w:val="6"/>
          <w:vertAlign w:val="baseline"/>
        </w:rPr>
        <w:t> </w:t>
      </w:r>
      <w:r>
        <w:rPr>
          <w:vertAlign w:val="baseline"/>
        </w:rPr>
        <w:t>(B)</w:t>
      </w:r>
      <w:r>
        <w:rPr>
          <w:spacing w:val="6"/>
          <w:vertAlign w:val="baseline"/>
        </w:rPr>
        <w:t> </w:t>
      </w:r>
      <w:r>
        <w:rPr>
          <w:vertAlign w:val="baseline"/>
        </w:rPr>
        <w:t>free</w:t>
      </w:r>
      <w:r>
        <w:rPr>
          <w:spacing w:val="6"/>
          <w:vertAlign w:val="baseline"/>
        </w:rPr>
        <w:t> </w:t>
      </w:r>
      <w:r>
        <w:rPr>
          <w:vertAlign w:val="baseline"/>
        </w:rPr>
        <w:t>of</w:t>
      </w:r>
      <w:r>
        <w:rPr>
          <w:spacing w:val="6"/>
          <w:vertAlign w:val="baseline"/>
        </w:rPr>
        <w:t> </w:t>
      </w:r>
      <w:r>
        <w:rPr>
          <w:vertAlign w:val="baseline"/>
        </w:rPr>
        <w:t>charge,</w:t>
      </w:r>
      <w:r>
        <w:rPr>
          <w:spacing w:val="6"/>
          <w:vertAlign w:val="baseline"/>
        </w:rPr>
        <w:t> </w:t>
      </w:r>
      <w:r>
        <w:rPr>
          <w:vertAlign w:val="baseline"/>
        </w:rPr>
        <w:t>one</w:t>
      </w:r>
      <w:r>
        <w:rPr>
          <w:spacing w:val="6"/>
          <w:vertAlign w:val="baseline"/>
        </w:rPr>
        <w:t> </w:t>
      </w:r>
      <w:r>
        <w:rPr>
          <w:spacing w:val="-2"/>
          <w:vertAlign w:val="baseline"/>
        </w:rPr>
        <w:t>reason</w:t>
      </w:r>
    </w:p>
    <w:p>
      <w:pPr>
        <w:pStyle w:val="BodyText"/>
        <w:spacing w:before="114"/>
        <w:ind w:left="165"/>
        <w:jc w:val="both"/>
      </w:pPr>
      <w:hyperlink w:history="true" w:anchor="_bookmark1964">
        <w:r>
          <w:rPr>
            <w:color w:val="005DA1"/>
            <w:u w:val="single" w:color="005DA1"/>
            <w:vertAlign w:val="superscript"/>
          </w:rPr>
          <w:t>1341</w:t>
        </w:r>
        <w:r>
          <w:rPr>
            <w:color w:val="005DA1"/>
            <w:spacing w:val="79"/>
            <w:w w:val="150"/>
            <w:vertAlign w:val="baseline"/>
          </w:rPr>
          <w:t> </w:t>
        </w:r>
        <w:r>
          <w:rPr>
            <w:color w:val="005DA1"/>
            <w:position w:val="-2"/>
            <w:vertAlign w:val="baseline"/>
          </w:rPr>
          <w:drawing>
            <wp:inline distT="0" distB="0" distL="0" distR="0">
              <wp:extent cx="107988" cy="107988"/>
              <wp:effectExtent l="0" t="0" r="0" b="0"/>
              <wp:docPr id="378" name="Image 378"/>
              <wp:cNvGraphicFramePr>
                <a:graphicFrameLocks/>
              </wp:cNvGraphicFramePr>
              <a:graphic>
                <a:graphicData uri="http://schemas.openxmlformats.org/drawingml/2006/picture">
                  <pic:pic>
                    <pic:nvPicPr>
                      <pic:cNvPr id="378" name="Image 37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4"/>
            <w:vertAlign w:val="baseline"/>
          </w:rPr>
          <w:t> </w:t>
        </w:r>
        <w:bookmarkStart w:name="_bookmark1891" w:id="1893"/>
        <w:bookmarkEnd w:id="1893"/>
        <w:r>
          <w:rPr>
            <w:rFonts w:ascii="Times New Roman"/>
            <w:color w:val="005DA1"/>
            <w:spacing w:val="5"/>
            <w:vertAlign w:val="baseline"/>
          </w:rPr>
        </w:r>
        <w:r>
          <w:rPr>
            <w:vertAlign w:val="baseline"/>
          </w:rPr>
          <w:t>why</w:t>
        </w:r>
        <w:r>
          <w:rPr>
            <w:spacing w:val="-1"/>
            <w:vertAlign w:val="baseline"/>
          </w:rPr>
          <w:t> </w:t>
        </w:r>
        <w:r>
          <w:rPr>
            <w:vertAlign w:val="baseline"/>
          </w:rPr>
          <w:t>there</w:t>
        </w:r>
        <w:r>
          <w:rPr>
            <w:spacing w:val="-1"/>
            <w:vertAlign w:val="baseline"/>
          </w:rPr>
          <w:t> </w:t>
        </w:r>
        <w:r>
          <w:rPr>
            <w:vertAlign w:val="baseline"/>
          </w:rPr>
          <w:t>was</w:t>
        </w:r>
        <w:r>
          <w:rPr>
            <w:spacing w:val="-1"/>
            <w:vertAlign w:val="baseline"/>
          </w:rPr>
          <w:t> </w:t>
        </w:r>
        <w:r>
          <w:rPr>
            <w:vertAlign w:val="baseline"/>
          </w:rPr>
          <w:t>no</w:t>
        </w:r>
        <w:r>
          <w:rPr>
            <w:spacing w:val="-1"/>
            <w:vertAlign w:val="baseline"/>
          </w:rPr>
          <w:t> </w:t>
        </w:r>
        <w:r>
          <w:rPr>
            <w:vertAlign w:val="baseline"/>
          </w:rPr>
          <w:t>contract</w:t>
        </w:r>
        <w:r>
          <w:rPr>
            <w:spacing w:val="-2"/>
            <w:vertAlign w:val="baseline"/>
          </w:rPr>
          <w:t> </w:t>
        </w:r>
        <w:r>
          <w:rPr>
            <w:vertAlign w:val="baseline"/>
          </w:rPr>
          <w:t>between</w:t>
        </w:r>
        <w:r>
          <w:rPr>
            <w:spacing w:val="-1"/>
            <w:vertAlign w:val="baseline"/>
          </w:rPr>
          <w:t> </w:t>
        </w:r>
        <w:r>
          <w:rPr>
            <w:vertAlign w:val="baseline"/>
          </w:rPr>
          <w:t>A</w:t>
        </w:r>
        <w:r>
          <w:rPr>
            <w:spacing w:val="-1"/>
            <w:vertAlign w:val="baseline"/>
          </w:rPr>
          <w:t> </w:t>
        </w:r>
        <w:r>
          <w:rPr>
            <w:vertAlign w:val="baseline"/>
          </w:rPr>
          <w:t>and</w:t>
        </w:r>
        <w:r>
          <w:rPr>
            <w:spacing w:val="-1"/>
            <w:vertAlign w:val="baseline"/>
          </w:rPr>
          <w:t> </w:t>
        </w:r>
        <w:r>
          <w:rPr>
            <w:vertAlign w:val="baseline"/>
          </w:rPr>
          <w:t>B</w:t>
        </w:r>
        <w:r>
          <w:rPr>
            <w:spacing w:val="-1"/>
            <w:vertAlign w:val="baseline"/>
          </w:rPr>
          <w:t> </w:t>
        </w:r>
        <w:r>
          <w:rPr>
            <w:vertAlign w:val="baseline"/>
          </w:rPr>
          <w:t>was</w:t>
        </w:r>
        <w:r>
          <w:rPr>
            <w:spacing w:val="-1"/>
            <w:vertAlign w:val="baseline"/>
          </w:rPr>
          <w:t> </w:t>
        </w:r>
        <w:r>
          <w:rPr>
            <w:vertAlign w:val="baseline"/>
          </w:rPr>
          <w:t>that</w:t>
        </w:r>
        <w:r>
          <w:rPr>
            <w:spacing w:val="-1"/>
            <w:vertAlign w:val="baseline"/>
          </w:rPr>
          <w:t> </w:t>
        </w:r>
        <w:r>
          <w:rPr>
            <w:vertAlign w:val="baseline"/>
          </w:rPr>
          <w:t>the</w:t>
        </w:r>
        <w:r>
          <w:rPr>
            <w:spacing w:val="-2"/>
            <w:vertAlign w:val="baseline"/>
          </w:rPr>
          <w:t> </w:t>
        </w:r>
        <w:r>
          <w:rPr>
            <w:vertAlign w:val="baseline"/>
          </w:rPr>
          <w:t>requirement</w:t>
        </w:r>
        <w:r>
          <w:rPr>
            <w:spacing w:val="-1"/>
            <w:vertAlign w:val="baseline"/>
          </w:rPr>
          <w:t> </w:t>
        </w:r>
        <w:r>
          <w:rPr>
            <w:vertAlign w:val="baseline"/>
          </w:rPr>
          <w:t>of</w:t>
        </w:r>
        <w:r>
          <w:rPr>
            <w:spacing w:val="-1"/>
            <w:vertAlign w:val="baseline"/>
          </w:rPr>
          <w:t> </w:t>
        </w:r>
        <w:r>
          <w:rPr>
            <w:vertAlign w:val="baseline"/>
          </w:rPr>
          <w:t>consideration</w:t>
        </w:r>
        <w:r>
          <w:rPr>
            <w:spacing w:val="-1"/>
            <w:vertAlign w:val="baseline"/>
          </w:rPr>
          <w:t> </w:t>
        </w:r>
        <w:r>
          <w:rPr>
            <w:vertAlign w:val="baseline"/>
          </w:rPr>
          <w:t>had</w:t>
        </w:r>
        <w:r>
          <w:rPr>
            <w:spacing w:val="-1"/>
            <w:vertAlign w:val="baseline"/>
          </w:rPr>
          <w:t> </w:t>
        </w:r>
        <w:r>
          <w:rPr>
            <w:spacing w:val="-5"/>
            <w:vertAlign w:val="baseline"/>
          </w:rPr>
          <w:t>not</w:t>
        </w:r>
      </w:hyperlink>
    </w:p>
    <w:p>
      <w:pPr>
        <w:pStyle w:val="BodyText"/>
        <w:spacing w:line="235" w:lineRule="auto" w:before="118"/>
        <w:ind w:left="165" w:right="167"/>
        <w:jc w:val="both"/>
      </w:pPr>
      <w:bookmarkStart w:name="_bookmark1892" w:id="1894"/>
      <w:bookmarkEnd w:id="1894"/>
      <w:r>
        <w:rPr/>
      </w:r>
      <w:r>
        <w:rPr/>
        <w:t>been satisfied. </w:t>
      </w:r>
      <w:hyperlink w:history="true" w:anchor="_bookmark1965">
        <w:r>
          <w:rPr>
            <w:color w:val="005DA1"/>
            <w:u w:val="single" w:color="005DA1"/>
            <w:vertAlign w:val="superscript"/>
          </w:rPr>
          <w:t>1342</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379" name="Image 379"/>
              <wp:cNvGraphicFramePr>
                <a:graphicFrameLocks/>
              </wp:cNvGraphicFramePr>
              <a:graphic>
                <a:graphicData uri="http://schemas.openxmlformats.org/drawingml/2006/picture">
                  <pic:pic>
                    <pic:nvPicPr>
                      <pic:cNvPr id="379" name="Image 37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color w:val="005DA1"/>
            <w:spacing w:val="-6"/>
            <w:vertAlign w:val="baseline"/>
          </w:rPr>
          <w:t> </w:t>
        </w:r>
        <w:r>
          <w:rPr>
            <w:vertAlign w:val="baseline"/>
          </w:rPr>
          <w:t>Occasionally, it may be possible to find consideration in the indirect </w:t>
        </w:r>
        <w:r>
          <w:rPr>
            <w:vertAlign w:val="baseline"/>
          </w:rPr>
          <w:t>financial benefit which the promisor obtains from the arrangement, e.g. in the form of favourable publicity. </w:t>
        </w:r>
        <w:r>
          <w:rPr>
            <w:color w:val="005DA1"/>
            <w:u w:val="single" w:color="005DA1"/>
            <w:vertAlign w:val="superscript"/>
          </w:rPr>
          <w:t>1343</w:t>
        </w:r>
      </w:hyperlink>
    </w:p>
    <w:p>
      <w:pPr>
        <w:pStyle w:val="BodyText"/>
      </w:pPr>
    </w:p>
    <w:p>
      <w:pPr>
        <w:pStyle w:val="BodyText"/>
        <w:spacing w:before="38"/>
      </w:pPr>
    </w:p>
    <w:p>
      <w:pPr>
        <w:spacing w:before="0"/>
        <w:ind w:left="165" w:right="0" w:firstLine="0"/>
        <w:jc w:val="both"/>
        <w:rPr>
          <w:rFonts w:ascii="Arial"/>
          <w:b/>
          <w:sz w:val="18"/>
        </w:rPr>
      </w:pPr>
      <w:r>
        <w:rPr>
          <w:rFonts w:ascii="Arial"/>
          <w:b/>
          <w:sz w:val="18"/>
        </w:rPr>
        <w:t>Liability in tort for negligent </w:t>
      </w:r>
      <w:r>
        <w:rPr>
          <w:rFonts w:ascii="Arial"/>
          <w:b/>
          <w:spacing w:val="-2"/>
          <w:sz w:val="18"/>
        </w:rPr>
        <w:t>performance</w:t>
      </w:r>
    </w:p>
    <w:p>
      <w:pPr>
        <w:pStyle w:val="BodyText"/>
        <w:spacing w:before="42"/>
        <w:rPr>
          <w:rFonts w:ascii="Arial"/>
          <w:b/>
          <w:sz w:val="18"/>
        </w:rPr>
      </w:pPr>
    </w:p>
    <w:p>
      <w:pPr>
        <w:pStyle w:val="Heading2"/>
      </w:pPr>
      <w:r>
        <w:rPr/>
        <w:t>4-</w:t>
      </w:r>
      <w:r>
        <w:rPr>
          <w:spacing w:val="-5"/>
        </w:rPr>
        <w:t>200</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80" name="Image 380"/>
            <wp:cNvGraphicFramePr>
              <a:graphicFrameLocks/>
            </wp:cNvGraphicFramePr>
            <a:graphic>
              <a:graphicData uri="http://schemas.openxmlformats.org/drawingml/2006/picture">
                <pic:pic>
                  <pic:nvPicPr>
                    <pic:cNvPr id="380" name="Image 380"/>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Even where the promise is not supported by consideration, the promisor may be liable in tort </w:t>
      </w:r>
      <w:r>
        <w:rPr/>
        <w:t>for negligence if he actually renders the gratuitous services but fails to perform a duty to exercise due care in rendering them and so causes loss. A banker giving a negligent reference or an accountant </w:t>
      </w:r>
      <w:bookmarkStart w:name="_bookmark1893" w:id="1895"/>
      <w:bookmarkEnd w:id="1895"/>
      <w:r>
        <w:rPr/>
        <w:t>giving</w:t>
      </w:r>
      <w:r>
        <w:rPr/>
        <w:t> a negligent report on the financial position of a company could be liable in tort on this ground, even though he made no charge to the person to whom the information was given. </w:t>
      </w:r>
      <w:r>
        <w:rPr>
          <w:color w:val="005DA1"/>
          <w:u w:val="single" w:color="005DA1"/>
          <w:vertAlign w:val="superscript"/>
        </w:rPr>
        <w:t>1344</w:t>
      </w:r>
      <w:r>
        <w:rPr>
          <w:color w:val="005DA1"/>
          <w:vertAlign w:val="baseline"/>
        </w:rPr>
        <w:t> </w:t>
      </w:r>
      <w:r>
        <w:rPr>
          <w:vertAlign w:val="baseline"/>
        </w:rPr>
        <w:t>Similarly, </w:t>
      </w:r>
      <w:bookmarkStart w:name="_bookmark1894" w:id="1896"/>
      <w:bookmarkEnd w:id="1896"/>
      <w:r>
        <w:rPr>
          <w:vertAlign w:val="baseline"/>
        </w:rPr>
        <w:t>where</w:t>
      </w:r>
      <w:r>
        <w:rPr>
          <w:vertAlign w:val="baseline"/>
        </w:rPr>
        <w:t> A gratuitously promised to insure B’s property but did so negligently, with the result that the policy did not cover the loss which occurred, A was held liable to B in tort </w:t>
      </w:r>
      <w:r>
        <w:rPr>
          <w:color w:val="005DA1"/>
          <w:u w:val="single" w:color="005DA1"/>
          <w:vertAlign w:val="superscript"/>
        </w:rPr>
        <w:t>1345</w:t>
      </w:r>
      <w:r>
        <w:rPr>
          <w:color w:val="005DA1"/>
          <w:vertAlign w:val="baseline"/>
        </w:rPr>
        <w:t> </w:t>
      </w:r>
      <w:r>
        <w:rPr>
          <w:vertAlign w:val="baseline"/>
        </w:rPr>
        <w:t>and, where the relationship between the supplier (A) of the gratuitous services and their recipient (B) was not </w:t>
      </w:r>
      <w:bookmarkStart w:name="_bookmark1895" w:id="1897"/>
      <w:bookmarkEnd w:id="1897"/>
      <w:r>
        <w:rPr>
          <w:vertAlign w:val="baseline"/>
        </w:rPr>
        <w:t>contractual</w:t>
      </w:r>
      <w:r>
        <w:rPr>
          <w:spacing w:val="9"/>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reasons</w:t>
      </w:r>
      <w:r>
        <w:rPr>
          <w:spacing w:val="9"/>
          <w:vertAlign w:val="baseline"/>
        </w:rPr>
        <w:t> </w:t>
      </w:r>
      <w:r>
        <w:rPr>
          <w:vertAlign w:val="baseline"/>
        </w:rPr>
        <w:t>stated</w:t>
      </w:r>
      <w:r>
        <w:rPr>
          <w:spacing w:val="9"/>
          <w:vertAlign w:val="baseline"/>
        </w:rPr>
        <w:t> </w:t>
      </w:r>
      <w:r>
        <w:rPr>
          <w:vertAlign w:val="baseline"/>
        </w:rPr>
        <w:t>in</w:t>
      </w:r>
      <w:r>
        <w:rPr>
          <w:spacing w:val="9"/>
          <w:vertAlign w:val="baseline"/>
        </w:rPr>
        <w:t> </w:t>
      </w:r>
      <w:r>
        <w:rPr>
          <w:vertAlign w:val="baseline"/>
        </w:rPr>
        <w:t>para.4-199</w:t>
      </w:r>
      <w:r>
        <w:rPr>
          <w:spacing w:val="9"/>
          <w:vertAlign w:val="baseline"/>
        </w:rPr>
        <w:t> </w:t>
      </w:r>
      <w:r>
        <w:rPr>
          <w:vertAlign w:val="baseline"/>
        </w:rPr>
        <w:t>above,</w:t>
      </w:r>
      <w:r>
        <w:rPr>
          <w:spacing w:val="9"/>
          <w:vertAlign w:val="baseline"/>
        </w:rPr>
        <w:t> </w:t>
      </w:r>
      <w:r>
        <w:rPr>
          <w:vertAlign w:val="baseline"/>
        </w:rPr>
        <w:t>A</w:t>
      </w:r>
      <w:r>
        <w:rPr>
          <w:spacing w:val="9"/>
          <w:vertAlign w:val="baseline"/>
        </w:rPr>
        <w:t> </w:t>
      </w:r>
      <w:r>
        <w:rPr>
          <w:vertAlign w:val="baseline"/>
        </w:rPr>
        <w:t>was</w:t>
      </w:r>
      <w:r>
        <w:rPr>
          <w:spacing w:val="9"/>
          <w:vertAlign w:val="baseline"/>
        </w:rPr>
        <w:t> </w:t>
      </w:r>
      <w:r>
        <w:rPr>
          <w:vertAlign w:val="baseline"/>
        </w:rPr>
        <w:t>held</w:t>
      </w:r>
      <w:r>
        <w:rPr>
          <w:spacing w:val="9"/>
          <w:vertAlign w:val="baseline"/>
        </w:rPr>
        <w:t> </w:t>
      </w:r>
      <w:r>
        <w:rPr>
          <w:vertAlign w:val="baseline"/>
        </w:rPr>
        <w:t>liable</w:t>
      </w:r>
      <w:r>
        <w:rPr>
          <w:spacing w:val="9"/>
          <w:vertAlign w:val="baseline"/>
        </w:rPr>
        <w:t> </w:t>
      </w:r>
      <w:r>
        <w:rPr>
          <w:vertAlign w:val="baseline"/>
        </w:rPr>
        <w:t>to</w:t>
      </w:r>
      <w:r>
        <w:rPr>
          <w:spacing w:val="9"/>
          <w:vertAlign w:val="baseline"/>
        </w:rPr>
        <w:t> </w:t>
      </w:r>
      <w:r>
        <w:rPr>
          <w:vertAlign w:val="baseline"/>
        </w:rPr>
        <w:t>B</w:t>
      </w:r>
      <w:r>
        <w:rPr>
          <w:spacing w:val="9"/>
          <w:vertAlign w:val="baseline"/>
        </w:rPr>
        <w:t> </w:t>
      </w:r>
      <w:r>
        <w:rPr>
          <w:vertAlign w:val="baseline"/>
        </w:rPr>
        <w:t>in</w:t>
      </w:r>
      <w:r>
        <w:rPr>
          <w:spacing w:val="9"/>
          <w:vertAlign w:val="baseline"/>
        </w:rPr>
        <w:t> </w:t>
      </w:r>
      <w:r>
        <w:rPr>
          <w:vertAlign w:val="baseline"/>
        </w:rPr>
        <w:t>tort</w:t>
      </w:r>
      <w:r>
        <w:rPr>
          <w:spacing w:val="9"/>
          <w:vertAlign w:val="baseline"/>
        </w:rPr>
        <w:t> </w:t>
      </w:r>
      <w:r>
        <w:rPr>
          <w:vertAlign w:val="baseline"/>
        </w:rPr>
        <w:t>for</w:t>
      </w:r>
      <w:r>
        <w:rPr>
          <w:spacing w:val="9"/>
          <w:vertAlign w:val="baseline"/>
        </w:rPr>
        <w:t> </w:t>
      </w:r>
      <w:r>
        <w:rPr>
          <w:vertAlign w:val="baseline"/>
        </w:rPr>
        <w:t>having</w:t>
      </w:r>
      <w:r>
        <w:rPr>
          <w:spacing w:val="9"/>
          <w:vertAlign w:val="baseline"/>
        </w:rPr>
        <w:t> </w:t>
      </w:r>
      <w:r>
        <w:rPr>
          <w:spacing w:val="-2"/>
          <w:vertAlign w:val="baseline"/>
        </w:rPr>
        <w:t>failed</w:t>
      </w:r>
    </w:p>
    <w:p>
      <w:pPr>
        <w:pStyle w:val="BodyText"/>
        <w:spacing w:line="235" w:lineRule="auto" w:before="117"/>
        <w:ind w:left="165" w:right="167"/>
        <w:jc w:val="both"/>
      </w:pPr>
      <w:r>
        <w:rPr/>
        <w:t>to exercise reasonable care in performing the services which A had in fact rendered. </w:t>
      </w:r>
      <w:hyperlink w:history="true" w:anchor="_bookmark1969">
        <w:r>
          <w:rPr>
            <w:color w:val="005DA1"/>
            <w:u w:val="single" w:color="005DA1"/>
            <w:vertAlign w:val="superscript"/>
          </w:rPr>
          <w:t>1346</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381" name="Image 381"/>
              <wp:cNvGraphicFramePr>
                <a:graphicFrameLocks/>
              </wp:cNvGraphicFramePr>
              <a:graphic>
                <a:graphicData uri="http://schemas.openxmlformats.org/drawingml/2006/picture">
                  <pic:pic>
                    <pic:nvPicPr>
                      <pic:cNvPr id="381" name="Image 38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color w:val="005DA1"/>
            <w:vertAlign w:val="baseline"/>
          </w:rPr>
          <w:t> </w:t>
        </w:r>
        <w:r>
          <w:rPr>
            <w:vertAlign w:val="baseline"/>
          </w:rPr>
          <w:t>In </w:t>
        </w:r>
        <w:r>
          <w:rPr>
            <w:vertAlign w:val="baseline"/>
          </w:rPr>
          <w:t>one </w:t>
        </w:r>
        <w:bookmarkStart w:name="_bookmark1896" w:id="1898"/>
        <w:bookmarkEnd w:id="1898"/>
        <w:r>
          <w:rPr>
            <w:vertAlign w:val="baseline"/>
          </w:rPr>
          <w:t>case,</w:t>
        </w:r>
        <w:r>
          <w:rPr>
            <w:vertAlign w:val="baseline"/>
          </w:rPr>
          <w:t> a person was even held liable in damages for negligently giving free advice to a friend in connection with the purchase of a second-hand car which turned out to be seriously defective. </w:t>
        </w:r>
        <w:r>
          <w:rPr>
            <w:color w:val="005DA1"/>
            <w:u w:val="single" w:color="005DA1"/>
            <w:vertAlign w:val="superscript"/>
          </w:rPr>
          <w:t>1347</w:t>
        </w:r>
      </w:hyperlink>
    </w:p>
    <w:p>
      <w:pPr>
        <w:pStyle w:val="BodyText"/>
      </w:pPr>
    </w:p>
    <w:p>
      <w:pPr>
        <w:pStyle w:val="BodyText"/>
        <w:spacing w:before="37"/>
      </w:pPr>
    </w:p>
    <w:p>
      <w:pPr>
        <w:spacing w:before="0"/>
        <w:ind w:left="165" w:right="0" w:firstLine="0"/>
        <w:jc w:val="both"/>
        <w:rPr>
          <w:rFonts w:ascii="Arial"/>
          <w:b/>
          <w:sz w:val="18"/>
        </w:rPr>
      </w:pPr>
      <w:r>
        <w:rPr>
          <w:rFonts w:ascii="Arial"/>
          <w:b/>
          <w:sz w:val="18"/>
        </w:rPr>
        <w:t>Non-feasance and </w:t>
      </w:r>
      <w:r>
        <w:rPr>
          <w:rFonts w:ascii="Arial"/>
          <w:b/>
          <w:spacing w:val="-2"/>
          <w:sz w:val="18"/>
        </w:rPr>
        <w:t>misfeasance</w:t>
      </w:r>
    </w:p>
    <w:p>
      <w:pPr>
        <w:pStyle w:val="BodyText"/>
        <w:spacing w:before="42"/>
        <w:rPr>
          <w:rFonts w:ascii="Arial"/>
          <w:b/>
          <w:sz w:val="18"/>
        </w:rPr>
      </w:pPr>
    </w:p>
    <w:p>
      <w:pPr>
        <w:pStyle w:val="Heading2"/>
      </w:pPr>
      <w:r>
        <w:rPr/>
        <w:t>4-</w:t>
      </w:r>
      <w:r>
        <w:rPr>
          <w:spacing w:val="-5"/>
        </w:rPr>
        <w:t>201</w:t>
      </w:r>
    </w:p>
    <w:p>
      <w:pPr>
        <w:pStyle w:val="BodyText"/>
        <w:spacing w:line="235" w:lineRule="auto" w:before="202"/>
        <w:ind w:left="164" w:right="167"/>
        <w:jc w:val="both"/>
      </w:pPr>
      <w:r>
        <w:rPr/>
        <w:t>The most important distinction between the two groups of cases discussed in paras 4-199 and 4-200 above is that between non-feasance and misfeasance in the performance of a promise to </w:t>
      </w:r>
      <w:r>
        <w:rPr/>
        <w:t>render gratuitous service. For this purpose, non-feasance means complete failure to pursue a </w:t>
      </w:r>
      <w:r>
        <w:rPr>
          <w:rFonts w:ascii="Arial" w:hAnsi="Arial"/>
          <w:i/>
        </w:rPr>
        <w:t>promised course of action</w:t>
      </w:r>
      <w:r>
        <w:rPr/>
        <w:t>, while misfeasance means carelessness in the pursuit of that course of action, </w:t>
      </w:r>
      <w:bookmarkStart w:name="_bookmark1897" w:id="1899"/>
      <w:bookmarkEnd w:id="1899"/>
      <w:r>
        <w:rPr/>
        <w:t>leading</w:t>
      </w:r>
      <w:r>
        <w:rPr>
          <w:spacing w:val="-1"/>
        </w:rPr>
        <w:t> </w:t>
      </w:r>
      <w:r>
        <w:rPr/>
        <w:t>to</w:t>
      </w:r>
      <w:r>
        <w:rPr>
          <w:spacing w:val="-1"/>
        </w:rPr>
        <w:t> </w:t>
      </w:r>
      <w:r>
        <w:rPr/>
        <w:t>failure</w:t>
      </w:r>
      <w:r>
        <w:rPr>
          <w:spacing w:val="-1"/>
        </w:rPr>
        <w:t> </w:t>
      </w:r>
      <w:r>
        <w:rPr/>
        <w:t>to</w:t>
      </w:r>
      <w:r>
        <w:rPr>
          <w:spacing w:val="-1"/>
        </w:rPr>
        <w:t> </w:t>
      </w:r>
      <w:r>
        <w:rPr/>
        <w:t>achieve</w:t>
      </w:r>
      <w:r>
        <w:rPr>
          <w:spacing w:val="-1"/>
        </w:rPr>
        <w:t> </w:t>
      </w:r>
      <w:r>
        <w:rPr/>
        <w:t>a</w:t>
      </w:r>
      <w:r>
        <w:rPr>
          <w:spacing w:val="-2"/>
        </w:rPr>
        <w:t> </w:t>
      </w:r>
      <w:r>
        <w:rPr>
          <w:rFonts w:ascii="Arial" w:hAnsi="Arial"/>
          <w:i/>
        </w:rPr>
        <w:t>promised</w:t>
      </w:r>
      <w:r>
        <w:rPr>
          <w:rFonts w:ascii="Arial" w:hAnsi="Arial"/>
          <w:i/>
          <w:spacing w:val="-1"/>
        </w:rPr>
        <w:t> </w:t>
      </w:r>
      <w:r>
        <w:rPr>
          <w:rFonts w:ascii="Arial" w:hAnsi="Arial"/>
          <w:i/>
        </w:rPr>
        <w:t>result</w:t>
      </w:r>
      <w:r>
        <w:rPr/>
        <w:t>.</w:t>
      </w:r>
      <w:r>
        <w:rPr>
          <w:spacing w:val="-1"/>
        </w:rPr>
        <w:t> </w:t>
      </w:r>
      <w:r>
        <w:rPr/>
        <w:t>The</w:t>
      </w:r>
      <w:r>
        <w:rPr>
          <w:spacing w:val="-1"/>
        </w:rPr>
        <w:t> </w:t>
      </w:r>
      <w:r>
        <w:rPr/>
        <w:t>first</w:t>
      </w:r>
      <w:r>
        <w:rPr>
          <w:spacing w:val="-1"/>
        </w:rPr>
        <w:t> </w:t>
      </w:r>
      <w:r>
        <w:rPr/>
        <w:t>group</w:t>
      </w:r>
      <w:r>
        <w:rPr>
          <w:spacing w:val="-1"/>
        </w:rPr>
        <w:t> </w:t>
      </w:r>
      <w:r>
        <w:rPr/>
        <w:t>of</w:t>
      </w:r>
      <w:r>
        <w:rPr>
          <w:spacing w:val="-1"/>
        </w:rPr>
        <w:t> </w:t>
      </w:r>
      <w:r>
        <w:rPr/>
        <w:t>cases</w:t>
      </w:r>
      <w:r>
        <w:rPr>
          <w:spacing w:val="-1"/>
        </w:rPr>
        <w:t> </w:t>
      </w:r>
      <w:r>
        <w:rPr/>
        <w:t>shows</w:t>
      </w:r>
      <w:r>
        <w:rPr>
          <w:spacing w:val="-1"/>
        </w:rPr>
        <w:t> </w:t>
      </w:r>
      <w:r>
        <w:rPr/>
        <w:t>that</w:t>
      </w:r>
      <w:r>
        <w:rPr>
          <w:spacing w:val="-1"/>
        </w:rPr>
        <w:t> </w:t>
      </w:r>
      <w:r>
        <w:rPr/>
        <w:t>non-feasance</w:t>
      </w:r>
      <w:r>
        <w:rPr>
          <w:spacing w:val="-1"/>
        </w:rPr>
        <w:t> </w:t>
      </w:r>
      <w:r>
        <w:rPr/>
        <w:t>does not (in the absence of consideration </w:t>
      </w:r>
      <w:r>
        <w:rPr>
          <w:color w:val="005DA1"/>
          <w:u w:val="single" w:color="005DA1"/>
          <w:vertAlign w:val="superscript"/>
        </w:rPr>
        <w:t>1348</w:t>
      </w:r>
      <w:r>
        <w:rPr>
          <w:vertAlign w:val="baseline"/>
        </w:rPr>
        <w:t>) make the promisor liable to the promisee in contract, while the second shows that misfeasance can make him so liable in tort. There is no liability in tort for</w:t>
      </w:r>
      <w:r>
        <w:rPr>
          <w:spacing w:val="40"/>
          <w:vertAlign w:val="baseline"/>
        </w:rPr>
        <w:t> </w:t>
      </w:r>
      <w:r>
        <w:rPr>
          <w:vertAlign w:val="baseline"/>
        </w:rPr>
        <w:t>simply doing nothing after having promised to render services gratuitously; for to impose such liability </w:t>
      </w:r>
      <w:bookmarkStart w:name="_bookmark1898" w:id="1900"/>
      <w:bookmarkEnd w:id="1900"/>
      <w:r>
        <w:rPr>
          <w:vertAlign w:val="baseline"/>
        </w:rPr>
        <w:t>would</w:t>
      </w:r>
      <w:r>
        <w:rPr>
          <w:vertAlign w:val="baseline"/>
        </w:rPr>
        <w:t> amount to holding “that the law of England recognises the enforceability of a gratuitous promise. On the face of it, this would be inconsistent with fundamental principle.” </w:t>
      </w:r>
      <w:r>
        <w:rPr>
          <w:color w:val="005DA1"/>
          <w:u w:val="single" w:color="005DA1"/>
          <w:vertAlign w:val="superscript"/>
        </w:rPr>
        <w:t>1349</w:t>
      </w:r>
      <w:r>
        <w:rPr>
          <w:color w:val="005DA1"/>
          <w:vertAlign w:val="baseline"/>
        </w:rPr>
        <w:t> </w:t>
      </w:r>
      <w:r>
        <w:rPr>
          <w:vertAlign w:val="baseline"/>
        </w:rPr>
        <w:t>In cases of pure non-feasance, the promisee will therefore have a remedy only if he can show that he provided </w:t>
      </w:r>
      <w:bookmarkStart w:name="_bookmark1899" w:id="1901"/>
      <w:bookmarkEnd w:id="1901"/>
      <w:r>
        <w:rPr>
          <w:vertAlign w:val="baseline"/>
        </w:rPr>
        <w:t>consideration</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promisor’s</w:t>
      </w:r>
      <w:r>
        <w:rPr>
          <w:spacing w:val="-1"/>
          <w:vertAlign w:val="baseline"/>
        </w:rPr>
        <w:t> </w:t>
      </w:r>
      <w:r>
        <w:rPr>
          <w:vertAlign w:val="baseline"/>
        </w:rPr>
        <w:t>promise</w:t>
      </w:r>
      <w:r>
        <w:rPr>
          <w:spacing w:val="-1"/>
          <w:vertAlign w:val="baseline"/>
        </w:rPr>
        <w:t> </w:t>
      </w:r>
      <w:r>
        <w:rPr>
          <w:vertAlign w:val="baseline"/>
        </w:rPr>
        <w:t>to</w:t>
      </w:r>
      <w:r>
        <w:rPr>
          <w:spacing w:val="-1"/>
          <w:vertAlign w:val="baseline"/>
        </w:rPr>
        <w:t> </w:t>
      </w:r>
      <w:r>
        <w:rPr>
          <w:vertAlign w:val="baseline"/>
        </w:rPr>
        <w:t>render</w:t>
      </w:r>
      <w:r>
        <w:rPr>
          <w:spacing w:val="-1"/>
          <w:vertAlign w:val="baseline"/>
        </w:rPr>
        <w:t> </w:t>
      </w:r>
      <w:r>
        <w:rPr>
          <w:vertAlign w:val="baseline"/>
        </w:rPr>
        <w:t>the</w:t>
      </w:r>
      <w:r>
        <w:rPr>
          <w:spacing w:val="-1"/>
          <w:vertAlign w:val="baseline"/>
        </w:rPr>
        <w:t> </w:t>
      </w:r>
      <w:r>
        <w:rPr>
          <w:vertAlign w:val="baseline"/>
        </w:rPr>
        <w:t>service.</w:t>
      </w:r>
      <w:r>
        <w:rPr>
          <w:spacing w:val="-1"/>
          <w:vertAlign w:val="baseline"/>
        </w:rPr>
        <w:t> </w:t>
      </w:r>
      <w:r>
        <w:rPr>
          <w:vertAlign w:val="baseline"/>
        </w:rPr>
        <w:t>If</w:t>
      </w:r>
      <w:r>
        <w:rPr>
          <w:spacing w:val="-1"/>
          <w:vertAlign w:val="baseline"/>
        </w:rPr>
        <w:t> </w:t>
      </w:r>
      <w:r>
        <w:rPr>
          <w:vertAlign w:val="baseline"/>
        </w:rPr>
        <w:t>he</w:t>
      </w:r>
      <w:r>
        <w:rPr>
          <w:spacing w:val="-1"/>
          <w:vertAlign w:val="baseline"/>
        </w:rPr>
        <w:t> </w:t>
      </w:r>
      <w:r>
        <w:rPr>
          <w:vertAlign w:val="baseline"/>
        </w:rPr>
        <w:t>can</w:t>
      </w:r>
      <w:r>
        <w:rPr>
          <w:spacing w:val="-1"/>
          <w:vertAlign w:val="baseline"/>
        </w:rPr>
        <w:t> </w:t>
      </w:r>
      <w:r>
        <w:rPr>
          <w:vertAlign w:val="baseline"/>
        </w:rPr>
        <w:t>show</w:t>
      </w:r>
      <w:r>
        <w:rPr>
          <w:spacing w:val="-1"/>
          <w:vertAlign w:val="baseline"/>
        </w:rPr>
        <w:t> </w:t>
      </w:r>
      <w:r>
        <w:rPr>
          <w:vertAlign w:val="baseline"/>
        </w:rPr>
        <w:t>this</w:t>
      </w:r>
      <w:r>
        <w:rPr>
          <w:spacing w:val="-1"/>
          <w:vertAlign w:val="baseline"/>
        </w:rPr>
        <w:t> </w:t>
      </w:r>
      <w:r>
        <w:rPr>
          <w:vertAlign w:val="baseline"/>
        </w:rPr>
        <w:t>he</w:t>
      </w:r>
      <w:r>
        <w:rPr>
          <w:spacing w:val="-1"/>
          <w:vertAlign w:val="baseline"/>
        </w:rPr>
        <w:t> </w:t>
      </w:r>
      <w:r>
        <w:rPr>
          <w:vertAlign w:val="baseline"/>
        </w:rPr>
        <w:t>may</w:t>
      </w:r>
      <w:r>
        <w:rPr>
          <w:spacing w:val="-1"/>
          <w:vertAlign w:val="baseline"/>
        </w:rPr>
        <w:t> </w:t>
      </w:r>
      <w:r>
        <w:rPr>
          <w:vertAlign w:val="baseline"/>
        </w:rPr>
        <w:t>also</w:t>
      </w:r>
      <w:r>
        <w:rPr>
          <w:spacing w:val="-1"/>
          <w:vertAlign w:val="baseline"/>
        </w:rPr>
        <w:t> </w:t>
      </w:r>
      <w:r>
        <w:rPr>
          <w:vertAlign w:val="baseline"/>
        </w:rPr>
        <w:t>be</w:t>
      </w:r>
      <w:r>
        <w:rPr>
          <w:spacing w:val="-1"/>
          <w:vertAlign w:val="baseline"/>
        </w:rPr>
        <w:t> </w:t>
      </w:r>
      <w:r>
        <w:rPr>
          <w:vertAlign w:val="baseline"/>
        </w:rPr>
        <w:t>in</w:t>
      </w:r>
      <w:r>
        <w:rPr>
          <w:spacing w:val="-1"/>
          <w:vertAlign w:val="baseline"/>
        </w:rPr>
        <w:t> </w:t>
      </w:r>
      <w:r>
        <w:rPr>
          <w:vertAlign w:val="baseline"/>
        </w:rPr>
        <w:t>a better position with regard to damages even in cases of misfeasance. </w:t>
      </w:r>
      <w:r>
        <w:rPr>
          <w:color w:val="005DA1"/>
          <w:u w:val="single" w:color="005DA1"/>
          <w:vertAlign w:val="superscript"/>
        </w:rPr>
        <w:t>1350</w:t>
      </w:r>
      <w:r>
        <w:rPr>
          <w:color w:val="005DA1"/>
          <w:vertAlign w:val="baseline"/>
        </w:rPr>
        <w:t> </w:t>
      </w:r>
      <w:r>
        <w:rPr>
          <w:vertAlign w:val="baseline"/>
        </w:rPr>
        <w:t>There may be an exception </w:t>
      </w:r>
      <w:bookmarkStart w:name="_bookmark1900" w:id="1902"/>
      <w:bookmarkEnd w:id="1902"/>
      <w:r>
        <w:rPr>
          <w:vertAlign w:val="baseline"/>
        </w:rPr>
        <w:t>to</w:t>
      </w:r>
      <w:r>
        <w:rPr>
          <w:vertAlign w:val="baseline"/>
        </w:rPr>
        <w:t> the general rule that there is no liability in tort for pure omissions. This exception was said to apply in </w:t>
      </w:r>
      <w:r>
        <w:rPr>
          <w:rFonts w:ascii="Arial" w:hAnsi="Arial"/>
          <w:i/>
          <w:vertAlign w:val="baseline"/>
        </w:rPr>
        <w:t>Lennon v Metropolitan Police Commissioner</w:t>
      </w:r>
      <w:r>
        <w:rPr>
          <w:vertAlign w:val="baseline"/>
        </w:rPr>
        <w:t>, </w:t>
      </w:r>
      <w:r>
        <w:rPr>
          <w:color w:val="005DA1"/>
          <w:u w:val="single" w:color="005DA1"/>
          <w:vertAlign w:val="superscript"/>
        </w:rPr>
        <w:t>1351</w:t>
      </w:r>
      <w:r>
        <w:rPr>
          <w:color w:val="005DA1"/>
          <w:vertAlign w:val="baseline"/>
        </w:rPr>
        <w:t> </w:t>
      </w:r>
      <w:r>
        <w:rPr>
          <w:vertAlign w:val="baseline"/>
        </w:rPr>
        <w:t>where A represented to B that A would take steps to safeguard some specified financial interest of B’s (in that case B’s housing allowance as a police </w:t>
      </w:r>
      <w:bookmarkStart w:name="_bookmark1901" w:id="1903"/>
      <w:bookmarkEnd w:id="1903"/>
      <w:r>
        <w:rPr>
          <w:vertAlign w:val="baseline"/>
        </w:rPr>
        <w:t>officer</w:t>
      </w:r>
      <w:r>
        <w:rPr>
          <w:vertAlign w:val="baseline"/>
        </w:rPr>
        <w:t> on his transfer from one force to another) and that representation amounted to an “express assumption of responsibility for a particular matter.” </w:t>
      </w:r>
      <w:r>
        <w:rPr>
          <w:color w:val="005DA1"/>
          <w:u w:val="single" w:color="005DA1"/>
          <w:vertAlign w:val="superscript"/>
        </w:rPr>
        <w:t>1352</w:t>
      </w:r>
      <w:r>
        <w:rPr>
          <w:color w:val="005DA1"/>
          <w:vertAlign w:val="baseline"/>
        </w:rPr>
        <w:t> </w:t>
      </w:r>
      <w:r>
        <w:rPr>
          <w:vertAlign w:val="baseline"/>
        </w:rPr>
        <w:t>A’s failure to exercise due care in discharging </w:t>
      </w:r>
      <w:bookmarkStart w:name="_bookmark1902" w:id="1904"/>
      <w:bookmarkEnd w:id="1904"/>
      <w:r>
        <w:rPr>
          <w:vertAlign w:val="baseline"/>
        </w:rPr>
        <w:t>that</w:t>
      </w:r>
      <w:r>
        <w:rPr>
          <w:vertAlign w:val="baseline"/>
        </w:rPr>
        <w:t> responsibility could then make him liable to B in tort, and such liability was said to cover “acts of omission.”</w:t>
      </w:r>
      <w:r>
        <w:rPr>
          <w:spacing w:val="-2"/>
          <w:vertAlign w:val="baseline"/>
        </w:rPr>
        <w:t> </w:t>
      </w:r>
      <w:r>
        <w:rPr>
          <w:color w:val="005DA1"/>
          <w:u w:val="single" w:color="005DA1"/>
          <w:vertAlign w:val="superscript"/>
        </w:rPr>
        <w:t>1353</w:t>
      </w:r>
      <w:r>
        <w:rPr>
          <w:color w:val="005DA1"/>
          <w:spacing w:val="-2"/>
          <w:vertAlign w:val="baseline"/>
        </w:rPr>
        <w:t> </w:t>
      </w:r>
      <w:r>
        <w:rPr>
          <w:vertAlign w:val="baseline"/>
        </w:rPr>
        <w:t>It</w:t>
      </w:r>
      <w:r>
        <w:rPr>
          <w:spacing w:val="-2"/>
          <w:vertAlign w:val="baseline"/>
        </w:rPr>
        <w:t> </w:t>
      </w:r>
      <w:r>
        <w:rPr>
          <w:vertAlign w:val="baseline"/>
        </w:rPr>
        <w:t>may,</w:t>
      </w:r>
      <w:r>
        <w:rPr>
          <w:spacing w:val="-2"/>
          <w:vertAlign w:val="baseline"/>
        </w:rPr>
        <w:t> </w:t>
      </w:r>
      <w:r>
        <w:rPr>
          <w:vertAlign w:val="baseline"/>
        </w:rPr>
        <w:t>however,</w:t>
      </w:r>
      <w:r>
        <w:rPr>
          <w:spacing w:val="-2"/>
          <w:vertAlign w:val="baseline"/>
        </w:rPr>
        <w:t> </w:t>
      </w:r>
      <w:r>
        <w:rPr>
          <w:vertAlign w:val="baseline"/>
        </w:rPr>
        <w:t>be</w:t>
      </w:r>
      <w:r>
        <w:rPr>
          <w:spacing w:val="-2"/>
          <w:vertAlign w:val="baseline"/>
        </w:rPr>
        <w:t> </w:t>
      </w:r>
      <w:r>
        <w:rPr>
          <w:vertAlign w:val="baseline"/>
        </w:rPr>
        <w:t>respectfully</w:t>
      </w:r>
      <w:r>
        <w:rPr>
          <w:spacing w:val="-2"/>
          <w:vertAlign w:val="baseline"/>
        </w:rPr>
        <w:t> </w:t>
      </w:r>
      <w:r>
        <w:rPr>
          <w:vertAlign w:val="baseline"/>
        </w:rPr>
        <w:t>doubted</w:t>
      </w:r>
      <w:r>
        <w:rPr>
          <w:spacing w:val="-2"/>
          <w:vertAlign w:val="baseline"/>
        </w:rPr>
        <w:t> </w:t>
      </w:r>
      <w:r>
        <w:rPr>
          <w:vertAlign w:val="baseline"/>
        </w:rPr>
        <w:t>whether</w:t>
      </w:r>
      <w:r>
        <w:rPr>
          <w:spacing w:val="-2"/>
          <w:vertAlign w:val="baseline"/>
        </w:rPr>
        <w:t> </w:t>
      </w:r>
      <w:r>
        <w:rPr>
          <w:vertAlign w:val="baseline"/>
        </w:rPr>
        <w:t>A’s</w:t>
      </w:r>
      <w:r>
        <w:rPr>
          <w:spacing w:val="-2"/>
          <w:vertAlign w:val="baseline"/>
        </w:rPr>
        <w:t> </w:t>
      </w:r>
      <w:r>
        <w:rPr>
          <w:vertAlign w:val="baseline"/>
        </w:rPr>
        <w:t>allegedly</w:t>
      </w:r>
      <w:r>
        <w:rPr>
          <w:spacing w:val="-2"/>
          <w:vertAlign w:val="baseline"/>
        </w:rPr>
        <w:t> </w:t>
      </w:r>
      <w:r>
        <w:rPr>
          <w:vertAlign w:val="baseline"/>
        </w:rPr>
        <w:t>wrongful</w:t>
      </w:r>
      <w:r>
        <w:rPr>
          <w:spacing w:val="-2"/>
          <w:vertAlign w:val="baseline"/>
        </w:rPr>
        <w:t> </w:t>
      </w:r>
      <w:r>
        <w:rPr>
          <w:vertAlign w:val="baseline"/>
        </w:rPr>
        <w:t>conduct</w:t>
      </w:r>
      <w:r>
        <w:rPr>
          <w:spacing w:val="-2"/>
          <w:vertAlign w:val="baseline"/>
        </w:rPr>
        <w:t> </w:t>
      </w:r>
      <w:r>
        <w:rPr>
          <w:vertAlign w:val="baseline"/>
        </w:rPr>
        <w:t>in</w:t>
      </w:r>
      <w:r>
        <w:rPr>
          <w:spacing w:val="-2"/>
          <w:vertAlign w:val="baseline"/>
        </w:rPr>
        <w:t> </w:t>
      </w:r>
      <w:r>
        <w:rPr>
          <w:vertAlign w:val="baseline"/>
        </w:rPr>
        <w:t>this case did not amount to misfeasance in the sense in which this expression has been used in this paragraph, i.e. to failure to achieve a </w:t>
      </w:r>
      <w:r>
        <w:rPr>
          <w:rFonts w:ascii="Arial" w:hAnsi="Arial"/>
          <w:i/>
          <w:vertAlign w:val="baseline"/>
        </w:rPr>
        <w:t>promised result</w:t>
      </w:r>
      <w:r>
        <w:rPr>
          <w:vertAlign w:val="baseline"/>
        </w:rPr>
        <w:t>.</w:t>
      </w:r>
    </w:p>
    <w:p>
      <w:pPr>
        <w:pStyle w:val="BodyText"/>
        <w:spacing w:before="73"/>
      </w:pPr>
    </w:p>
    <w:p>
      <w:pPr>
        <w:pStyle w:val="Heading2"/>
      </w:pPr>
      <w:r>
        <w:rPr/>
        <w:t>4-</w:t>
      </w:r>
      <w:r>
        <w:rPr>
          <w:spacing w:val="-5"/>
        </w:rPr>
        <w:t>202</w:t>
      </w:r>
    </w:p>
    <w:p>
      <w:pPr>
        <w:pStyle w:val="Heading2"/>
        <w:spacing w:after="0"/>
        <w:sectPr>
          <w:pgSz w:w="11900" w:h="16840"/>
          <w:pgMar w:header="971" w:footer="0" w:top="1160" w:bottom="280" w:left="1275" w:right="1275"/>
        </w:sectPr>
      </w:pPr>
    </w:p>
    <w:p>
      <w:pPr>
        <w:pStyle w:val="BodyText"/>
        <w:spacing w:before="124"/>
        <w:rPr>
          <w:rFonts w:ascii="Arial"/>
          <w:b/>
        </w:rPr>
      </w:pPr>
    </w:p>
    <w:p>
      <w:pPr>
        <w:pStyle w:val="BodyText"/>
        <w:spacing w:line="235" w:lineRule="auto" w:before="1"/>
        <w:ind w:left="164" w:right="167"/>
        <w:jc w:val="both"/>
      </w:pPr>
      <w:bookmarkStart w:name="_bookmark1903" w:id="1905"/>
      <w:bookmarkEnd w:id="1905"/>
      <w:r>
        <w:rPr/>
      </w:r>
      <w:r>
        <w:rPr/>
        <w:t>In </w:t>
      </w:r>
      <w:r>
        <w:rPr>
          <w:rFonts w:ascii="Arial" w:hAnsi="Arial"/>
          <w:i/>
        </w:rPr>
        <w:t>Gore v Van der Lann </w:t>
      </w:r>
      <w:r>
        <w:rPr>
          <w:color w:val="005DA1"/>
          <w:u w:val="single" w:color="005DA1"/>
          <w:vertAlign w:val="superscript"/>
        </w:rPr>
        <w:t>1354</w:t>
      </w:r>
      <w:r>
        <w:rPr>
          <w:color w:val="005DA1"/>
          <w:vertAlign w:val="baseline"/>
        </w:rPr>
        <w:t> </w:t>
      </w:r>
      <w:r>
        <w:rPr>
          <w:vertAlign w:val="baseline"/>
        </w:rPr>
        <w:t>a corporation issued a free travel pass to the claimant who </w:t>
      </w:r>
      <w:r>
        <w:rPr>
          <w:vertAlign w:val="baseline"/>
        </w:rPr>
        <w:t>“in consideration of my being granted a free pass” undertook that the use of the pass by her should be subject to certain conditions. One of these was that she would not sue the corporation or its servants for loss or injury suffered while she was boarding, alighting from, or being carried in, the corporation’s </w:t>
      </w:r>
      <w:bookmarkStart w:name="_bookmark1904" w:id="1906"/>
      <w:bookmarkEnd w:id="1906"/>
      <w:r>
        <w:rPr>
          <w:vertAlign w:val="baseline"/>
        </w:rPr>
        <w:t>vehicles.</w:t>
      </w:r>
      <w:r>
        <w:rPr>
          <w:vertAlign w:val="baseline"/>
        </w:rPr>
        <w:t> The claimant was injured while boarding a corporation bus; and it was held that the issue </w:t>
      </w:r>
      <w:bookmarkStart w:name="_bookmark1905" w:id="1907"/>
      <w:bookmarkEnd w:id="1907"/>
      <w:r>
        <w:rPr>
          <w:vertAlign w:val="baseline"/>
        </w:rPr>
        <w:t>and</w:t>
      </w:r>
      <w:r>
        <w:rPr>
          <w:vertAlign w:val="baseline"/>
        </w:rPr>
        <w:t> acceptance of the free pass amounted to a contract. </w:t>
      </w:r>
      <w:r>
        <w:rPr>
          <w:color w:val="005DA1"/>
          <w:u w:val="single" w:color="005DA1"/>
          <w:vertAlign w:val="superscript"/>
        </w:rPr>
        <w:t>1355</w:t>
      </w:r>
      <w:r>
        <w:rPr>
          <w:color w:val="005DA1"/>
          <w:vertAlign w:val="baseline"/>
        </w:rPr>
        <w:t> </w:t>
      </w:r>
      <w:r>
        <w:rPr>
          <w:vertAlign w:val="baseline"/>
        </w:rPr>
        <w:t>Willmer L.J. said that “Each party gave good consideration by accepting a detriment in return for the advantages gained.” </w:t>
      </w:r>
      <w:r>
        <w:rPr>
          <w:color w:val="005DA1"/>
          <w:u w:val="single" w:color="005DA1"/>
          <w:vertAlign w:val="superscript"/>
        </w:rPr>
        <w:t>1356</w:t>
      </w:r>
      <w:r>
        <w:rPr>
          <w:color w:val="005DA1"/>
          <w:vertAlign w:val="baseline"/>
        </w:rPr>
        <w:t> </w:t>
      </w:r>
      <w:r>
        <w:rPr>
          <w:vertAlign w:val="baseline"/>
        </w:rPr>
        <w:t>The parties were, as a result of the issue of the pass, brought into a relationship of passenger and carrier which gave rise to duties quite independently of contract; and it was the promise not to enforce these obligations which constituted the consideration moving from the claimant. In the absence of such a relationship,</w:t>
      </w:r>
      <w:r>
        <w:rPr>
          <w:spacing w:val="-2"/>
          <w:vertAlign w:val="baseline"/>
        </w:rPr>
        <w:t> </w:t>
      </w:r>
      <w:r>
        <w:rPr>
          <w:vertAlign w:val="baseline"/>
        </w:rPr>
        <w:t>the</w:t>
      </w:r>
      <w:r>
        <w:rPr>
          <w:spacing w:val="-3"/>
          <w:vertAlign w:val="baseline"/>
        </w:rPr>
        <w:t> </w:t>
      </w:r>
      <w:r>
        <w:rPr>
          <w:vertAlign w:val="baseline"/>
        </w:rPr>
        <w:t>person</w:t>
      </w:r>
      <w:r>
        <w:rPr>
          <w:spacing w:val="-2"/>
          <w:vertAlign w:val="baseline"/>
        </w:rPr>
        <w:t> </w:t>
      </w:r>
      <w:r>
        <w:rPr>
          <w:vertAlign w:val="baseline"/>
        </w:rPr>
        <w:t>to</w:t>
      </w:r>
      <w:r>
        <w:rPr>
          <w:spacing w:val="-3"/>
          <w:vertAlign w:val="baseline"/>
        </w:rPr>
        <w:t> </w:t>
      </w:r>
      <w:r>
        <w:rPr>
          <w:vertAlign w:val="baseline"/>
        </w:rPr>
        <w:t>whom</w:t>
      </w:r>
      <w:r>
        <w:rPr>
          <w:spacing w:val="-2"/>
          <w:vertAlign w:val="baseline"/>
        </w:rPr>
        <w:t> </w:t>
      </w:r>
      <w:r>
        <w:rPr>
          <w:vertAlign w:val="baseline"/>
        </w:rPr>
        <w:t>the</w:t>
      </w:r>
      <w:r>
        <w:rPr>
          <w:spacing w:val="-3"/>
          <w:vertAlign w:val="baseline"/>
        </w:rPr>
        <w:t> </w:t>
      </w:r>
      <w:r>
        <w:rPr>
          <w:vertAlign w:val="baseline"/>
        </w:rPr>
        <w:t>gratuitous</w:t>
      </w:r>
      <w:r>
        <w:rPr>
          <w:spacing w:val="-2"/>
          <w:vertAlign w:val="baseline"/>
        </w:rPr>
        <w:t> </w:t>
      </w:r>
      <w:r>
        <w:rPr>
          <w:vertAlign w:val="baseline"/>
        </w:rPr>
        <w:t>service</w:t>
      </w:r>
      <w:r>
        <w:rPr>
          <w:spacing w:val="-3"/>
          <w:vertAlign w:val="baseline"/>
        </w:rPr>
        <w:t> </w:t>
      </w:r>
      <w:r>
        <w:rPr>
          <w:vertAlign w:val="baseline"/>
        </w:rPr>
        <w:t>was</w:t>
      </w:r>
      <w:r>
        <w:rPr>
          <w:spacing w:val="-2"/>
          <w:vertAlign w:val="baseline"/>
        </w:rPr>
        <w:t> </w:t>
      </w:r>
      <w:r>
        <w:rPr>
          <w:vertAlign w:val="baseline"/>
        </w:rPr>
        <w:t>promised</w:t>
      </w:r>
      <w:r>
        <w:rPr>
          <w:spacing w:val="-3"/>
          <w:vertAlign w:val="baseline"/>
        </w:rPr>
        <w:t> </w:t>
      </w:r>
      <w:r>
        <w:rPr>
          <w:vertAlign w:val="baseline"/>
        </w:rPr>
        <w:t>would</w:t>
      </w:r>
      <w:r>
        <w:rPr>
          <w:spacing w:val="-2"/>
          <w:vertAlign w:val="baseline"/>
        </w:rPr>
        <w:t> </w:t>
      </w:r>
      <w:r>
        <w:rPr>
          <w:vertAlign w:val="baseline"/>
        </w:rPr>
        <w:t>not</w:t>
      </w:r>
      <w:r>
        <w:rPr>
          <w:spacing w:val="-3"/>
          <w:vertAlign w:val="baseline"/>
        </w:rPr>
        <w:t> </w:t>
      </w:r>
      <w:r>
        <w:rPr>
          <w:vertAlign w:val="baseline"/>
        </w:rPr>
        <w:t>provide</w:t>
      </w:r>
      <w:r>
        <w:rPr>
          <w:spacing w:val="-2"/>
          <w:vertAlign w:val="baseline"/>
        </w:rPr>
        <w:t> </w:t>
      </w:r>
      <w:r>
        <w:rPr>
          <w:vertAlign w:val="baseline"/>
        </w:rPr>
        <w:t>consideration for that promise merely by making a counter-promise not to sue for loss or damage caused by the defective performance of the services. It follows that, if in </w:t>
      </w:r>
      <w:r>
        <w:rPr>
          <w:rFonts w:ascii="Arial" w:hAnsi="Arial"/>
          <w:i/>
          <w:vertAlign w:val="baseline"/>
        </w:rPr>
        <w:t>Gore v Van der Lann </w:t>
      </w:r>
      <w:r>
        <w:rPr>
          <w:vertAlign w:val="baseline"/>
        </w:rPr>
        <w:t>the pass had been issued for a specified period but had been withdrawn before the end of that period, then the holder would have had no claim in contract in respect of that premature withdrawal. Similarly, if A promised</w:t>
      </w:r>
      <w:r>
        <w:rPr>
          <w:spacing w:val="40"/>
          <w:vertAlign w:val="baseline"/>
        </w:rPr>
        <w:t> </w:t>
      </w:r>
      <w:r>
        <w:rPr>
          <w:vertAlign w:val="baseline"/>
        </w:rPr>
        <w:t>to carry B’s goods to London free of charge and B promised not to sue A for negligently damaging them in the course of that operation, then A would not be under any contractual liability for failing to pick up the goods. But he might be liable if he did pick them up and then unloaded them short of the agreed destination.</w:t>
      </w:r>
    </w:p>
    <w:p>
      <w:pPr>
        <w:pStyle w:val="BodyText"/>
      </w:pPr>
    </w:p>
    <w:p>
      <w:pPr>
        <w:pStyle w:val="BodyText"/>
        <w:spacing w:before="31"/>
      </w:pPr>
    </w:p>
    <w:p>
      <w:pPr>
        <w:spacing w:before="0"/>
        <w:ind w:left="164" w:right="0" w:firstLine="0"/>
        <w:jc w:val="both"/>
        <w:rPr>
          <w:rFonts w:ascii="Arial" w:hAnsi="Arial"/>
          <w:b/>
          <w:sz w:val="18"/>
        </w:rPr>
      </w:pPr>
      <w:r>
        <w:rPr>
          <w:rFonts w:ascii="Arial" w:hAnsi="Arial"/>
          <w:b/>
          <w:sz w:val="18"/>
        </w:rPr>
        <w:t>Bankers’ irrevocable </w:t>
      </w:r>
      <w:r>
        <w:rPr>
          <w:rFonts w:ascii="Arial" w:hAnsi="Arial"/>
          <w:b/>
          <w:spacing w:val="-2"/>
          <w:sz w:val="18"/>
        </w:rPr>
        <w:t>credits</w:t>
      </w:r>
    </w:p>
    <w:p>
      <w:pPr>
        <w:pStyle w:val="BodyText"/>
        <w:spacing w:before="41"/>
        <w:rPr>
          <w:rFonts w:ascii="Arial"/>
          <w:b/>
          <w:sz w:val="18"/>
        </w:rPr>
      </w:pPr>
    </w:p>
    <w:p>
      <w:pPr>
        <w:pStyle w:val="Heading2"/>
        <w:ind w:left="164"/>
      </w:pPr>
      <w:r>
        <w:rPr/>
        <w:t>4-</w:t>
      </w:r>
      <w:r>
        <w:rPr>
          <w:spacing w:val="-5"/>
        </w:rPr>
        <w:t>203</w:t>
      </w:r>
    </w:p>
    <w:p>
      <w:pPr>
        <w:pStyle w:val="BodyText"/>
        <w:spacing w:line="235" w:lineRule="auto" w:before="203"/>
        <w:ind w:left="164" w:right="167"/>
        <w:jc w:val="both"/>
      </w:pPr>
      <w:r>
        <w:rPr/>
        <w:t>Where a banker issues (or confirms) an irrevocable credit, the generally held commercial view is </w:t>
      </w:r>
      <w:r>
        <w:rPr/>
        <w:t>that </w:t>
      </w:r>
      <w:bookmarkStart w:name="_bookmark1906" w:id="1908"/>
      <w:bookmarkEnd w:id="1908"/>
      <w:r>
        <w:rPr/>
        <w:t>the</w:t>
      </w:r>
      <w:r>
        <w:rPr/>
        <w:t> banker’s promise to the beneficiary is binding as soon as it is communicated to the beneficiary, </w:t>
      </w:r>
      <w:bookmarkStart w:name="_bookmark1907" w:id="1909"/>
      <w:bookmarkEnd w:id="1909"/>
      <w:r>
        <w:rPr/>
        <w:t>and</w:t>
      </w:r>
      <w:r>
        <w:rPr/>
        <w:t> before the latter has acted on it in any way. </w:t>
      </w:r>
      <w:r>
        <w:rPr>
          <w:color w:val="005DA1"/>
          <w:u w:val="single" w:color="005DA1"/>
          <w:vertAlign w:val="superscript"/>
        </w:rPr>
        <w:t>1357</w:t>
      </w:r>
      <w:r>
        <w:rPr>
          <w:color w:val="005DA1"/>
          <w:vertAlign w:val="baseline"/>
        </w:rPr>
        <w:t> </w:t>
      </w:r>
      <w:r>
        <w:rPr>
          <w:vertAlign w:val="baseline"/>
        </w:rPr>
        <w:t>If, as seems probable, this view also represents the law, it constitutes a clear exception to the doctrine of consideration. </w:t>
      </w:r>
      <w:r>
        <w:rPr>
          <w:color w:val="005DA1"/>
          <w:u w:val="single" w:color="005DA1"/>
          <w:vertAlign w:val="superscript"/>
        </w:rPr>
        <w:t>1358</w:t>
      </w:r>
    </w:p>
    <w:p>
      <w:pPr>
        <w:pStyle w:val="BodyText"/>
      </w:pPr>
    </w:p>
    <w:p>
      <w:pPr>
        <w:pStyle w:val="BodyText"/>
        <w:spacing w:before="38"/>
      </w:pPr>
      <w:r>
        <w:rPr/>
        <mc:AlternateContent>
          <mc:Choice Requires="wps">
            <w:drawing>
              <wp:anchor distT="0" distB="0" distL="0" distR="0" allowOverlap="1" layoutInCell="1" locked="0" behindDoc="1" simplePos="0" relativeHeight="487681536">
                <wp:simplePos x="0" y="0"/>
                <wp:positionH relativeFrom="page">
                  <wp:posOffset>914400</wp:posOffset>
                </wp:positionH>
                <wp:positionV relativeFrom="paragraph">
                  <wp:posOffset>185858</wp:posOffset>
                </wp:positionV>
                <wp:extent cx="5724525" cy="1270"/>
                <wp:effectExtent l="0" t="0" r="0" b="0"/>
                <wp:wrapTopAndBottom/>
                <wp:docPr id="382" name="Graphic 382"/>
                <wp:cNvGraphicFramePr>
                  <a:graphicFrameLocks/>
                </wp:cNvGraphicFramePr>
                <a:graphic>
                  <a:graphicData uri="http://schemas.microsoft.com/office/word/2010/wordprocessingShape">
                    <wps:wsp>
                      <wps:cNvPr id="382" name="Graphic 38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4535pt;width:450.75pt;height:.1pt;mso-position-horizontal-relative:page;mso-position-vertical-relative:paragraph;z-index:-15634944;mso-wrap-distance-left:0;mso-wrap-distance-right:0" id="docshape90" coordorigin="1440,293" coordsize="9015,0" path="m1440,293l10454,293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569" w:hRule="atLeast"/>
        </w:trPr>
        <w:tc>
          <w:tcPr>
            <w:tcW w:w="496" w:type="dxa"/>
          </w:tcPr>
          <w:p>
            <w:pPr>
              <w:pStyle w:val="TableParagraph"/>
              <w:spacing w:before="0"/>
              <w:ind w:left="50"/>
              <w:rPr>
                <w:sz w:val="14"/>
              </w:rPr>
            </w:pPr>
            <w:r>
              <w:rPr>
                <w:sz w:val="14"/>
              </w:rPr>
              <mc:AlternateContent>
                <mc:Choice Requires="wps">
                  <w:drawing>
                    <wp:anchor distT="0" distB="0" distL="0" distR="0" allowOverlap="1" layoutInCell="1" locked="0" behindDoc="1" simplePos="0" relativeHeight="482248704">
                      <wp:simplePos x="0" y="0"/>
                      <wp:positionH relativeFrom="column">
                        <wp:posOffset>31750</wp:posOffset>
                      </wp:positionH>
                      <wp:positionV relativeFrom="paragraph">
                        <wp:posOffset>89102</wp:posOffset>
                      </wp:positionV>
                      <wp:extent cx="49530" cy="6350"/>
                      <wp:effectExtent l="0" t="0" r="0" b="0"/>
                      <wp:wrapNone/>
                      <wp:docPr id="383" name="Group 383"/>
                      <wp:cNvGraphicFramePr>
                        <a:graphicFrameLocks/>
                      </wp:cNvGraphicFramePr>
                      <a:graphic>
                        <a:graphicData uri="http://schemas.microsoft.com/office/word/2010/wordprocessingGroup">
                          <wpg:wgp>
                            <wpg:cNvPr id="383" name="Group 383"/>
                            <wpg:cNvGrpSpPr/>
                            <wpg:grpSpPr>
                              <a:xfrm>
                                <a:off x="0" y="0"/>
                                <a:ext cx="49530" cy="6350"/>
                                <a:chExt cx="49530" cy="6350"/>
                              </a:xfrm>
                            </wpg:grpSpPr>
                            <wps:wsp>
                              <wps:cNvPr id="384" name="Graphic 384"/>
                              <wps:cNvSpPr/>
                              <wps:spPr>
                                <a:xfrm>
                                  <a:off x="0" y="3175"/>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pt;margin-top:7.015928pt;width:3.9pt;height:.5pt;mso-position-horizontal-relative:column;mso-position-vertical-relative:paragraph;z-index:-21067776" id="docshapegroup91" coordorigin="50,140" coordsize="78,10">
                      <v:line style="position:absolute" from="50,145" to="128,145" stroked="true" strokeweight=".5pt" strokecolor="#005da1">
                        <v:stroke dashstyle="solid"/>
                      </v:line>
                      <w10:wrap type="none"/>
                    </v:group>
                  </w:pict>
                </mc:Fallback>
              </mc:AlternateContent>
            </w:r>
            <w:bookmarkStart w:name="_bookmark1908" w:id="1910"/>
            <w:bookmarkEnd w:id="1910"/>
            <w:r>
              <w:rPr/>
            </w:r>
            <w:hyperlink w:history="true" w:anchor="_bookmark1834">
              <w:r>
                <w:rPr>
                  <w:color w:val="005DA1"/>
                  <w:spacing w:val="-5"/>
                  <w:sz w:val="14"/>
                </w:rPr>
                <w:t>1</w:t>
              </w:r>
            </w:hyperlink>
            <w:r>
              <w:rPr>
                <w:spacing w:val="-5"/>
                <w:sz w:val="14"/>
              </w:rPr>
              <w:t>.</w:t>
            </w:r>
          </w:p>
        </w:tc>
        <w:tc>
          <w:tcPr>
            <w:tcW w:w="8620" w:type="dxa"/>
          </w:tcPr>
          <w:p>
            <w:pPr>
              <w:pStyle w:val="TableParagraph"/>
              <w:spacing w:line="221" w:lineRule="exact" w:before="0"/>
              <w:rPr>
                <w:rFonts w:ascii="Arial"/>
                <w:i/>
                <w:sz w:val="20"/>
              </w:rPr>
            </w:pPr>
            <w:r>
              <w:rPr>
                <w:sz w:val="20"/>
              </w:rPr>
              <w:t>Sutton,</w:t>
            </w:r>
            <w:r>
              <w:rPr>
                <w:spacing w:val="23"/>
                <w:sz w:val="20"/>
              </w:rPr>
              <w:t> </w:t>
            </w:r>
            <w:r>
              <w:rPr>
                <w:rFonts w:ascii="Arial"/>
                <w:i/>
                <w:sz w:val="20"/>
              </w:rPr>
              <w:t>Consideration</w:t>
            </w:r>
            <w:r>
              <w:rPr>
                <w:rFonts w:ascii="Arial"/>
                <w:i/>
                <w:spacing w:val="25"/>
                <w:sz w:val="20"/>
              </w:rPr>
              <w:t> </w:t>
            </w:r>
            <w:r>
              <w:rPr>
                <w:rFonts w:ascii="Arial"/>
                <w:i/>
                <w:sz w:val="20"/>
              </w:rPr>
              <w:t>Reconsidered</w:t>
            </w:r>
            <w:r>
              <w:rPr>
                <w:rFonts w:ascii="Arial"/>
                <w:i/>
                <w:spacing w:val="24"/>
                <w:sz w:val="20"/>
              </w:rPr>
              <w:t> </w:t>
            </w:r>
            <w:r>
              <w:rPr>
                <w:sz w:val="20"/>
              </w:rPr>
              <w:t>(1974);</w:t>
            </w:r>
            <w:r>
              <w:rPr>
                <w:spacing w:val="25"/>
                <w:sz w:val="20"/>
              </w:rPr>
              <w:t> </w:t>
            </w:r>
            <w:r>
              <w:rPr>
                <w:sz w:val="20"/>
              </w:rPr>
              <w:t>Cartwright,</w:t>
            </w:r>
            <w:r>
              <w:rPr>
                <w:spacing w:val="24"/>
                <w:sz w:val="20"/>
              </w:rPr>
              <w:t> </w:t>
            </w:r>
            <w:r>
              <w:rPr>
                <w:rFonts w:ascii="Arial"/>
                <w:i/>
                <w:sz w:val="20"/>
              </w:rPr>
              <w:t>Formation</w:t>
            </w:r>
            <w:r>
              <w:rPr>
                <w:rFonts w:ascii="Arial"/>
                <w:i/>
                <w:spacing w:val="25"/>
                <w:sz w:val="20"/>
              </w:rPr>
              <w:t> </w:t>
            </w:r>
            <w:r>
              <w:rPr>
                <w:rFonts w:ascii="Arial"/>
                <w:i/>
                <w:sz w:val="20"/>
              </w:rPr>
              <w:t>and</w:t>
            </w:r>
            <w:r>
              <w:rPr>
                <w:rFonts w:ascii="Arial"/>
                <w:i/>
                <w:spacing w:val="25"/>
                <w:sz w:val="20"/>
              </w:rPr>
              <w:t> </w:t>
            </w:r>
            <w:r>
              <w:rPr>
                <w:rFonts w:ascii="Arial"/>
                <w:i/>
                <w:sz w:val="20"/>
              </w:rPr>
              <w:t>Variation</w:t>
            </w:r>
            <w:r>
              <w:rPr>
                <w:rFonts w:ascii="Arial"/>
                <w:i/>
                <w:spacing w:val="25"/>
                <w:sz w:val="20"/>
              </w:rPr>
              <w:t> </w:t>
            </w:r>
            <w:r>
              <w:rPr>
                <w:rFonts w:ascii="Arial"/>
                <w:i/>
                <w:sz w:val="20"/>
              </w:rPr>
              <w:t>of</w:t>
            </w:r>
            <w:r>
              <w:rPr>
                <w:rFonts w:ascii="Arial"/>
                <w:i/>
                <w:spacing w:val="25"/>
                <w:sz w:val="20"/>
              </w:rPr>
              <w:t> </w:t>
            </w:r>
            <w:r>
              <w:rPr>
                <w:rFonts w:ascii="Arial"/>
                <w:i/>
                <w:spacing w:val="-2"/>
                <w:sz w:val="20"/>
              </w:rPr>
              <w:t>Contracts</w:t>
            </w:r>
          </w:p>
          <w:p>
            <w:pPr>
              <w:pStyle w:val="TableParagraph"/>
              <w:spacing w:line="227" w:lineRule="exact" w:before="0"/>
              <w:rPr>
                <w:sz w:val="20"/>
              </w:rPr>
            </w:pPr>
            <w:r>
              <w:rPr>
                <w:sz w:val="20"/>
              </w:rPr>
              <w:t>(2014); Shatwell (1955) 1 Sydney Law Review </w:t>
            </w:r>
            <w:r>
              <w:rPr>
                <w:spacing w:val="-4"/>
                <w:sz w:val="20"/>
              </w:rPr>
              <w:t>289.</w:t>
            </w:r>
          </w:p>
        </w:tc>
      </w:tr>
      <w:tr>
        <w:trPr>
          <w:trHeight w:val="465" w:hRule="atLeast"/>
        </w:trPr>
        <w:tc>
          <w:tcPr>
            <w:tcW w:w="496" w:type="dxa"/>
          </w:tcPr>
          <w:p>
            <w:pPr>
              <w:pStyle w:val="TableParagraph"/>
              <w:ind w:left="50"/>
              <w:rPr>
                <w:sz w:val="14"/>
              </w:rPr>
            </w:pPr>
            <w:r>
              <w:rPr>
                <w:color w:val="005DA1"/>
                <w:spacing w:val="-2"/>
                <w:sz w:val="14"/>
                <w:u w:val="single" w:color="005DA1"/>
              </w:rPr>
              <w:t>1249</w:t>
            </w:r>
            <w:r>
              <w:rPr>
                <w:spacing w:val="-2"/>
                <w:sz w:val="14"/>
              </w:rPr>
              <w:t>.</w:t>
            </w:r>
          </w:p>
        </w:tc>
        <w:tc>
          <w:tcPr>
            <w:tcW w:w="8620" w:type="dxa"/>
          </w:tcPr>
          <w:p>
            <w:pPr>
              <w:pStyle w:val="TableParagraph"/>
              <w:spacing w:before="114"/>
              <w:rPr>
                <w:sz w:val="20"/>
              </w:rPr>
            </w:pPr>
            <w:r>
              <w:rPr>
                <w:sz w:val="20"/>
              </w:rPr>
              <w:t>Treitel (1961) 77 L.Q.R. </w:t>
            </w:r>
            <w:r>
              <w:rPr>
                <w:spacing w:val="-5"/>
                <w:sz w:val="20"/>
              </w:rPr>
              <w:t>83.</w:t>
            </w:r>
          </w:p>
        </w:tc>
      </w:tr>
      <w:tr>
        <w:trPr>
          <w:trHeight w:val="465" w:hRule="atLeast"/>
        </w:trPr>
        <w:tc>
          <w:tcPr>
            <w:tcW w:w="496" w:type="dxa"/>
          </w:tcPr>
          <w:p>
            <w:pPr>
              <w:pStyle w:val="TableParagraph"/>
              <w:ind w:left="50"/>
              <w:rPr>
                <w:sz w:val="14"/>
              </w:rPr>
            </w:pPr>
            <w:r>
              <w:rPr>
                <w:color w:val="005DA1"/>
                <w:spacing w:val="-2"/>
                <w:sz w:val="14"/>
                <w:u w:val="single" w:color="005DA1"/>
              </w:rPr>
              <w:t>1250</w:t>
            </w:r>
            <w:r>
              <w:rPr>
                <w:spacing w:val="-2"/>
                <w:sz w:val="14"/>
              </w:rPr>
              <w:t>.</w:t>
            </w:r>
          </w:p>
        </w:tc>
        <w:tc>
          <w:tcPr>
            <w:tcW w:w="8620" w:type="dxa"/>
          </w:tcPr>
          <w:p>
            <w:pPr>
              <w:pStyle w:val="TableParagraph"/>
              <w:spacing w:before="114"/>
              <w:rPr>
                <w:sz w:val="20"/>
              </w:rPr>
            </w:pPr>
            <w:r>
              <w:rPr>
                <w:sz w:val="20"/>
              </w:rPr>
              <w:t>Above, para.4-</w:t>
            </w:r>
            <w:r>
              <w:rPr>
                <w:spacing w:val="-4"/>
                <w:sz w:val="20"/>
              </w:rPr>
              <w:t>009.</w:t>
            </w:r>
          </w:p>
        </w:tc>
      </w:tr>
      <w:tr>
        <w:trPr>
          <w:trHeight w:val="465" w:hRule="atLeast"/>
        </w:trPr>
        <w:tc>
          <w:tcPr>
            <w:tcW w:w="496" w:type="dxa"/>
          </w:tcPr>
          <w:p>
            <w:pPr>
              <w:pStyle w:val="TableParagraph"/>
              <w:ind w:left="50"/>
              <w:rPr>
                <w:sz w:val="14"/>
              </w:rPr>
            </w:pPr>
            <w:r>
              <w:rPr>
                <w:color w:val="005DA1"/>
                <w:spacing w:val="-2"/>
                <w:sz w:val="14"/>
                <w:u w:val="single" w:color="005DA1"/>
              </w:rPr>
              <w:t>1251</w:t>
            </w:r>
            <w:r>
              <w:rPr>
                <w:spacing w:val="-2"/>
                <w:sz w:val="14"/>
              </w:rPr>
              <w:t>.</w:t>
            </w:r>
          </w:p>
        </w:tc>
        <w:tc>
          <w:tcPr>
            <w:tcW w:w="8620" w:type="dxa"/>
          </w:tcPr>
          <w:p>
            <w:pPr>
              <w:pStyle w:val="TableParagraph"/>
              <w:spacing w:before="114"/>
              <w:rPr>
                <w:sz w:val="20"/>
              </w:rPr>
            </w:pPr>
            <w:r>
              <w:rPr>
                <w:rFonts w:ascii="Arial"/>
                <w:i/>
                <w:sz w:val="20"/>
              </w:rPr>
              <w:t>Holt</w:t>
            </w:r>
            <w:r>
              <w:rPr>
                <w:rFonts w:ascii="Arial"/>
                <w:i/>
                <w:spacing w:val="-1"/>
                <w:sz w:val="20"/>
              </w:rPr>
              <w:t> </w:t>
            </w:r>
            <w:r>
              <w:rPr>
                <w:rFonts w:ascii="Arial"/>
                <w:i/>
                <w:sz w:val="20"/>
              </w:rPr>
              <w:t>v Ward Clarencieux (1732) Stra. 937</w:t>
            </w:r>
            <w:r>
              <w:rPr>
                <w:sz w:val="20"/>
              </w:rPr>
              <w:t>; below para.9-</w:t>
            </w:r>
            <w:r>
              <w:rPr>
                <w:spacing w:val="-4"/>
                <w:sz w:val="20"/>
              </w:rPr>
              <w:t>049.</w:t>
            </w:r>
          </w:p>
        </w:tc>
      </w:tr>
      <w:tr>
        <w:trPr>
          <w:trHeight w:val="690" w:hRule="atLeast"/>
        </w:trPr>
        <w:tc>
          <w:tcPr>
            <w:tcW w:w="496" w:type="dxa"/>
          </w:tcPr>
          <w:p>
            <w:pPr>
              <w:pStyle w:val="TableParagraph"/>
              <w:ind w:left="50"/>
              <w:rPr>
                <w:sz w:val="14"/>
              </w:rPr>
            </w:pPr>
            <w:r>
              <w:rPr>
                <w:color w:val="005DA1"/>
                <w:spacing w:val="-2"/>
                <w:sz w:val="14"/>
                <w:u w:val="single" w:color="005DA1"/>
              </w:rPr>
              <w:t>1252</w:t>
            </w:r>
            <w:r>
              <w:rPr>
                <w:spacing w:val="-2"/>
                <w:sz w:val="14"/>
              </w:rPr>
              <w:t>.</w:t>
            </w:r>
          </w:p>
        </w:tc>
        <w:tc>
          <w:tcPr>
            <w:tcW w:w="8620" w:type="dxa"/>
          </w:tcPr>
          <w:p>
            <w:pPr>
              <w:pStyle w:val="TableParagraph"/>
              <w:spacing w:line="235" w:lineRule="auto" w:before="118"/>
              <w:rPr>
                <w:sz w:val="20"/>
              </w:rPr>
            </w:pPr>
            <w:r>
              <w:rPr>
                <w:sz w:val="20"/>
              </w:rPr>
              <w:t>Below, para.9-093 (“voidable at his or her option”). The circumstances in which such a right of avoidance arises are discussed in paras 9-075 to 9-092 below.</w:t>
            </w:r>
          </w:p>
        </w:tc>
      </w:tr>
      <w:tr>
        <w:trPr>
          <w:trHeight w:val="465" w:hRule="atLeast"/>
        </w:trPr>
        <w:tc>
          <w:tcPr>
            <w:tcW w:w="496" w:type="dxa"/>
          </w:tcPr>
          <w:p>
            <w:pPr>
              <w:pStyle w:val="TableParagraph"/>
              <w:ind w:left="50"/>
              <w:rPr>
                <w:sz w:val="14"/>
              </w:rPr>
            </w:pPr>
            <w:r>
              <w:rPr>
                <w:color w:val="005DA1"/>
                <w:spacing w:val="-2"/>
                <w:sz w:val="14"/>
                <w:u w:val="single" w:color="005DA1"/>
              </w:rPr>
              <w:t>1253</w:t>
            </w:r>
            <w:r>
              <w:rPr>
                <w:spacing w:val="-2"/>
                <w:sz w:val="14"/>
              </w:rPr>
              <w:t>.</w:t>
            </w:r>
          </w:p>
        </w:tc>
        <w:tc>
          <w:tcPr>
            <w:tcW w:w="8620" w:type="dxa"/>
          </w:tcPr>
          <w:p>
            <w:pPr>
              <w:pStyle w:val="TableParagraph"/>
              <w:spacing w:before="114"/>
              <w:rPr>
                <w:sz w:val="20"/>
              </w:rPr>
            </w:pPr>
            <w:r>
              <w:rPr>
                <w:sz w:val="20"/>
              </w:rPr>
              <w:t>Below para.11-</w:t>
            </w:r>
            <w:r>
              <w:rPr>
                <w:spacing w:val="-4"/>
                <w:sz w:val="20"/>
              </w:rPr>
              <w:t>009.</w:t>
            </w:r>
          </w:p>
        </w:tc>
      </w:tr>
      <w:tr>
        <w:trPr>
          <w:trHeight w:val="915" w:hRule="atLeast"/>
        </w:trPr>
        <w:tc>
          <w:tcPr>
            <w:tcW w:w="496" w:type="dxa"/>
          </w:tcPr>
          <w:p>
            <w:pPr>
              <w:pStyle w:val="TableParagraph"/>
              <w:ind w:left="50"/>
              <w:rPr>
                <w:sz w:val="14"/>
              </w:rPr>
            </w:pPr>
            <w:r>
              <w:rPr>
                <w:color w:val="005DA1"/>
                <w:spacing w:val="-2"/>
                <w:sz w:val="14"/>
                <w:u w:val="single" w:color="005DA1"/>
              </w:rPr>
              <w:t>1254</w:t>
            </w:r>
            <w:r>
              <w:rPr>
                <w:spacing w:val="-2"/>
                <w:sz w:val="14"/>
              </w:rPr>
              <w:t>.</w:t>
            </w:r>
          </w:p>
        </w:tc>
        <w:tc>
          <w:tcPr>
            <w:tcW w:w="8620" w:type="dxa"/>
          </w:tcPr>
          <w:p>
            <w:pPr>
              <w:pStyle w:val="TableParagraph"/>
              <w:spacing w:line="235" w:lineRule="auto" w:before="118"/>
              <w:ind w:right="48"/>
              <w:jc w:val="both"/>
              <w:rPr>
                <w:sz w:val="20"/>
              </w:rPr>
            </w:pPr>
            <w:r>
              <w:rPr>
                <w:rFonts w:ascii="Arial" w:hAnsi="Arial"/>
                <w:i/>
                <w:sz w:val="20"/>
              </w:rPr>
              <w:t>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Att.-Gen.</w:t>
            </w:r>
            <w:r>
              <w:rPr>
                <w:rFonts w:ascii="Arial" w:hAnsi="Arial"/>
                <w:i/>
                <w:spacing w:val="-2"/>
                <w:sz w:val="20"/>
              </w:rPr>
              <w:t> </w:t>
            </w:r>
            <w:r>
              <w:rPr>
                <w:rFonts w:ascii="Arial" w:hAnsi="Arial"/>
                <w:i/>
                <w:sz w:val="20"/>
              </w:rPr>
              <w:t>for</w:t>
            </w:r>
            <w:r>
              <w:rPr>
                <w:rFonts w:ascii="Arial" w:hAnsi="Arial"/>
                <w:i/>
                <w:spacing w:val="-2"/>
                <w:sz w:val="20"/>
              </w:rPr>
              <w:t> </w:t>
            </w:r>
            <w:r>
              <w:rPr>
                <w:rFonts w:ascii="Arial" w:hAnsi="Arial"/>
                <w:i/>
                <w:sz w:val="20"/>
              </w:rPr>
              <w:t>England</w:t>
            </w:r>
            <w:r>
              <w:rPr>
                <w:rFonts w:ascii="Arial" w:hAnsi="Arial"/>
                <w:i/>
                <w:spacing w:val="-2"/>
                <w:sz w:val="20"/>
              </w:rPr>
              <w:t> </w:t>
            </w:r>
            <w:r>
              <w:rPr>
                <w:rFonts w:ascii="Arial" w:hAnsi="Arial"/>
                <w:i/>
                <w:sz w:val="20"/>
              </w:rPr>
              <w:t>and</w:t>
            </w:r>
            <w:r>
              <w:rPr>
                <w:rFonts w:ascii="Arial" w:hAnsi="Arial"/>
                <w:i/>
                <w:spacing w:val="-2"/>
                <w:sz w:val="20"/>
              </w:rPr>
              <w:t> </w:t>
            </w:r>
            <w:r>
              <w:rPr>
                <w:rFonts w:ascii="Arial" w:hAnsi="Arial"/>
                <w:i/>
                <w:sz w:val="20"/>
              </w:rPr>
              <w:t>Wales</w:t>
            </w:r>
            <w:r>
              <w:rPr>
                <w:rFonts w:ascii="Arial" w:hAnsi="Arial"/>
                <w:i/>
                <w:spacing w:val="-2"/>
                <w:sz w:val="20"/>
              </w:rPr>
              <w:t> </w:t>
            </w:r>
            <w:r>
              <w:rPr>
                <w:rFonts w:ascii="Arial" w:hAnsi="Arial"/>
                <w:i/>
                <w:sz w:val="20"/>
              </w:rPr>
              <w:t>[2003]</w:t>
            </w:r>
            <w:r>
              <w:rPr>
                <w:rFonts w:ascii="Arial" w:hAnsi="Arial"/>
                <w:i/>
                <w:spacing w:val="-2"/>
                <w:sz w:val="20"/>
              </w:rPr>
              <w:t> </w:t>
            </w:r>
            <w:r>
              <w:rPr>
                <w:rFonts w:ascii="Arial" w:hAnsi="Arial"/>
                <w:i/>
                <w:sz w:val="20"/>
              </w:rPr>
              <w:t>UKPC</w:t>
            </w:r>
            <w:r>
              <w:rPr>
                <w:rFonts w:ascii="Arial" w:hAnsi="Arial"/>
                <w:i/>
                <w:spacing w:val="-2"/>
                <w:sz w:val="20"/>
              </w:rPr>
              <w:t> </w:t>
            </w:r>
            <w:r>
              <w:rPr>
                <w:rFonts w:ascii="Arial" w:hAnsi="Arial"/>
                <w:i/>
                <w:sz w:val="20"/>
              </w:rPr>
              <w:t>22,</w:t>
            </w:r>
            <w:r>
              <w:rPr>
                <w:rFonts w:ascii="Arial" w:hAnsi="Arial"/>
                <w:i/>
                <w:spacing w:val="-2"/>
                <w:sz w:val="20"/>
              </w:rPr>
              <w:t> </w:t>
            </w:r>
            <w:r>
              <w:rPr>
                <w:rFonts w:ascii="Arial" w:hAnsi="Arial"/>
                <w:i/>
                <w:sz w:val="20"/>
              </w:rPr>
              <w:t>[2002]</w:t>
            </w:r>
            <w:r>
              <w:rPr>
                <w:rFonts w:ascii="Arial" w:hAnsi="Arial"/>
                <w:i/>
                <w:spacing w:val="-2"/>
                <w:sz w:val="20"/>
              </w:rPr>
              <w:t> </w:t>
            </w:r>
            <w:r>
              <w:rPr>
                <w:rFonts w:ascii="Arial" w:hAnsi="Arial"/>
                <w:i/>
                <w:sz w:val="20"/>
              </w:rPr>
              <w:t>E.M.L.R.</w:t>
            </w:r>
            <w:r>
              <w:rPr>
                <w:rFonts w:ascii="Arial" w:hAnsi="Arial"/>
                <w:i/>
                <w:spacing w:val="-2"/>
                <w:sz w:val="20"/>
              </w:rPr>
              <w:t> </w:t>
            </w:r>
            <w:r>
              <w:rPr>
                <w:rFonts w:ascii="Arial" w:hAnsi="Arial"/>
                <w:i/>
                <w:sz w:val="20"/>
              </w:rPr>
              <w:t>24</w:t>
            </w:r>
            <w:r>
              <w:rPr>
                <w:rFonts w:ascii="Arial" w:hAnsi="Arial"/>
                <w:i/>
                <w:spacing w:val="-2"/>
                <w:sz w:val="20"/>
              </w:rPr>
              <w:t> </w:t>
            </w:r>
            <w:r>
              <w:rPr>
                <w:sz w:val="20"/>
              </w:rPr>
              <w:t>at</w:t>
            </w:r>
            <w:r>
              <w:rPr>
                <w:spacing w:val="-2"/>
                <w:sz w:val="20"/>
              </w:rPr>
              <w:t> </w:t>
            </w:r>
            <w:r>
              <w:rPr>
                <w:sz w:val="20"/>
              </w:rPr>
              <w:t>[31].</w:t>
            </w:r>
            <w:r>
              <w:rPr>
                <w:spacing w:val="-2"/>
                <w:sz w:val="20"/>
              </w:rPr>
              <w:t> </w:t>
            </w:r>
            <w:r>
              <w:rPr>
                <w:sz w:val="20"/>
              </w:rPr>
              <w:t>There</w:t>
            </w:r>
            <w:r>
              <w:rPr>
                <w:spacing w:val="-2"/>
                <w:sz w:val="20"/>
              </w:rPr>
              <w:t> </w:t>
            </w:r>
            <w:r>
              <w:rPr>
                <w:sz w:val="20"/>
              </w:rPr>
              <w:t>seems to</w:t>
            </w:r>
            <w:r>
              <w:rPr>
                <w:spacing w:val="-1"/>
                <w:sz w:val="20"/>
              </w:rPr>
              <w:t> </w:t>
            </w:r>
            <w:r>
              <w:rPr>
                <w:sz w:val="20"/>
              </w:rPr>
              <w:t>be</w:t>
            </w:r>
            <w:r>
              <w:rPr>
                <w:spacing w:val="-1"/>
                <w:sz w:val="20"/>
              </w:rPr>
              <w:t> </w:t>
            </w:r>
            <w:r>
              <w:rPr>
                <w:sz w:val="20"/>
              </w:rPr>
              <w:t>no</w:t>
            </w:r>
            <w:r>
              <w:rPr>
                <w:spacing w:val="-1"/>
                <w:sz w:val="20"/>
              </w:rPr>
              <w:t> </w:t>
            </w:r>
            <w:r>
              <w:rPr>
                <w:sz w:val="20"/>
              </w:rPr>
              <w:t>strong</w:t>
            </w:r>
            <w:r>
              <w:rPr>
                <w:spacing w:val="-1"/>
                <w:sz w:val="20"/>
              </w:rPr>
              <w:t> </w:t>
            </w:r>
            <w:r>
              <w:rPr>
                <w:sz w:val="20"/>
              </w:rPr>
              <w:t>policy</w:t>
            </w:r>
            <w:r>
              <w:rPr>
                <w:spacing w:val="-1"/>
                <w:sz w:val="20"/>
              </w:rPr>
              <w:t> </w:t>
            </w:r>
            <w:r>
              <w:rPr>
                <w:sz w:val="20"/>
              </w:rPr>
              <w:t>reason</w:t>
            </w:r>
            <w:r>
              <w:rPr>
                <w:spacing w:val="-1"/>
                <w:sz w:val="20"/>
              </w:rPr>
              <w:t> </w:t>
            </w:r>
            <w:r>
              <w:rPr>
                <w:sz w:val="20"/>
              </w:rPr>
              <w:t>in</w:t>
            </w:r>
            <w:r>
              <w:rPr>
                <w:spacing w:val="-1"/>
                <w:sz w:val="20"/>
              </w:rPr>
              <w:t> </w:t>
            </w:r>
            <w:r>
              <w:rPr>
                <w:sz w:val="20"/>
              </w:rPr>
              <w:t>such</w:t>
            </w:r>
            <w:r>
              <w:rPr>
                <w:spacing w:val="-1"/>
                <w:sz w:val="20"/>
              </w:rPr>
              <w:t> </w:t>
            </w:r>
            <w:r>
              <w:rPr>
                <w:sz w:val="20"/>
              </w:rPr>
              <w:t>a</w:t>
            </w:r>
            <w:r>
              <w:rPr>
                <w:spacing w:val="-1"/>
                <w:sz w:val="20"/>
              </w:rPr>
              <w:t> </w:t>
            </w:r>
            <w:r>
              <w:rPr>
                <w:sz w:val="20"/>
              </w:rPr>
              <w:t>case</w:t>
            </w:r>
            <w:r>
              <w:rPr>
                <w:spacing w:val="-1"/>
                <w:sz w:val="20"/>
              </w:rPr>
              <w:t> </w:t>
            </w:r>
            <w:r>
              <w:rPr>
                <w:sz w:val="20"/>
              </w:rPr>
              <w:t>for</w:t>
            </w:r>
            <w:r>
              <w:rPr>
                <w:spacing w:val="-1"/>
                <w:sz w:val="20"/>
              </w:rPr>
              <w:t> </w:t>
            </w:r>
            <w:r>
              <w:rPr>
                <w:sz w:val="20"/>
              </w:rPr>
              <w:t>allowing</w:t>
            </w:r>
            <w:r>
              <w:rPr>
                <w:spacing w:val="-1"/>
                <w:sz w:val="20"/>
              </w:rPr>
              <w:t> </w:t>
            </w:r>
            <w:r>
              <w:rPr>
                <w:sz w:val="20"/>
              </w:rPr>
              <w:t>enforcement</w:t>
            </w:r>
            <w:r>
              <w:rPr>
                <w:spacing w:val="-1"/>
                <w:sz w:val="20"/>
              </w:rPr>
              <w:t> </w:t>
            </w:r>
            <w:r>
              <w:rPr>
                <w:sz w:val="20"/>
              </w:rPr>
              <w:t>by</w:t>
            </w:r>
            <w:r>
              <w:rPr>
                <w:spacing w:val="-1"/>
                <w:sz w:val="20"/>
              </w:rPr>
              <w:t> </w:t>
            </w:r>
            <w:r>
              <w:rPr>
                <w:sz w:val="20"/>
              </w:rPr>
              <w:t>the</w:t>
            </w:r>
            <w:r>
              <w:rPr>
                <w:spacing w:val="-1"/>
                <w:sz w:val="20"/>
              </w:rPr>
              <w:t> </w:t>
            </w:r>
            <w:r>
              <w:rPr>
                <w:sz w:val="20"/>
              </w:rPr>
              <w:t>Crown</w:t>
            </w:r>
            <w:r>
              <w:rPr>
                <w:spacing w:val="-1"/>
                <w:sz w:val="20"/>
              </w:rPr>
              <w:t> </w:t>
            </w:r>
            <w:r>
              <w:rPr>
                <w:sz w:val="20"/>
              </w:rPr>
              <w:t>of</w:t>
            </w:r>
            <w:r>
              <w:rPr>
                <w:spacing w:val="-1"/>
                <w:sz w:val="20"/>
              </w:rPr>
              <w:t> </w:t>
            </w:r>
            <w:r>
              <w:rPr>
                <w:sz w:val="20"/>
              </w:rPr>
              <w:t>the</w:t>
            </w:r>
            <w:r>
              <w:rPr>
                <w:spacing w:val="-1"/>
                <w:sz w:val="20"/>
              </w:rPr>
              <w:t> </w:t>
            </w:r>
            <w:r>
              <w:rPr>
                <w:sz w:val="20"/>
              </w:rPr>
              <w:t>other party’s promise where the contract remains executory.</w:t>
            </w:r>
          </w:p>
        </w:tc>
      </w:tr>
      <w:tr>
        <w:trPr>
          <w:trHeight w:val="465" w:hRule="atLeast"/>
        </w:trPr>
        <w:tc>
          <w:tcPr>
            <w:tcW w:w="496" w:type="dxa"/>
          </w:tcPr>
          <w:p>
            <w:pPr>
              <w:pStyle w:val="TableParagraph"/>
              <w:ind w:left="50"/>
              <w:rPr>
                <w:sz w:val="14"/>
              </w:rPr>
            </w:pPr>
            <w:r>
              <w:rPr>
                <w:color w:val="005DA1"/>
                <w:spacing w:val="-2"/>
                <w:sz w:val="14"/>
                <w:u w:val="single" w:color="005DA1"/>
              </w:rPr>
              <w:t>1255</w:t>
            </w:r>
            <w:r>
              <w:rPr>
                <w:spacing w:val="-2"/>
                <w:sz w:val="14"/>
              </w:rPr>
              <w:t>.</w:t>
            </w:r>
          </w:p>
        </w:tc>
        <w:tc>
          <w:tcPr>
            <w:tcW w:w="8620" w:type="dxa"/>
          </w:tcPr>
          <w:p>
            <w:pPr>
              <w:pStyle w:val="TableParagraph"/>
              <w:spacing w:before="114"/>
              <w:rPr>
                <w:sz w:val="20"/>
              </w:rPr>
            </w:pPr>
            <w:r>
              <w:rPr>
                <w:sz w:val="20"/>
              </w:rPr>
              <w:t>As suggested in</w:t>
            </w:r>
            <w:r>
              <w:rPr>
                <w:spacing w:val="-1"/>
                <w:sz w:val="20"/>
              </w:rPr>
              <w:t> </w:t>
            </w:r>
            <w:r>
              <w:rPr>
                <w:rFonts w:ascii="Arial"/>
                <w:i/>
                <w:sz w:val="20"/>
              </w:rPr>
              <w:t>Nerot v Wallace (1789) 3 T.R. 17, </w:t>
            </w:r>
            <w:r>
              <w:rPr>
                <w:rFonts w:ascii="Arial"/>
                <w:i/>
                <w:spacing w:val="-5"/>
                <w:sz w:val="20"/>
              </w:rPr>
              <w:t>23</w:t>
            </w:r>
            <w:r>
              <w:rPr>
                <w:spacing w:val="-5"/>
                <w:sz w:val="20"/>
              </w:rPr>
              <w:t>.</w:t>
            </w:r>
          </w:p>
        </w:tc>
      </w:tr>
      <w:tr>
        <w:trPr>
          <w:trHeight w:val="465" w:hRule="atLeast"/>
        </w:trPr>
        <w:tc>
          <w:tcPr>
            <w:tcW w:w="496" w:type="dxa"/>
          </w:tcPr>
          <w:p>
            <w:pPr>
              <w:pStyle w:val="TableParagraph"/>
              <w:ind w:left="50"/>
              <w:rPr>
                <w:sz w:val="14"/>
              </w:rPr>
            </w:pPr>
            <w:r>
              <w:rPr>
                <w:color w:val="005DA1"/>
                <w:spacing w:val="-2"/>
                <w:sz w:val="14"/>
                <w:u w:val="single" w:color="005DA1"/>
              </w:rPr>
              <w:t>1256</w:t>
            </w:r>
            <w:r>
              <w:rPr>
                <w:spacing w:val="-2"/>
                <w:sz w:val="14"/>
              </w:rPr>
              <w:t>.</w:t>
            </w:r>
          </w:p>
        </w:tc>
        <w:tc>
          <w:tcPr>
            <w:tcW w:w="8620" w:type="dxa"/>
          </w:tcPr>
          <w:p>
            <w:pPr>
              <w:pStyle w:val="TableParagraph"/>
              <w:spacing w:before="114"/>
              <w:rPr>
                <w:sz w:val="20"/>
              </w:rPr>
            </w:pPr>
            <w:r>
              <w:rPr>
                <w:sz w:val="20"/>
              </w:rPr>
              <w:t>e.g. </w:t>
            </w:r>
            <w:r>
              <w:rPr>
                <w:rFonts w:ascii="Arial"/>
                <w:i/>
                <w:sz w:val="20"/>
              </w:rPr>
              <w:t>Wyatt v Kreglinger &amp; Fernau [1933] 1 K.B. </w:t>
            </w:r>
            <w:r>
              <w:rPr>
                <w:rFonts w:ascii="Arial"/>
                <w:i/>
                <w:spacing w:val="-4"/>
                <w:sz w:val="20"/>
              </w:rPr>
              <w:t>793</w:t>
            </w:r>
            <w:r>
              <w:rPr>
                <w:spacing w:val="-4"/>
                <w:sz w:val="20"/>
              </w:rPr>
              <w:t>.</w:t>
            </w:r>
          </w:p>
        </w:tc>
      </w:tr>
      <w:tr>
        <w:trPr>
          <w:trHeight w:val="690" w:hRule="atLeast"/>
        </w:trPr>
        <w:tc>
          <w:tcPr>
            <w:tcW w:w="496" w:type="dxa"/>
          </w:tcPr>
          <w:p>
            <w:pPr>
              <w:pStyle w:val="TableParagraph"/>
              <w:ind w:left="50"/>
              <w:rPr>
                <w:sz w:val="14"/>
              </w:rPr>
            </w:pPr>
            <w:r>
              <w:rPr>
                <w:color w:val="005DA1"/>
                <w:spacing w:val="-2"/>
                <w:sz w:val="14"/>
                <w:u w:val="single" w:color="005DA1"/>
              </w:rPr>
              <w:t>1257</w:t>
            </w:r>
            <w:r>
              <w:rPr>
                <w:spacing w:val="-2"/>
                <w:sz w:val="14"/>
              </w:rPr>
              <w:t>.</w:t>
            </w:r>
          </w:p>
        </w:tc>
        <w:tc>
          <w:tcPr>
            <w:tcW w:w="8620" w:type="dxa"/>
          </w:tcPr>
          <w:p>
            <w:pPr>
              <w:pStyle w:val="TableParagraph"/>
              <w:spacing w:line="235" w:lineRule="auto" w:before="118"/>
              <w:rPr>
                <w:sz w:val="20"/>
              </w:rPr>
            </w:pPr>
            <w:r>
              <w:rPr>
                <w:sz w:val="20"/>
              </w:rPr>
              <w:t>See</w:t>
            </w:r>
            <w:r>
              <w:rPr>
                <w:spacing w:val="38"/>
                <w:sz w:val="20"/>
              </w:rPr>
              <w:t> </w:t>
            </w:r>
            <w:r>
              <w:rPr>
                <w:rFonts w:ascii="Arial"/>
                <w:i/>
                <w:sz w:val="20"/>
              </w:rPr>
              <w:t>Goodinson</w:t>
            </w:r>
            <w:r>
              <w:rPr>
                <w:rFonts w:ascii="Arial"/>
                <w:i/>
                <w:spacing w:val="38"/>
                <w:sz w:val="20"/>
              </w:rPr>
              <w:t> </w:t>
            </w:r>
            <w:r>
              <w:rPr>
                <w:rFonts w:ascii="Arial"/>
                <w:i/>
                <w:sz w:val="20"/>
              </w:rPr>
              <w:t>v</w:t>
            </w:r>
            <w:r>
              <w:rPr>
                <w:rFonts w:ascii="Arial"/>
                <w:i/>
                <w:spacing w:val="38"/>
                <w:sz w:val="20"/>
              </w:rPr>
              <w:t> </w:t>
            </w:r>
            <w:r>
              <w:rPr>
                <w:rFonts w:ascii="Arial"/>
                <w:i/>
                <w:sz w:val="20"/>
              </w:rPr>
              <w:t>Goodinson</w:t>
            </w:r>
            <w:r>
              <w:rPr>
                <w:rFonts w:ascii="Arial"/>
                <w:i/>
                <w:spacing w:val="38"/>
                <w:sz w:val="20"/>
              </w:rPr>
              <w:t> </w:t>
            </w:r>
            <w:r>
              <w:rPr>
                <w:rFonts w:ascii="Arial"/>
                <w:i/>
                <w:sz w:val="20"/>
              </w:rPr>
              <w:t>[1954]</w:t>
            </w:r>
            <w:r>
              <w:rPr>
                <w:rFonts w:ascii="Arial"/>
                <w:i/>
                <w:spacing w:val="38"/>
                <w:sz w:val="20"/>
              </w:rPr>
              <w:t> </w:t>
            </w:r>
            <w:r>
              <w:rPr>
                <w:rFonts w:ascii="Arial"/>
                <w:i/>
                <w:sz w:val="20"/>
              </w:rPr>
              <w:t>2</w:t>
            </w:r>
            <w:r>
              <w:rPr>
                <w:rFonts w:ascii="Arial"/>
                <w:i/>
                <w:spacing w:val="38"/>
                <w:sz w:val="20"/>
              </w:rPr>
              <w:t> </w:t>
            </w:r>
            <w:r>
              <w:rPr>
                <w:rFonts w:ascii="Arial"/>
                <w:i/>
                <w:sz w:val="20"/>
              </w:rPr>
              <w:t>Q.B.</w:t>
            </w:r>
            <w:r>
              <w:rPr>
                <w:rFonts w:ascii="Arial"/>
                <w:i/>
                <w:spacing w:val="38"/>
                <w:sz w:val="20"/>
              </w:rPr>
              <w:t> </w:t>
            </w:r>
            <w:r>
              <w:rPr>
                <w:rFonts w:ascii="Arial"/>
                <w:i/>
                <w:sz w:val="20"/>
              </w:rPr>
              <w:t>118</w:t>
            </w:r>
            <w:r>
              <w:rPr>
                <w:rFonts w:ascii="Arial"/>
                <w:i/>
                <w:spacing w:val="37"/>
                <w:sz w:val="20"/>
              </w:rPr>
              <w:t> </w:t>
            </w:r>
            <w:r>
              <w:rPr>
                <w:sz w:val="20"/>
              </w:rPr>
              <w:t>(the</w:t>
            </w:r>
            <w:r>
              <w:rPr>
                <w:spacing w:val="38"/>
                <w:sz w:val="20"/>
              </w:rPr>
              <w:t> </w:t>
            </w:r>
            <w:r>
              <w:rPr>
                <w:sz w:val="20"/>
              </w:rPr>
              <w:t>actual</w:t>
            </w:r>
            <w:r>
              <w:rPr>
                <w:spacing w:val="38"/>
                <w:sz w:val="20"/>
              </w:rPr>
              <w:t> </w:t>
            </w:r>
            <w:r>
              <w:rPr>
                <w:sz w:val="20"/>
              </w:rPr>
              <w:t>decision</w:t>
            </w:r>
            <w:r>
              <w:rPr>
                <w:spacing w:val="38"/>
                <w:sz w:val="20"/>
              </w:rPr>
              <w:t> </w:t>
            </w:r>
            <w:r>
              <w:rPr>
                <w:sz w:val="20"/>
              </w:rPr>
              <w:t>is</w:t>
            </w:r>
            <w:r>
              <w:rPr>
                <w:spacing w:val="38"/>
                <w:sz w:val="20"/>
              </w:rPr>
              <w:t> </w:t>
            </w:r>
            <w:r>
              <w:rPr>
                <w:sz w:val="20"/>
              </w:rPr>
              <w:t>obsolete</w:t>
            </w:r>
            <w:r>
              <w:rPr>
                <w:spacing w:val="38"/>
                <w:sz w:val="20"/>
              </w:rPr>
              <w:t> </w:t>
            </w:r>
            <w:r>
              <w:rPr>
                <w:sz w:val="20"/>
              </w:rPr>
              <w:t>in</w:t>
            </w:r>
            <w:r>
              <w:rPr>
                <w:spacing w:val="38"/>
                <w:sz w:val="20"/>
              </w:rPr>
              <w:t> </w:t>
            </w:r>
            <w:r>
              <w:rPr>
                <w:sz w:val="20"/>
              </w:rPr>
              <w:t>view</w:t>
            </w:r>
            <w:r>
              <w:rPr>
                <w:spacing w:val="38"/>
                <w:sz w:val="20"/>
              </w:rPr>
              <w:t> </w:t>
            </w:r>
            <w:r>
              <w:rPr>
                <w:sz w:val="20"/>
              </w:rPr>
              <w:t>of Matrimonial Causes Act 1973, s.34, below, para.4-189).</w:t>
            </w:r>
          </w:p>
        </w:tc>
      </w:tr>
      <w:tr>
        <w:trPr>
          <w:trHeight w:val="344" w:hRule="atLeast"/>
        </w:trPr>
        <w:tc>
          <w:tcPr>
            <w:tcW w:w="496" w:type="dxa"/>
          </w:tcPr>
          <w:p>
            <w:pPr>
              <w:pStyle w:val="TableParagraph"/>
              <w:ind w:left="50"/>
              <w:rPr>
                <w:sz w:val="14"/>
              </w:rPr>
            </w:pPr>
            <w:r>
              <w:rPr>
                <w:color w:val="005DA1"/>
                <w:spacing w:val="-2"/>
                <w:sz w:val="14"/>
                <w:u w:val="single" w:color="005DA1"/>
              </w:rPr>
              <w:t>1258</w:t>
            </w:r>
            <w:r>
              <w:rPr>
                <w:spacing w:val="-2"/>
                <w:sz w:val="14"/>
              </w:rPr>
              <w:t>.</w:t>
            </w:r>
          </w:p>
        </w:tc>
        <w:tc>
          <w:tcPr>
            <w:tcW w:w="8620" w:type="dxa"/>
          </w:tcPr>
          <w:p>
            <w:pPr>
              <w:pStyle w:val="TableParagraph"/>
              <w:spacing w:line="210" w:lineRule="exact" w:before="114"/>
              <w:rPr>
                <w:sz w:val="20"/>
              </w:rPr>
            </w:pPr>
            <w:r>
              <w:rPr>
                <w:sz w:val="20"/>
              </w:rPr>
              <w:t>Above, para.2-</w:t>
            </w:r>
            <w:r>
              <w:rPr>
                <w:spacing w:val="-4"/>
                <w:sz w:val="20"/>
              </w:rPr>
              <w:t>143.</w:t>
            </w:r>
          </w:p>
        </w:tc>
      </w:tr>
    </w:tbl>
    <w:p>
      <w:pPr>
        <w:pStyle w:val="TableParagraph"/>
        <w:spacing w:after="0" w:line="210" w:lineRule="exact"/>
        <w:rPr>
          <w:sz w:val="20"/>
        </w:rPr>
        <w:sectPr>
          <w:pgSz w:w="11900" w:h="16840"/>
          <w:pgMar w:header="971" w:footer="0" w:top="1160" w:bottom="280" w:left="1275" w:right="1275"/>
        </w:sectPr>
      </w:pPr>
    </w:p>
    <w:p>
      <w:pPr>
        <w:pStyle w:val="BodyText"/>
        <w:spacing w:before="87"/>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1469" w:hRule="atLeast"/>
        </w:trPr>
        <w:tc>
          <w:tcPr>
            <w:tcW w:w="496" w:type="dxa"/>
          </w:tcPr>
          <w:p>
            <w:pPr>
              <w:pStyle w:val="TableParagraph"/>
              <w:spacing w:before="0"/>
              <w:ind w:left="0" w:right="43"/>
              <w:jc w:val="center"/>
              <w:rPr>
                <w:sz w:val="14"/>
              </w:rPr>
            </w:pPr>
            <w:r>
              <w:rPr>
                <w:color w:val="005DA1"/>
                <w:spacing w:val="-2"/>
                <w:sz w:val="14"/>
                <w:u w:val="single" w:color="005DA1"/>
              </w:rPr>
              <w:t>1259</w:t>
            </w:r>
            <w:r>
              <w:rPr>
                <w:spacing w:val="-2"/>
                <w:sz w:val="14"/>
              </w:rPr>
              <w:t>.</w:t>
            </w:r>
          </w:p>
        </w:tc>
        <w:tc>
          <w:tcPr>
            <w:tcW w:w="8621" w:type="dxa"/>
          </w:tcPr>
          <w:p>
            <w:pPr>
              <w:pStyle w:val="TableParagraph"/>
              <w:spacing w:line="235" w:lineRule="auto" w:before="0"/>
              <w:ind w:right="49"/>
              <w:jc w:val="both"/>
              <w:rPr>
                <w:rFonts w:ascii="Arial" w:hAnsi="Arial"/>
                <w:i/>
                <w:sz w:val="20"/>
              </w:rPr>
            </w:pPr>
            <w:r>
              <w:rPr>
                <w:rFonts w:ascii="Arial" w:hAnsi="Arial"/>
                <w:i/>
                <w:sz w:val="20"/>
              </w:rPr>
              <w:t>Sepong Engineering Construction Co Ltd v Formula One Management Ltd [2000] 1 Lloyd’s</w:t>
            </w:r>
            <w:r>
              <w:rPr>
                <w:rFonts w:ascii="Arial" w:hAnsi="Arial"/>
                <w:i/>
                <w:spacing w:val="40"/>
                <w:sz w:val="20"/>
              </w:rPr>
              <w:t> </w:t>
            </w:r>
            <w:r>
              <w:rPr>
                <w:rFonts w:ascii="Arial" w:hAnsi="Arial"/>
                <w:i/>
                <w:sz w:val="20"/>
              </w:rPr>
              <w:t>Rep. 602 </w:t>
            </w:r>
            <w:r>
              <w:rPr>
                <w:sz w:val="20"/>
              </w:rPr>
              <w:t>at 611, where it was also said that damages for breach of the resulting contract would be no more than nominal. The same reasoning applied when, before the Corporate Bodies Contracts</w:t>
            </w:r>
            <w:r>
              <w:rPr>
                <w:spacing w:val="-3"/>
                <w:sz w:val="20"/>
              </w:rPr>
              <w:t> </w:t>
            </w:r>
            <w:r>
              <w:rPr>
                <w:sz w:val="20"/>
              </w:rPr>
              <w:t>Act</w:t>
            </w:r>
            <w:r>
              <w:rPr>
                <w:spacing w:val="-3"/>
                <w:sz w:val="20"/>
              </w:rPr>
              <w:t> </w:t>
            </w:r>
            <w:r>
              <w:rPr>
                <w:sz w:val="20"/>
              </w:rPr>
              <w:t>1960,</w:t>
            </w:r>
            <w:r>
              <w:rPr>
                <w:spacing w:val="-3"/>
                <w:sz w:val="20"/>
              </w:rPr>
              <w:t> </w:t>
            </w:r>
            <w:r>
              <w:rPr>
                <w:sz w:val="20"/>
              </w:rPr>
              <w:t>unsealed</w:t>
            </w:r>
            <w:r>
              <w:rPr>
                <w:spacing w:val="-3"/>
                <w:sz w:val="20"/>
              </w:rPr>
              <w:t> </w:t>
            </w:r>
            <w:r>
              <w:rPr>
                <w:sz w:val="20"/>
              </w:rPr>
              <w:t>promises</w:t>
            </w:r>
            <w:r>
              <w:rPr>
                <w:spacing w:val="-3"/>
                <w:sz w:val="20"/>
              </w:rPr>
              <w:t> </w:t>
            </w:r>
            <w:r>
              <w:rPr>
                <w:sz w:val="20"/>
              </w:rPr>
              <w:t>made</w:t>
            </w:r>
            <w:r>
              <w:rPr>
                <w:spacing w:val="-3"/>
                <w:sz w:val="20"/>
              </w:rPr>
              <w:t> </w:t>
            </w:r>
            <w:r>
              <w:rPr>
                <w:sz w:val="20"/>
              </w:rPr>
              <w:t>by</w:t>
            </w:r>
            <w:r>
              <w:rPr>
                <w:spacing w:val="-3"/>
                <w:sz w:val="20"/>
              </w:rPr>
              <w:t> </w:t>
            </w:r>
            <w:r>
              <w:rPr>
                <w:sz w:val="20"/>
              </w:rPr>
              <w:t>a</w:t>
            </w:r>
            <w:r>
              <w:rPr>
                <w:spacing w:val="-3"/>
                <w:sz w:val="20"/>
              </w:rPr>
              <w:t> </w:t>
            </w:r>
            <w:r>
              <w:rPr>
                <w:sz w:val="20"/>
              </w:rPr>
              <w:t>corporation</w:t>
            </w:r>
            <w:r>
              <w:rPr>
                <w:spacing w:val="-3"/>
                <w:sz w:val="20"/>
              </w:rPr>
              <w:t> </w:t>
            </w:r>
            <w:r>
              <w:rPr>
                <w:sz w:val="20"/>
              </w:rPr>
              <w:t>did</w:t>
            </w:r>
            <w:r>
              <w:rPr>
                <w:spacing w:val="-3"/>
                <w:sz w:val="20"/>
              </w:rPr>
              <w:t> </w:t>
            </w:r>
            <w:r>
              <w:rPr>
                <w:sz w:val="20"/>
              </w:rPr>
              <w:t>not</w:t>
            </w:r>
            <w:r>
              <w:rPr>
                <w:spacing w:val="-3"/>
                <w:sz w:val="20"/>
              </w:rPr>
              <w:t> </w:t>
            </w:r>
            <w:r>
              <w:rPr>
                <w:sz w:val="20"/>
              </w:rPr>
              <w:t>bind</w:t>
            </w:r>
            <w:r>
              <w:rPr>
                <w:spacing w:val="-3"/>
                <w:sz w:val="20"/>
              </w:rPr>
              <w:t> </w:t>
            </w:r>
            <w:r>
              <w:rPr>
                <w:sz w:val="20"/>
              </w:rPr>
              <w:t>it:</w:t>
            </w:r>
            <w:r>
              <w:rPr>
                <w:spacing w:val="-3"/>
                <w:sz w:val="20"/>
              </w:rPr>
              <w:t> </w:t>
            </w:r>
            <w:r>
              <w:rPr>
                <w:sz w:val="20"/>
              </w:rPr>
              <w:t>see</w:t>
            </w:r>
            <w:r>
              <w:rPr>
                <w:spacing w:val="-4"/>
                <w:sz w:val="20"/>
              </w:rPr>
              <w:t> </w:t>
            </w:r>
            <w:r>
              <w:rPr>
                <w:rFonts w:ascii="Arial" w:hAnsi="Arial"/>
                <w:i/>
                <w:sz w:val="20"/>
              </w:rPr>
              <w:t>Fishmonger’s Corp.</w:t>
            </w:r>
            <w:r>
              <w:rPr>
                <w:rFonts w:ascii="Arial" w:hAnsi="Arial"/>
                <w:i/>
                <w:spacing w:val="-1"/>
                <w:sz w:val="20"/>
              </w:rPr>
              <w:t> </w:t>
            </w:r>
            <w:r>
              <w:rPr>
                <w:rFonts w:ascii="Arial" w:hAnsi="Arial"/>
                <w:i/>
                <w:sz w:val="20"/>
              </w:rPr>
              <w:t>v Robinson (1843) 5 Man. &amp; G. 131</w:t>
            </w:r>
            <w:r>
              <w:rPr>
                <w:sz w:val="20"/>
              </w:rPr>
              <w:t>; </w:t>
            </w:r>
            <w:r>
              <w:rPr>
                <w:rFonts w:ascii="Arial" w:hAnsi="Arial"/>
                <w:i/>
                <w:sz w:val="20"/>
              </w:rPr>
              <w:t>Kidderminster Corp. v Hardwick (1873) L.R. 9 Ex. </w:t>
            </w:r>
            <w:r>
              <w:rPr>
                <w:rFonts w:ascii="Arial" w:hAnsi="Arial"/>
                <w:i/>
                <w:spacing w:val="-5"/>
                <w:sz w:val="20"/>
              </w:rPr>
              <w:t>13</w:t>
            </w:r>
          </w:p>
          <w:p>
            <w:pPr>
              <w:pStyle w:val="TableParagraph"/>
              <w:spacing w:line="224" w:lineRule="exact" w:before="0"/>
              <w:jc w:val="both"/>
              <w:rPr>
                <w:sz w:val="20"/>
              </w:rPr>
            </w:pPr>
            <w:r>
              <w:rPr>
                <w:sz w:val="20"/>
              </w:rPr>
              <w:t>; </w:t>
            </w:r>
            <w:r>
              <w:rPr>
                <w:rFonts w:ascii="Arial"/>
                <w:i/>
                <w:sz w:val="20"/>
              </w:rPr>
              <w:t>Re Dale [1994] Ch. 31, </w:t>
            </w:r>
            <w:r>
              <w:rPr>
                <w:rFonts w:ascii="Arial"/>
                <w:i/>
                <w:spacing w:val="-5"/>
                <w:sz w:val="20"/>
              </w:rPr>
              <w:t>38</w:t>
            </w:r>
            <w:r>
              <w:rPr>
                <w:spacing w:val="-5"/>
                <w:sz w:val="20"/>
              </w:rPr>
              <w:t>.</w:t>
            </w:r>
          </w:p>
        </w:tc>
      </w:tr>
      <w:tr>
        <w:trPr>
          <w:trHeight w:val="690" w:hRule="atLeast"/>
        </w:trPr>
        <w:tc>
          <w:tcPr>
            <w:tcW w:w="496" w:type="dxa"/>
          </w:tcPr>
          <w:p>
            <w:pPr>
              <w:pStyle w:val="TableParagraph"/>
              <w:ind w:left="0" w:right="43"/>
              <w:jc w:val="center"/>
              <w:rPr>
                <w:sz w:val="14"/>
              </w:rPr>
            </w:pPr>
            <w:r>
              <w:rPr>
                <w:color w:val="005DA1"/>
                <w:spacing w:val="-2"/>
                <w:sz w:val="14"/>
                <w:u w:val="single" w:color="005DA1"/>
              </w:rPr>
              <w:t>1260</w:t>
            </w:r>
            <w:r>
              <w:rPr>
                <w:spacing w:val="-2"/>
                <w:sz w:val="14"/>
              </w:rPr>
              <w:t>.</w:t>
            </w:r>
          </w:p>
        </w:tc>
        <w:tc>
          <w:tcPr>
            <w:tcW w:w="8621" w:type="dxa"/>
          </w:tcPr>
          <w:p>
            <w:pPr>
              <w:pStyle w:val="TableParagraph"/>
              <w:spacing w:line="235" w:lineRule="auto" w:before="118"/>
              <w:ind w:right="50"/>
              <w:rPr>
                <w:sz w:val="20"/>
              </w:rPr>
            </w:pPr>
            <w:r>
              <w:rPr>
                <w:rFonts w:ascii="Arial"/>
                <w:i/>
                <w:sz w:val="20"/>
              </w:rPr>
              <w:t>R.</w:t>
            </w:r>
            <w:r>
              <w:rPr>
                <w:rFonts w:ascii="Arial"/>
                <w:i/>
                <w:spacing w:val="27"/>
                <w:sz w:val="20"/>
              </w:rPr>
              <w:t> </w:t>
            </w:r>
            <w:r>
              <w:rPr>
                <w:rFonts w:ascii="Arial"/>
                <w:i/>
                <w:sz w:val="20"/>
              </w:rPr>
              <w:t>v</w:t>
            </w:r>
            <w:r>
              <w:rPr>
                <w:rFonts w:ascii="Arial"/>
                <w:i/>
                <w:spacing w:val="27"/>
                <w:sz w:val="20"/>
              </w:rPr>
              <w:t> </w:t>
            </w:r>
            <w:r>
              <w:rPr>
                <w:rFonts w:ascii="Arial"/>
                <w:i/>
                <w:sz w:val="20"/>
              </w:rPr>
              <w:t>Att.-Gen.</w:t>
            </w:r>
            <w:r>
              <w:rPr>
                <w:rFonts w:ascii="Arial"/>
                <w:i/>
                <w:spacing w:val="27"/>
                <w:sz w:val="20"/>
              </w:rPr>
              <w:t> </w:t>
            </w:r>
            <w:r>
              <w:rPr>
                <w:rFonts w:ascii="Arial"/>
                <w:i/>
                <w:sz w:val="20"/>
              </w:rPr>
              <w:t>for</w:t>
            </w:r>
            <w:r>
              <w:rPr>
                <w:rFonts w:ascii="Arial"/>
                <w:i/>
                <w:spacing w:val="27"/>
                <w:sz w:val="20"/>
              </w:rPr>
              <w:t> </w:t>
            </w:r>
            <w:r>
              <w:rPr>
                <w:rFonts w:ascii="Arial"/>
                <w:i/>
                <w:sz w:val="20"/>
              </w:rPr>
              <w:t>England</w:t>
            </w:r>
            <w:r>
              <w:rPr>
                <w:rFonts w:ascii="Arial"/>
                <w:i/>
                <w:spacing w:val="27"/>
                <w:sz w:val="20"/>
              </w:rPr>
              <w:t> </w:t>
            </w:r>
            <w:r>
              <w:rPr>
                <w:rFonts w:ascii="Arial"/>
                <w:i/>
                <w:sz w:val="20"/>
              </w:rPr>
              <w:t>and</w:t>
            </w:r>
            <w:r>
              <w:rPr>
                <w:rFonts w:ascii="Arial"/>
                <w:i/>
                <w:spacing w:val="27"/>
                <w:sz w:val="20"/>
              </w:rPr>
              <w:t> </w:t>
            </w:r>
            <w:r>
              <w:rPr>
                <w:rFonts w:ascii="Arial"/>
                <w:i/>
                <w:sz w:val="20"/>
              </w:rPr>
              <w:t>Wales</w:t>
            </w:r>
            <w:r>
              <w:rPr>
                <w:rFonts w:ascii="Arial"/>
                <w:i/>
                <w:spacing w:val="27"/>
                <w:sz w:val="20"/>
              </w:rPr>
              <w:t> </w:t>
            </w:r>
            <w:r>
              <w:rPr>
                <w:rFonts w:ascii="Arial"/>
                <w:i/>
                <w:sz w:val="20"/>
              </w:rPr>
              <w:t>[2003]</w:t>
            </w:r>
            <w:r>
              <w:rPr>
                <w:rFonts w:ascii="Arial"/>
                <w:i/>
                <w:spacing w:val="27"/>
                <w:sz w:val="20"/>
              </w:rPr>
              <w:t> </w:t>
            </w:r>
            <w:r>
              <w:rPr>
                <w:rFonts w:ascii="Arial"/>
                <w:i/>
                <w:sz w:val="20"/>
              </w:rPr>
              <w:t>UKPC</w:t>
            </w:r>
            <w:r>
              <w:rPr>
                <w:rFonts w:ascii="Arial"/>
                <w:i/>
                <w:spacing w:val="27"/>
                <w:sz w:val="20"/>
              </w:rPr>
              <w:t> </w:t>
            </w:r>
            <w:r>
              <w:rPr>
                <w:rFonts w:ascii="Arial"/>
                <w:i/>
                <w:sz w:val="20"/>
              </w:rPr>
              <w:t>22,</w:t>
            </w:r>
            <w:r>
              <w:rPr>
                <w:rFonts w:ascii="Arial"/>
                <w:i/>
                <w:spacing w:val="27"/>
                <w:sz w:val="20"/>
              </w:rPr>
              <w:t> </w:t>
            </w:r>
            <w:r>
              <w:rPr>
                <w:rFonts w:ascii="Arial"/>
                <w:i/>
                <w:sz w:val="20"/>
              </w:rPr>
              <w:t>[2003]</w:t>
            </w:r>
            <w:r>
              <w:rPr>
                <w:rFonts w:ascii="Arial"/>
                <w:i/>
                <w:spacing w:val="27"/>
                <w:sz w:val="20"/>
              </w:rPr>
              <w:t> </w:t>
            </w:r>
            <w:r>
              <w:rPr>
                <w:rFonts w:ascii="Arial"/>
                <w:i/>
                <w:sz w:val="20"/>
              </w:rPr>
              <w:t>E.M.L.R.</w:t>
            </w:r>
            <w:r>
              <w:rPr>
                <w:rFonts w:ascii="Arial"/>
                <w:i/>
                <w:spacing w:val="27"/>
                <w:sz w:val="20"/>
              </w:rPr>
              <w:t> </w:t>
            </w:r>
            <w:r>
              <w:rPr>
                <w:rFonts w:ascii="Arial"/>
                <w:i/>
                <w:sz w:val="20"/>
              </w:rPr>
              <w:t>24</w:t>
            </w:r>
            <w:r>
              <w:rPr>
                <w:rFonts w:ascii="Arial"/>
                <w:i/>
                <w:spacing w:val="27"/>
                <w:sz w:val="20"/>
              </w:rPr>
              <w:t> </w:t>
            </w:r>
            <w:r>
              <w:rPr>
                <w:sz w:val="20"/>
              </w:rPr>
              <w:t>at</w:t>
            </w:r>
            <w:r>
              <w:rPr>
                <w:spacing w:val="27"/>
                <w:sz w:val="20"/>
              </w:rPr>
              <w:t> </w:t>
            </w:r>
            <w:r>
              <w:rPr>
                <w:sz w:val="20"/>
              </w:rPr>
              <w:t>[31];</w:t>
            </w:r>
            <w:r>
              <w:rPr>
                <w:spacing w:val="27"/>
                <w:sz w:val="20"/>
              </w:rPr>
              <w:t> </w:t>
            </w:r>
            <w:r>
              <w:rPr>
                <w:sz w:val="20"/>
              </w:rPr>
              <w:t>and</w:t>
            </w:r>
            <w:r>
              <w:rPr>
                <w:spacing w:val="27"/>
                <w:sz w:val="20"/>
              </w:rPr>
              <w:t> </w:t>
            </w:r>
            <w:r>
              <w:rPr>
                <w:sz w:val="20"/>
              </w:rPr>
              <w:t>see para.4-187 at nn.1198 and 1199.</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1261</w:t>
            </w:r>
            <w:r>
              <w:rPr>
                <w:spacing w:val="-2"/>
                <w:sz w:val="14"/>
              </w:rPr>
              <w:t>.</w:t>
            </w:r>
          </w:p>
        </w:tc>
        <w:tc>
          <w:tcPr>
            <w:tcW w:w="8621" w:type="dxa"/>
          </w:tcPr>
          <w:p>
            <w:pPr>
              <w:pStyle w:val="TableParagraph"/>
              <w:spacing w:before="114"/>
              <w:rPr>
                <w:sz w:val="20"/>
              </w:rPr>
            </w:pPr>
            <w:r>
              <w:rPr>
                <w:sz w:val="20"/>
              </w:rPr>
              <w:t>e.g. </w:t>
            </w:r>
            <w:r>
              <w:rPr>
                <w:rFonts w:ascii="Arial"/>
                <w:i/>
                <w:sz w:val="20"/>
              </w:rPr>
              <w:t>Wyatt v Kreglinger &amp; Fernau [1933] 1 K.B. </w:t>
            </w:r>
            <w:r>
              <w:rPr>
                <w:rFonts w:ascii="Arial"/>
                <w:i/>
                <w:spacing w:val="-4"/>
                <w:sz w:val="20"/>
              </w:rPr>
              <w:t>793</w:t>
            </w:r>
            <w:r>
              <w:rPr>
                <w:spacing w:val="-4"/>
                <w:sz w:val="20"/>
              </w:rPr>
              <w:t>.</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1262</w:t>
            </w:r>
            <w:r>
              <w:rPr>
                <w:spacing w:val="-2"/>
                <w:sz w:val="14"/>
              </w:rPr>
              <w:t>.</w:t>
            </w:r>
          </w:p>
        </w:tc>
        <w:tc>
          <w:tcPr>
            <w:tcW w:w="8621" w:type="dxa"/>
          </w:tcPr>
          <w:p>
            <w:pPr>
              <w:pStyle w:val="TableParagraph"/>
              <w:spacing w:before="114"/>
              <w:rPr>
                <w:sz w:val="20"/>
              </w:rPr>
            </w:pPr>
            <w:r>
              <w:rPr>
                <w:sz w:val="20"/>
              </w:rPr>
              <w:t>See</w:t>
            </w:r>
            <w:r>
              <w:rPr>
                <w:spacing w:val="-1"/>
                <w:sz w:val="20"/>
              </w:rPr>
              <w:t> </w:t>
            </w:r>
            <w:r>
              <w:rPr>
                <w:rFonts w:ascii="Arial"/>
                <w:i/>
                <w:sz w:val="20"/>
              </w:rPr>
              <w:t>Laythoarp v Bryant (1836) 2 Bing.N.C. </w:t>
            </w:r>
            <w:r>
              <w:rPr>
                <w:rFonts w:ascii="Arial"/>
                <w:i/>
                <w:spacing w:val="-4"/>
                <w:sz w:val="20"/>
              </w:rPr>
              <w:t>735</w:t>
            </w:r>
            <w:r>
              <w:rPr>
                <w:spacing w:val="-4"/>
                <w:sz w:val="20"/>
              </w:rPr>
              <w:t>.</w:t>
            </w:r>
          </w:p>
        </w:tc>
      </w:tr>
      <w:tr>
        <w:trPr>
          <w:trHeight w:val="690" w:hRule="atLeast"/>
        </w:trPr>
        <w:tc>
          <w:tcPr>
            <w:tcW w:w="496" w:type="dxa"/>
          </w:tcPr>
          <w:p>
            <w:pPr>
              <w:pStyle w:val="TableParagraph"/>
              <w:ind w:left="0" w:right="43"/>
              <w:jc w:val="center"/>
              <w:rPr>
                <w:sz w:val="14"/>
              </w:rPr>
            </w:pPr>
            <w:r>
              <w:rPr>
                <w:color w:val="005DA1"/>
                <w:spacing w:val="-2"/>
                <w:sz w:val="14"/>
                <w:u w:val="single" w:color="005DA1"/>
              </w:rPr>
              <w:t>1263</w:t>
            </w:r>
            <w:r>
              <w:rPr>
                <w:spacing w:val="-2"/>
                <w:sz w:val="14"/>
              </w:rPr>
              <w:t>.</w:t>
            </w:r>
          </w:p>
        </w:tc>
        <w:tc>
          <w:tcPr>
            <w:tcW w:w="8621" w:type="dxa"/>
          </w:tcPr>
          <w:p>
            <w:pPr>
              <w:pStyle w:val="TableParagraph"/>
              <w:spacing w:line="235" w:lineRule="auto" w:before="118"/>
              <w:rPr>
                <w:sz w:val="20"/>
              </w:rPr>
            </w:pPr>
            <w:r>
              <w:rPr>
                <w:sz w:val="20"/>
              </w:rPr>
              <w:t>Below,</w:t>
            </w:r>
            <w:r>
              <w:rPr>
                <w:spacing w:val="35"/>
                <w:sz w:val="20"/>
              </w:rPr>
              <w:t> </w:t>
            </w:r>
            <w:r>
              <w:rPr>
                <w:sz w:val="20"/>
              </w:rPr>
              <w:t>para.16-053.</w:t>
            </w:r>
            <w:r>
              <w:rPr>
                <w:spacing w:val="35"/>
                <w:sz w:val="20"/>
              </w:rPr>
              <w:t> </w:t>
            </w:r>
            <w:r>
              <w:rPr>
                <w:sz w:val="20"/>
              </w:rPr>
              <w:t>For</w:t>
            </w:r>
            <w:r>
              <w:rPr>
                <w:spacing w:val="35"/>
                <w:sz w:val="20"/>
              </w:rPr>
              <w:t> </w:t>
            </w:r>
            <w:r>
              <w:rPr>
                <w:sz w:val="20"/>
              </w:rPr>
              <w:t>more</w:t>
            </w:r>
            <w:r>
              <w:rPr>
                <w:spacing w:val="35"/>
                <w:sz w:val="20"/>
              </w:rPr>
              <w:t> </w:t>
            </w:r>
            <w:r>
              <w:rPr>
                <w:sz w:val="20"/>
              </w:rPr>
              <w:t>elaborate</w:t>
            </w:r>
            <w:r>
              <w:rPr>
                <w:spacing w:val="35"/>
                <w:sz w:val="20"/>
              </w:rPr>
              <w:t> </w:t>
            </w:r>
            <w:r>
              <w:rPr>
                <w:sz w:val="20"/>
              </w:rPr>
              <w:t>provisions</w:t>
            </w:r>
            <w:r>
              <w:rPr>
                <w:spacing w:val="35"/>
                <w:sz w:val="20"/>
              </w:rPr>
              <w:t> </w:t>
            </w:r>
            <w:r>
              <w:rPr>
                <w:sz w:val="20"/>
              </w:rPr>
              <w:t>of</w:t>
            </w:r>
            <w:r>
              <w:rPr>
                <w:spacing w:val="35"/>
                <w:sz w:val="20"/>
              </w:rPr>
              <w:t> </w:t>
            </w:r>
            <w:r>
              <w:rPr>
                <w:sz w:val="20"/>
              </w:rPr>
              <w:t>this</w:t>
            </w:r>
            <w:r>
              <w:rPr>
                <w:spacing w:val="35"/>
                <w:sz w:val="20"/>
              </w:rPr>
              <w:t> </w:t>
            </w:r>
            <w:r>
              <w:rPr>
                <w:sz w:val="20"/>
              </w:rPr>
              <w:t>kind,</w:t>
            </w:r>
            <w:r>
              <w:rPr>
                <w:spacing w:val="35"/>
                <w:sz w:val="20"/>
              </w:rPr>
              <w:t> </w:t>
            </w:r>
            <w:r>
              <w:rPr>
                <w:sz w:val="20"/>
              </w:rPr>
              <w:t>see</w:t>
            </w:r>
            <w:r>
              <w:rPr>
                <w:spacing w:val="35"/>
                <w:sz w:val="20"/>
              </w:rPr>
              <w:t> </w:t>
            </w:r>
            <w:r>
              <w:rPr>
                <w:sz w:val="20"/>
              </w:rPr>
              <w:t>Financial</w:t>
            </w:r>
            <w:r>
              <w:rPr>
                <w:spacing w:val="35"/>
                <w:sz w:val="20"/>
              </w:rPr>
              <w:t> </w:t>
            </w:r>
            <w:r>
              <w:rPr>
                <w:sz w:val="20"/>
              </w:rPr>
              <w:t>Services</w:t>
            </w:r>
            <w:r>
              <w:rPr>
                <w:spacing w:val="35"/>
                <w:sz w:val="20"/>
              </w:rPr>
              <w:t> </w:t>
            </w:r>
            <w:r>
              <w:rPr>
                <w:sz w:val="20"/>
              </w:rPr>
              <w:t>and Markets Act 2000, ss.20, 26–30.</w:t>
            </w:r>
          </w:p>
        </w:tc>
      </w:tr>
      <w:tr>
        <w:trPr>
          <w:trHeight w:val="1590" w:hRule="atLeast"/>
        </w:trPr>
        <w:tc>
          <w:tcPr>
            <w:tcW w:w="496" w:type="dxa"/>
          </w:tcPr>
          <w:p>
            <w:pPr>
              <w:pStyle w:val="TableParagraph"/>
              <w:ind w:left="0" w:right="43"/>
              <w:jc w:val="center"/>
              <w:rPr>
                <w:sz w:val="14"/>
              </w:rPr>
            </w:pPr>
            <w:r>
              <w:rPr>
                <w:color w:val="005DA1"/>
                <w:spacing w:val="-2"/>
                <w:sz w:val="14"/>
                <w:u w:val="single" w:color="005DA1"/>
              </w:rPr>
              <w:t>1264</w:t>
            </w:r>
            <w:r>
              <w:rPr>
                <w:spacing w:val="-2"/>
                <w:sz w:val="14"/>
              </w:rPr>
              <w:t>.</w:t>
            </w:r>
          </w:p>
        </w:tc>
        <w:tc>
          <w:tcPr>
            <w:tcW w:w="8621" w:type="dxa"/>
          </w:tcPr>
          <w:p>
            <w:pPr>
              <w:pStyle w:val="TableParagraph"/>
              <w:spacing w:line="235" w:lineRule="auto" w:before="118"/>
              <w:ind w:right="49"/>
              <w:jc w:val="both"/>
              <w:rPr>
                <w:sz w:val="20"/>
              </w:rPr>
            </w:pPr>
            <w:r>
              <w:rPr>
                <w:rFonts w:ascii="Arial" w:hAnsi="Arial"/>
                <w:i/>
                <w:sz w:val="20"/>
              </w:rPr>
              <w:t>Re</w:t>
            </w:r>
            <w:r>
              <w:rPr>
                <w:rFonts w:ascii="Arial" w:hAnsi="Arial"/>
                <w:i/>
                <w:spacing w:val="-3"/>
                <w:sz w:val="20"/>
              </w:rPr>
              <w:t> </w:t>
            </w:r>
            <w:r>
              <w:rPr>
                <w:rFonts w:ascii="Arial" w:hAnsi="Arial"/>
                <w:i/>
                <w:sz w:val="20"/>
              </w:rPr>
              <w:t>Kumar</w:t>
            </w:r>
            <w:r>
              <w:rPr>
                <w:rFonts w:ascii="Arial" w:hAnsi="Arial"/>
                <w:i/>
                <w:spacing w:val="-3"/>
                <w:sz w:val="20"/>
              </w:rPr>
              <w:t> </w:t>
            </w:r>
            <w:r>
              <w:rPr>
                <w:rFonts w:ascii="Arial" w:hAnsi="Arial"/>
                <w:i/>
                <w:sz w:val="20"/>
              </w:rPr>
              <w:t>[1993]</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W.L.R.</w:t>
            </w:r>
            <w:r>
              <w:rPr>
                <w:rFonts w:ascii="Arial" w:hAnsi="Arial"/>
                <w:i/>
                <w:spacing w:val="-3"/>
                <w:sz w:val="20"/>
              </w:rPr>
              <w:t> </w:t>
            </w:r>
            <w:r>
              <w:rPr>
                <w:rFonts w:ascii="Arial" w:hAnsi="Arial"/>
                <w:i/>
                <w:sz w:val="20"/>
              </w:rPr>
              <w:t>224</w:t>
            </w:r>
            <w:r>
              <w:rPr>
                <w:sz w:val="20"/>
              </w:rPr>
              <w:t>,</w:t>
            </w:r>
            <w:r>
              <w:rPr>
                <w:spacing w:val="-3"/>
                <w:sz w:val="20"/>
              </w:rPr>
              <w:t> </w:t>
            </w:r>
            <w:r>
              <w:rPr>
                <w:sz w:val="20"/>
              </w:rPr>
              <w:t>where</w:t>
            </w:r>
            <w:r>
              <w:rPr>
                <w:spacing w:val="-3"/>
                <w:sz w:val="20"/>
              </w:rPr>
              <w:t> </w:t>
            </w:r>
            <w:r>
              <w:rPr>
                <w:sz w:val="20"/>
              </w:rPr>
              <w:t>the</w:t>
            </w:r>
            <w:r>
              <w:rPr>
                <w:spacing w:val="-3"/>
                <w:sz w:val="20"/>
              </w:rPr>
              <w:t> </w:t>
            </w:r>
            <w:r>
              <w:rPr>
                <w:sz w:val="20"/>
              </w:rPr>
              <w:t>void</w:t>
            </w:r>
            <w:r>
              <w:rPr>
                <w:spacing w:val="-3"/>
                <w:sz w:val="20"/>
              </w:rPr>
              <w:t> </w:t>
            </w:r>
            <w:r>
              <w:rPr>
                <w:sz w:val="20"/>
              </w:rPr>
              <w:t>promise</w:t>
            </w:r>
            <w:r>
              <w:rPr>
                <w:spacing w:val="-3"/>
                <w:sz w:val="20"/>
              </w:rPr>
              <w:t> </w:t>
            </w:r>
            <w:r>
              <w:rPr>
                <w:sz w:val="20"/>
              </w:rPr>
              <w:t>was</w:t>
            </w:r>
            <w:r>
              <w:rPr>
                <w:spacing w:val="-3"/>
                <w:sz w:val="20"/>
              </w:rPr>
              <w:t> </w:t>
            </w:r>
            <w:r>
              <w:rPr>
                <w:sz w:val="20"/>
              </w:rPr>
              <w:t>held</w:t>
            </w:r>
            <w:r>
              <w:rPr>
                <w:spacing w:val="-3"/>
                <w:sz w:val="20"/>
              </w:rPr>
              <w:t> </w:t>
            </w:r>
            <w:r>
              <w:rPr>
                <w:sz w:val="20"/>
              </w:rPr>
              <w:t>not</w:t>
            </w:r>
            <w:r>
              <w:rPr>
                <w:spacing w:val="-3"/>
                <w:sz w:val="20"/>
              </w:rPr>
              <w:t> </w:t>
            </w:r>
            <w:r>
              <w:rPr>
                <w:sz w:val="20"/>
              </w:rPr>
              <w:t>to</w:t>
            </w:r>
            <w:r>
              <w:rPr>
                <w:spacing w:val="-3"/>
                <w:sz w:val="20"/>
              </w:rPr>
              <w:t> </w:t>
            </w:r>
            <w:r>
              <w:rPr>
                <w:sz w:val="20"/>
              </w:rPr>
              <w:t>constitute</w:t>
            </w:r>
            <w:r>
              <w:rPr>
                <w:spacing w:val="-3"/>
                <w:sz w:val="20"/>
              </w:rPr>
              <w:t> </w:t>
            </w:r>
            <w:r>
              <w:rPr>
                <w:sz w:val="20"/>
              </w:rPr>
              <w:t>consideration for the purpose of Insolvency Act 1986, s.339. The common law rule that, because a wife’s promise not to seek a court order for maintenance was of no effect in law, it could not constitute consideration for her husband’s promise for maintenance was described as “unfortunate” by Lord Phillips P. in </w:t>
            </w:r>
            <w:r>
              <w:rPr>
                <w:rFonts w:ascii="Arial" w:hAnsi="Arial"/>
                <w:i/>
                <w:sz w:val="20"/>
              </w:rPr>
              <w:t>Radmacher v Granatino [2010] UKSC 42, [2011] 1 A.C. 534 </w:t>
            </w:r>
            <w:r>
              <w:rPr>
                <w:sz w:val="20"/>
              </w:rPr>
              <w:t>at [39]. The rule has been reversed by statute: see above at n.1208.</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1265</w:t>
            </w:r>
            <w:r>
              <w:rPr>
                <w:spacing w:val="-2"/>
                <w:sz w:val="14"/>
              </w:rPr>
              <w:t>.</w:t>
            </w:r>
          </w:p>
        </w:tc>
        <w:tc>
          <w:tcPr>
            <w:tcW w:w="8621" w:type="dxa"/>
          </w:tcPr>
          <w:p>
            <w:pPr>
              <w:pStyle w:val="TableParagraph"/>
              <w:spacing w:before="114"/>
              <w:rPr>
                <w:sz w:val="20"/>
              </w:rPr>
            </w:pPr>
            <w:r>
              <w:rPr>
                <w:rFonts w:ascii="Arial"/>
                <w:i/>
                <w:sz w:val="20"/>
              </w:rPr>
              <w:t>Clayton v Jennings (1760) 2 W.Bl. </w:t>
            </w:r>
            <w:r>
              <w:rPr>
                <w:rFonts w:ascii="Arial"/>
                <w:i/>
                <w:spacing w:val="-4"/>
                <w:sz w:val="20"/>
              </w:rPr>
              <w:t>706</w:t>
            </w:r>
            <w:r>
              <w:rPr>
                <w:spacing w:val="-4"/>
                <w:sz w:val="20"/>
              </w:rPr>
              <w:t>.</w:t>
            </w:r>
          </w:p>
        </w:tc>
      </w:tr>
      <w:tr>
        <w:trPr>
          <w:trHeight w:val="690" w:hRule="atLeast"/>
        </w:trPr>
        <w:tc>
          <w:tcPr>
            <w:tcW w:w="496" w:type="dxa"/>
          </w:tcPr>
          <w:p>
            <w:pPr>
              <w:pStyle w:val="TableParagraph"/>
              <w:ind w:left="0" w:right="43"/>
              <w:jc w:val="center"/>
              <w:rPr>
                <w:sz w:val="14"/>
              </w:rPr>
            </w:pPr>
            <w:r>
              <w:rPr>
                <w:color w:val="005DA1"/>
                <w:spacing w:val="-2"/>
                <w:sz w:val="14"/>
                <w:u w:val="single" w:color="005DA1"/>
              </w:rPr>
              <w:t>1266</w:t>
            </w:r>
            <w:r>
              <w:rPr>
                <w:spacing w:val="-2"/>
                <w:sz w:val="14"/>
              </w:rPr>
              <w:t>.</w:t>
            </w:r>
          </w:p>
        </w:tc>
        <w:tc>
          <w:tcPr>
            <w:tcW w:w="8621" w:type="dxa"/>
          </w:tcPr>
          <w:p>
            <w:pPr>
              <w:pStyle w:val="TableParagraph"/>
              <w:spacing w:line="227" w:lineRule="exact" w:before="114"/>
              <w:rPr>
                <w:sz w:val="20"/>
              </w:rPr>
            </w:pPr>
            <w:r>
              <w:rPr>
                <w:rFonts w:ascii="Arial"/>
                <w:i/>
                <w:sz w:val="20"/>
              </w:rPr>
              <w:t>Rajbenback</w:t>
            </w:r>
            <w:r>
              <w:rPr>
                <w:rFonts w:ascii="Arial"/>
                <w:i/>
                <w:spacing w:val="26"/>
                <w:sz w:val="20"/>
              </w:rPr>
              <w:t> </w:t>
            </w:r>
            <w:r>
              <w:rPr>
                <w:rFonts w:ascii="Arial"/>
                <w:i/>
                <w:sz w:val="20"/>
              </w:rPr>
              <w:t>v</w:t>
            </w:r>
            <w:r>
              <w:rPr>
                <w:rFonts w:ascii="Arial"/>
                <w:i/>
                <w:spacing w:val="27"/>
                <w:sz w:val="20"/>
              </w:rPr>
              <w:t> </w:t>
            </w:r>
            <w:r>
              <w:rPr>
                <w:rFonts w:ascii="Arial"/>
                <w:i/>
                <w:sz w:val="20"/>
              </w:rPr>
              <w:t>Mamon</w:t>
            </w:r>
            <w:r>
              <w:rPr>
                <w:rFonts w:ascii="Arial"/>
                <w:i/>
                <w:spacing w:val="27"/>
                <w:sz w:val="20"/>
              </w:rPr>
              <w:t> </w:t>
            </w:r>
            <w:r>
              <w:rPr>
                <w:rFonts w:ascii="Arial"/>
                <w:i/>
                <w:sz w:val="20"/>
              </w:rPr>
              <w:t>[1955]</w:t>
            </w:r>
            <w:r>
              <w:rPr>
                <w:rFonts w:ascii="Arial"/>
                <w:i/>
                <w:spacing w:val="27"/>
                <w:sz w:val="20"/>
              </w:rPr>
              <w:t> </w:t>
            </w:r>
            <w:r>
              <w:rPr>
                <w:rFonts w:ascii="Arial"/>
                <w:i/>
                <w:sz w:val="20"/>
              </w:rPr>
              <w:t>1</w:t>
            </w:r>
            <w:r>
              <w:rPr>
                <w:rFonts w:ascii="Arial"/>
                <w:i/>
                <w:spacing w:val="27"/>
                <w:sz w:val="20"/>
              </w:rPr>
              <w:t> </w:t>
            </w:r>
            <w:r>
              <w:rPr>
                <w:rFonts w:ascii="Arial"/>
                <w:i/>
                <w:sz w:val="20"/>
              </w:rPr>
              <w:t>Q.B.</w:t>
            </w:r>
            <w:r>
              <w:rPr>
                <w:rFonts w:ascii="Arial"/>
                <w:i/>
                <w:spacing w:val="27"/>
                <w:sz w:val="20"/>
              </w:rPr>
              <w:t> </w:t>
            </w:r>
            <w:r>
              <w:rPr>
                <w:rFonts w:ascii="Arial"/>
                <w:i/>
                <w:sz w:val="20"/>
              </w:rPr>
              <w:t>283</w:t>
            </w:r>
            <w:r>
              <w:rPr>
                <w:rFonts w:ascii="Arial"/>
                <w:i/>
                <w:spacing w:val="27"/>
                <w:sz w:val="20"/>
              </w:rPr>
              <w:t> </w:t>
            </w:r>
            <w:r>
              <w:rPr>
                <w:sz w:val="20"/>
              </w:rPr>
              <w:t>as</w:t>
            </w:r>
            <w:r>
              <w:rPr>
                <w:spacing w:val="27"/>
                <w:sz w:val="20"/>
              </w:rPr>
              <w:t> </w:t>
            </w:r>
            <w:r>
              <w:rPr>
                <w:sz w:val="20"/>
              </w:rPr>
              <w:t>explained</w:t>
            </w:r>
            <w:r>
              <w:rPr>
                <w:spacing w:val="27"/>
                <w:sz w:val="20"/>
              </w:rPr>
              <w:t> </w:t>
            </w:r>
            <w:r>
              <w:rPr>
                <w:sz w:val="20"/>
              </w:rPr>
              <w:t>in</w:t>
            </w:r>
            <w:r>
              <w:rPr>
                <w:spacing w:val="27"/>
                <w:sz w:val="20"/>
              </w:rPr>
              <w:t> </w:t>
            </w:r>
            <w:r>
              <w:rPr>
                <w:rFonts w:ascii="Arial"/>
                <w:i/>
                <w:sz w:val="20"/>
              </w:rPr>
              <w:t>(1961)</w:t>
            </w:r>
            <w:r>
              <w:rPr>
                <w:rFonts w:ascii="Arial"/>
                <w:i/>
                <w:spacing w:val="27"/>
                <w:sz w:val="20"/>
              </w:rPr>
              <w:t> </w:t>
            </w:r>
            <w:r>
              <w:rPr>
                <w:rFonts w:ascii="Arial"/>
                <w:i/>
                <w:sz w:val="20"/>
              </w:rPr>
              <w:t>77</w:t>
            </w:r>
            <w:r>
              <w:rPr>
                <w:rFonts w:ascii="Arial"/>
                <w:i/>
                <w:spacing w:val="27"/>
                <w:sz w:val="20"/>
              </w:rPr>
              <w:t> </w:t>
            </w:r>
            <w:r>
              <w:rPr>
                <w:rFonts w:ascii="Arial"/>
                <w:i/>
                <w:sz w:val="20"/>
              </w:rPr>
              <w:t>L.Q.R.</w:t>
            </w:r>
            <w:r>
              <w:rPr>
                <w:rFonts w:ascii="Arial"/>
                <w:i/>
                <w:spacing w:val="27"/>
                <w:sz w:val="20"/>
              </w:rPr>
              <w:t> </w:t>
            </w:r>
            <w:r>
              <w:rPr>
                <w:rFonts w:ascii="Arial"/>
                <w:i/>
                <w:sz w:val="20"/>
              </w:rPr>
              <w:t>83,</w:t>
            </w:r>
            <w:r>
              <w:rPr>
                <w:rFonts w:ascii="Arial"/>
                <w:i/>
                <w:spacing w:val="27"/>
                <w:sz w:val="20"/>
              </w:rPr>
              <w:t> </w:t>
            </w:r>
            <w:r>
              <w:rPr>
                <w:rFonts w:ascii="Arial"/>
                <w:i/>
                <w:sz w:val="20"/>
              </w:rPr>
              <w:t>95</w:t>
            </w:r>
            <w:r>
              <w:rPr>
                <w:sz w:val="20"/>
              </w:rPr>
              <w:t>;</w:t>
            </w:r>
            <w:r>
              <w:rPr>
                <w:spacing w:val="27"/>
                <w:sz w:val="20"/>
              </w:rPr>
              <w:t> </w:t>
            </w:r>
            <w:r>
              <w:rPr>
                <w:sz w:val="20"/>
              </w:rPr>
              <w:t>cf.</w:t>
            </w:r>
            <w:r>
              <w:rPr>
                <w:spacing w:val="27"/>
                <w:sz w:val="20"/>
              </w:rPr>
              <w:t> </w:t>
            </w:r>
            <w:r>
              <w:rPr>
                <w:spacing w:val="-2"/>
                <w:sz w:val="20"/>
              </w:rPr>
              <w:t>Unger</w:t>
            </w:r>
          </w:p>
          <w:p>
            <w:pPr>
              <w:pStyle w:val="TableParagraph"/>
              <w:spacing w:line="227" w:lineRule="exact" w:before="0"/>
              <w:rPr>
                <w:sz w:val="20"/>
              </w:rPr>
            </w:pPr>
            <w:r>
              <w:rPr>
                <w:sz w:val="20"/>
              </w:rPr>
              <w:t>(1956) 19 M.L.R. </w:t>
            </w:r>
            <w:r>
              <w:rPr>
                <w:spacing w:val="-5"/>
                <w:sz w:val="20"/>
              </w:rPr>
              <w:t>99.</w:t>
            </w:r>
          </w:p>
        </w:tc>
      </w:tr>
      <w:tr>
        <w:trPr>
          <w:trHeight w:val="690" w:hRule="atLeast"/>
        </w:trPr>
        <w:tc>
          <w:tcPr>
            <w:tcW w:w="496" w:type="dxa"/>
          </w:tcPr>
          <w:p>
            <w:pPr>
              <w:pStyle w:val="TableParagraph"/>
              <w:ind w:left="0" w:right="43"/>
              <w:jc w:val="center"/>
              <w:rPr>
                <w:sz w:val="14"/>
              </w:rPr>
            </w:pPr>
            <w:r>
              <w:rPr>
                <w:color w:val="005DA1"/>
                <w:spacing w:val="-2"/>
                <w:sz w:val="14"/>
                <w:u w:val="single" w:color="005DA1"/>
              </w:rPr>
              <w:t>1267</w:t>
            </w:r>
            <w:r>
              <w:rPr>
                <w:spacing w:val="-2"/>
                <w:sz w:val="14"/>
              </w:rPr>
              <w:t>.</w:t>
            </w:r>
          </w:p>
        </w:tc>
        <w:tc>
          <w:tcPr>
            <w:tcW w:w="8621" w:type="dxa"/>
          </w:tcPr>
          <w:p>
            <w:pPr>
              <w:pStyle w:val="TableParagraph"/>
              <w:spacing w:line="235" w:lineRule="auto" w:before="118"/>
              <w:ind w:right="49"/>
              <w:rPr>
                <w:sz w:val="20"/>
              </w:rPr>
            </w:pPr>
            <w:r>
              <w:rPr>
                <w:sz w:val="20"/>
              </w:rPr>
              <w:t>2005</w:t>
            </w:r>
            <w:r>
              <w:rPr>
                <w:spacing w:val="34"/>
                <w:sz w:val="20"/>
              </w:rPr>
              <w:t> </w:t>
            </w:r>
            <w:r>
              <w:rPr>
                <w:sz w:val="20"/>
              </w:rPr>
              <w:t>Act,</w:t>
            </w:r>
            <w:r>
              <w:rPr>
                <w:spacing w:val="34"/>
                <w:sz w:val="20"/>
              </w:rPr>
              <w:t> </w:t>
            </w:r>
            <w:r>
              <w:rPr>
                <w:sz w:val="20"/>
              </w:rPr>
              <w:t>ss.334(1),</w:t>
            </w:r>
            <w:r>
              <w:rPr>
                <w:spacing w:val="34"/>
                <w:sz w:val="20"/>
              </w:rPr>
              <w:t> </w:t>
            </w:r>
            <w:r>
              <w:rPr>
                <w:sz w:val="20"/>
              </w:rPr>
              <w:t>356(3),</w:t>
            </w:r>
            <w:r>
              <w:rPr>
                <w:spacing w:val="34"/>
                <w:sz w:val="20"/>
              </w:rPr>
              <w:t> </w:t>
            </w:r>
            <w:r>
              <w:rPr>
                <w:sz w:val="20"/>
              </w:rPr>
              <w:t>356(1)</w:t>
            </w:r>
            <w:r>
              <w:rPr>
                <w:spacing w:val="34"/>
                <w:sz w:val="20"/>
              </w:rPr>
              <w:t> </w:t>
            </w:r>
            <w:r>
              <w:rPr>
                <w:sz w:val="20"/>
              </w:rPr>
              <w:t>and</w:t>
            </w:r>
            <w:r>
              <w:rPr>
                <w:spacing w:val="34"/>
                <w:sz w:val="20"/>
              </w:rPr>
              <w:t> </w:t>
            </w:r>
            <w:r>
              <w:rPr>
                <w:sz w:val="20"/>
              </w:rPr>
              <w:t>Sch.16.</w:t>
            </w:r>
            <w:r>
              <w:rPr>
                <w:spacing w:val="34"/>
                <w:sz w:val="20"/>
              </w:rPr>
              <w:t> </w:t>
            </w:r>
            <w:r>
              <w:rPr>
                <w:sz w:val="20"/>
              </w:rPr>
              <w:t>The</w:t>
            </w:r>
            <w:r>
              <w:rPr>
                <w:spacing w:val="34"/>
                <w:sz w:val="20"/>
              </w:rPr>
              <w:t> </w:t>
            </w:r>
            <w:r>
              <w:rPr>
                <w:sz w:val="20"/>
              </w:rPr>
              <w:t>2005</w:t>
            </w:r>
            <w:r>
              <w:rPr>
                <w:spacing w:val="34"/>
                <w:sz w:val="20"/>
              </w:rPr>
              <w:t> </w:t>
            </w:r>
            <w:r>
              <w:rPr>
                <w:sz w:val="20"/>
              </w:rPr>
              <w:t>Act</w:t>
            </w:r>
            <w:r>
              <w:rPr>
                <w:spacing w:val="34"/>
                <w:sz w:val="20"/>
              </w:rPr>
              <w:t> </w:t>
            </w:r>
            <w:r>
              <w:rPr>
                <w:sz w:val="20"/>
              </w:rPr>
              <w:t>is</w:t>
            </w:r>
            <w:r>
              <w:rPr>
                <w:spacing w:val="34"/>
                <w:sz w:val="20"/>
              </w:rPr>
              <w:t> </w:t>
            </w:r>
            <w:r>
              <w:rPr>
                <w:sz w:val="20"/>
              </w:rPr>
              <w:t>discussed</w:t>
            </w:r>
            <w:r>
              <w:rPr>
                <w:spacing w:val="34"/>
                <w:sz w:val="20"/>
              </w:rPr>
              <w:t> </w:t>
            </w:r>
            <w:r>
              <w:rPr>
                <w:sz w:val="20"/>
              </w:rPr>
              <w:t>in</w:t>
            </w:r>
            <w:r>
              <w:rPr>
                <w:spacing w:val="34"/>
                <w:sz w:val="20"/>
              </w:rPr>
              <w:t> </w:t>
            </w:r>
            <w:r>
              <w:rPr>
                <w:sz w:val="20"/>
              </w:rPr>
              <w:t>Vol.II,</w:t>
            </w:r>
            <w:r>
              <w:rPr>
                <w:spacing w:val="34"/>
                <w:sz w:val="20"/>
              </w:rPr>
              <w:t> </w:t>
            </w:r>
            <w:r>
              <w:rPr>
                <w:sz w:val="20"/>
              </w:rPr>
              <w:t>paras 41-003 et seq.</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1268</w:t>
            </w:r>
            <w:r>
              <w:rPr>
                <w:spacing w:val="-2"/>
                <w:sz w:val="14"/>
              </w:rPr>
              <w:t>.</w:t>
            </w:r>
          </w:p>
        </w:tc>
        <w:tc>
          <w:tcPr>
            <w:tcW w:w="8621" w:type="dxa"/>
          </w:tcPr>
          <w:p>
            <w:pPr>
              <w:pStyle w:val="TableParagraph"/>
              <w:spacing w:before="114"/>
              <w:rPr>
                <w:sz w:val="20"/>
              </w:rPr>
            </w:pPr>
            <w:r>
              <w:rPr>
                <w:sz w:val="20"/>
              </w:rPr>
              <w:t>2005 Act, s.335(2), below, Vol.II, para.41-</w:t>
            </w:r>
            <w:r>
              <w:rPr>
                <w:spacing w:val="-4"/>
                <w:sz w:val="20"/>
              </w:rPr>
              <w:t>017.</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1269</w:t>
            </w:r>
            <w:r>
              <w:rPr>
                <w:spacing w:val="-2"/>
                <w:sz w:val="14"/>
              </w:rPr>
              <w:t>.</w:t>
            </w:r>
          </w:p>
        </w:tc>
        <w:tc>
          <w:tcPr>
            <w:tcW w:w="8621" w:type="dxa"/>
          </w:tcPr>
          <w:p>
            <w:pPr>
              <w:pStyle w:val="TableParagraph"/>
              <w:spacing w:before="114"/>
              <w:rPr>
                <w:sz w:val="20"/>
              </w:rPr>
            </w:pPr>
            <w:r>
              <w:rPr>
                <w:sz w:val="20"/>
              </w:rPr>
              <w:t>See below, Vol.II, paras 41-018, 41-</w:t>
            </w:r>
            <w:r>
              <w:rPr>
                <w:spacing w:val="-4"/>
                <w:sz w:val="20"/>
              </w:rPr>
              <w:t>019.</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1270</w:t>
            </w:r>
            <w:r>
              <w:rPr>
                <w:spacing w:val="-2"/>
                <w:sz w:val="14"/>
              </w:rPr>
              <w:t>.</w:t>
            </w:r>
          </w:p>
        </w:tc>
        <w:tc>
          <w:tcPr>
            <w:tcW w:w="8621" w:type="dxa"/>
          </w:tcPr>
          <w:p>
            <w:pPr>
              <w:pStyle w:val="TableParagraph"/>
              <w:spacing w:before="114"/>
              <w:rPr>
                <w:sz w:val="20"/>
              </w:rPr>
            </w:pPr>
            <w:r>
              <w:rPr>
                <w:sz w:val="20"/>
              </w:rPr>
              <w:t>See below, paras 16-011 et </w:t>
            </w:r>
            <w:r>
              <w:rPr>
                <w:spacing w:val="-4"/>
                <w:sz w:val="20"/>
              </w:rPr>
              <w:t>seq.</w:t>
            </w:r>
          </w:p>
        </w:tc>
      </w:tr>
      <w:tr>
        <w:trPr>
          <w:trHeight w:val="1365" w:hRule="atLeast"/>
        </w:trPr>
        <w:tc>
          <w:tcPr>
            <w:tcW w:w="496" w:type="dxa"/>
          </w:tcPr>
          <w:p>
            <w:pPr>
              <w:pStyle w:val="TableParagraph"/>
              <w:ind w:left="0" w:right="43"/>
              <w:jc w:val="center"/>
              <w:rPr>
                <w:sz w:val="14"/>
              </w:rPr>
            </w:pPr>
            <w:r>
              <w:rPr>
                <w:color w:val="005DA1"/>
                <w:spacing w:val="-2"/>
                <w:sz w:val="14"/>
                <w:u w:val="single" w:color="005DA1"/>
              </w:rPr>
              <w:t>1271</w:t>
            </w:r>
            <w:r>
              <w:rPr>
                <w:spacing w:val="-2"/>
                <w:sz w:val="14"/>
              </w:rPr>
              <w:t>.</w:t>
            </w:r>
          </w:p>
        </w:tc>
        <w:tc>
          <w:tcPr>
            <w:tcW w:w="8621" w:type="dxa"/>
          </w:tcPr>
          <w:p>
            <w:pPr>
              <w:pStyle w:val="TableParagraph"/>
              <w:spacing w:line="235" w:lineRule="auto" w:before="118"/>
              <w:ind w:right="49"/>
              <w:jc w:val="both"/>
              <w:rPr>
                <w:sz w:val="20"/>
              </w:rPr>
            </w:pPr>
            <w:r>
              <w:rPr>
                <w:sz w:val="20"/>
              </w:rPr>
              <w:t>See the discussion in </w:t>
            </w:r>
            <w:r>
              <w:rPr>
                <w:rFonts w:ascii="Arial" w:hAnsi="Arial"/>
                <w:i/>
                <w:sz w:val="20"/>
              </w:rPr>
              <w:t>Ritz Hotel Casino Ltd v Al Daher [2014] EWHC 2847 (QB) </w:t>
            </w:r>
            <w:r>
              <w:rPr>
                <w:sz w:val="20"/>
              </w:rPr>
              <w:t>(below, Vol.II, para.41-019 n.102) of the effects of “unlawfulness” on the enforceability of a contract relating to gambling under s. 335(2) of the Gambling Act 2005; and cf. below para.16-158 and </w:t>
            </w:r>
            <w:r>
              <w:rPr>
                <w:sz w:val="20"/>
              </w:rPr>
              <w:t>Vol.II, para.41-043 n.263. The actual decision on the </w:t>
            </w:r>
            <w:r>
              <w:rPr>
                <w:rFonts w:ascii="Arial" w:hAnsi="Arial"/>
                <w:i/>
                <w:sz w:val="20"/>
              </w:rPr>
              <w:t>Ritz Hotel </w:t>
            </w:r>
            <w:r>
              <w:rPr>
                <w:sz w:val="20"/>
              </w:rPr>
              <w:t>case (above) was that there had been no “unlawfulness”: see below, Vol.II, para.41-019 n.110.</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1272</w:t>
            </w:r>
            <w:r>
              <w:rPr>
                <w:spacing w:val="-2"/>
                <w:sz w:val="14"/>
              </w:rPr>
              <w:t>.</w:t>
            </w:r>
          </w:p>
        </w:tc>
        <w:tc>
          <w:tcPr>
            <w:tcW w:w="8621" w:type="dxa"/>
          </w:tcPr>
          <w:p>
            <w:pPr>
              <w:pStyle w:val="TableParagraph"/>
              <w:spacing w:before="114"/>
              <w:rPr>
                <w:sz w:val="20"/>
              </w:rPr>
            </w:pPr>
            <w:r>
              <w:rPr>
                <w:sz w:val="20"/>
              </w:rPr>
              <w:t>See above, </w:t>
            </w:r>
            <w:r>
              <w:rPr>
                <w:spacing w:val="-2"/>
                <w:sz w:val="20"/>
              </w:rPr>
              <w:t>n.1216.</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1273</w:t>
            </w:r>
            <w:r>
              <w:rPr>
                <w:spacing w:val="-2"/>
                <w:sz w:val="14"/>
              </w:rPr>
              <w:t>.</w:t>
            </w:r>
          </w:p>
        </w:tc>
        <w:tc>
          <w:tcPr>
            <w:tcW w:w="8621" w:type="dxa"/>
          </w:tcPr>
          <w:p>
            <w:pPr>
              <w:pStyle w:val="TableParagraph"/>
              <w:spacing w:before="114"/>
              <w:rPr>
                <w:sz w:val="20"/>
              </w:rPr>
            </w:pPr>
            <w:r>
              <w:rPr>
                <w:sz w:val="20"/>
              </w:rPr>
              <w:t>ss.336(2) and (3), below, Vol.II, para.41-</w:t>
            </w:r>
            <w:r>
              <w:rPr>
                <w:spacing w:val="-4"/>
                <w:sz w:val="20"/>
              </w:rPr>
              <w:t>022.</w:t>
            </w:r>
          </w:p>
        </w:tc>
      </w:tr>
      <w:tr>
        <w:trPr>
          <w:trHeight w:val="690" w:hRule="atLeast"/>
        </w:trPr>
        <w:tc>
          <w:tcPr>
            <w:tcW w:w="496" w:type="dxa"/>
          </w:tcPr>
          <w:p>
            <w:pPr>
              <w:pStyle w:val="TableParagraph"/>
              <w:ind w:left="0" w:right="43"/>
              <w:jc w:val="center"/>
              <w:rPr>
                <w:sz w:val="14"/>
              </w:rPr>
            </w:pPr>
            <w:r>
              <w:rPr>
                <w:color w:val="005DA1"/>
                <w:spacing w:val="-2"/>
                <w:sz w:val="14"/>
                <w:u w:val="single" w:color="005DA1"/>
              </w:rPr>
              <w:t>1274</w:t>
            </w:r>
            <w:r>
              <w:rPr>
                <w:spacing w:val="-2"/>
                <w:sz w:val="14"/>
              </w:rPr>
              <w:t>.</w:t>
            </w:r>
          </w:p>
        </w:tc>
        <w:tc>
          <w:tcPr>
            <w:tcW w:w="8621" w:type="dxa"/>
          </w:tcPr>
          <w:p>
            <w:pPr>
              <w:pStyle w:val="TableParagraph"/>
              <w:spacing w:line="227" w:lineRule="exact" w:before="114"/>
              <w:rPr>
                <w:sz w:val="20"/>
              </w:rPr>
            </w:pPr>
            <w:r>
              <w:rPr>
                <w:sz w:val="20"/>
              </w:rPr>
              <w:t>In</w:t>
            </w:r>
            <w:r>
              <w:rPr>
                <w:spacing w:val="15"/>
                <w:sz w:val="20"/>
              </w:rPr>
              <w:t> </w:t>
            </w:r>
            <w:r>
              <w:rPr>
                <w:sz w:val="20"/>
              </w:rPr>
              <w:t>spite</w:t>
            </w:r>
            <w:r>
              <w:rPr>
                <w:spacing w:val="15"/>
                <w:sz w:val="20"/>
              </w:rPr>
              <w:t> </w:t>
            </w:r>
            <w:r>
              <w:rPr>
                <w:sz w:val="20"/>
              </w:rPr>
              <w:t>of</w:t>
            </w:r>
            <w:r>
              <w:rPr>
                <w:spacing w:val="15"/>
                <w:sz w:val="20"/>
              </w:rPr>
              <w:t> </w:t>
            </w:r>
            <w:r>
              <w:rPr>
                <w:sz w:val="20"/>
              </w:rPr>
              <w:t>its</w:t>
            </w:r>
            <w:r>
              <w:rPr>
                <w:spacing w:val="15"/>
                <w:sz w:val="20"/>
              </w:rPr>
              <w:t> </w:t>
            </w:r>
            <w:r>
              <w:rPr>
                <w:sz w:val="20"/>
              </w:rPr>
              <w:t>title,</w:t>
            </w:r>
            <w:r>
              <w:rPr>
                <w:spacing w:val="15"/>
                <w:sz w:val="20"/>
              </w:rPr>
              <w:t> </w:t>
            </w:r>
            <w:r>
              <w:rPr>
                <w:sz w:val="20"/>
              </w:rPr>
              <w:t>the</w:t>
            </w:r>
            <w:r>
              <w:rPr>
                <w:spacing w:val="15"/>
                <w:sz w:val="20"/>
              </w:rPr>
              <w:t> </w:t>
            </w:r>
            <w:r>
              <w:rPr>
                <w:sz w:val="20"/>
              </w:rPr>
              <w:t>Act</w:t>
            </w:r>
            <w:r>
              <w:rPr>
                <w:spacing w:val="15"/>
                <w:sz w:val="20"/>
              </w:rPr>
              <w:t> </w:t>
            </w:r>
            <w:r>
              <w:rPr>
                <w:sz w:val="20"/>
              </w:rPr>
              <w:t>applies</w:t>
            </w:r>
            <w:r>
              <w:rPr>
                <w:spacing w:val="15"/>
                <w:sz w:val="20"/>
              </w:rPr>
              <w:t> </w:t>
            </w:r>
            <w:r>
              <w:rPr>
                <w:sz w:val="20"/>
              </w:rPr>
              <w:t>(where</w:t>
            </w:r>
            <w:r>
              <w:rPr>
                <w:spacing w:val="15"/>
                <w:sz w:val="20"/>
              </w:rPr>
              <w:t> </w:t>
            </w:r>
            <w:r>
              <w:rPr>
                <w:sz w:val="20"/>
              </w:rPr>
              <w:t>appropriate)</w:t>
            </w:r>
            <w:r>
              <w:rPr>
                <w:spacing w:val="15"/>
                <w:sz w:val="20"/>
              </w:rPr>
              <w:t> </w:t>
            </w:r>
            <w:r>
              <w:rPr>
                <w:sz w:val="20"/>
              </w:rPr>
              <w:t>to</w:t>
            </w:r>
            <w:r>
              <w:rPr>
                <w:spacing w:val="15"/>
                <w:sz w:val="20"/>
              </w:rPr>
              <w:t> </w:t>
            </w:r>
            <w:r>
              <w:rPr>
                <w:sz w:val="20"/>
              </w:rPr>
              <w:t>contracts</w:t>
            </w:r>
            <w:r>
              <w:rPr>
                <w:spacing w:val="15"/>
                <w:sz w:val="20"/>
              </w:rPr>
              <w:t> </w:t>
            </w:r>
            <w:r>
              <w:rPr>
                <w:sz w:val="20"/>
              </w:rPr>
              <w:t>of</w:t>
            </w:r>
            <w:r>
              <w:rPr>
                <w:spacing w:val="15"/>
                <w:sz w:val="20"/>
              </w:rPr>
              <w:t> </w:t>
            </w:r>
            <w:r>
              <w:rPr>
                <w:sz w:val="20"/>
              </w:rPr>
              <w:t>insurance</w:t>
            </w:r>
            <w:r>
              <w:rPr>
                <w:spacing w:val="15"/>
                <w:sz w:val="20"/>
              </w:rPr>
              <w:t> </w:t>
            </w:r>
            <w:r>
              <w:rPr>
                <w:sz w:val="20"/>
              </w:rPr>
              <w:t>generally:</w:t>
            </w:r>
            <w:r>
              <w:rPr>
                <w:spacing w:val="15"/>
                <w:sz w:val="20"/>
              </w:rPr>
              <w:t> </w:t>
            </w:r>
            <w:r>
              <w:rPr>
                <w:spacing w:val="-5"/>
                <w:sz w:val="20"/>
              </w:rPr>
              <w:t>see</w:t>
            </w:r>
          </w:p>
          <w:p>
            <w:pPr>
              <w:pStyle w:val="TableParagraph"/>
              <w:spacing w:line="227" w:lineRule="exact" w:before="0"/>
              <w:rPr>
                <w:sz w:val="20"/>
              </w:rPr>
            </w:pPr>
            <w:r>
              <w:rPr>
                <w:rFonts w:ascii="Arial"/>
                <w:i/>
                <w:sz w:val="20"/>
              </w:rPr>
              <w:t>Locker &amp; Woolf Ltd v W. Australian Insurance Co Ltd [1936] 1 K.B. 408</w:t>
            </w:r>
            <w:r>
              <w:rPr>
                <w:rFonts w:ascii="Arial"/>
                <w:i/>
                <w:spacing w:val="-1"/>
                <w:sz w:val="20"/>
              </w:rPr>
              <w:t> </w:t>
            </w:r>
            <w:r>
              <w:rPr>
                <w:sz w:val="20"/>
              </w:rPr>
              <w:t>at </w:t>
            </w:r>
            <w:r>
              <w:rPr>
                <w:spacing w:val="-4"/>
                <w:sz w:val="20"/>
              </w:rPr>
              <w:t>416.</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1275</w:t>
            </w:r>
            <w:r>
              <w:rPr>
                <w:spacing w:val="-2"/>
                <w:sz w:val="14"/>
              </w:rPr>
              <w:t>.</w:t>
            </w:r>
          </w:p>
        </w:tc>
        <w:tc>
          <w:tcPr>
            <w:tcW w:w="8621" w:type="dxa"/>
          </w:tcPr>
          <w:p>
            <w:pPr>
              <w:pStyle w:val="TableParagraph"/>
              <w:spacing w:before="114"/>
              <w:rPr>
                <w:sz w:val="20"/>
              </w:rPr>
            </w:pPr>
            <w:r>
              <w:rPr>
                <w:rFonts w:ascii="Arial"/>
                <w:i/>
                <w:sz w:val="20"/>
              </w:rPr>
              <w:t>[1991]</w:t>
            </w:r>
            <w:r>
              <w:rPr>
                <w:rFonts w:ascii="Arial"/>
                <w:i/>
                <w:spacing w:val="-2"/>
                <w:sz w:val="20"/>
              </w:rPr>
              <w:t> </w:t>
            </w:r>
            <w:r>
              <w:rPr>
                <w:rFonts w:ascii="Arial"/>
                <w:i/>
                <w:sz w:val="20"/>
              </w:rPr>
              <w:t>2 A.C. </w:t>
            </w:r>
            <w:r>
              <w:rPr>
                <w:rFonts w:ascii="Arial"/>
                <w:i/>
                <w:spacing w:val="-4"/>
                <w:sz w:val="20"/>
              </w:rPr>
              <w:t>548</w:t>
            </w:r>
            <w:r>
              <w:rPr>
                <w:spacing w:val="-4"/>
                <w:sz w:val="20"/>
              </w:rPr>
              <w:t>.</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1276</w:t>
            </w:r>
            <w:r>
              <w:rPr>
                <w:spacing w:val="-2"/>
                <w:sz w:val="14"/>
              </w:rPr>
              <w:t>.</w:t>
            </w:r>
          </w:p>
        </w:tc>
        <w:tc>
          <w:tcPr>
            <w:tcW w:w="8621" w:type="dxa"/>
          </w:tcPr>
          <w:p>
            <w:pPr>
              <w:pStyle w:val="TableParagraph"/>
              <w:spacing w:before="114"/>
              <w:rPr>
                <w:sz w:val="20"/>
              </w:rPr>
            </w:pPr>
            <w:r>
              <w:rPr>
                <w:sz w:val="20"/>
              </w:rPr>
              <w:t>Above, para.4-</w:t>
            </w:r>
            <w:r>
              <w:rPr>
                <w:spacing w:val="-4"/>
                <w:sz w:val="20"/>
              </w:rPr>
              <w:t>016.</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1277</w:t>
            </w:r>
            <w:r>
              <w:rPr>
                <w:spacing w:val="-2"/>
                <w:sz w:val="14"/>
              </w:rPr>
              <w:t>.</w:t>
            </w:r>
          </w:p>
        </w:tc>
        <w:tc>
          <w:tcPr>
            <w:tcW w:w="8621" w:type="dxa"/>
          </w:tcPr>
          <w:p>
            <w:pPr>
              <w:pStyle w:val="TableParagraph"/>
              <w:spacing w:before="114"/>
              <w:rPr>
                <w:sz w:val="20"/>
              </w:rPr>
            </w:pPr>
            <w:r>
              <w:rPr>
                <w:sz w:val="20"/>
              </w:rPr>
              <w:t>Above, paras 2-082 et </w:t>
            </w:r>
            <w:r>
              <w:rPr>
                <w:spacing w:val="-4"/>
                <w:sz w:val="20"/>
              </w:rPr>
              <w:t>seq.</w:t>
            </w:r>
          </w:p>
        </w:tc>
      </w:tr>
      <w:tr>
        <w:trPr>
          <w:trHeight w:val="465" w:hRule="atLeast"/>
        </w:trPr>
        <w:tc>
          <w:tcPr>
            <w:tcW w:w="496" w:type="dxa"/>
          </w:tcPr>
          <w:p>
            <w:pPr>
              <w:pStyle w:val="TableParagraph"/>
              <w:ind w:left="0" w:right="43"/>
              <w:jc w:val="center"/>
              <w:rPr>
                <w:sz w:val="14"/>
              </w:rPr>
            </w:pPr>
            <w:r>
              <w:rPr>
                <w:color w:val="005DA1"/>
                <w:spacing w:val="-2"/>
                <w:sz w:val="14"/>
                <w:u w:val="single" w:color="005DA1"/>
              </w:rPr>
              <w:t>1278</w:t>
            </w:r>
            <w:r>
              <w:rPr>
                <w:spacing w:val="-2"/>
                <w:sz w:val="14"/>
              </w:rPr>
              <w:t>.</w:t>
            </w:r>
          </w:p>
        </w:tc>
        <w:tc>
          <w:tcPr>
            <w:tcW w:w="8621" w:type="dxa"/>
          </w:tcPr>
          <w:p>
            <w:pPr>
              <w:pStyle w:val="TableParagraph"/>
              <w:spacing w:before="114"/>
              <w:rPr>
                <w:sz w:val="20"/>
              </w:rPr>
            </w:pPr>
            <w:r>
              <w:rPr>
                <w:sz w:val="20"/>
              </w:rPr>
              <w:t>See</w:t>
            </w:r>
            <w:r>
              <w:rPr>
                <w:spacing w:val="-1"/>
                <w:sz w:val="20"/>
              </w:rPr>
              <w:t> </w:t>
            </w:r>
            <w:r>
              <w:rPr>
                <w:rFonts w:ascii="Arial"/>
                <w:i/>
                <w:sz w:val="20"/>
              </w:rPr>
              <w:t>Daulia Ltd v Four Millbank Nominees Ltd [1978] Ch. 231, </w:t>
            </w:r>
            <w:r>
              <w:rPr>
                <w:rFonts w:ascii="Arial"/>
                <w:i/>
                <w:spacing w:val="-4"/>
                <w:sz w:val="20"/>
              </w:rPr>
              <w:t>238</w:t>
            </w:r>
            <w:r>
              <w:rPr>
                <w:spacing w:val="-4"/>
                <w:sz w:val="20"/>
              </w:rPr>
              <w:t>.</w:t>
            </w:r>
          </w:p>
        </w:tc>
      </w:tr>
      <w:tr>
        <w:trPr>
          <w:trHeight w:val="344" w:hRule="atLeast"/>
        </w:trPr>
        <w:tc>
          <w:tcPr>
            <w:tcW w:w="496" w:type="dxa"/>
          </w:tcPr>
          <w:p>
            <w:pPr>
              <w:pStyle w:val="TableParagraph"/>
              <w:ind w:left="0" w:right="43"/>
              <w:jc w:val="center"/>
              <w:rPr>
                <w:sz w:val="14"/>
              </w:rPr>
            </w:pPr>
            <w:bookmarkStart w:name="_bookmark1909" w:id="1911"/>
            <w:bookmarkEnd w:id="1911"/>
            <w:r>
              <w:rPr/>
            </w:r>
            <w:r>
              <w:rPr>
                <w:color w:val="005DA1"/>
                <w:spacing w:val="-2"/>
                <w:sz w:val="14"/>
                <w:u w:val="single" w:color="005DA1"/>
              </w:rPr>
              <w:t>1279</w:t>
            </w:r>
            <w:r>
              <w:rPr>
                <w:spacing w:val="-2"/>
                <w:sz w:val="14"/>
              </w:rPr>
              <w:t>.</w:t>
            </w:r>
          </w:p>
        </w:tc>
        <w:tc>
          <w:tcPr>
            <w:tcW w:w="8621" w:type="dxa"/>
          </w:tcPr>
          <w:p>
            <w:pPr>
              <w:pStyle w:val="TableParagraph"/>
              <w:spacing w:line="210" w:lineRule="exact" w:before="114"/>
              <w:rPr>
                <w:sz w:val="20"/>
              </w:rPr>
            </w:pPr>
            <w:r>
              <w:rPr>
                <w:sz w:val="20"/>
              </w:rPr>
              <w:t>Above, para.2-</w:t>
            </w:r>
            <w:r>
              <w:rPr>
                <w:spacing w:val="-4"/>
                <w:sz w:val="20"/>
              </w:rPr>
              <w:t>082.</w:t>
            </w:r>
          </w:p>
        </w:tc>
      </w:tr>
    </w:tbl>
    <w:p>
      <w:pPr>
        <w:pStyle w:val="TableParagraph"/>
        <w:spacing w:after="0" w:line="210" w:lineRule="exact"/>
        <w:rPr>
          <w:sz w:val="20"/>
        </w:rPr>
        <w:sectPr>
          <w:pgSz w:w="11900" w:h="16840"/>
          <w:pgMar w:header="971" w:footer="0" w:top="1160" w:bottom="280" w:left="1275" w:right="1275"/>
        </w:sectPr>
      </w:pPr>
    </w:p>
    <w:p>
      <w:pPr>
        <w:pStyle w:val="BodyText"/>
        <w:spacing w:before="84"/>
      </w:pPr>
    </w:p>
    <w:p>
      <w:pPr>
        <w:spacing w:line="235" w:lineRule="auto" w:before="1"/>
        <w:ind w:left="705" w:right="168" w:hanging="541"/>
        <w:jc w:val="left"/>
        <w:rPr>
          <w:sz w:val="20"/>
        </w:rPr>
      </w:pPr>
      <w:r>
        <w:rPr>
          <w:color w:val="005DA1"/>
          <w:position w:val="5"/>
          <w:sz w:val="14"/>
          <w:u w:val="single" w:color="005DA1"/>
        </w:rPr>
        <w:t>1280</w:t>
      </w:r>
      <w:r>
        <w:rPr>
          <w:position w:val="5"/>
          <w:sz w:val="14"/>
        </w:rPr>
        <w:t>.</w:t>
      </w:r>
      <w:r>
        <w:rPr>
          <w:spacing w:val="40"/>
          <w:position w:val="5"/>
          <w:sz w:val="14"/>
        </w:rPr>
        <w:t>  </w:t>
      </w:r>
      <w:r>
        <w:rPr>
          <w:rFonts w:ascii="Arial"/>
          <w:i/>
          <w:sz w:val="20"/>
        </w:rPr>
        <w:t>Wigan</w:t>
      </w:r>
      <w:r>
        <w:rPr>
          <w:rFonts w:ascii="Arial"/>
          <w:i/>
          <w:spacing w:val="34"/>
          <w:sz w:val="20"/>
        </w:rPr>
        <w:t> </w:t>
      </w:r>
      <w:r>
        <w:rPr>
          <w:rFonts w:ascii="Arial"/>
          <w:i/>
          <w:sz w:val="20"/>
        </w:rPr>
        <w:t>v</w:t>
      </w:r>
      <w:r>
        <w:rPr>
          <w:rFonts w:ascii="Arial"/>
          <w:i/>
          <w:spacing w:val="34"/>
          <w:sz w:val="20"/>
        </w:rPr>
        <w:t> </w:t>
      </w:r>
      <w:r>
        <w:rPr>
          <w:rFonts w:ascii="Arial"/>
          <w:i/>
          <w:sz w:val="20"/>
        </w:rPr>
        <w:t>English</w:t>
      </w:r>
      <w:r>
        <w:rPr>
          <w:rFonts w:ascii="Arial"/>
          <w:i/>
          <w:spacing w:val="34"/>
          <w:sz w:val="20"/>
        </w:rPr>
        <w:t> </w:t>
      </w:r>
      <w:r>
        <w:rPr>
          <w:rFonts w:ascii="Arial"/>
          <w:i/>
          <w:sz w:val="20"/>
        </w:rPr>
        <w:t>&amp;</w:t>
      </w:r>
      <w:r>
        <w:rPr>
          <w:rFonts w:ascii="Arial"/>
          <w:i/>
          <w:spacing w:val="34"/>
          <w:sz w:val="20"/>
        </w:rPr>
        <w:t> </w:t>
      </w:r>
      <w:r>
        <w:rPr>
          <w:rFonts w:ascii="Arial"/>
          <w:i/>
          <w:sz w:val="20"/>
        </w:rPr>
        <w:t>Scottish</w:t>
      </w:r>
      <w:r>
        <w:rPr>
          <w:rFonts w:ascii="Arial"/>
          <w:i/>
          <w:spacing w:val="34"/>
          <w:sz w:val="20"/>
        </w:rPr>
        <w:t> </w:t>
      </w:r>
      <w:r>
        <w:rPr>
          <w:rFonts w:ascii="Arial"/>
          <w:i/>
          <w:sz w:val="20"/>
        </w:rPr>
        <w:t>Law</w:t>
      </w:r>
      <w:r>
        <w:rPr>
          <w:rFonts w:ascii="Arial"/>
          <w:i/>
          <w:spacing w:val="34"/>
          <w:sz w:val="20"/>
        </w:rPr>
        <w:t> </w:t>
      </w:r>
      <w:r>
        <w:rPr>
          <w:rFonts w:ascii="Arial"/>
          <w:i/>
          <w:sz w:val="20"/>
        </w:rPr>
        <w:t>Life</w:t>
      </w:r>
      <w:r>
        <w:rPr>
          <w:rFonts w:ascii="Arial"/>
          <w:i/>
          <w:spacing w:val="34"/>
          <w:sz w:val="20"/>
        </w:rPr>
        <w:t> </w:t>
      </w:r>
      <w:r>
        <w:rPr>
          <w:rFonts w:ascii="Arial"/>
          <w:i/>
          <w:sz w:val="20"/>
        </w:rPr>
        <w:t>Assurance</w:t>
      </w:r>
      <w:r>
        <w:rPr>
          <w:rFonts w:ascii="Arial"/>
          <w:i/>
          <w:spacing w:val="34"/>
          <w:sz w:val="20"/>
        </w:rPr>
        <w:t> </w:t>
      </w:r>
      <w:r>
        <w:rPr>
          <w:rFonts w:ascii="Arial"/>
          <w:i/>
          <w:sz w:val="20"/>
        </w:rPr>
        <w:t>Association</w:t>
      </w:r>
      <w:r>
        <w:rPr>
          <w:rFonts w:ascii="Arial"/>
          <w:i/>
          <w:spacing w:val="34"/>
          <w:sz w:val="20"/>
        </w:rPr>
        <w:t> </w:t>
      </w:r>
      <w:r>
        <w:rPr>
          <w:rFonts w:ascii="Arial"/>
          <w:i/>
          <w:sz w:val="20"/>
        </w:rPr>
        <w:t>[1909]</w:t>
      </w:r>
      <w:r>
        <w:rPr>
          <w:rFonts w:ascii="Arial"/>
          <w:i/>
          <w:spacing w:val="34"/>
          <w:sz w:val="20"/>
        </w:rPr>
        <w:t> </w:t>
      </w:r>
      <w:r>
        <w:rPr>
          <w:rFonts w:ascii="Arial"/>
          <w:i/>
          <w:sz w:val="20"/>
        </w:rPr>
        <w:t>1</w:t>
      </w:r>
      <w:r>
        <w:rPr>
          <w:rFonts w:ascii="Arial"/>
          <w:i/>
          <w:spacing w:val="34"/>
          <w:sz w:val="20"/>
        </w:rPr>
        <w:t> </w:t>
      </w:r>
      <w:r>
        <w:rPr>
          <w:rFonts w:ascii="Arial"/>
          <w:i/>
          <w:sz w:val="20"/>
        </w:rPr>
        <w:t>Ch.</w:t>
      </w:r>
      <w:r>
        <w:rPr>
          <w:rFonts w:ascii="Arial"/>
          <w:i/>
          <w:spacing w:val="34"/>
          <w:sz w:val="20"/>
        </w:rPr>
        <w:t> </w:t>
      </w:r>
      <w:r>
        <w:rPr>
          <w:rFonts w:ascii="Arial"/>
          <w:i/>
          <w:sz w:val="20"/>
        </w:rPr>
        <w:t>291,</w:t>
      </w:r>
      <w:r>
        <w:rPr>
          <w:rFonts w:ascii="Arial"/>
          <w:i/>
          <w:spacing w:val="34"/>
          <w:sz w:val="20"/>
        </w:rPr>
        <w:t> </w:t>
      </w:r>
      <w:r>
        <w:rPr>
          <w:rFonts w:ascii="Arial"/>
          <w:i/>
          <w:sz w:val="20"/>
        </w:rPr>
        <w:t>298</w:t>
      </w:r>
      <w:r>
        <w:rPr>
          <w:sz w:val="20"/>
        </w:rPr>
        <w:t>;</w:t>
      </w:r>
      <w:r>
        <w:rPr>
          <w:spacing w:val="34"/>
          <w:sz w:val="20"/>
        </w:rPr>
        <w:t> </w:t>
      </w:r>
      <w:r>
        <w:rPr>
          <w:sz w:val="20"/>
        </w:rPr>
        <w:t>above, </w:t>
      </w:r>
      <w:r>
        <w:rPr>
          <w:spacing w:val="-2"/>
          <w:sz w:val="20"/>
        </w:rPr>
        <w:t>para.4-060.</w:t>
      </w:r>
    </w:p>
    <w:p>
      <w:pPr>
        <w:pStyle w:val="BodyText"/>
        <w:spacing w:before="5"/>
      </w:pPr>
    </w:p>
    <w:p>
      <w:pPr>
        <w:spacing w:before="0"/>
        <w:ind w:left="165" w:right="0" w:firstLine="0"/>
        <w:jc w:val="left"/>
        <w:rPr>
          <w:sz w:val="20"/>
        </w:rPr>
      </w:pPr>
      <w:r>
        <w:rPr>
          <w:color w:val="005DA1"/>
          <w:position w:val="5"/>
          <w:sz w:val="14"/>
          <w:u w:val="single" w:color="005DA1"/>
        </w:rPr>
        <w:t>1281</w:t>
      </w:r>
      <w:r>
        <w:rPr>
          <w:position w:val="5"/>
          <w:sz w:val="14"/>
        </w:rPr>
        <w:t>.</w:t>
      </w:r>
      <w:r>
        <w:rPr>
          <w:spacing w:val="55"/>
          <w:position w:val="5"/>
          <w:sz w:val="14"/>
        </w:rPr>
        <w:t>  </w:t>
      </w:r>
      <w:r>
        <w:rPr>
          <w:sz w:val="20"/>
        </w:rPr>
        <w:t>See</w:t>
      </w:r>
      <w:r>
        <w:rPr>
          <w:spacing w:val="1"/>
          <w:sz w:val="20"/>
        </w:rPr>
        <w:t> </w:t>
      </w:r>
      <w:r>
        <w:rPr>
          <w:sz w:val="20"/>
        </w:rPr>
        <w:t>above, para.4-</w:t>
      </w:r>
      <w:r>
        <w:rPr>
          <w:spacing w:val="-4"/>
          <w:sz w:val="20"/>
        </w:rPr>
        <w:t>058.</w:t>
      </w:r>
    </w:p>
    <w:p>
      <w:pPr>
        <w:pStyle w:val="BodyText"/>
        <w:spacing w:before="9"/>
      </w:pPr>
    </w:p>
    <w:p>
      <w:pPr>
        <w:pStyle w:val="BodyText"/>
        <w:spacing w:line="235" w:lineRule="auto"/>
        <w:ind w:left="705" w:right="168" w:hanging="541"/>
      </w:pPr>
      <w:r>
        <w:rPr>
          <w:color w:val="005DA1"/>
          <w:position w:val="5"/>
          <w:sz w:val="14"/>
          <w:u w:val="single" w:color="005DA1"/>
        </w:rPr>
        <w:t>1282</w:t>
      </w:r>
      <w:r>
        <w:rPr>
          <w:position w:val="5"/>
          <w:sz w:val="14"/>
        </w:rPr>
        <w:t>.</w:t>
      </w:r>
      <w:r>
        <w:rPr>
          <w:spacing w:val="40"/>
          <w:position w:val="5"/>
          <w:sz w:val="14"/>
        </w:rPr>
        <w:t>  </w:t>
      </w:r>
      <w:r>
        <w:rPr/>
        <w:t>For the contrary view see Wormser in Selected Readings on the Law of Contracts, p.307—but he recanted in (1956) 3 Journal of Legal Education 146.</w:t>
      </w:r>
    </w:p>
    <w:p>
      <w:pPr>
        <w:pStyle w:val="BodyText"/>
        <w:spacing w:before="9"/>
      </w:pPr>
    </w:p>
    <w:p>
      <w:pPr>
        <w:pStyle w:val="BodyText"/>
        <w:spacing w:line="235" w:lineRule="auto"/>
        <w:ind w:left="705" w:right="167" w:hanging="541"/>
        <w:jc w:val="both"/>
      </w:pPr>
      <w:r>
        <w:rPr>
          <w:color w:val="005DA1"/>
          <w:position w:val="5"/>
          <w:sz w:val="14"/>
          <w:u w:val="single" w:color="005DA1"/>
        </w:rPr>
        <w:t>1283</w:t>
      </w:r>
      <w:r>
        <w:rPr>
          <w:position w:val="5"/>
          <w:sz w:val="14"/>
        </w:rPr>
        <w:t>.</w:t>
      </w:r>
      <w:r>
        <w:rPr>
          <w:spacing w:val="80"/>
          <w:position w:val="5"/>
          <w:sz w:val="14"/>
        </w:rPr>
        <w:t> </w:t>
      </w:r>
      <w:r>
        <w:rPr/>
        <w:t>Unless, perhaps, such a promise is divisible: e.g. where the promise is to pay the walker a specified sum per mile. It would be a question of construction whether such a promise </w:t>
      </w:r>
      <w:r>
        <w:rPr/>
        <w:t>imposed an “entire” or a “divisible” obligation: see below, paras 21-028 et seq. In the example given in the text above, the promisor’s obligation would probably be regarded as “entire”.</w:t>
      </w:r>
    </w:p>
    <w:p>
      <w:pPr>
        <w:pStyle w:val="BodyText"/>
        <w:spacing w:before="9"/>
      </w:pPr>
    </w:p>
    <w:p>
      <w:pPr>
        <w:pStyle w:val="BodyText"/>
        <w:spacing w:line="235" w:lineRule="auto"/>
        <w:ind w:left="705" w:right="167" w:hanging="541"/>
        <w:jc w:val="both"/>
      </w:pPr>
      <w:bookmarkStart w:name="_bookmark1910" w:id="1912"/>
      <w:bookmarkEnd w:id="1912"/>
      <w:r>
        <w:rPr/>
      </w:r>
      <w:hyperlink w:history="true" w:anchor="_bookmark1835">
        <w:r>
          <w:rPr>
            <w:color w:val="005DA1"/>
            <w:position w:val="5"/>
            <w:sz w:val="14"/>
            <w:u w:val="single" w:color="005DA1"/>
          </w:rPr>
          <w:t>1284</w:t>
        </w:r>
      </w:hyperlink>
      <w:r>
        <w:rPr>
          <w:position w:val="5"/>
          <w:sz w:val="14"/>
        </w:rPr>
        <w:t>.</w:t>
      </w:r>
      <w:r>
        <w:rPr>
          <w:spacing w:val="40"/>
          <w:position w:val="5"/>
          <w:sz w:val="14"/>
        </w:rPr>
        <w:t>  </w:t>
      </w:r>
      <w:r>
        <w:rPr/>
        <w:t>The above passage (para.3-168 in the 29th edition of this book) is cited with apparent </w:t>
      </w:r>
      <w:r>
        <w:rPr/>
        <w:t>approval in </w:t>
      </w:r>
      <w:r>
        <w:rPr>
          <w:rFonts w:ascii="Arial"/>
          <w:i/>
        </w:rPr>
        <w:t>Schweppe v Harper [2008] EWCA Civ 444 </w:t>
      </w:r>
      <w:r>
        <w:rPr/>
        <w:t>at [42] by Waller L.J. who there dissented on the different issue, whether the agreement was sufficiently certain to have contractual force: see above, para.2-150 n.795.</w:t>
      </w:r>
    </w:p>
    <w:p>
      <w:pPr>
        <w:pStyle w:val="BodyText"/>
        <w:spacing w:before="8"/>
      </w:pPr>
    </w:p>
    <w:p>
      <w:pPr>
        <w:spacing w:line="235" w:lineRule="auto" w:before="0"/>
        <w:ind w:left="705" w:right="168" w:hanging="541"/>
        <w:jc w:val="left"/>
        <w:rPr>
          <w:sz w:val="20"/>
        </w:rPr>
      </w:pPr>
      <w:bookmarkStart w:name="_bookmark1911" w:id="1913"/>
      <w:bookmarkEnd w:id="1913"/>
      <w:r>
        <w:rPr/>
      </w:r>
      <w:hyperlink w:history="true" w:anchor="_bookmark1836">
        <w:r>
          <w:rPr>
            <w:color w:val="005DA1"/>
            <w:position w:val="5"/>
            <w:sz w:val="14"/>
            <w:u w:val="single" w:color="005DA1"/>
          </w:rPr>
          <w:t>1285</w:t>
        </w:r>
      </w:hyperlink>
      <w:r>
        <w:rPr>
          <w:position w:val="5"/>
          <w:sz w:val="14"/>
        </w:rPr>
        <w:t>.</w:t>
      </w:r>
      <w:r>
        <w:rPr>
          <w:spacing w:val="40"/>
          <w:position w:val="5"/>
          <w:sz w:val="14"/>
        </w:rPr>
        <w:t>  </w:t>
      </w:r>
      <w:r>
        <w:rPr>
          <w:rFonts w:ascii="Arial" w:hAnsi="Arial"/>
          <w:i/>
          <w:sz w:val="20"/>
        </w:rPr>
        <w:t>Harvela Investments Ltd v Royal Trust Co of Canada (C.I.) Ltd [1986] 1 A.C. 207, 224 </w:t>
      </w:r>
      <w:r>
        <w:rPr>
          <w:sz w:val="20"/>
        </w:rPr>
        <w:t>(“when</w:t>
      </w:r>
      <w:r>
        <w:rPr>
          <w:spacing w:val="80"/>
          <w:sz w:val="20"/>
        </w:rPr>
        <w:t> </w:t>
      </w:r>
      <w:r>
        <w:rPr>
          <w:sz w:val="20"/>
        </w:rPr>
        <w:t>the invitation was received”).</w:t>
      </w:r>
    </w:p>
    <w:p>
      <w:pPr>
        <w:pStyle w:val="BodyText"/>
        <w:spacing w:before="6"/>
      </w:pPr>
    </w:p>
    <w:p>
      <w:pPr>
        <w:pStyle w:val="BodyText"/>
        <w:ind w:left="165"/>
      </w:pPr>
      <w:bookmarkStart w:name="_bookmark1912" w:id="1914"/>
      <w:bookmarkEnd w:id="1914"/>
      <w:r>
        <w:rPr/>
      </w:r>
      <w:hyperlink w:history="true" w:anchor="_bookmark1837">
        <w:r>
          <w:rPr>
            <w:color w:val="005DA1"/>
            <w:position w:val="5"/>
            <w:sz w:val="14"/>
            <w:u w:val="single" w:color="005DA1"/>
          </w:rPr>
          <w:t>1286</w:t>
        </w:r>
      </w:hyperlink>
      <w:r>
        <w:rPr>
          <w:position w:val="5"/>
          <w:sz w:val="14"/>
        </w:rPr>
        <w:t>.</w:t>
      </w:r>
      <w:r>
        <w:rPr>
          <w:spacing w:val="55"/>
          <w:position w:val="5"/>
          <w:sz w:val="14"/>
        </w:rPr>
        <w:t>  </w:t>
      </w:r>
      <w:r>
        <w:rPr/>
        <w:t>By</w:t>
      </w:r>
      <w:r>
        <w:rPr>
          <w:spacing w:val="1"/>
        </w:rPr>
        <w:t> </w:t>
      </w:r>
      <w:r>
        <w:rPr/>
        <w:t>submitting the requested bid: cf. above para.2-</w:t>
      </w:r>
      <w:r>
        <w:rPr>
          <w:spacing w:val="-4"/>
        </w:rPr>
        <w:t>039.</w:t>
      </w:r>
    </w:p>
    <w:p>
      <w:pPr>
        <w:pStyle w:val="BodyText"/>
        <w:spacing w:before="5"/>
      </w:pPr>
    </w:p>
    <w:p>
      <w:pPr>
        <w:spacing w:before="0"/>
        <w:ind w:left="165" w:right="0" w:firstLine="0"/>
        <w:jc w:val="left"/>
        <w:rPr>
          <w:sz w:val="20"/>
        </w:rPr>
      </w:pPr>
      <w:bookmarkStart w:name="_bookmark1913" w:id="1915"/>
      <w:bookmarkEnd w:id="1915"/>
      <w:r>
        <w:rPr/>
      </w:r>
      <w:hyperlink w:history="true" w:anchor="_bookmark1838">
        <w:r>
          <w:rPr>
            <w:color w:val="005DA1"/>
            <w:position w:val="5"/>
            <w:sz w:val="14"/>
            <w:u w:val="single" w:color="005DA1"/>
          </w:rPr>
          <w:t>1287</w:t>
        </w:r>
      </w:hyperlink>
      <w:r>
        <w:rPr>
          <w:position w:val="5"/>
          <w:sz w:val="14"/>
        </w:rPr>
        <w:t>.</w:t>
      </w:r>
      <w:r>
        <w:rPr>
          <w:spacing w:val="55"/>
          <w:position w:val="5"/>
          <w:sz w:val="14"/>
        </w:rPr>
        <w:t>  </w:t>
      </w:r>
      <w:r>
        <w:rPr>
          <w:sz w:val="20"/>
        </w:rPr>
        <w:t>Below,</w:t>
      </w:r>
      <w:r>
        <w:rPr>
          <w:spacing w:val="1"/>
          <w:sz w:val="20"/>
        </w:rPr>
        <w:t> </w:t>
      </w:r>
      <w:r>
        <w:rPr>
          <w:sz w:val="20"/>
        </w:rPr>
        <w:t>para.4-</w:t>
      </w:r>
      <w:r>
        <w:rPr>
          <w:spacing w:val="-4"/>
          <w:sz w:val="20"/>
        </w:rPr>
        <w:t>203.</w:t>
      </w:r>
    </w:p>
    <w:p>
      <w:pPr>
        <w:pStyle w:val="BodyText"/>
        <w:spacing w:before="5"/>
      </w:pPr>
    </w:p>
    <w:p>
      <w:pPr>
        <w:spacing w:line="227" w:lineRule="exact" w:before="0"/>
        <w:ind w:left="165" w:right="0" w:firstLine="0"/>
        <w:jc w:val="left"/>
        <w:rPr>
          <w:rFonts w:ascii="Arial"/>
          <w:i/>
          <w:sz w:val="20"/>
        </w:rPr>
      </w:pPr>
      <w:bookmarkStart w:name="_bookmark1914" w:id="1916"/>
      <w:bookmarkEnd w:id="1916"/>
      <w:r>
        <w:rPr/>
      </w:r>
      <w:hyperlink w:history="true" w:anchor="_bookmark1839">
        <w:r>
          <w:rPr>
            <w:color w:val="005DA1"/>
            <w:position w:val="5"/>
            <w:sz w:val="14"/>
            <w:u w:val="single" w:color="005DA1"/>
          </w:rPr>
          <w:t>1288</w:t>
        </w:r>
      </w:hyperlink>
      <w:r>
        <w:rPr>
          <w:position w:val="5"/>
          <w:sz w:val="14"/>
        </w:rPr>
        <w:t>.</w:t>
      </w:r>
      <w:r>
        <w:rPr>
          <w:spacing w:val="55"/>
          <w:position w:val="5"/>
          <w:sz w:val="14"/>
        </w:rPr>
        <w:t>  </w:t>
      </w:r>
      <w:r>
        <w:rPr>
          <w:rFonts w:ascii="Arial"/>
          <w:i/>
          <w:sz w:val="20"/>
        </w:rPr>
        <w:t>Cooke</w:t>
      </w:r>
      <w:r>
        <w:rPr>
          <w:rFonts w:ascii="Arial"/>
          <w:i/>
          <w:spacing w:val="3"/>
          <w:sz w:val="20"/>
        </w:rPr>
        <w:t> </w:t>
      </w:r>
      <w:r>
        <w:rPr>
          <w:rFonts w:ascii="Arial"/>
          <w:i/>
          <w:sz w:val="20"/>
        </w:rPr>
        <w:t>v</w:t>
      </w:r>
      <w:r>
        <w:rPr>
          <w:rFonts w:ascii="Arial"/>
          <w:i/>
          <w:spacing w:val="2"/>
          <w:sz w:val="20"/>
        </w:rPr>
        <w:t> </w:t>
      </w:r>
      <w:r>
        <w:rPr>
          <w:rFonts w:ascii="Arial"/>
          <w:i/>
          <w:sz w:val="20"/>
        </w:rPr>
        <w:t>Oxley</w:t>
      </w:r>
      <w:r>
        <w:rPr>
          <w:rFonts w:ascii="Arial"/>
          <w:i/>
          <w:spacing w:val="2"/>
          <w:sz w:val="20"/>
        </w:rPr>
        <w:t> </w:t>
      </w:r>
      <w:r>
        <w:rPr>
          <w:rFonts w:ascii="Arial"/>
          <w:i/>
          <w:sz w:val="20"/>
        </w:rPr>
        <w:t>(1790)</w:t>
      </w:r>
      <w:r>
        <w:rPr>
          <w:rFonts w:ascii="Arial"/>
          <w:i/>
          <w:spacing w:val="2"/>
          <w:sz w:val="20"/>
        </w:rPr>
        <w:t> </w:t>
      </w:r>
      <w:r>
        <w:rPr>
          <w:rFonts w:ascii="Arial"/>
          <w:i/>
          <w:sz w:val="20"/>
        </w:rPr>
        <w:t>3</w:t>
      </w:r>
      <w:r>
        <w:rPr>
          <w:rFonts w:ascii="Arial"/>
          <w:i/>
          <w:spacing w:val="1"/>
          <w:sz w:val="20"/>
        </w:rPr>
        <w:t> </w:t>
      </w:r>
      <w:r>
        <w:rPr>
          <w:rFonts w:ascii="Arial"/>
          <w:i/>
          <w:sz w:val="20"/>
        </w:rPr>
        <w:t>T.R.</w:t>
      </w:r>
      <w:r>
        <w:rPr>
          <w:rFonts w:ascii="Arial"/>
          <w:i/>
          <w:spacing w:val="2"/>
          <w:sz w:val="20"/>
        </w:rPr>
        <w:t> </w:t>
      </w:r>
      <w:r>
        <w:rPr>
          <w:rFonts w:ascii="Arial"/>
          <w:i/>
          <w:sz w:val="20"/>
        </w:rPr>
        <w:t>653</w:t>
      </w:r>
      <w:r>
        <w:rPr>
          <w:sz w:val="20"/>
        </w:rPr>
        <w:t>;</w:t>
      </w:r>
      <w:r>
        <w:rPr>
          <w:spacing w:val="2"/>
          <w:sz w:val="20"/>
        </w:rPr>
        <w:t> </w:t>
      </w:r>
      <w:r>
        <w:rPr>
          <w:rFonts w:ascii="Arial"/>
          <w:i/>
          <w:sz w:val="20"/>
        </w:rPr>
        <w:t>Routledge</w:t>
      </w:r>
      <w:r>
        <w:rPr>
          <w:rFonts w:ascii="Arial"/>
          <w:i/>
          <w:spacing w:val="2"/>
          <w:sz w:val="20"/>
        </w:rPr>
        <w:t> </w:t>
      </w:r>
      <w:r>
        <w:rPr>
          <w:rFonts w:ascii="Arial"/>
          <w:i/>
          <w:sz w:val="20"/>
        </w:rPr>
        <w:t>v</w:t>
      </w:r>
      <w:r>
        <w:rPr>
          <w:rFonts w:ascii="Arial"/>
          <w:i/>
          <w:spacing w:val="2"/>
          <w:sz w:val="20"/>
        </w:rPr>
        <w:t> </w:t>
      </w:r>
      <w:r>
        <w:rPr>
          <w:rFonts w:ascii="Arial"/>
          <w:i/>
          <w:sz w:val="20"/>
        </w:rPr>
        <w:t>Grant</w:t>
      </w:r>
      <w:r>
        <w:rPr>
          <w:rFonts w:ascii="Arial"/>
          <w:i/>
          <w:spacing w:val="2"/>
          <w:sz w:val="20"/>
        </w:rPr>
        <w:t> </w:t>
      </w:r>
      <w:r>
        <w:rPr>
          <w:rFonts w:ascii="Arial"/>
          <w:i/>
          <w:sz w:val="20"/>
        </w:rPr>
        <w:t>(1828)</w:t>
      </w:r>
      <w:r>
        <w:rPr>
          <w:rFonts w:ascii="Arial"/>
          <w:i/>
          <w:spacing w:val="2"/>
          <w:sz w:val="20"/>
        </w:rPr>
        <w:t> </w:t>
      </w:r>
      <w:r>
        <w:rPr>
          <w:rFonts w:ascii="Arial"/>
          <w:i/>
          <w:sz w:val="20"/>
        </w:rPr>
        <w:t>4</w:t>
      </w:r>
      <w:r>
        <w:rPr>
          <w:rFonts w:ascii="Arial"/>
          <w:i/>
          <w:spacing w:val="1"/>
          <w:sz w:val="20"/>
        </w:rPr>
        <w:t> </w:t>
      </w:r>
      <w:r>
        <w:rPr>
          <w:rFonts w:ascii="Arial"/>
          <w:i/>
          <w:sz w:val="20"/>
        </w:rPr>
        <w:t>Bing.</w:t>
      </w:r>
      <w:r>
        <w:rPr>
          <w:rFonts w:ascii="Arial"/>
          <w:i/>
          <w:spacing w:val="2"/>
          <w:sz w:val="20"/>
        </w:rPr>
        <w:t> </w:t>
      </w:r>
      <w:r>
        <w:rPr>
          <w:rFonts w:ascii="Arial"/>
          <w:i/>
          <w:sz w:val="20"/>
        </w:rPr>
        <w:t>653</w:t>
      </w:r>
      <w:r>
        <w:rPr>
          <w:sz w:val="20"/>
        </w:rPr>
        <w:t>;</w:t>
      </w:r>
      <w:r>
        <w:rPr>
          <w:spacing w:val="2"/>
          <w:sz w:val="20"/>
        </w:rPr>
        <w:t> </w:t>
      </w:r>
      <w:r>
        <w:rPr>
          <w:rFonts w:ascii="Arial"/>
          <w:i/>
          <w:sz w:val="20"/>
        </w:rPr>
        <w:t>Head</w:t>
      </w:r>
      <w:r>
        <w:rPr>
          <w:rFonts w:ascii="Arial"/>
          <w:i/>
          <w:spacing w:val="2"/>
          <w:sz w:val="20"/>
        </w:rPr>
        <w:t> </w:t>
      </w:r>
      <w:r>
        <w:rPr>
          <w:rFonts w:ascii="Arial"/>
          <w:i/>
          <w:sz w:val="20"/>
        </w:rPr>
        <w:t>v</w:t>
      </w:r>
      <w:r>
        <w:rPr>
          <w:rFonts w:ascii="Arial"/>
          <w:i/>
          <w:spacing w:val="2"/>
          <w:sz w:val="20"/>
        </w:rPr>
        <w:t> </w:t>
      </w:r>
      <w:r>
        <w:rPr>
          <w:rFonts w:ascii="Arial"/>
          <w:i/>
          <w:sz w:val="20"/>
        </w:rPr>
        <w:t>Diggon</w:t>
      </w:r>
      <w:r>
        <w:rPr>
          <w:rFonts w:ascii="Arial"/>
          <w:i/>
          <w:spacing w:val="2"/>
          <w:sz w:val="20"/>
        </w:rPr>
        <w:t> </w:t>
      </w:r>
      <w:r>
        <w:rPr>
          <w:rFonts w:ascii="Arial"/>
          <w:i/>
          <w:spacing w:val="-2"/>
          <w:sz w:val="20"/>
        </w:rPr>
        <w:t>(1828)</w:t>
      </w:r>
    </w:p>
    <w:p>
      <w:pPr>
        <w:spacing w:line="227" w:lineRule="exact" w:before="0"/>
        <w:ind w:left="705" w:right="0" w:firstLine="0"/>
        <w:jc w:val="left"/>
        <w:rPr>
          <w:sz w:val="20"/>
        </w:rPr>
      </w:pPr>
      <w:r>
        <w:rPr>
          <w:rFonts w:ascii="Arial"/>
          <w:i/>
          <w:sz w:val="20"/>
        </w:rPr>
        <w:t>3</w:t>
      </w:r>
      <w:r>
        <w:rPr>
          <w:rFonts w:ascii="Arial"/>
          <w:i/>
          <w:spacing w:val="-1"/>
          <w:sz w:val="20"/>
        </w:rPr>
        <w:t> </w:t>
      </w:r>
      <w:r>
        <w:rPr>
          <w:rFonts w:ascii="Arial"/>
          <w:i/>
          <w:sz w:val="20"/>
        </w:rPr>
        <w:t>M. &amp; Ry 97</w:t>
      </w:r>
      <w:r>
        <w:rPr>
          <w:sz w:val="20"/>
        </w:rPr>
        <w:t>; </w:t>
      </w:r>
      <w:r>
        <w:rPr>
          <w:rFonts w:ascii="Arial"/>
          <w:i/>
          <w:sz w:val="20"/>
        </w:rPr>
        <w:t>Dickinson v</w:t>
      </w:r>
      <w:r>
        <w:rPr>
          <w:rFonts w:ascii="Arial"/>
          <w:i/>
          <w:spacing w:val="-1"/>
          <w:sz w:val="20"/>
        </w:rPr>
        <w:t> </w:t>
      </w:r>
      <w:r>
        <w:rPr>
          <w:rFonts w:ascii="Arial"/>
          <w:i/>
          <w:sz w:val="20"/>
        </w:rPr>
        <w:t>Dodds (1876) 2 Ch.D. 463</w:t>
      </w:r>
      <w:r>
        <w:rPr>
          <w:sz w:val="20"/>
        </w:rPr>
        <w:t>; above, para.2-</w:t>
      </w:r>
      <w:r>
        <w:rPr>
          <w:spacing w:val="-4"/>
          <w:sz w:val="20"/>
        </w:rPr>
        <w:t>093.</w:t>
      </w:r>
    </w:p>
    <w:p>
      <w:pPr>
        <w:pStyle w:val="BodyText"/>
        <w:spacing w:before="8"/>
      </w:pPr>
    </w:p>
    <w:p>
      <w:pPr>
        <w:spacing w:line="235" w:lineRule="auto" w:before="1"/>
        <w:ind w:left="705" w:right="167" w:hanging="541"/>
        <w:jc w:val="both"/>
        <w:rPr>
          <w:rFonts w:ascii="Arial" w:hAnsi="Arial"/>
          <w:i/>
          <w:sz w:val="20"/>
        </w:rPr>
      </w:pPr>
      <w:bookmarkStart w:name="_bookmark1915" w:id="1917"/>
      <w:bookmarkEnd w:id="1917"/>
      <w:r>
        <w:rPr/>
      </w:r>
      <w:hyperlink w:history="true" w:anchor="_bookmark1840">
        <w:r>
          <w:rPr>
            <w:color w:val="005DA1"/>
            <w:position w:val="5"/>
            <w:sz w:val="14"/>
            <w:u w:val="single" w:color="005DA1"/>
          </w:rPr>
          <w:t>1289</w:t>
        </w:r>
      </w:hyperlink>
      <w:r>
        <w:rPr>
          <w:position w:val="5"/>
          <w:sz w:val="14"/>
        </w:rPr>
        <w:t>.</w:t>
      </w:r>
      <w:r>
        <w:rPr>
          <w:spacing w:val="80"/>
          <w:position w:val="5"/>
          <w:sz w:val="14"/>
        </w:rPr>
        <w:t> </w:t>
      </w:r>
      <w:r>
        <w:rPr>
          <w:sz w:val="20"/>
        </w:rPr>
        <w:t>The legal characteristics of such an option have been variously described: (1) as a contract: </w:t>
      </w:r>
      <w:r>
        <w:rPr>
          <w:rFonts w:ascii="Arial" w:hAnsi="Arial"/>
          <w:i/>
          <w:sz w:val="20"/>
        </w:rPr>
        <w:t>Greene v Church Commissioners for England [1947] Ch. 467, 476, 478 </w:t>
      </w:r>
      <w:r>
        <w:rPr>
          <w:sz w:val="20"/>
        </w:rPr>
        <w:t>(disapproving a dictum in </w:t>
      </w:r>
      <w:r>
        <w:rPr>
          <w:rFonts w:ascii="Arial" w:hAnsi="Arial"/>
          <w:i/>
          <w:sz w:val="20"/>
        </w:rPr>
        <w:t>Beesly v Hallwood Estates Ltd [1960] 1 W.L.R. 549, 555</w:t>
      </w:r>
      <w:r>
        <w:rPr>
          <w:sz w:val="20"/>
        </w:rPr>
        <w:t>, actual decision affirmed </w:t>
      </w:r>
      <w:r>
        <w:rPr>
          <w:rFonts w:ascii="Arial" w:hAnsi="Arial"/>
          <w:i/>
          <w:sz w:val="20"/>
        </w:rPr>
        <w:t>[1961] Ch. 549 </w:t>
      </w:r>
      <w:r>
        <w:rPr>
          <w:sz w:val="20"/>
        </w:rPr>
        <w:t>but dicta at first instance are disapproved on a point not here under discussion in </w:t>
      </w:r>
      <w:r>
        <w:rPr>
          <w:rFonts w:ascii="Arial" w:hAnsi="Arial"/>
          <w:i/>
          <w:sz w:val="20"/>
        </w:rPr>
        <w:t>Bolton MBC v Torrington [2003] EWCA Civ 1634, [2004] Ch. 66</w:t>
      </w:r>
      <w:r>
        <w:rPr>
          <w:sz w:val="20"/>
        </w:rPr>
        <w:t>); though not one of sale: </w:t>
      </w:r>
      <w:r>
        <w:rPr>
          <w:rFonts w:ascii="Arial" w:hAnsi="Arial"/>
          <w:i/>
          <w:sz w:val="20"/>
        </w:rPr>
        <w:t>Chippenham Golf Club v North Wilts. RDC (1992) 64 P. &amp; C.R. 527</w:t>
      </w:r>
      <w:r>
        <w:rPr>
          <w:sz w:val="20"/>
        </w:rPr>
        <w:t>; (2) as a transaction which, even though</w:t>
      </w:r>
      <w:r>
        <w:rPr>
          <w:spacing w:val="40"/>
          <w:sz w:val="20"/>
        </w:rPr>
        <w:t> </w:t>
      </w:r>
      <w:r>
        <w:rPr>
          <w:sz w:val="20"/>
        </w:rPr>
        <w:t>it is not a contract, gives rise to an interest in property: </w:t>
      </w:r>
      <w:r>
        <w:rPr>
          <w:rFonts w:ascii="Arial" w:hAnsi="Arial"/>
          <w:i/>
          <w:sz w:val="20"/>
        </w:rPr>
        <w:t>Re Button’s Lease [1964] Ch. 263, 270–271</w:t>
      </w:r>
      <w:r>
        <w:rPr>
          <w:sz w:val="20"/>
        </w:rPr>
        <w:t>; </w:t>
      </w:r>
      <w:r>
        <w:rPr>
          <w:rFonts w:ascii="Arial" w:hAnsi="Arial"/>
          <w:i/>
          <w:sz w:val="20"/>
        </w:rPr>
        <w:t>Armstrong &amp; Holmes Ltd v Holmes [1994] 1 All E.R. 826</w:t>
      </w:r>
      <w:r>
        <w:rPr>
          <w:sz w:val="20"/>
        </w:rPr>
        <w:t>; (3) as a unilateral contract: </w:t>
      </w:r>
      <w:r>
        <w:rPr>
          <w:rFonts w:ascii="Arial" w:hAnsi="Arial"/>
          <w:i/>
          <w:sz w:val="20"/>
        </w:rPr>
        <w:t>United Scientific Holdings Ltd v Burnley BC [1978] A.C. 904, 945</w:t>
      </w:r>
      <w:r>
        <w:rPr>
          <w:sz w:val="20"/>
        </w:rPr>
        <w:t>; </w:t>
      </w:r>
      <w:r>
        <w:rPr>
          <w:rFonts w:ascii="Arial" w:hAnsi="Arial"/>
          <w:i/>
          <w:sz w:val="20"/>
        </w:rPr>
        <w:t>Little v Courage (1995) 70 P. &amp; C.R. 469, 474</w:t>
      </w:r>
      <w:r>
        <w:rPr>
          <w:sz w:val="20"/>
        </w:rPr>
        <w:t>; (4) as a conditional contract: </w:t>
      </w:r>
      <w:r>
        <w:rPr>
          <w:rFonts w:ascii="Arial" w:hAnsi="Arial"/>
          <w:i/>
          <w:sz w:val="20"/>
        </w:rPr>
        <w:t>Bircham &amp; Co Nominees (No.2) Ltd v Worrell Holdings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[2001]</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773;</w:t>
      </w:r>
      <w:r>
        <w:rPr>
          <w:rFonts w:ascii="Arial" w:hAnsi="Arial"/>
          <w:i/>
          <w:spacing w:val="2"/>
          <w:sz w:val="20"/>
        </w:rPr>
        <w:t> </w:t>
      </w:r>
      <w:r>
        <w:rPr>
          <w:rFonts w:ascii="Arial" w:hAnsi="Arial"/>
          <w:i/>
          <w:sz w:val="20"/>
        </w:rPr>
        <w:t>(2001)</w:t>
      </w:r>
      <w:r>
        <w:rPr>
          <w:rFonts w:ascii="Arial" w:hAnsi="Arial"/>
          <w:i/>
          <w:spacing w:val="2"/>
          <w:sz w:val="20"/>
        </w:rPr>
        <w:t> </w:t>
      </w:r>
      <w:r>
        <w:rPr>
          <w:rFonts w:ascii="Arial" w:hAnsi="Arial"/>
          <w:i/>
          <w:sz w:val="20"/>
        </w:rPr>
        <w:t>82</w:t>
      </w:r>
      <w:r>
        <w:rPr>
          <w:rFonts w:ascii="Arial" w:hAnsi="Arial"/>
          <w:i/>
          <w:spacing w:val="2"/>
          <w:sz w:val="20"/>
        </w:rPr>
        <w:t> </w:t>
      </w:r>
      <w:r>
        <w:rPr>
          <w:rFonts w:ascii="Arial" w:hAnsi="Arial"/>
          <w:i/>
          <w:sz w:val="20"/>
        </w:rPr>
        <w:t>P.</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C.R.</w:t>
      </w:r>
      <w:r>
        <w:rPr>
          <w:rFonts w:ascii="Arial" w:hAnsi="Arial"/>
          <w:i/>
          <w:spacing w:val="2"/>
          <w:sz w:val="20"/>
        </w:rPr>
        <w:t> </w:t>
      </w:r>
      <w:r>
        <w:rPr>
          <w:rFonts w:ascii="Arial" w:hAnsi="Arial"/>
          <w:i/>
          <w:sz w:val="20"/>
        </w:rPr>
        <w:t>427</w:t>
      </w:r>
      <w:r>
        <w:rPr>
          <w:rFonts w:ascii="Arial" w:hAnsi="Arial"/>
          <w:i/>
          <w:spacing w:val="1"/>
          <w:sz w:val="20"/>
        </w:rPr>
        <w:t> </w:t>
      </w:r>
      <w:r>
        <w:rPr>
          <w:sz w:val="20"/>
        </w:rPr>
        <w:t>at</w:t>
      </w:r>
      <w:r>
        <w:rPr>
          <w:spacing w:val="2"/>
          <w:sz w:val="20"/>
        </w:rPr>
        <w:t> </w:t>
      </w:r>
      <w:r>
        <w:rPr>
          <w:sz w:val="20"/>
        </w:rPr>
        <w:t>[45];</w:t>
      </w:r>
      <w:r>
        <w:rPr>
          <w:spacing w:val="2"/>
          <w:sz w:val="20"/>
        </w:rPr>
        <w:t> </w:t>
      </w:r>
      <w:r>
        <w:rPr>
          <w:rFonts w:ascii="Arial" w:hAnsi="Arial"/>
          <w:i/>
          <w:sz w:val="20"/>
        </w:rPr>
        <w:t>Coaten</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PBS</w:t>
      </w:r>
      <w:r>
        <w:rPr>
          <w:rFonts w:ascii="Arial" w:hAnsi="Arial"/>
          <w:i/>
          <w:spacing w:val="2"/>
          <w:sz w:val="20"/>
        </w:rPr>
        <w:t> </w:t>
      </w:r>
      <w:r>
        <w:rPr>
          <w:rFonts w:ascii="Arial" w:hAnsi="Arial"/>
          <w:i/>
          <w:spacing w:val="-2"/>
          <w:sz w:val="20"/>
        </w:rPr>
        <w:t>Corporation</w:t>
      </w:r>
    </w:p>
    <w:p>
      <w:pPr>
        <w:spacing w:line="220" w:lineRule="exact" w:before="0"/>
        <w:ind w:left="705" w:right="0" w:firstLine="0"/>
        <w:jc w:val="both"/>
        <w:rPr>
          <w:rFonts w:ascii="Arial"/>
          <w:i/>
          <w:sz w:val="20"/>
        </w:rPr>
      </w:pPr>
      <w:r>
        <w:rPr>
          <w:rFonts w:ascii="Arial"/>
          <w:i/>
          <w:sz w:val="20"/>
        </w:rPr>
        <w:t>[2006]</w:t>
      </w:r>
      <w:r>
        <w:rPr>
          <w:rFonts w:ascii="Arial"/>
          <w:i/>
          <w:spacing w:val="29"/>
          <w:sz w:val="20"/>
        </w:rPr>
        <w:t> </w:t>
      </w:r>
      <w:r>
        <w:rPr>
          <w:rFonts w:ascii="Arial"/>
          <w:i/>
          <w:sz w:val="20"/>
        </w:rPr>
        <w:t>EWHC</w:t>
      </w:r>
      <w:r>
        <w:rPr>
          <w:rFonts w:ascii="Arial"/>
          <w:i/>
          <w:spacing w:val="29"/>
          <w:sz w:val="20"/>
        </w:rPr>
        <w:t> </w:t>
      </w:r>
      <w:r>
        <w:rPr>
          <w:rFonts w:ascii="Arial"/>
          <w:i/>
          <w:sz w:val="20"/>
        </w:rPr>
        <w:t>1781,</w:t>
      </w:r>
      <w:r>
        <w:rPr>
          <w:rFonts w:ascii="Arial"/>
          <w:i/>
          <w:spacing w:val="29"/>
          <w:sz w:val="20"/>
        </w:rPr>
        <w:t> </w:t>
      </w:r>
      <w:r>
        <w:rPr>
          <w:rFonts w:ascii="Arial"/>
          <w:i/>
          <w:sz w:val="20"/>
        </w:rPr>
        <w:t>[2007]</w:t>
      </w:r>
      <w:r>
        <w:rPr>
          <w:rFonts w:ascii="Arial"/>
          <w:i/>
          <w:spacing w:val="29"/>
          <w:sz w:val="20"/>
        </w:rPr>
        <w:t> </w:t>
      </w:r>
      <w:r>
        <w:rPr>
          <w:rFonts w:ascii="Arial"/>
          <w:i/>
          <w:sz w:val="20"/>
        </w:rPr>
        <w:t>1</w:t>
      </w:r>
      <w:r>
        <w:rPr>
          <w:rFonts w:ascii="Arial"/>
          <w:i/>
          <w:spacing w:val="29"/>
          <w:sz w:val="20"/>
        </w:rPr>
        <w:t> </w:t>
      </w:r>
      <w:r>
        <w:rPr>
          <w:rFonts w:ascii="Arial"/>
          <w:i/>
          <w:sz w:val="20"/>
        </w:rPr>
        <w:t>P.</w:t>
      </w:r>
      <w:r>
        <w:rPr>
          <w:rFonts w:ascii="Arial"/>
          <w:i/>
          <w:spacing w:val="29"/>
          <w:sz w:val="20"/>
        </w:rPr>
        <w:t> </w:t>
      </w:r>
      <w:r>
        <w:rPr>
          <w:rFonts w:ascii="Arial"/>
          <w:i/>
          <w:sz w:val="20"/>
        </w:rPr>
        <w:t>&amp;</w:t>
      </w:r>
      <w:r>
        <w:rPr>
          <w:rFonts w:ascii="Arial"/>
          <w:i/>
          <w:spacing w:val="29"/>
          <w:sz w:val="20"/>
        </w:rPr>
        <w:t> </w:t>
      </w:r>
      <w:r>
        <w:rPr>
          <w:rFonts w:ascii="Arial"/>
          <w:i/>
          <w:sz w:val="20"/>
        </w:rPr>
        <w:t>C.R.</w:t>
      </w:r>
      <w:r>
        <w:rPr>
          <w:rFonts w:ascii="Arial"/>
          <w:i/>
          <w:spacing w:val="29"/>
          <w:sz w:val="20"/>
        </w:rPr>
        <w:t> </w:t>
      </w:r>
      <w:r>
        <w:rPr>
          <w:rFonts w:ascii="Arial"/>
          <w:i/>
          <w:sz w:val="20"/>
        </w:rPr>
        <w:t>DG</w:t>
      </w:r>
      <w:r>
        <w:rPr>
          <w:rFonts w:ascii="Arial"/>
          <w:i/>
          <w:spacing w:val="29"/>
          <w:sz w:val="20"/>
        </w:rPr>
        <w:t> </w:t>
      </w:r>
      <w:r>
        <w:rPr>
          <w:rFonts w:ascii="Arial"/>
          <w:i/>
          <w:sz w:val="20"/>
        </w:rPr>
        <w:t>11</w:t>
      </w:r>
      <w:r>
        <w:rPr>
          <w:rFonts w:ascii="Arial"/>
          <w:i/>
          <w:spacing w:val="28"/>
          <w:sz w:val="20"/>
        </w:rPr>
        <w:t> </w:t>
      </w:r>
      <w:r>
        <w:rPr>
          <w:sz w:val="20"/>
        </w:rPr>
        <w:t>at</w:t>
      </w:r>
      <w:r>
        <w:rPr>
          <w:spacing w:val="29"/>
          <w:sz w:val="20"/>
        </w:rPr>
        <w:t> </w:t>
      </w:r>
      <w:r>
        <w:rPr>
          <w:sz w:val="20"/>
        </w:rPr>
        <w:t>[33];</w:t>
      </w:r>
      <w:r>
        <w:rPr>
          <w:spacing w:val="29"/>
          <w:sz w:val="20"/>
        </w:rPr>
        <w:t> </w:t>
      </w:r>
      <w:r>
        <w:rPr>
          <w:sz w:val="20"/>
        </w:rPr>
        <w:t>(5)</w:t>
      </w:r>
      <w:r>
        <w:rPr>
          <w:spacing w:val="29"/>
          <w:sz w:val="20"/>
        </w:rPr>
        <w:t> </w:t>
      </w:r>
      <w:r>
        <w:rPr>
          <w:sz w:val="20"/>
        </w:rPr>
        <w:t>as</w:t>
      </w:r>
      <w:r>
        <w:rPr>
          <w:spacing w:val="29"/>
          <w:sz w:val="20"/>
        </w:rPr>
        <w:t> </w:t>
      </w:r>
      <w:r>
        <w:rPr>
          <w:sz w:val="20"/>
        </w:rPr>
        <w:t>an</w:t>
      </w:r>
      <w:r>
        <w:rPr>
          <w:spacing w:val="29"/>
          <w:sz w:val="20"/>
        </w:rPr>
        <w:t> </w:t>
      </w:r>
      <w:r>
        <w:rPr>
          <w:sz w:val="20"/>
        </w:rPr>
        <w:t>irrevocable</w:t>
      </w:r>
      <w:r>
        <w:rPr>
          <w:spacing w:val="29"/>
          <w:sz w:val="20"/>
        </w:rPr>
        <w:t> </w:t>
      </w:r>
      <w:r>
        <w:rPr>
          <w:sz w:val="20"/>
        </w:rPr>
        <w:t>offer:</w:t>
      </w:r>
      <w:r>
        <w:rPr>
          <w:spacing w:val="29"/>
          <w:sz w:val="20"/>
        </w:rPr>
        <w:t> </w:t>
      </w:r>
      <w:r>
        <w:rPr>
          <w:rFonts w:ascii="Arial"/>
          <w:i/>
          <w:sz w:val="20"/>
        </w:rPr>
        <w:t>Re</w:t>
      </w:r>
      <w:r>
        <w:rPr>
          <w:rFonts w:ascii="Arial"/>
          <w:i/>
          <w:spacing w:val="29"/>
          <w:sz w:val="20"/>
        </w:rPr>
        <w:t> </w:t>
      </w:r>
      <w:r>
        <w:rPr>
          <w:rFonts w:ascii="Arial"/>
          <w:i/>
          <w:spacing w:val="-4"/>
          <w:sz w:val="20"/>
        </w:rPr>
        <w:t>Gray</w:t>
      </w:r>
    </w:p>
    <w:p>
      <w:pPr>
        <w:spacing w:line="235" w:lineRule="auto" w:before="1"/>
        <w:ind w:left="705" w:right="168" w:firstLine="0"/>
        <w:jc w:val="both"/>
        <w:rPr>
          <w:sz w:val="20"/>
        </w:rPr>
      </w:pPr>
      <w:r>
        <w:rPr>
          <w:rFonts w:ascii="Arial" w:hAnsi="Arial"/>
          <w:i/>
          <w:sz w:val="20"/>
        </w:rPr>
        <w:t>[2004] EWHC 1538, [2005] 1 W.L.R. 815 </w:t>
      </w:r>
      <w:r>
        <w:rPr>
          <w:sz w:val="20"/>
        </w:rPr>
        <w:t>at [25]; contrast the </w:t>
      </w:r>
      <w:r>
        <w:rPr>
          <w:rFonts w:ascii="Arial" w:hAnsi="Arial"/>
          <w:i/>
          <w:sz w:val="20"/>
        </w:rPr>
        <w:t>Coaten </w:t>
      </w:r>
      <w:r>
        <w:rPr>
          <w:sz w:val="20"/>
        </w:rPr>
        <w:t>case, above; and (6) as being sui generis: </w:t>
      </w:r>
      <w:r>
        <w:rPr>
          <w:rFonts w:ascii="Arial" w:hAnsi="Arial"/>
          <w:i/>
          <w:sz w:val="20"/>
        </w:rPr>
        <w:t>Spiro v Glencrown Properties [1991] Ch. 537</w:t>
      </w:r>
      <w:r>
        <w:rPr>
          <w:sz w:val="20"/>
        </w:rPr>
        <w:t>. And see Mowbray, 74 L.Q.R. 242; Lücke, 3 Adelaide L.Rev. 200.</w:t>
      </w:r>
    </w:p>
    <w:p>
      <w:pPr>
        <w:pStyle w:val="BodyText"/>
        <w:spacing w:before="5"/>
      </w:pPr>
    </w:p>
    <w:p>
      <w:pPr>
        <w:spacing w:before="0"/>
        <w:ind w:left="165" w:right="0" w:firstLine="0"/>
        <w:jc w:val="left"/>
        <w:rPr>
          <w:sz w:val="20"/>
        </w:rPr>
      </w:pPr>
      <w:bookmarkStart w:name="_bookmark1916" w:id="1918"/>
      <w:bookmarkEnd w:id="1918"/>
      <w:r>
        <w:rPr/>
      </w:r>
      <w:hyperlink w:history="true" w:anchor="_bookmark1841">
        <w:r>
          <w:rPr>
            <w:color w:val="005DA1"/>
            <w:position w:val="5"/>
            <w:sz w:val="14"/>
            <w:u w:val="single" w:color="005DA1"/>
          </w:rPr>
          <w:t>1290</w:t>
        </w:r>
      </w:hyperlink>
      <w:r>
        <w:rPr>
          <w:position w:val="5"/>
          <w:sz w:val="14"/>
        </w:rPr>
        <w:t>.</w:t>
      </w:r>
      <w:r>
        <w:rPr>
          <w:spacing w:val="55"/>
          <w:position w:val="5"/>
          <w:sz w:val="14"/>
        </w:rPr>
        <w:t>  </w:t>
      </w:r>
      <w:r>
        <w:rPr>
          <w:sz w:val="20"/>
        </w:rPr>
        <w:t>Above,</w:t>
      </w:r>
      <w:r>
        <w:rPr>
          <w:spacing w:val="1"/>
          <w:sz w:val="20"/>
        </w:rPr>
        <w:t> </w:t>
      </w:r>
      <w:r>
        <w:rPr>
          <w:sz w:val="20"/>
        </w:rPr>
        <w:t>para.2-</w:t>
      </w:r>
      <w:r>
        <w:rPr>
          <w:spacing w:val="-4"/>
          <w:sz w:val="20"/>
        </w:rPr>
        <w:t>128.</w:t>
      </w:r>
    </w:p>
    <w:p>
      <w:pPr>
        <w:pStyle w:val="BodyText"/>
        <w:spacing w:before="9"/>
      </w:pPr>
    </w:p>
    <w:p>
      <w:pPr>
        <w:spacing w:line="235" w:lineRule="auto" w:before="0"/>
        <w:ind w:left="705" w:right="0" w:hanging="541"/>
        <w:jc w:val="left"/>
        <w:rPr>
          <w:sz w:val="20"/>
        </w:rPr>
      </w:pPr>
      <w:bookmarkStart w:name="_bookmark1917" w:id="1919"/>
      <w:bookmarkEnd w:id="1919"/>
      <w:r>
        <w:rPr/>
      </w:r>
      <w:hyperlink w:history="true" w:anchor="_bookmark1842">
        <w:r>
          <w:rPr>
            <w:color w:val="005DA1"/>
            <w:position w:val="5"/>
            <w:sz w:val="14"/>
            <w:u w:val="single" w:color="005DA1"/>
          </w:rPr>
          <w:t>1291</w:t>
        </w:r>
      </w:hyperlink>
      <w:r>
        <w:rPr>
          <w:position w:val="5"/>
          <w:sz w:val="14"/>
        </w:rPr>
        <w:t>.</w:t>
      </w:r>
      <w:r>
        <w:rPr>
          <w:spacing w:val="40"/>
          <w:position w:val="5"/>
          <w:sz w:val="14"/>
        </w:rPr>
        <w:t>  </w:t>
      </w:r>
      <w:r>
        <w:rPr>
          <w:rFonts w:ascii="Arial"/>
          <w:i/>
          <w:sz w:val="20"/>
        </w:rPr>
        <w:t>Pitt</w:t>
      </w:r>
      <w:r>
        <w:rPr>
          <w:rFonts w:ascii="Arial"/>
          <w:i/>
          <w:spacing w:val="18"/>
          <w:sz w:val="20"/>
        </w:rPr>
        <w:t> </w:t>
      </w:r>
      <w:r>
        <w:rPr>
          <w:rFonts w:ascii="Arial"/>
          <w:i/>
          <w:sz w:val="20"/>
        </w:rPr>
        <w:t>v</w:t>
      </w:r>
      <w:r>
        <w:rPr>
          <w:rFonts w:ascii="Arial"/>
          <w:i/>
          <w:spacing w:val="18"/>
          <w:sz w:val="20"/>
        </w:rPr>
        <w:t> </w:t>
      </w:r>
      <w:r>
        <w:rPr>
          <w:rFonts w:ascii="Arial"/>
          <w:i/>
          <w:sz w:val="20"/>
        </w:rPr>
        <w:t>P.H.H.</w:t>
      </w:r>
      <w:r>
        <w:rPr>
          <w:rFonts w:ascii="Arial"/>
          <w:i/>
          <w:spacing w:val="18"/>
          <w:sz w:val="20"/>
        </w:rPr>
        <w:t> </w:t>
      </w:r>
      <w:r>
        <w:rPr>
          <w:rFonts w:ascii="Arial"/>
          <w:i/>
          <w:sz w:val="20"/>
        </w:rPr>
        <w:t>Asset</w:t>
      </w:r>
      <w:r>
        <w:rPr>
          <w:rFonts w:ascii="Arial"/>
          <w:i/>
          <w:spacing w:val="18"/>
          <w:sz w:val="20"/>
        </w:rPr>
        <w:t> </w:t>
      </w:r>
      <w:r>
        <w:rPr>
          <w:rFonts w:ascii="Arial"/>
          <w:i/>
          <w:sz w:val="20"/>
        </w:rPr>
        <w:t>Management</w:t>
      </w:r>
      <w:r>
        <w:rPr>
          <w:rFonts w:ascii="Arial"/>
          <w:i/>
          <w:spacing w:val="18"/>
          <w:sz w:val="20"/>
        </w:rPr>
        <w:t> </w:t>
      </w:r>
      <w:r>
        <w:rPr>
          <w:rFonts w:ascii="Arial"/>
          <w:i/>
          <w:sz w:val="20"/>
        </w:rPr>
        <w:t>Ltd</w:t>
      </w:r>
      <w:r>
        <w:rPr>
          <w:rFonts w:ascii="Arial"/>
          <w:i/>
          <w:spacing w:val="18"/>
          <w:sz w:val="20"/>
        </w:rPr>
        <w:t> </w:t>
      </w:r>
      <w:r>
        <w:rPr>
          <w:rFonts w:ascii="Arial"/>
          <w:i/>
          <w:sz w:val="20"/>
        </w:rPr>
        <w:t>[1994]</w:t>
      </w:r>
      <w:r>
        <w:rPr>
          <w:rFonts w:ascii="Arial"/>
          <w:i/>
          <w:spacing w:val="18"/>
          <w:sz w:val="20"/>
        </w:rPr>
        <w:t> </w:t>
      </w:r>
      <w:r>
        <w:rPr>
          <w:rFonts w:ascii="Arial"/>
          <w:i/>
          <w:sz w:val="20"/>
        </w:rPr>
        <w:t>1</w:t>
      </w:r>
      <w:r>
        <w:rPr>
          <w:rFonts w:ascii="Arial"/>
          <w:i/>
          <w:spacing w:val="18"/>
          <w:sz w:val="20"/>
        </w:rPr>
        <w:t> </w:t>
      </w:r>
      <w:r>
        <w:rPr>
          <w:rFonts w:ascii="Arial"/>
          <w:i/>
          <w:sz w:val="20"/>
        </w:rPr>
        <w:t>W.L.R.</w:t>
      </w:r>
      <w:r>
        <w:rPr>
          <w:rFonts w:ascii="Arial"/>
          <w:i/>
          <w:spacing w:val="18"/>
          <w:sz w:val="20"/>
        </w:rPr>
        <w:t> </w:t>
      </w:r>
      <w:r>
        <w:rPr>
          <w:rFonts w:ascii="Arial"/>
          <w:i/>
          <w:sz w:val="20"/>
        </w:rPr>
        <w:t>327,</w:t>
      </w:r>
      <w:r>
        <w:rPr>
          <w:rFonts w:ascii="Arial"/>
          <w:i/>
          <w:spacing w:val="18"/>
          <w:sz w:val="20"/>
        </w:rPr>
        <w:t> </w:t>
      </w:r>
      <w:r>
        <w:rPr>
          <w:rFonts w:ascii="Arial"/>
          <w:i/>
          <w:sz w:val="20"/>
        </w:rPr>
        <w:t>332</w:t>
      </w:r>
      <w:r>
        <w:rPr>
          <w:sz w:val="20"/>
        </w:rPr>
        <w:t>;</w:t>
      </w:r>
      <w:r>
        <w:rPr>
          <w:spacing w:val="18"/>
          <w:sz w:val="20"/>
        </w:rPr>
        <w:t> </w:t>
      </w:r>
      <w:r>
        <w:rPr>
          <w:sz w:val="20"/>
        </w:rPr>
        <w:t>for</w:t>
      </w:r>
      <w:r>
        <w:rPr>
          <w:spacing w:val="18"/>
          <w:sz w:val="20"/>
        </w:rPr>
        <w:t> </w:t>
      </w:r>
      <w:r>
        <w:rPr>
          <w:sz w:val="20"/>
        </w:rPr>
        <w:t>other</w:t>
      </w:r>
      <w:r>
        <w:rPr>
          <w:spacing w:val="18"/>
          <w:sz w:val="20"/>
        </w:rPr>
        <w:t> </w:t>
      </w:r>
      <w:r>
        <w:rPr>
          <w:sz w:val="20"/>
        </w:rPr>
        <w:t>consideration</w:t>
      </w:r>
      <w:r>
        <w:rPr>
          <w:spacing w:val="18"/>
          <w:sz w:val="20"/>
        </w:rPr>
        <w:t> </w:t>
      </w:r>
      <w:r>
        <w:rPr>
          <w:sz w:val="20"/>
        </w:rPr>
        <w:t>in</w:t>
      </w:r>
      <w:r>
        <w:rPr>
          <w:spacing w:val="18"/>
          <w:sz w:val="20"/>
        </w:rPr>
        <w:t> </w:t>
      </w:r>
      <w:r>
        <w:rPr>
          <w:sz w:val="20"/>
        </w:rPr>
        <w:t>this case, see above. para.4-053; </w:t>
      </w:r>
      <w:r>
        <w:rPr>
          <w:rFonts w:ascii="Arial"/>
          <w:i/>
          <w:sz w:val="20"/>
        </w:rPr>
        <w:t>Tye v House [1997] 2 E.G.L.R. 171</w:t>
      </w:r>
      <w:r>
        <w:rPr>
          <w:sz w:val="20"/>
        </w:rPr>
        <w:t>.</w:t>
      </w:r>
    </w:p>
    <w:p>
      <w:pPr>
        <w:pStyle w:val="BodyText"/>
        <w:spacing w:before="5"/>
      </w:pPr>
    </w:p>
    <w:p>
      <w:pPr>
        <w:spacing w:before="0"/>
        <w:ind w:left="165" w:right="0" w:firstLine="0"/>
        <w:jc w:val="left"/>
        <w:rPr>
          <w:sz w:val="20"/>
        </w:rPr>
      </w:pPr>
      <w:bookmarkStart w:name="_bookmark1918" w:id="1920"/>
      <w:bookmarkEnd w:id="1920"/>
      <w:r>
        <w:rPr/>
      </w:r>
      <w:hyperlink w:history="true" w:anchor="_bookmark1843">
        <w:r>
          <w:rPr>
            <w:color w:val="005DA1"/>
            <w:position w:val="5"/>
            <w:sz w:val="14"/>
            <w:u w:val="single" w:color="005DA1"/>
          </w:rPr>
          <w:t>1292</w:t>
        </w:r>
      </w:hyperlink>
      <w:r>
        <w:rPr>
          <w:position w:val="5"/>
          <w:sz w:val="14"/>
        </w:rPr>
        <w:t>.</w:t>
      </w:r>
      <w:r>
        <w:rPr>
          <w:spacing w:val="55"/>
          <w:position w:val="5"/>
          <w:sz w:val="14"/>
        </w:rPr>
        <w:t>  </w:t>
      </w:r>
      <w:r>
        <w:rPr>
          <w:sz w:val="20"/>
        </w:rPr>
        <w:t>At</w:t>
      </w:r>
      <w:r>
        <w:rPr>
          <w:spacing w:val="1"/>
          <w:sz w:val="20"/>
        </w:rPr>
        <w:t> </w:t>
      </w:r>
      <w:r>
        <w:rPr>
          <w:spacing w:val="-2"/>
          <w:sz w:val="20"/>
        </w:rPr>
        <w:t>n.1236.</w:t>
      </w:r>
    </w:p>
    <w:p>
      <w:pPr>
        <w:pStyle w:val="BodyText"/>
        <w:spacing w:before="5"/>
      </w:pPr>
    </w:p>
    <w:p>
      <w:pPr>
        <w:spacing w:before="0"/>
        <w:ind w:left="165" w:right="0" w:firstLine="0"/>
        <w:jc w:val="left"/>
        <w:rPr>
          <w:sz w:val="20"/>
        </w:rPr>
      </w:pPr>
      <w:bookmarkStart w:name="_bookmark1919" w:id="1921"/>
      <w:bookmarkEnd w:id="1921"/>
      <w:r>
        <w:rPr/>
      </w:r>
      <w:hyperlink w:history="true" w:anchor="_bookmark1844">
        <w:r>
          <w:rPr>
            <w:color w:val="005DA1"/>
            <w:position w:val="5"/>
            <w:sz w:val="14"/>
            <w:u w:val="single" w:color="005DA1"/>
          </w:rPr>
          <w:t>1293</w:t>
        </w:r>
      </w:hyperlink>
      <w:r>
        <w:rPr>
          <w:position w:val="5"/>
          <w:sz w:val="14"/>
        </w:rPr>
        <w:t>.</w:t>
      </w:r>
      <w:r>
        <w:rPr>
          <w:spacing w:val="55"/>
          <w:position w:val="5"/>
          <w:sz w:val="14"/>
        </w:rPr>
        <w:t>  </w:t>
      </w:r>
      <w:r>
        <w:rPr>
          <w:sz w:val="20"/>
        </w:rPr>
        <w:t>cf.</w:t>
      </w:r>
      <w:r>
        <w:rPr>
          <w:spacing w:val="1"/>
          <w:sz w:val="20"/>
        </w:rPr>
        <w:t> </w:t>
      </w:r>
      <w:r>
        <w:rPr>
          <w:rFonts w:ascii="Arial" w:hAnsi="Arial"/>
          <w:i/>
          <w:sz w:val="20"/>
        </w:rPr>
        <w:t>Ee v Kakar (1979) 40 P. &amp; C.R. 223</w:t>
      </w:r>
      <w:r>
        <w:rPr>
          <w:rFonts w:ascii="Arial" w:hAnsi="Arial"/>
          <w:i/>
          <w:spacing w:val="-1"/>
          <w:sz w:val="20"/>
        </w:rPr>
        <w:t> </w:t>
      </w:r>
      <w:r>
        <w:rPr>
          <w:sz w:val="20"/>
        </w:rPr>
        <w:t>(a case not concerned with a “firm” </w:t>
      </w:r>
      <w:r>
        <w:rPr>
          <w:spacing w:val="-2"/>
          <w:sz w:val="20"/>
        </w:rPr>
        <w:t>offer).</w:t>
      </w:r>
    </w:p>
    <w:p>
      <w:pPr>
        <w:pStyle w:val="BodyText"/>
        <w:spacing w:before="9"/>
      </w:pPr>
    </w:p>
    <w:p>
      <w:pPr>
        <w:spacing w:line="235" w:lineRule="auto" w:before="0"/>
        <w:ind w:left="705" w:right="167" w:hanging="541"/>
        <w:jc w:val="both"/>
        <w:rPr>
          <w:sz w:val="20"/>
        </w:rPr>
      </w:pPr>
      <w:bookmarkStart w:name="_bookmark1920" w:id="1922"/>
      <w:bookmarkEnd w:id="1922"/>
      <w:r>
        <w:rPr/>
      </w:r>
      <w:hyperlink w:history="true" w:anchor="_bookmark1845">
        <w:r>
          <w:rPr>
            <w:color w:val="005DA1"/>
            <w:position w:val="5"/>
            <w:sz w:val="14"/>
            <w:u w:val="single" w:color="005DA1"/>
          </w:rPr>
          <w:t>1294</w:t>
        </w:r>
      </w:hyperlink>
      <w:r>
        <w:rPr>
          <w:position w:val="5"/>
          <w:sz w:val="14"/>
        </w:rPr>
        <w:t>.</w:t>
      </w:r>
      <w:r>
        <w:rPr>
          <w:spacing w:val="40"/>
          <w:position w:val="5"/>
          <w:sz w:val="14"/>
        </w:rPr>
        <w:t>  </w:t>
      </w:r>
      <w:r>
        <w:rPr>
          <w:sz w:val="20"/>
        </w:rPr>
        <w:t>See </w:t>
      </w:r>
      <w:r>
        <w:rPr>
          <w:rFonts w:ascii="Arial" w:hAnsi="Arial"/>
          <w:i/>
          <w:sz w:val="20"/>
        </w:rPr>
        <w:t>Habibsons Bank Ltd v Standard Chartered Bank [2010] EWCA Civ 1335, [2011] Q.B. </w:t>
      </w:r>
      <w:r>
        <w:rPr>
          <w:rFonts w:ascii="Arial" w:hAnsi="Arial"/>
          <w:i/>
          <w:sz w:val="20"/>
        </w:rPr>
        <w:t>943</w:t>
      </w:r>
      <w:r>
        <w:rPr>
          <w:rFonts w:ascii="Arial" w:hAnsi="Arial"/>
          <w:i/>
          <w:spacing w:val="40"/>
          <w:sz w:val="20"/>
        </w:rPr>
        <w:t> </w:t>
      </w:r>
      <w:r>
        <w:rPr>
          <w:sz w:val="20"/>
        </w:rPr>
        <w:t>at [23] (lenders held to have provided consideration for a “standing offer” by entering into a “Facility Agreement” with the borrower).</w:t>
      </w:r>
    </w:p>
    <w:p>
      <w:pPr>
        <w:pStyle w:val="BodyText"/>
        <w:spacing w:before="5"/>
      </w:pPr>
    </w:p>
    <w:p>
      <w:pPr>
        <w:spacing w:before="0"/>
        <w:ind w:left="165" w:right="0" w:firstLine="0"/>
        <w:jc w:val="left"/>
        <w:rPr>
          <w:sz w:val="20"/>
        </w:rPr>
      </w:pPr>
      <w:bookmarkStart w:name="_bookmark1921" w:id="1923"/>
      <w:bookmarkEnd w:id="1923"/>
      <w:r>
        <w:rPr/>
      </w:r>
      <w:hyperlink w:history="true" w:anchor="_bookmark1846">
        <w:r>
          <w:rPr>
            <w:color w:val="005DA1"/>
            <w:position w:val="5"/>
            <w:sz w:val="14"/>
            <w:u w:val="single" w:color="005DA1"/>
          </w:rPr>
          <w:t>1295</w:t>
        </w:r>
      </w:hyperlink>
      <w:r>
        <w:rPr>
          <w:position w:val="5"/>
          <w:sz w:val="14"/>
        </w:rPr>
        <w:t>.</w:t>
      </w:r>
      <w:r>
        <w:rPr>
          <w:spacing w:val="55"/>
          <w:position w:val="5"/>
          <w:sz w:val="14"/>
        </w:rPr>
        <w:t>  </w:t>
      </w:r>
      <w:r>
        <w:rPr>
          <w:rFonts w:ascii="Arial"/>
          <w:i/>
          <w:sz w:val="20"/>
        </w:rPr>
        <w:t>(1877)</w:t>
      </w:r>
      <w:r>
        <w:rPr>
          <w:rFonts w:ascii="Arial"/>
          <w:i/>
          <w:spacing w:val="1"/>
          <w:sz w:val="20"/>
        </w:rPr>
        <w:t> </w:t>
      </w:r>
      <w:r>
        <w:rPr>
          <w:rFonts w:ascii="Arial"/>
          <w:i/>
          <w:sz w:val="20"/>
        </w:rPr>
        <w:t>2</w:t>
      </w:r>
      <w:r>
        <w:rPr>
          <w:rFonts w:ascii="Arial"/>
          <w:i/>
          <w:spacing w:val="-1"/>
          <w:sz w:val="20"/>
        </w:rPr>
        <w:t> </w:t>
      </w:r>
      <w:r>
        <w:rPr>
          <w:rFonts w:ascii="Arial"/>
          <w:i/>
          <w:sz w:val="20"/>
        </w:rPr>
        <w:t>App. Cas. 439</w:t>
      </w:r>
      <w:r>
        <w:rPr>
          <w:sz w:val="20"/>
        </w:rPr>
        <w:t>; above, para.4-</w:t>
      </w:r>
      <w:r>
        <w:rPr>
          <w:spacing w:val="-4"/>
          <w:sz w:val="20"/>
        </w:rPr>
        <w:t>086.</w:t>
      </w:r>
    </w:p>
    <w:p>
      <w:pPr>
        <w:pStyle w:val="BodyText"/>
        <w:spacing w:before="5"/>
      </w:pPr>
    </w:p>
    <w:p>
      <w:pPr>
        <w:spacing w:before="0"/>
        <w:ind w:left="165" w:right="0" w:firstLine="0"/>
        <w:jc w:val="left"/>
        <w:rPr>
          <w:sz w:val="20"/>
        </w:rPr>
      </w:pPr>
      <w:bookmarkStart w:name="_bookmark1922" w:id="1924"/>
      <w:bookmarkEnd w:id="1924"/>
      <w:r>
        <w:rPr/>
      </w:r>
      <w:hyperlink w:history="true" w:anchor="_bookmark1846">
        <w:r>
          <w:rPr>
            <w:color w:val="005DA1"/>
            <w:position w:val="5"/>
            <w:sz w:val="14"/>
            <w:u w:val="single" w:color="005DA1"/>
          </w:rPr>
          <w:t>1296</w:t>
        </w:r>
      </w:hyperlink>
      <w:r>
        <w:rPr>
          <w:position w:val="5"/>
          <w:sz w:val="14"/>
        </w:rPr>
        <w:t>.</w:t>
      </w:r>
      <w:r>
        <w:rPr>
          <w:spacing w:val="55"/>
          <w:position w:val="5"/>
          <w:sz w:val="14"/>
        </w:rPr>
        <w:t>  </w:t>
      </w:r>
      <w:r>
        <w:rPr>
          <w:rFonts w:ascii="Arial"/>
          <w:i/>
          <w:sz w:val="20"/>
        </w:rPr>
        <w:t>[1947] K.B. 130</w:t>
      </w:r>
      <w:r>
        <w:rPr>
          <w:sz w:val="20"/>
        </w:rPr>
        <w:t>; above, para.4-</w:t>
      </w:r>
      <w:r>
        <w:rPr>
          <w:spacing w:val="-4"/>
          <w:sz w:val="20"/>
        </w:rPr>
        <w:t>130.</w:t>
      </w:r>
    </w:p>
    <w:p>
      <w:pPr>
        <w:spacing w:after="0"/>
        <w:jc w:val="left"/>
        <w:rPr>
          <w:sz w:val="20"/>
        </w:rPr>
        <w:sectPr>
          <w:pgSz w:w="11900" w:h="16840"/>
          <w:pgMar w:header="971" w:footer="0" w:top="1160" w:bottom="280" w:left="1275" w:right="1275"/>
        </w:sectPr>
      </w:pPr>
    </w:p>
    <w:p>
      <w:pPr>
        <w:pStyle w:val="BodyText"/>
        <w:spacing w:before="81"/>
      </w:pPr>
    </w:p>
    <w:p>
      <w:pPr>
        <w:spacing w:before="0"/>
        <w:ind w:left="165" w:right="0" w:firstLine="0"/>
        <w:jc w:val="left"/>
        <w:rPr>
          <w:sz w:val="20"/>
        </w:rPr>
      </w:pPr>
      <w:hyperlink w:history="true" w:anchor="_bookmark1847">
        <w:r>
          <w:rPr>
            <w:color w:val="005DA1"/>
            <w:position w:val="5"/>
            <w:sz w:val="14"/>
            <w:u w:val="single" w:color="005DA1"/>
          </w:rPr>
          <w:t>1297</w:t>
        </w:r>
      </w:hyperlink>
      <w:r>
        <w:rPr>
          <w:position w:val="5"/>
          <w:sz w:val="14"/>
        </w:rPr>
        <w:t>.</w:t>
      </w:r>
      <w:r>
        <w:rPr>
          <w:spacing w:val="55"/>
          <w:position w:val="5"/>
          <w:sz w:val="14"/>
        </w:rPr>
        <w:t>  </w:t>
      </w:r>
      <w:r>
        <w:rPr>
          <w:sz w:val="20"/>
        </w:rPr>
        <w:t>Above,</w:t>
      </w:r>
      <w:r>
        <w:rPr>
          <w:spacing w:val="1"/>
          <w:sz w:val="20"/>
        </w:rPr>
        <w:t> </w:t>
      </w:r>
      <w:r>
        <w:rPr>
          <w:sz w:val="20"/>
        </w:rPr>
        <w:t>para.4-</w:t>
      </w:r>
      <w:r>
        <w:rPr>
          <w:spacing w:val="-4"/>
          <w:sz w:val="20"/>
        </w:rPr>
        <w:t>099.</w:t>
      </w:r>
    </w:p>
    <w:p>
      <w:pPr>
        <w:pStyle w:val="BodyText"/>
        <w:spacing w:before="9"/>
      </w:pPr>
    </w:p>
    <w:p>
      <w:pPr>
        <w:spacing w:line="235" w:lineRule="auto" w:before="0"/>
        <w:ind w:left="705" w:right="0" w:hanging="541"/>
        <w:jc w:val="left"/>
        <w:rPr>
          <w:sz w:val="20"/>
        </w:rPr>
      </w:pPr>
      <w:bookmarkStart w:name="_bookmark1923" w:id="1925"/>
      <w:bookmarkEnd w:id="1925"/>
      <w:r>
        <w:rPr/>
      </w:r>
      <w:hyperlink w:history="true" w:anchor="_bookmark1848">
        <w:r>
          <w:rPr>
            <w:color w:val="005DA1"/>
            <w:position w:val="5"/>
            <w:sz w:val="14"/>
            <w:u w:val="single" w:color="005DA1"/>
          </w:rPr>
          <w:t>1298</w:t>
        </w:r>
      </w:hyperlink>
      <w:r>
        <w:rPr>
          <w:position w:val="5"/>
          <w:sz w:val="14"/>
        </w:rPr>
        <w:t>.</w:t>
      </w:r>
      <w:r>
        <w:rPr>
          <w:spacing w:val="40"/>
          <w:position w:val="5"/>
          <w:sz w:val="14"/>
        </w:rPr>
        <w:t>  </w:t>
      </w:r>
      <w:r>
        <w:rPr>
          <w:sz w:val="20"/>
        </w:rPr>
        <w:t>cf.</w:t>
      </w:r>
      <w:r>
        <w:rPr>
          <w:spacing w:val="22"/>
          <w:sz w:val="20"/>
        </w:rPr>
        <w:t> </w:t>
      </w:r>
      <w:r>
        <w:rPr>
          <w:rFonts w:ascii="Arial"/>
          <w:i/>
          <w:sz w:val="20"/>
        </w:rPr>
        <w:t>Holman</w:t>
      </w:r>
      <w:r>
        <w:rPr>
          <w:rFonts w:ascii="Arial"/>
          <w:i/>
          <w:spacing w:val="22"/>
          <w:sz w:val="20"/>
        </w:rPr>
        <w:t> </w:t>
      </w:r>
      <w:r>
        <w:rPr>
          <w:rFonts w:ascii="Arial"/>
          <w:i/>
          <w:sz w:val="20"/>
        </w:rPr>
        <w:t>Construction</w:t>
      </w:r>
      <w:r>
        <w:rPr>
          <w:rFonts w:ascii="Arial"/>
          <w:i/>
          <w:spacing w:val="22"/>
          <w:sz w:val="20"/>
        </w:rPr>
        <w:t> </w:t>
      </w:r>
      <w:r>
        <w:rPr>
          <w:rFonts w:ascii="Arial"/>
          <w:i/>
          <w:sz w:val="20"/>
        </w:rPr>
        <w:t>Ltd</w:t>
      </w:r>
      <w:r>
        <w:rPr>
          <w:rFonts w:ascii="Arial"/>
          <w:i/>
          <w:spacing w:val="22"/>
          <w:sz w:val="20"/>
        </w:rPr>
        <w:t> </w:t>
      </w:r>
      <w:r>
        <w:rPr>
          <w:rFonts w:ascii="Arial"/>
          <w:i/>
          <w:sz w:val="20"/>
        </w:rPr>
        <w:t>v</w:t>
      </w:r>
      <w:r>
        <w:rPr>
          <w:rFonts w:ascii="Arial"/>
          <w:i/>
          <w:spacing w:val="22"/>
          <w:sz w:val="20"/>
        </w:rPr>
        <w:t> </w:t>
      </w:r>
      <w:r>
        <w:rPr>
          <w:rFonts w:ascii="Arial"/>
          <w:i/>
          <w:sz w:val="20"/>
        </w:rPr>
        <w:t>Delta</w:t>
      </w:r>
      <w:r>
        <w:rPr>
          <w:rFonts w:ascii="Arial"/>
          <w:i/>
          <w:spacing w:val="22"/>
          <w:sz w:val="20"/>
        </w:rPr>
        <w:t> </w:t>
      </w:r>
      <w:r>
        <w:rPr>
          <w:rFonts w:ascii="Arial"/>
          <w:i/>
          <w:sz w:val="20"/>
        </w:rPr>
        <w:t>Timber</w:t>
      </w:r>
      <w:r>
        <w:rPr>
          <w:rFonts w:ascii="Arial"/>
          <w:i/>
          <w:spacing w:val="22"/>
          <w:sz w:val="20"/>
        </w:rPr>
        <w:t> </w:t>
      </w:r>
      <w:r>
        <w:rPr>
          <w:rFonts w:ascii="Arial"/>
          <w:i/>
          <w:sz w:val="20"/>
        </w:rPr>
        <w:t>Co</w:t>
      </w:r>
      <w:r>
        <w:rPr>
          <w:rFonts w:ascii="Arial"/>
          <w:i/>
          <w:spacing w:val="22"/>
          <w:sz w:val="20"/>
        </w:rPr>
        <w:t> </w:t>
      </w:r>
      <w:r>
        <w:rPr>
          <w:rFonts w:ascii="Arial"/>
          <w:i/>
          <w:sz w:val="20"/>
        </w:rPr>
        <w:t>Ltd</w:t>
      </w:r>
      <w:r>
        <w:rPr>
          <w:rFonts w:ascii="Arial"/>
          <w:i/>
          <w:spacing w:val="22"/>
          <w:sz w:val="20"/>
        </w:rPr>
        <w:t> </w:t>
      </w:r>
      <w:r>
        <w:rPr>
          <w:rFonts w:ascii="Arial"/>
          <w:i/>
          <w:sz w:val="20"/>
        </w:rPr>
        <w:t>[1972]</w:t>
      </w:r>
      <w:r>
        <w:rPr>
          <w:rFonts w:ascii="Arial"/>
          <w:i/>
          <w:spacing w:val="22"/>
          <w:sz w:val="20"/>
        </w:rPr>
        <w:t> </w:t>
      </w:r>
      <w:r>
        <w:rPr>
          <w:rFonts w:ascii="Arial"/>
          <w:i/>
          <w:sz w:val="20"/>
        </w:rPr>
        <w:t>N.Z.L.R.</w:t>
      </w:r>
      <w:r>
        <w:rPr>
          <w:rFonts w:ascii="Arial"/>
          <w:i/>
          <w:spacing w:val="22"/>
          <w:sz w:val="20"/>
        </w:rPr>
        <w:t> </w:t>
      </w:r>
      <w:r>
        <w:rPr>
          <w:rFonts w:ascii="Arial"/>
          <w:i/>
          <w:sz w:val="20"/>
        </w:rPr>
        <w:t>1081</w:t>
      </w:r>
      <w:r>
        <w:rPr>
          <w:sz w:val="20"/>
        </w:rPr>
        <w:t>;</w:t>
      </w:r>
      <w:r>
        <w:rPr>
          <w:spacing w:val="22"/>
          <w:sz w:val="20"/>
        </w:rPr>
        <w:t> </w:t>
      </w:r>
      <w:r>
        <w:rPr>
          <w:sz w:val="20"/>
        </w:rPr>
        <w:t>and</w:t>
      </w:r>
      <w:r>
        <w:rPr>
          <w:spacing w:val="22"/>
          <w:sz w:val="20"/>
        </w:rPr>
        <w:t> </w:t>
      </w:r>
      <w:r>
        <w:rPr>
          <w:sz w:val="20"/>
        </w:rPr>
        <w:t>see</w:t>
      </w:r>
      <w:r>
        <w:rPr>
          <w:spacing w:val="22"/>
          <w:sz w:val="20"/>
        </w:rPr>
        <w:t> </w:t>
      </w:r>
      <w:r>
        <w:rPr>
          <w:rFonts w:ascii="Arial"/>
          <w:i/>
          <w:sz w:val="20"/>
        </w:rPr>
        <w:t>Blackpool and Fylde Aero Club v Blackpool BC [1990] 1 W.L.R. 1195, 1202</w:t>
      </w:r>
      <w:r>
        <w:rPr>
          <w:sz w:val="20"/>
        </w:rPr>
        <w:t>.</w:t>
      </w:r>
    </w:p>
    <w:p>
      <w:pPr>
        <w:pStyle w:val="BodyText"/>
        <w:spacing w:before="5"/>
      </w:pPr>
    </w:p>
    <w:p>
      <w:pPr>
        <w:spacing w:before="0"/>
        <w:ind w:left="165" w:right="0" w:firstLine="0"/>
        <w:jc w:val="left"/>
        <w:rPr>
          <w:sz w:val="20"/>
        </w:rPr>
      </w:pPr>
      <w:bookmarkStart w:name="_bookmark1924" w:id="1926"/>
      <w:bookmarkEnd w:id="1926"/>
      <w:r>
        <w:rPr/>
      </w:r>
      <w:hyperlink w:history="true" w:anchor="_bookmark1849">
        <w:r>
          <w:rPr>
            <w:color w:val="005DA1"/>
            <w:position w:val="5"/>
            <w:sz w:val="14"/>
            <w:u w:val="single" w:color="005DA1"/>
          </w:rPr>
          <w:t>1299</w:t>
        </w:r>
      </w:hyperlink>
      <w:r>
        <w:rPr>
          <w:position w:val="5"/>
          <w:sz w:val="14"/>
        </w:rPr>
        <w:t>.</w:t>
      </w:r>
      <w:r>
        <w:rPr>
          <w:spacing w:val="55"/>
          <w:position w:val="5"/>
          <w:sz w:val="14"/>
        </w:rPr>
        <w:t>  </w:t>
      </w:r>
      <w:r>
        <w:rPr>
          <w:rFonts w:ascii="Arial"/>
          <w:i/>
          <w:sz w:val="20"/>
        </w:rPr>
        <w:t>[1964] A.C. 465</w:t>
      </w:r>
      <w:r>
        <w:rPr>
          <w:sz w:val="20"/>
        </w:rPr>
        <w:t>; below, para.7-</w:t>
      </w:r>
      <w:r>
        <w:rPr>
          <w:spacing w:val="-4"/>
          <w:sz w:val="20"/>
        </w:rPr>
        <w:t>089.</w:t>
      </w:r>
    </w:p>
    <w:p>
      <w:pPr>
        <w:pStyle w:val="BodyText"/>
        <w:spacing w:before="9"/>
      </w:pPr>
    </w:p>
    <w:p>
      <w:pPr>
        <w:pStyle w:val="BodyText"/>
        <w:spacing w:line="235" w:lineRule="auto"/>
        <w:ind w:left="705" w:hanging="541"/>
      </w:pPr>
      <w:bookmarkStart w:name="_bookmark1925" w:id="1927"/>
      <w:bookmarkEnd w:id="1927"/>
      <w:r>
        <w:rPr/>
      </w:r>
      <w:hyperlink w:history="true" w:anchor="_bookmark1850">
        <w:r>
          <w:rPr>
            <w:color w:val="005DA1"/>
            <w:position w:val="5"/>
            <w:sz w:val="14"/>
            <w:u w:val="single" w:color="005DA1"/>
          </w:rPr>
          <w:t>1300</w:t>
        </w:r>
      </w:hyperlink>
      <w:r>
        <w:rPr>
          <w:position w:val="5"/>
          <w:sz w:val="14"/>
        </w:rPr>
        <w:t>.</w:t>
      </w:r>
      <w:r>
        <w:rPr>
          <w:spacing w:val="40"/>
          <w:position w:val="5"/>
          <w:sz w:val="14"/>
        </w:rPr>
        <w:t>  </w:t>
      </w:r>
      <w:r>
        <w:rPr/>
        <w:t>Law</w:t>
      </w:r>
      <w:r>
        <w:rPr>
          <w:spacing w:val="33"/>
        </w:rPr>
        <w:t> </w:t>
      </w:r>
      <w:r>
        <w:rPr/>
        <w:t>Revision</w:t>
      </w:r>
      <w:r>
        <w:rPr>
          <w:spacing w:val="33"/>
        </w:rPr>
        <w:t> </w:t>
      </w:r>
      <w:r>
        <w:rPr/>
        <w:t>Committee,</w:t>
      </w:r>
      <w:r>
        <w:rPr>
          <w:spacing w:val="33"/>
        </w:rPr>
        <w:t> </w:t>
      </w:r>
      <w:r>
        <w:rPr/>
        <w:t>6th</w:t>
      </w:r>
      <w:r>
        <w:rPr>
          <w:spacing w:val="33"/>
        </w:rPr>
        <w:t> </w:t>
      </w:r>
      <w:r>
        <w:rPr/>
        <w:t>Interim</w:t>
      </w:r>
      <w:r>
        <w:rPr>
          <w:spacing w:val="33"/>
        </w:rPr>
        <w:t> </w:t>
      </w:r>
      <w:r>
        <w:rPr/>
        <w:t>Report,</w:t>
      </w:r>
      <w:r>
        <w:rPr>
          <w:spacing w:val="33"/>
        </w:rPr>
        <w:t> </w:t>
      </w:r>
      <w:r>
        <w:rPr/>
        <w:t>Cmd.</w:t>
      </w:r>
      <w:r>
        <w:rPr>
          <w:spacing w:val="33"/>
        </w:rPr>
        <w:t> </w:t>
      </w:r>
      <w:r>
        <w:rPr/>
        <w:t>5449</w:t>
      </w:r>
      <w:r>
        <w:rPr>
          <w:spacing w:val="33"/>
        </w:rPr>
        <w:t> </w:t>
      </w:r>
      <w:r>
        <w:rPr/>
        <w:t>(1937),</w:t>
      </w:r>
      <w:r>
        <w:rPr>
          <w:spacing w:val="33"/>
        </w:rPr>
        <w:t> </w:t>
      </w:r>
      <w:r>
        <w:rPr/>
        <w:t>para.38;</w:t>
      </w:r>
      <w:r>
        <w:rPr>
          <w:spacing w:val="33"/>
        </w:rPr>
        <w:t> </w:t>
      </w:r>
      <w:r>
        <w:rPr/>
        <w:t>Law</w:t>
      </w:r>
      <w:r>
        <w:rPr>
          <w:spacing w:val="33"/>
        </w:rPr>
        <w:t> </w:t>
      </w:r>
      <w:r>
        <w:rPr/>
        <w:t>Commission Working Paper No.60 (1975).</w:t>
      </w:r>
    </w:p>
    <w:p>
      <w:pPr>
        <w:pStyle w:val="BodyText"/>
        <w:spacing w:before="9"/>
      </w:pPr>
    </w:p>
    <w:p>
      <w:pPr>
        <w:spacing w:line="235" w:lineRule="auto" w:before="0"/>
        <w:ind w:left="705" w:right="166" w:hanging="541"/>
        <w:jc w:val="both"/>
        <w:rPr>
          <w:sz w:val="20"/>
        </w:rPr>
      </w:pPr>
      <w:bookmarkStart w:name="_bookmark1926" w:id="1928"/>
      <w:bookmarkEnd w:id="1928"/>
      <w:r>
        <w:rPr/>
      </w:r>
      <w:hyperlink w:history="true" w:anchor="_bookmark1851">
        <w:r>
          <w:rPr>
            <w:color w:val="005DA1"/>
            <w:position w:val="5"/>
            <w:sz w:val="14"/>
            <w:u w:val="single" w:color="005DA1"/>
          </w:rPr>
          <w:t>1301</w:t>
        </w:r>
      </w:hyperlink>
      <w:r>
        <w:rPr>
          <w:position w:val="5"/>
          <w:sz w:val="14"/>
        </w:rPr>
        <w:t>.</w:t>
      </w:r>
      <w:r>
        <w:rPr>
          <w:spacing w:val="80"/>
          <w:position w:val="5"/>
          <w:sz w:val="14"/>
        </w:rPr>
        <w:t> </w:t>
      </w:r>
      <w:r>
        <w:rPr>
          <w:rFonts w:ascii="Arial" w:hAnsi="Arial"/>
          <w:i/>
          <w:sz w:val="20"/>
        </w:rPr>
        <w:t>Jaglom v Excess Insurance Ltd [1972] 2 Q.B. 250, 258</w:t>
      </w:r>
      <w:r>
        <w:rPr>
          <w:sz w:val="20"/>
        </w:rPr>
        <w:t>; cf. </w:t>
      </w:r>
      <w:r>
        <w:rPr>
          <w:rFonts w:ascii="Arial" w:hAnsi="Arial"/>
          <w:i/>
          <w:sz w:val="20"/>
        </w:rPr>
        <w:t>County Ltd v Girozentrale Securities [1996] 3 All E.R. 834 </w:t>
      </w:r>
      <w:r>
        <w:rPr>
          <w:sz w:val="20"/>
        </w:rPr>
        <w:t>where an “offer to subscribe” for shares was described at 837 as “not legally binding but regarded by City convention as binding in honour unless some </w:t>
      </w:r>
      <w:r>
        <w:rPr>
          <w:sz w:val="20"/>
        </w:rPr>
        <w:t>unforeseen exceptional circumstances supervened.” It seems that the “commitment” (below, before n.1248) was given not to the company but to the underwriter, or by prospective investors to each other, so that the principles discussed in para.2-024 above did not apply. For the view that the statement in question in the </w:t>
      </w:r>
      <w:r>
        <w:rPr>
          <w:rFonts w:ascii="Arial" w:hAnsi="Arial"/>
          <w:i/>
          <w:sz w:val="20"/>
        </w:rPr>
        <w:t>Jaglom </w:t>
      </w:r>
      <w:r>
        <w:rPr>
          <w:sz w:val="20"/>
        </w:rPr>
        <w:t>case was not an offer at all, but an acceptance (and</w:t>
      </w:r>
      <w:r>
        <w:rPr>
          <w:spacing w:val="40"/>
          <w:sz w:val="20"/>
        </w:rPr>
        <w:t> </w:t>
      </w:r>
      <w:r>
        <w:rPr>
          <w:sz w:val="20"/>
        </w:rPr>
        <w:t>binding</w:t>
      </w:r>
      <w:r>
        <w:rPr>
          <w:spacing w:val="-3"/>
          <w:sz w:val="20"/>
        </w:rPr>
        <w:t> </w:t>
      </w:r>
      <w:r>
        <w:rPr>
          <w:sz w:val="20"/>
        </w:rPr>
        <w:t>as</w:t>
      </w:r>
      <w:r>
        <w:rPr>
          <w:spacing w:val="-3"/>
          <w:sz w:val="20"/>
        </w:rPr>
        <w:t> </w:t>
      </w:r>
      <w:r>
        <w:rPr>
          <w:sz w:val="20"/>
        </w:rPr>
        <w:t>such)</w:t>
      </w:r>
      <w:r>
        <w:rPr>
          <w:spacing w:val="-3"/>
          <w:sz w:val="20"/>
        </w:rPr>
        <w:t> </w:t>
      </w:r>
      <w:r>
        <w:rPr>
          <w:sz w:val="20"/>
        </w:rPr>
        <w:t>see</w:t>
      </w:r>
      <w:r>
        <w:rPr>
          <w:spacing w:val="-3"/>
          <w:sz w:val="20"/>
        </w:rPr>
        <w:t> </w:t>
      </w:r>
      <w:r>
        <w:rPr>
          <w:rFonts w:ascii="Arial" w:hAnsi="Arial"/>
          <w:i/>
          <w:sz w:val="20"/>
        </w:rPr>
        <w:t>General</w:t>
      </w:r>
      <w:r>
        <w:rPr>
          <w:rFonts w:ascii="Arial" w:hAnsi="Arial"/>
          <w:i/>
          <w:spacing w:val="-3"/>
          <w:sz w:val="20"/>
        </w:rPr>
        <w:t> </w:t>
      </w:r>
      <w:r>
        <w:rPr>
          <w:rFonts w:ascii="Arial" w:hAnsi="Arial"/>
          <w:i/>
          <w:sz w:val="20"/>
        </w:rPr>
        <w:t>Reinsurance</w:t>
      </w:r>
      <w:r>
        <w:rPr>
          <w:rFonts w:ascii="Arial" w:hAnsi="Arial"/>
          <w:i/>
          <w:spacing w:val="-3"/>
          <w:sz w:val="20"/>
        </w:rPr>
        <w:t> </w:t>
      </w:r>
      <w:r>
        <w:rPr>
          <w:rFonts w:ascii="Arial" w:hAnsi="Arial"/>
          <w:i/>
          <w:sz w:val="20"/>
        </w:rPr>
        <w:t>Corporation</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Forsakringsaktiebolaget</w:t>
      </w:r>
      <w:r>
        <w:rPr>
          <w:rFonts w:ascii="Arial" w:hAnsi="Arial"/>
          <w:i/>
          <w:spacing w:val="-3"/>
          <w:sz w:val="20"/>
        </w:rPr>
        <w:t> </w:t>
      </w:r>
      <w:r>
        <w:rPr>
          <w:rFonts w:ascii="Arial" w:hAnsi="Arial"/>
          <w:i/>
          <w:sz w:val="20"/>
        </w:rPr>
        <w:t>Fennia</w:t>
      </w:r>
      <w:r>
        <w:rPr>
          <w:rFonts w:ascii="Arial" w:hAnsi="Arial"/>
          <w:i/>
          <w:spacing w:val="-3"/>
          <w:sz w:val="20"/>
        </w:rPr>
        <w:t> </w:t>
      </w:r>
      <w:r>
        <w:rPr>
          <w:rFonts w:ascii="Arial" w:hAnsi="Arial"/>
          <w:i/>
          <w:sz w:val="20"/>
        </w:rPr>
        <w:t>Patria [1983] Q.B. 856, 863–864</w:t>
      </w:r>
      <w:r>
        <w:rPr>
          <w:sz w:val="20"/>
        </w:rPr>
        <w:t>.</w:t>
      </w:r>
    </w:p>
    <w:p>
      <w:pPr>
        <w:pStyle w:val="BodyText"/>
        <w:spacing w:before="3"/>
      </w:pPr>
    </w:p>
    <w:p>
      <w:pPr>
        <w:pStyle w:val="BodyText"/>
        <w:ind w:left="165"/>
      </w:pPr>
      <w:bookmarkStart w:name="_bookmark1927" w:id="1929"/>
      <w:bookmarkEnd w:id="1929"/>
      <w:r>
        <w:rPr/>
      </w:r>
      <w:hyperlink w:history="true" w:anchor="_bookmark1852">
        <w:r>
          <w:rPr>
            <w:color w:val="005DA1"/>
            <w:position w:val="5"/>
            <w:sz w:val="14"/>
            <w:u w:val="single" w:color="005DA1"/>
          </w:rPr>
          <w:t>1302</w:t>
        </w:r>
      </w:hyperlink>
      <w:r>
        <w:rPr>
          <w:position w:val="5"/>
          <w:sz w:val="14"/>
        </w:rPr>
        <w:t>.</w:t>
      </w:r>
      <w:r>
        <w:rPr>
          <w:spacing w:val="55"/>
          <w:position w:val="5"/>
          <w:sz w:val="14"/>
        </w:rPr>
        <w:t>  </w:t>
      </w:r>
      <w:r>
        <w:rPr/>
        <w:t>Above,</w:t>
      </w:r>
      <w:r>
        <w:rPr>
          <w:spacing w:val="1"/>
        </w:rPr>
        <w:t> </w:t>
      </w:r>
      <w:r>
        <w:rPr/>
        <w:t>para.2-061; </w:t>
      </w:r>
      <w:r>
        <w:rPr>
          <w:spacing w:val="-2"/>
        </w:rPr>
        <w:t>Art.16(2).</w:t>
      </w:r>
    </w:p>
    <w:p>
      <w:pPr>
        <w:pStyle w:val="BodyText"/>
        <w:spacing w:before="9"/>
      </w:pPr>
    </w:p>
    <w:p>
      <w:pPr>
        <w:spacing w:line="235" w:lineRule="auto" w:before="0"/>
        <w:ind w:left="705" w:right="167" w:hanging="541"/>
        <w:jc w:val="both"/>
        <w:rPr>
          <w:sz w:val="20"/>
        </w:rPr>
      </w:pPr>
      <w:bookmarkStart w:name="_bookmark1928" w:id="1930"/>
      <w:bookmarkEnd w:id="1930"/>
      <w:r>
        <w:rPr/>
      </w:r>
      <w:hyperlink w:history="true" w:anchor="_bookmark1853">
        <w:r>
          <w:rPr>
            <w:color w:val="005DA1"/>
            <w:position w:val="5"/>
            <w:sz w:val="14"/>
            <w:u w:val="single" w:color="005DA1"/>
          </w:rPr>
          <w:t>1303</w:t>
        </w:r>
      </w:hyperlink>
      <w:r>
        <w:rPr>
          <w:position w:val="5"/>
          <w:sz w:val="14"/>
        </w:rPr>
        <w:t>.</w:t>
      </w:r>
      <w:r>
        <w:rPr>
          <w:spacing w:val="80"/>
          <w:w w:val="150"/>
          <w:position w:val="5"/>
          <w:sz w:val="14"/>
        </w:rPr>
        <w:t> </w:t>
      </w:r>
      <w:r>
        <w:rPr>
          <w:rFonts w:ascii="Arial" w:hAnsi="Arial"/>
          <w:i/>
          <w:sz w:val="20"/>
        </w:rPr>
        <w:t>Citadel</w:t>
      </w:r>
      <w:r>
        <w:rPr>
          <w:rFonts w:ascii="Arial" w:hAnsi="Arial"/>
          <w:i/>
          <w:spacing w:val="21"/>
          <w:sz w:val="20"/>
        </w:rPr>
        <w:t> </w:t>
      </w:r>
      <w:r>
        <w:rPr>
          <w:rFonts w:ascii="Arial" w:hAnsi="Arial"/>
          <w:i/>
          <w:sz w:val="20"/>
        </w:rPr>
        <w:t>Insurance</w:t>
      </w:r>
      <w:r>
        <w:rPr>
          <w:rFonts w:ascii="Arial" w:hAnsi="Arial"/>
          <w:i/>
          <w:spacing w:val="21"/>
          <w:sz w:val="20"/>
        </w:rPr>
        <w:t> </w:t>
      </w:r>
      <w:r>
        <w:rPr>
          <w:rFonts w:ascii="Arial" w:hAnsi="Arial"/>
          <w:i/>
          <w:sz w:val="20"/>
        </w:rPr>
        <w:t>Co</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Atlantic</w:t>
      </w:r>
      <w:r>
        <w:rPr>
          <w:rFonts w:ascii="Arial" w:hAnsi="Arial"/>
          <w:i/>
          <w:spacing w:val="21"/>
          <w:sz w:val="20"/>
        </w:rPr>
        <w:t> </w:t>
      </w:r>
      <w:r>
        <w:rPr>
          <w:rFonts w:ascii="Arial" w:hAnsi="Arial"/>
          <w:i/>
          <w:sz w:val="20"/>
        </w:rPr>
        <w:t>Union</w:t>
      </w:r>
      <w:r>
        <w:rPr>
          <w:rFonts w:ascii="Arial" w:hAnsi="Arial"/>
          <w:i/>
          <w:spacing w:val="21"/>
          <w:sz w:val="20"/>
        </w:rPr>
        <w:t> </w:t>
      </w:r>
      <w:r>
        <w:rPr>
          <w:rFonts w:ascii="Arial" w:hAnsi="Arial"/>
          <w:i/>
          <w:sz w:val="20"/>
        </w:rPr>
        <w:t>Insurance</w:t>
      </w:r>
      <w:r>
        <w:rPr>
          <w:rFonts w:ascii="Arial" w:hAnsi="Arial"/>
          <w:i/>
          <w:spacing w:val="21"/>
          <w:sz w:val="20"/>
        </w:rPr>
        <w:t> </w:t>
      </w:r>
      <w:r>
        <w:rPr>
          <w:rFonts w:ascii="Arial" w:hAnsi="Arial"/>
          <w:i/>
          <w:sz w:val="20"/>
        </w:rPr>
        <w:t>Co</w:t>
      </w:r>
      <w:r>
        <w:rPr>
          <w:rFonts w:ascii="Arial" w:hAnsi="Arial"/>
          <w:i/>
          <w:spacing w:val="21"/>
          <w:sz w:val="20"/>
        </w:rPr>
        <w:t> </w:t>
      </w:r>
      <w:r>
        <w:rPr>
          <w:rFonts w:ascii="Arial" w:hAnsi="Arial"/>
          <w:i/>
          <w:sz w:val="20"/>
        </w:rPr>
        <w:t>[1982]</w:t>
      </w:r>
      <w:r>
        <w:rPr>
          <w:rFonts w:ascii="Arial" w:hAnsi="Arial"/>
          <w:i/>
          <w:spacing w:val="21"/>
          <w:sz w:val="20"/>
        </w:rPr>
        <w:t> </w:t>
      </w:r>
      <w:r>
        <w:rPr>
          <w:rFonts w:ascii="Arial" w:hAnsi="Arial"/>
          <w:i/>
          <w:sz w:val="20"/>
        </w:rPr>
        <w:t>2</w:t>
      </w:r>
      <w:r>
        <w:rPr>
          <w:rFonts w:ascii="Arial" w:hAnsi="Arial"/>
          <w:i/>
          <w:spacing w:val="21"/>
          <w:sz w:val="20"/>
        </w:rPr>
        <w:t> </w:t>
      </w:r>
      <w:r>
        <w:rPr>
          <w:rFonts w:ascii="Arial" w:hAnsi="Arial"/>
          <w:i/>
          <w:sz w:val="20"/>
        </w:rPr>
        <w:t>Lloyd’s</w:t>
      </w:r>
      <w:r>
        <w:rPr>
          <w:rFonts w:ascii="Arial" w:hAnsi="Arial"/>
          <w:i/>
          <w:spacing w:val="21"/>
          <w:sz w:val="20"/>
        </w:rPr>
        <w:t> </w:t>
      </w:r>
      <w:r>
        <w:rPr>
          <w:rFonts w:ascii="Arial" w:hAnsi="Arial"/>
          <w:i/>
          <w:sz w:val="20"/>
        </w:rPr>
        <w:t>Rep.</w:t>
      </w:r>
      <w:r>
        <w:rPr>
          <w:rFonts w:ascii="Arial" w:hAnsi="Arial"/>
          <w:i/>
          <w:spacing w:val="21"/>
          <w:sz w:val="20"/>
        </w:rPr>
        <w:t> </w:t>
      </w:r>
      <w:r>
        <w:rPr>
          <w:rFonts w:ascii="Arial" w:hAnsi="Arial"/>
          <w:i/>
          <w:sz w:val="20"/>
        </w:rPr>
        <w:t>543,</w:t>
      </w:r>
      <w:r>
        <w:rPr>
          <w:rFonts w:ascii="Arial" w:hAnsi="Arial"/>
          <w:i/>
          <w:spacing w:val="21"/>
          <w:sz w:val="20"/>
        </w:rPr>
        <w:t> </w:t>
      </w:r>
      <w:r>
        <w:rPr>
          <w:rFonts w:ascii="Arial" w:hAnsi="Arial"/>
          <w:i/>
          <w:sz w:val="20"/>
        </w:rPr>
        <w:t>546</w:t>
      </w:r>
      <w:r>
        <w:rPr>
          <w:sz w:val="20"/>
        </w:rPr>
        <w:t>;</w:t>
      </w:r>
      <w:r>
        <w:rPr>
          <w:spacing w:val="21"/>
          <w:sz w:val="20"/>
        </w:rPr>
        <w:t> </w:t>
      </w:r>
      <w:r>
        <w:rPr>
          <w:sz w:val="20"/>
        </w:rPr>
        <w:t>contrast the nature of “preliminary” slips: these were said in </w:t>
      </w:r>
      <w:r>
        <w:rPr>
          <w:rFonts w:ascii="Arial" w:hAnsi="Arial"/>
          <w:i/>
          <w:sz w:val="20"/>
        </w:rPr>
        <w:t>Beazley Underwriting Ltd v Travellers Companies Inc [2011] EWHC 1520 (Comm), [2012] 1 All E.R. (Comm) 1241 </w:t>
      </w:r>
      <w:r>
        <w:rPr>
          <w:sz w:val="20"/>
        </w:rPr>
        <w:t>at [173] as</w:t>
      </w:r>
      <w:r>
        <w:rPr>
          <w:spacing w:val="40"/>
          <w:sz w:val="20"/>
        </w:rPr>
        <w:t> </w:t>
      </w:r>
      <w:r>
        <w:rPr>
          <w:sz w:val="20"/>
        </w:rPr>
        <w:t>“nothing more than quotation slips”: i.e., presumably offers without any indication that </w:t>
      </w:r>
      <w:r>
        <w:rPr>
          <w:sz w:val="20"/>
        </w:rPr>
        <w:t>they would be kept open for a specified or ascertainable time, or perhaps mere invitations to treat (see above, para.2-010).</w:t>
      </w:r>
    </w:p>
    <w:p>
      <w:pPr>
        <w:pStyle w:val="BodyText"/>
        <w:spacing w:before="7"/>
      </w:pPr>
    </w:p>
    <w:p>
      <w:pPr>
        <w:spacing w:line="235" w:lineRule="auto" w:before="1"/>
        <w:ind w:left="705" w:right="167" w:hanging="541"/>
        <w:jc w:val="both"/>
        <w:rPr>
          <w:sz w:val="20"/>
        </w:rPr>
      </w:pPr>
      <w:bookmarkStart w:name="_bookmark1929" w:id="1931"/>
      <w:bookmarkEnd w:id="1931"/>
      <w:r>
        <w:rPr/>
      </w:r>
      <w:hyperlink w:history="true" w:anchor="_bookmark1854">
        <w:r>
          <w:rPr>
            <w:color w:val="005DA1"/>
            <w:position w:val="5"/>
            <w:sz w:val="14"/>
            <w:u w:val="single" w:color="005DA1"/>
          </w:rPr>
          <w:t>1304</w:t>
        </w:r>
      </w:hyperlink>
      <w:r>
        <w:rPr>
          <w:position w:val="5"/>
          <w:sz w:val="14"/>
        </w:rPr>
        <w:t>.</w:t>
      </w:r>
      <w:r>
        <w:rPr>
          <w:spacing w:val="80"/>
          <w:position w:val="5"/>
          <w:sz w:val="14"/>
        </w:rPr>
        <w:t> </w:t>
      </w:r>
      <w:r>
        <w:rPr>
          <w:sz w:val="20"/>
        </w:rPr>
        <w:t>e.g. where a builder enters into a contract in reliance of offers from sub-contractors to </w:t>
      </w:r>
      <w:r>
        <w:rPr>
          <w:sz w:val="20"/>
        </w:rPr>
        <w:t>supply services or materials and expressed to be “firm” for a fixed period. For conflicting American authorities, see </w:t>
      </w:r>
      <w:r>
        <w:rPr>
          <w:rFonts w:ascii="Arial" w:hAnsi="Arial"/>
          <w:i/>
          <w:sz w:val="20"/>
        </w:rPr>
        <w:t>James Baird Co v Gimbel Bros., 64 F. 2d. 344 (1933)</w:t>
      </w:r>
      <w:r>
        <w:rPr>
          <w:sz w:val="20"/>
        </w:rPr>
        <w:t>; </w:t>
      </w:r>
      <w:r>
        <w:rPr>
          <w:rFonts w:ascii="Arial" w:hAnsi="Arial"/>
          <w:i/>
          <w:sz w:val="20"/>
        </w:rPr>
        <w:t>Drennan v Star Paving Co 51 Cal. 2d. 409, 333 P. 2d. 757 (1958)</w:t>
      </w:r>
      <w:r>
        <w:rPr>
          <w:sz w:val="20"/>
        </w:rPr>
        <w:t>; for a review of Canadian authorities, see </w:t>
      </w:r>
      <w:r>
        <w:rPr>
          <w:rFonts w:ascii="Arial" w:hAnsi="Arial"/>
          <w:i/>
          <w:sz w:val="20"/>
        </w:rPr>
        <w:t>Northern Construction</w:t>
      </w:r>
      <w:r>
        <w:rPr>
          <w:rFonts w:ascii="Arial" w:hAnsi="Arial"/>
          <w:i/>
          <w:spacing w:val="80"/>
          <w:sz w:val="20"/>
        </w:rPr>
        <w:t> </w:t>
      </w:r>
      <w:r>
        <w:rPr>
          <w:rFonts w:ascii="Arial" w:hAnsi="Arial"/>
          <w:i/>
          <w:sz w:val="20"/>
        </w:rPr>
        <w:t>Co</w:t>
      </w:r>
      <w:r>
        <w:rPr>
          <w:rFonts w:ascii="Arial" w:hAnsi="Arial"/>
          <w:i/>
          <w:spacing w:val="80"/>
          <w:sz w:val="20"/>
        </w:rPr>
        <w:t> </w:t>
      </w:r>
      <w:r>
        <w:rPr>
          <w:rFonts w:ascii="Arial" w:hAnsi="Arial"/>
          <w:i/>
          <w:sz w:val="20"/>
        </w:rPr>
        <w:t>v</w:t>
      </w:r>
      <w:r>
        <w:rPr>
          <w:rFonts w:ascii="Arial" w:hAnsi="Arial"/>
          <w:i/>
          <w:spacing w:val="80"/>
          <w:sz w:val="20"/>
        </w:rPr>
        <w:t> </w:t>
      </w:r>
      <w:r>
        <w:rPr>
          <w:rFonts w:ascii="Arial" w:hAnsi="Arial"/>
          <w:i/>
          <w:sz w:val="20"/>
        </w:rPr>
        <w:t>Gloge</w:t>
      </w:r>
      <w:r>
        <w:rPr>
          <w:rFonts w:ascii="Arial" w:hAnsi="Arial"/>
          <w:i/>
          <w:spacing w:val="80"/>
          <w:sz w:val="20"/>
        </w:rPr>
        <w:t> </w:t>
      </w:r>
      <w:r>
        <w:rPr>
          <w:rFonts w:ascii="Arial" w:hAnsi="Arial"/>
          <w:i/>
          <w:sz w:val="20"/>
        </w:rPr>
        <w:t>Heating</w:t>
      </w:r>
      <w:r>
        <w:rPr>
          <w:rFonts w:ascii="Arial" w:hAnsi="Arial"/>
          <w:i/>
          <w:spacing w:val="80"/>
          <w:sz w:val="20"/>
        </w:rPr>
        <w:t> </w:t>
      </w:r>
      <w:r>
        <w:rPr>
          <w:rFonts w:ascii="Arial" w:hAnsi="Arial"/>
          <w:i/>
          <w:sz w:val="20"/>
        </w:rPr>
        <w:t>&amp;</w:t>
      </w:r>
      <w:r>
        <w:rPr>
          <w:rFonts w:ascii="Arial" w:hAnsi="Arial"/>
          <w:i/>
          <w:spacing w:val="80"/>
          <w:sz w:val="20"/>
        </w:rPr>
        <w:t> </w:t>
      </w:r>
      <w:r>
        <w:rPr>
          <w:rFonts w:ascii="Arial" w:hAnsi="Arial"/>
          <w:i/>
          <w:sz w:val="20"/>
        </w:rPr>
        <w:t>Plumbing</w:t>
      </w:r>
      <w:r>
        <w:rPr>
          <w:rFonts w:ascii="Arial" w:hAnsi="Arial"/>
          <w:i/>
          <w:spacing w:val="80"/>
          <w:sz w:val="20"/>
        </w:rPr>
        <w:t> </w:t>
      </w:r>
      <w:r>
        <w:rPr>
          <w:rFonts w:ascii="Arial" w:hAnsi="Arial"/>
          <w:i/>
          <w:sz w:val="20"/>
        </w:rPr>
        <w:t>(1984)</w:t>
      </w:r>
      <w:r>
        <w:rPr>
          <w:rFonts w:ascii="Arial" w:hAnsi="Arial"/>
          <w:i/>
          <w:spacing w:val="80"/>
          <w:sz w:val="20"/>
        </w:rPr>
        <w:t> </w:t>
      </w:r>
      <w:r>
        <w:rPr>
          <w:rFonts w:ascii="Arial" w:hAnsi="Arial"/>
          <w:i/>
          <w:sz w:val="20"/>
        </w:rPr>
        <w:t>6</w:t>
      </w:r>
      <w:r>
        <w:rPr>
          <w:rFonts w:ascii="Arial" w:hAnsi="Arial"/>
          <w:i/>
          <w:spacing w:val="80"/>
          <w:sz w:val="20"/>
        </w:rPr>
        <w:t> </w:t>
      </w:r>
      <w:r>
        <w:rPr>
          <w:rFonts w:ascii="Arial" w:hAnsi="Arial"/>
          <w:i/>
          <w:sz w:val="20"/>
        </w:rPr>
        <w:t>D.L.R.</w:t>
      </w:r>
      <w:r>
        <w:rPr>
          <w:rFonts w:ascii="Arial" w:hAnsi="Arial"/>
          <w:i/>
          <w:spacing w:val="80"/>
          <w:sz w:val="20"/>
        </w:rPr>
        <w:t> </w:t>
      </w:r>
      <w:r>
        <w:rPr>
          <w:rFonts w:ascii="Arial" w:hAnsi="Arial"/>
          <w:i/>
          <w:sz w:val="20"/>
        </w:rPr>
        <w:t>(4th)</w:t>
      </w:r>
      <w:r>
        <w:rPr>
          <w:rFonts w:ascii="Arial" w:hAnsi="Arial"/>
          <w:i/>
          <w:spacing w:val="80"/>
          <w:sz w:val="20"/>
        </w:rPr>
        <w:t> </w:t>
      </w:r>
      <w:r>
        <w:rPr>
          <w:rFonts w:ascii="Arial" w:hAnsi="Arial"/>
          <w:i/>
          <w:sz w:val="20"/>
        </w:rPr>
        <w:t>450</w:t>
      </w:r>
      <w:r>
        <w:rPr>
          <w:rFonts w:ascii="Arial" w:hAnsi="Arial"/>
          <w:i/>
          <w:spacing w:val="80"/>
          <w:sz w:val="20"/>
        </w:rPr>
        <w:t> </w:t>
      </w:r>
      <w:r>
        <w:rPr>
          <w:sz w:val="20"/>
        </w:rPr>
        <w:t>(holding</w:t>
      </w:r>
      <w:r>
        <w:rPr>
          <w:spacing w:val="80"/>
          <w:sz w:val="20"/>
        </w:rPr>
        <w:t> </w:t>
      </w:r>
      <w:r>
        <w:rPr>
          <w:sz w:val="20"/>
        </w:rPr>
        <w:t>the sub-contractor bound by his offer).</w:t>
      </w:r>
    </w:p>
    <w:p>
      <w:pPr>
        <w:pStyle w:val="BodyText"/>
        <w:spacing w:before="3"/>
      </w:pPr>
    </w:p>
    <w:p>
      <w:pPr>
        <w:pStyle w:val="BodyText"/>
        <w:spacing w:before="1"/>
        <w:ind w:left="165"/>
      </w:pPr>
      <w:bookmarkStart w:name="_bookmark1930" w:id="1932"/>
      <w:bookmarkEnd w:id="1932"/>
      <w:r>
        <w:rPr/>
      </w:r>
      <w:hyperlink w:history="true" w:anchor="_bookmark1855">
        <w:r>
          <w:rPr>
            <w:color w:val="005DA1"/>
            <w:position w:val="5"/>
            <w:sz w:val="14"/>
            <w:u w:val="single" w:color="005DA1"/>
          </w:rPr>
          <w:t>1305</w:t>
        </w:r>
      </w:hyperlink>
      <w:r>
        <w:rPr>
          <w:position w:val="5"/>
          <w:sz w:val="14"/>
        </w:rPr>
        <w:t>.</w:t>
      </w:r>
      <w:r>
        <w:rPr>
          <w:spacing w:val="55"/>
          <w:position w:val="5"/>
          <w:sz w:val="14"/>
        </w:rPr>
        <w:t>  </w:t>
      </w:r>
      <w:r>
        <w:rPr/>
        <w:t>See</w:t>
      </w:r>
      <w:r>
        <w:rPr>
          <w:spacing w:val="1"/>
        </w:rPr>
        <w:t> </w:t>
      </w:r>
      <w:r>
        <w:rPr/>
        <w:t>Law Com. Working Paper 60 </w:t>
      </w:r>
      <w:r>
        <w:rPr>
          <w:spacing w:val="-2"/>
        </w:rPr>
        <w:t>(1975).</w:t>
      </w:r>
    </w:p>
    <w:p>
      <w:pPr>
        <w:pStyle w:val="BodyText"/>
        <w:spacing w:before="4"/>
      </w:pPr>
    </w:p>
    <w:p>
      <w:pPr>
        <w:spacing w:line="227" w:lineRule="exact" w:before="1"/>
        <w:ind w:left="165" w:right="0" w:firstLine="0"/>
        <w:jc w:val="left"/>
        <w:rPr>
          <w:sz w:val="20"/>
        </w:rPr>
      </w:pPr>
      <w:bookmarkStart w:name="_bookmark1931" w:id="1933"/>
      <w:bookmarkEnd w:id="1933"/>
      <w:r>
        <w:rPr/>
      </w:r>
      <w:hyperlink w:history="true" w:anchor="_bookmark1856">
        <w:r>
          <w:rPr>
            <w:color w:val="005DA1"/>
            <w:position w:val="5"/>
            <w:sz w:val="14"/>
            <w:u w:val="single" w:color="005DA1"/>
          </w:rPr>
          <w:t>1306</w:t>
        </w:r>
      </w:hyperlink>
      <w:r>
        <w:rPr>
          <w:position w:val="5"/>
          <w:sz w:val="14"/>
        </w:rPr>
        <w:t>.</w:t>
      </w:r>
      <w:r>
        <w:rPr>
          <w:spacing w:val="55"/>
          <w:position w:val="5"/>
          <w:sz w:val="14"/>
        </w:rPr>
        <w:t>  </w:t>
      </w:r>
      <w:r>
        <w:rPr>
          <w:rFonts w:ascii="Arial"/>
          <w:i/>
          <w:sz w:val="20"/>
        </w:rPr>
        <w:t>Warlow</w:t>
      </w:r>
      <w:r>
        <w:rPr>
          <w:rFonts w:ascii="Arial"/>
          <w:i/>
          <w:spacing w:val="39"/>
          <w:sz w:val="20"/>
        </w:rPr>
        <w:t> </w:t>
      </w:r>
      <w:r>
        <w:rPr>
          <w:rFonts w:ascii="Arial"/>
          <w:i/>
          <w:sz w:val="20"/>
        </w:rPr>
        <w:t>v</w:t>
      </w:r>
      <w:r>
        <w:rPr>
          <w:rFonts w:ascii="Arial"/>
          <w:i/>
          <w:spacing w:val="38"/>
          <w:sz w:val="20"/>
        </w:rPr>
        <w:t> </w:t>
      </w:r>
      <w:r>
        <w:rPr>
          <w:rFonts w:ascii="Arial"/>
          <w:i/>
          <w:sz w:val="20"/>
        </w:rPr>
        <w:t>Harrison</w:t>
      </w:r>
      <w:r>
        <w:rPr>
          <w:rFonts w:ascii="Arial"/>
          <w:i/>
          <w:spacing w:val="38"/>
          <w:sz w:val="20"/>
        </w:rPr>
        <w:t> </w:t>
      </w:r>
      <w:r>
        <w:rPr>
          <w:rFonts w:ascii="Arial"/>
          <w:i/>
          <w:sz w:val="20"/>
        </w:rPr>
        <w:t>(1859)</w:t>
      </w:r>
      <w:r>
        <w:rPr>
          <w:rFonts w:ascii="Arial"/>
          <w:i/>
          <w:spacing w:val="38"/>
          <w:sz w:val="20"/>
        </w:rPr>
        <w:t> </w:t>
      </w:r>
      <w:r>
        <w:rPr>
          <w:rFonts w:ascii="Arial"/>
          <w:i/>
          <w:sz w:val="20"/>
        </w:rPr>
        <w:t>1</w:t>
      </w:r>
      <w:r>
        <w:rPr>
          <w:rFonts w:ascii="Arial"/>
          <w:i/>
          <w:spacing w:val="38"/>
          <w:sz w:val="20"/>
        </w:rPr>
        <w:t> </w:t>
      </w:r>
      <w:r>
        <w:rPr>
          <w:rFonts w:ascii="Arial"/>
          <w:i/>
          <w:sz w:val="20"/>
        </w:rPr>
        <w:t>E.</w:t>
      </w:r>
      <w:r>
        <w:rPr>
          <w:rFonts w:ascii="Arial"/>
          <w:i/>
          <w:spacing w:val="38"/>
          <w:sz w:val="20"/>
        </w:rPr>
        <w:t> </w:t>
      </w:r>
      <w:r>
        <w:rPr>
          <w:rFonts w:ascii="Arial"/>
          <w:i/>
          <w:sz w:val="20"/>
        </w:rPr>
        <w:t>&amp;</w:t>
      </w:r>
      <w:r>
        <w:rPr>
          <w:rFonts w:ascii="Arial"/>
          <w:i/>
          <w:spacing w:val="38"/>
          <w:sz w:val="20"/>
        </w:rPr>
        <w:t> </w:t>
      </w:r>
      <w:r>
        <w:rPr>
          <w:rFonts w:ascii="Arial"/>
          <w:i/>
          <w:sz w:val="20"/>
        </w:rPr>
        <w:t>E.</w:t>
      </w:r>
      <w:r>
        <w:rPr>
          <w:rFonts w:ascii="Arial"/>
          <w:i/>
          <w:spacing w:val="38"/>
          <w:sz w:val="20"/>
        </w:rPr>
        <w:t> </w:t>
      </w:r>
      <w:r>
        <w:rPr>
          <w:rFonts w:ascii="Arial"/>
          <w:i/>
          <w:sz w:val="20"/>
        </w:rPr>
        <w:t>309</w:t>
      </w:r>
      <w:r>
        <w:rPr>
          <w:sz w:val="20"/>
        </w:rPr>
        <w:t>;</w:t>
      </w:r>
      <w:r>
        <w:rPr>
          <w:spacing w:val="37"/>
          <w:sz w:val="20"/>
        </w:rPr>
        <w:t> </w:t>
      </w:r>
      <w:r>
        <w:rPr>
          <w:rFonts w:ascii="Arial"/>
          <w:i/>
          <w:sz w:val="20"/>
        </w:rPr>
        <w:t>Harris</w:t>
      </w:r>
      <w:r>
        <w:rPr>
          <w:rFonts w:ascii="Arial"/>
          <w:i/>
          <w:spacing w:val="38"/>
          <w:sz w:val="20"/>
        </w:rPr>
        <w:t> </w:t>
      </w:r>
      <w:r>
        <w:rPr>
          <w:rFonts w:ascii="Arial"/>
          <w:i/>
          <w:sz w:val="20"/>
        </w:rPr>
        <w:t>v</w:t>
      </w:r>
      <w:r>
        <w:rPr>
          <w:rFonts w:ascii="Arial"/>
          <w:i/>
          <w:spacing w:val="38"/>
          <w:sz w:val="20"/>
        </w:rPr>
        <w:t> </w:t>
      </w:r>
      <w:r>
        <w:rPr>
          <w:rFonts w:ascii="Arial"/>
          <w:i/>
          <w:sz w:val="20"/>
        </w:rPr>
        <w:t>Nickerson</w:t>
      </w:r>
      <w:r>
        <w:rPr>
          <w:rFonts w:ascii="Arial"/>
          <w:i/>
          <w:spacing w:val="38"/>
          <w:sz w:val="20"/>
        </w:rPr>
        <w:t> </w:t>
      </w:r>
      <w:r>
        <w:rPr>
          <w:rFonts w:ascii="Arial"/>
          <w:i/>
          <w:sz w:val="20"/>
        </w:rPr>
        <w:t>(1873)</w:t>
      </w:r>
      <w:r>
        <w:rPr>
          <w:rFonts w:ascii="Arial"/>
          <w:i/>
          <w:spacing w:val="38"/>
          <w:sz w:val="20"/>
        </w:rPr>
        <w:t> </w:t>
      </w:r>
      <w:r>
        <w:rPr>
          <w:rFonts w:ascii="Arial"/>
          <w:i/>
          <w:sz w:val="20"/>
        </w:rPr>
        <w:t>L.R.</w:t>
      </w:r>
      <w:r>
        <w:rPr>
          <w:rFonts w:ascii="Arial"/>
          <w:i/>
          <w:spacing w:val="38"/>
          <w:sz w:val="20"/>
        </w:rPr>
        <w:t> </w:t>
      </w:r>
      <w:r>
        <w:rPr>
          <w:rFonts w:ascii="Arial"/>
          <w:i/>
          <w:sz w:val="20"/>
        </w:rPr>
        <w:t>8</w:t>
      </w:r>
      <w:r>
        <w:rPr>
          <w:rFonts w:ascii="Arial"/>
          <w:i/>
          <w:spacing w:val="38"/>
          <w:sz w:val="20"/>
        </w:rPr>
        <w:t> </w:t>
      </w:r>
      <w:r>
        <w:rPr>
          <w:rFonts w:ascii="Arial"/>
          <w:i/>
          <w:sz w:val="20"/>
        </w:rPr>
        <w:t>Q.B.</w:t>
      </w:r>
      <w:r>
        <w:rPr>
          <w:rFonts w:ascii="Arial"/>
          <w:i/>
          <w:spacing w:val="38"/>
          <w:sz w:val="20"/>
        </w:rPr>
        <w:t> </w:t>
      </w:r>
      <w:r>
        <w:rPr>
          <w:rFonts w:ascii="Arial"/>
          <w:i/>
          <w:sz w:val="20"/>
        </w:rPr>
        <w:t>286,</w:t>
      </w:r>
      <w:r>
        <w:rPr>
          <w:rFonts w:ascii="Arial"/>
          <w:i/>
          <w:spacing w:val="38"/>
          <w:sz w:val="20"/>
        </w:rPr>
        <w:t> </w:t>
      </w:r>
      <w:r>
        <w:rPr>
          <w:rFonts w:ascii="Arial"/>
          <w:i/>
          <w:spacing w:val="-4"/>
          <w:sz w:val="20"/>
        </w:rPr>
        <w:t>288</w:t>
      </w:r>
      <w:r>
        <w:rPr>
          <w:spacing w:val="-4"/>
          <w:sz w:val="20"/>
        </w:rPr>
        <w:t>;</w:t>
      </w:r>
    </w:p>
    <w:p>
      <w:pPr>
        <w:spacing w:line="227" w:lineRule="exact" w:before="0"/>
        <w:ind w:left="705" w:right="0" w:firstLine="0"/>
        <w:jc w:val="left"/>
        <w:rPr>
          <w:sz w:val="20"/>
        </w:rPr>
      </w:pPr>
      <w:r>
        <w:rPr>
          <w:rFonts w:ascii="Arial"/>
          <w:i/>
          <w:sz w:val="20"/>
        </w:rPr>
        <w:t>Johnson v Boyes [1899] 2 Ch. 73, </w:t>
      </w:r>
      <w:r>
        <w:rPr>
          <w:rFonts w:ascii="Arial"/>
          <w:i/>
          <w:spacing w:val="-5"/>
          <w:sz w:val="20"/>
        </w:rPr>
        <w:t>77</w:t>
      </w:r>
      <w:r>
        <w:rPr>
          <w:spacing w:val="-5"/>
          <w:sz w:val="20"/>
        </w:rPr>
        <w:t>.</w:t>
      </w:r>
    </w:p>
    <w:p>
      <w:pPr>
        <w:pStyle w:val="BodyText"/>
        <w:spacing w:before="5"/>
      </w:pPr>
    </w:p>
    <w:p>
      <w:pPr>
        <w:pStyle w:val="BodyText"/>
        <w:ind w:left="165"/>
      </w:pPr>
      <w:bookmarkStart w:name="_bookmark1932" w:id="1934"/>
      <w:bookmarkEnd w:id="1934"/>
      <w:r>
        <w:rPr/>
      </w:r>
      <w:hyperlink w:history="true" w:anchor="_bookmark1857">
        <w:r>
          <w:rPr>
            <w:color w:val="005DA1"/>
            <w:position w:val="5"/>
            <w:sz w:val="14"/>
            <w:u w:val="single" w:color="005DA1"/>
          </w:rPr>
          <w:t>1307</w:t>
        </w:r>
      </w:hyperlink>
      <w:r>
        <w:rPr>
          <w:position w:val="5"/>
          <w:sz w:val="14"/>
        </w:rPr>
        <w:t>.</w:t>
      </w:r>
      <w:r>
        <w:rPr>
          <w:spacing w:val="55"/>
          <w:position w:val="5"/>
          <w:sz w:val="14"/>
        </w:rPr>
        <w:t>  </w:t>
      </w:r>
      <w:r>
        <w:rPr/>
        <w:t>See</w:t>
      </w:r>
      <w:r>
        <w:rPr>
          <w:spacing w:val="1"/>
        </w:rPr>
        <w:t> </w:t>
      </w:r>
      <w:r>
        <w:rPr/>
        <w:t>Slade (1952) 68 L.Q.R. 238; Gower, ibid. at 457; Slade (1953) 69 L.Q.R. </w:t>
      </w:r>
      <w:r>
        <w:rPr>
          <w:spacing w:val="-5"/>
        </w:rPr>
        <w:t>21.</w:t>
      </w:r>
    </w:p>
    <w:p>
      <w:pPr>
        <w:pStyle w:val="BodyText"/>
        <w:spacing w:before="5"/>
      </w:pPr>
    </w:p>
    <w:p>
      <w:pPr>
        <w:spacing w:before="0"/>
        <w:ind w:left="165" w:right="0" w:firstLine="0"/>
        <w:jc w:val="left"/>
        <w:rPr>
          <w:sz w:val="20"/>
        </w:rPr>
      </w:pPr>
      <w:bookmarkStart w:name="_bookmark1933" w:id="1935"/>
      <w:bookmarkEnd w:id="1935"/>
      <w:r>
        <w:rPr/>
      </w:r>
      <w:hyperlink w:history="true" w:anchor="_bookmark1858">
        <w:r>
          <w:rPr>
            <w:color w:val="005DA1"/>
            <w:position w:val="5"/>
            <w:sz w:val="14"/>
            <w:u w:val="single" w:color="005DA1"/>
          </w:rPr>
          <w:t>1308</w:t>
        </w:r>
      </w:hyperlink>
      <w:r>
        <w:rPr>
          <w:position w:val="5"/>
          <w:sz w:val="14"/>
        </w:rPr>
        <w:t>.</w:t>
      </w:r>
      <w:r>
        <w:rPr>
          <w:spacing w:val="55"/>
          <w:position w:val="5"/>
          <w:sz w:val="14"/>
        </w:rPr>
        <w:t>  </w:t>
      </w:r>
      <w:r>
        <w:rPr>
          <w:rFonts w:ascii="Arial"/>
          <w:i/>
          <w:sz w:val="20"/>
        </w:rPr>
        <w:t>Barry</w:t>
      </w:r>
      <w:r>
        <w:rPr>
          <w:rFonts w:ascii="Arial"/>
          <w:i/>
          <w:spacing w:val="1"/>
          <w:sz w:val="20"/>
        </w:rPr>
        <w:t> </w:t>
      </w:r>
      <w:r>
        <w:rPr>
          <w:rFonts w:ascii="Arial"/>
          <w:i/>
          <w:sz w:val="20"/>
        </w:rPr>
        <w:t>v Davies [2000] 1 W.L.R. 1962</w:t>
      </w:r>
      <w:r>
        <w:rPr>
          <w:rFonts w:ascii="Arial"/>
          <w:i/>
          <w:spacing w:val="-1"/>
          <w:sz w:val="20"/>
        </w:rPr>
        <w:t> </w:t>
      </w:r>
      <w:r>
        <w:rPr>
          <w:sz w:val="20"/>
        </w:rPr>
        <w:t>at </w:t>
      </w:r>
      <w:r>
        <w:rPr>
          <w:spacing w:val="-2"/>
          <w:sz w:val="20"/>
        </w:rPr>
        <w:t>1967.</w:t>
      </w:r>
    </w:p>
    <w:p>
      <w:pPr>
        <w:pStyle w:val="BodyText"/>
        <w:spacing w:before="5"/>
      </w:pPr>
    </w:p>
    <w:p>
      <w:pPr>
        <w:spacing w:before="0"/>
        <w:ind w:left="165" w:right="0" w:firstLine="0"/>
        <w:jc w:val="left"/>
        <w:rPr>
          <w:sz w:val="20"/>
        </w:rPr>
      </w:pPr>
      <w:bookmarkStart w:name="_bookmark1934" w:id="1936"/>
      <w:bookmarkEnd w:id="1936"/>
      <w:r>
        <w:rPr/>
      </w:r>
      <w:hyperlink w:history="true" w:anchor="_bookmark1859">
        <w:r>
          <w:rPr>
            <w:color w:val="005DA1"/>
            <w:position w:val="5"/>
            <w:sz w:val="14"/>
            <w:u w:val="single" w:color="005DA1"/>
          </w:rPr>
          <w:t>1309</w:t>
        </w:r>
      </w:hyperlink>
      <w:r>
        <w:rPr>
          <w:position w:val="5"/>
          <w:sz w:val="14"/>
        </w:rPr>
        <w:t>.</w:t>
      </w:r>
      <w:r>
        <w:rPr>
          <w:spacing w:val="55"/>
          <w:position w:val="5"/>
          <w:sz w:val="14"/>
        </w:rPr>
        <w:t>  </w:t>
      </w:r>
      <w:r>
        <w:rPr>
          <w:rFonts w:ascii="Arial"/>
          <w:i/>
          <w:sz w:val="20"/>
        </w:rPr>
        <w:t>Harris</w:t>
      </w:r>
      <w:r>
        <w:rPr>
          <w:rFonts w:ascii="Arial"/>
          <w:i/>
          <w:spacing w:val="1"/>
          <w:sz w:val="20"/>
        </w:rPr>
        <w:t> </w:t>
      </w:r>
      <w:r>
        <w:rPr>
          <w:rFonts w:ascii="Arial"/>
          <w:i/>
          <w:sz w:val="20"/>
        </w:rPr>
        <w:t>v Nickerson (1873)</w:t>
      </w:r>
      <w:r>
        <w:rPr>
          <w:rFonts w:ascii="Arial"/>
          <w:i/>
          <w:spacing w:val="-1"/>
          <w:sz w:val="20"/>
        </w:rPr>
        <w:t> </w:t>
      </w:r>
      <w:r>
        <w:rPr>
          <w:rFonts w:ascii="Arial"/>
          <w:i/>
          <w:sz w:val="20"/>
        </w:rPr>
        <w:t>L.R. 8 Q.B. 286</w:t>
      </w:r>
      <w:r>
        <w:rPr>
          <w:sz w:val="20"/>
        </w:rPr>
        <w:t>; above para.2-</w:t>
      </w:r>
      <w:r>
        <w:rPr>
          <w:spacing w:val="-4"/>
          <w:sz w:val="20"/>
        </w:rPr>
        <w:t>020.</w:t>
      </w:r>
    </w:p>
    <w:p>
      <w:pPr>
        <w:pStyle w:val="BodyText"/>
        <w:spacing w:before="75"/>
        <w:rPr>
          <w:sz w:val="14"/>
        </w:rPr>
      </w:pPr>
    </w:p>
    <w:p>
      <w:pPr>
        <w:spacing w:before="0"/>
        <w:ind w:left="165" w:right="0" w:firstLine="0"/>
        <w:jc w:val="left"/>
        <w:rPr>
          <w:position w:val="-4"/>
          <w:sz w:val="20"/>
        </w:rPr>
      </w:pPr>
      <w:bookmarkStart w:name="_bookmark1935" w:id="1937"/>
      <w:bookmarkEnd w:id="1937"/>
      <w:r>
        <w:rPr/>
      </w:r>
      <w:hyperlink w:history="true" w:anchor="_bookmark1860">
        <w:r>
          <w:rPr>
            <w:color w:val="005DA1"/>
            <w:sz w:val="14"/>
            <w:u w:val="single" w:color="005DA1"/>
          </w:rPr>
          <w:t>1310</w:t>
        </w:r>
      </w:hyperlink>
      <w:r>
        <w:rPr>
          <w:sz w:val="14"/>
        </w:rPr>
        <w:t>.</w:t>
      </w:r>
      <w:r>
        <w:rPr>
          <w:spacing w:val="55"/>
          <w:sz w:val="14"/>
        </w:rPr>
        <w:t>  </w:t>
      </w:r>
      <w:r>
        <w:rPr>
          <w:spacing w:val="-2"/>
          <w:position w:val="-4"/>
          <w:sz w:val="20"/>
        </w:rPr>
        <w:t>ibid.</w:t>
      </w:r>
    </w:p>
    <w:p>
      <w:pPr>
        <w:pStyle w:val="BodyText"/>
        <w:spacing w:before="7"/>
      </w:pPr>
    </w:p>
    <w:p>
      <w:pPr>
        <w:pStyle w:val="BodyText"/>
        <w:spacing w:line="235" w:lineRule="auto" w:before="1"/>
        <w:ind w:left="705" w:right="167" w:hanging="541"/>
        <w:jc w:val="both"/>
      </w:pPr>
      <w:bookmarkStart w:name="_bookmark1936" w:id="1938"/>
      <w:bookmarkEnd w:id="1938"/>
      <w:r>
        <w:rPr/>
      </w:r>
      <w:hyperlink w:history="true" w:anchor="_bookmark1861">
        <w:r>
          <w:rPr>
            <w:color w:val="005DA1"/>
            <w:position w:val="5"/>
            <w:sz w:val="14"/>
            <w:u w:val="single" w:color="005DA1"/>
          </w:rPr>
          <w:t>1311</w:t>
        </w:r>
      </w:hyperlink>
      <w:r>
        <w:rPr>
          <w:position w:val="5"/>
          <w:sz w:val="14"/>
        </w:rPr>
        <w:t>.</w:t>
      </w:r>
      <w:r>
        <w:rPr>
          <w:spacing w:val="80"/>
          <w:position w:val="5"/>
          <w:sz w:val="14"/>
        </w:rPr>
        <w:t> </w:t>
      </w:r>
      <w:r>
        <w:rPr/>
        <w:t>Below, para.19-087; Partnership Act 1890, s.17(3). Problems of the kind here discussed do </w:t>
      </w:r>
      <w:r>
        <w:rPr/>
        <w:t>not arise in the same form in the case of limited liability partnership incorporated under the Limited Liability Partnerships Act 2000 since the liabilities of the partnership are those of the body corporate incorporated under ss.1–3 of that Act; these are not affected by a change in the membership of the body. Section 6(3) of the Act deals with the different question of the extent</w:t>
      </w:r>
      <w:r>
        <w:rPr>
          <w:spacing w:val="40"/>
        </w:rPr>
        <w:t> </w:t>
      </w:r>
      <w:r>
        <w:rPr/>
        <w:t>to which acts of a person who has ceased to be a member can still impose liability on the </w:t>
      </w:r>
      <w:r>
        <w:rPr>
          <w:spacing w:val="-2"/>
        </w:rPr>
        <w:t>partnership.</w:t>
      </w:r>
    </w:p>
    <w:p>
      <w:pPr>
        <w:pStyle w:val="BodyText"/>
        <w:spacing w:before="7"/>
      </w:pPr>
    </w:p>
    <w:p>
      <w:pPr>
        <w:spacing w:line="235" w:lineRule="auto" w:before="0"/>
        <w:ind w:left="705" w:right="0" w:hanging="541"/>
        <w:jc w:val="left"/>
        <w:rPr>
          <w:sz w:val="20"/>
        </w:rPr>
      </w:pPr>
      <w:bookmarkStart w:name="_bookmark1937" w:id="1939"/>
      <w:bookmarkEnd w:id="1939"/>
      <w:r>
        <w:rPr/>
      </w:r>
      <w:hyperlink w:history="true" w:anchor="_bookmark1862">
        <w:r>
          <w:rPr>
            <w:color w:val="005DA1"/>
            <w:position w:val="5"/>
            <w:sz w:val="14"/>
            <w:u w:val="single" w:color="005DA1"/>
          </w:rPr>
          <w:t>1312</w:t>
        </w:r>
      </w:hyperlink>
      <w:r>
        <w:rPr>
          <w:position w:val="5"/>
          <w:sz w:val="14"/>
        </w:rPr>
        <w:t>.</w:t>
      </w:r>
      <w:r>
        <w:rPr>
          <w:spacing w:val="40"/>
          <w:position w:val="5"/>
          <w:sz w:val="14"/>
        </w:rPr>
        <w:t>  </w:t>
      </w:r>
      <w:r>
        <w:rPr>
          <w:sz w:val="20"/>
        </w:rPr>
        <w:t>Cf.</w:t>
      </w:r>
      <w:r>
        <w:rPr>
          <w:spacing w:val="35"/>
          <w:sz w:val="20"/>
        </w:rPr>
        <w:t> </w:t>
      </w:r>
      <w:r>
        <w:rPr>
          <w:sz w:val="20"/>
        </w:rPr>
        <w:t>the</w:t>
      </w:r>
      <w:r>
        <w:rPr>
          <w:spacing w:val="35"/>
          <w:sz w:val="20"/>
        </w:rPr>
        <w:t> </w:t>
      </w:r>
      <w:r>
        <w:rPr>
          <w:sz w:val="20"/>
        </w:rPr>
        <w:t>reasoning</w:t>
      </w:r>
      <w:r>
        <w:rPr>
          <w:spacing w:val="35"/>
          <w:sz w:val="20"/>
        </w:rPr>
        <w:t> </w:t>
      </w:r>
      <w:r>
        <w:rPr>
          <w:sz w:val="20"/>
        </w:rPr>
        <w:t>of</w:t>
      </w:r>
      <w:r>
        <w:rPr>
          <w:spacing w:val="35"/>
          <w:sz w:val="20"/>
        </w:rPr>
        <w:t> </w:t>
      </w:r>
      <w:r>
        <w:rPr>
          <w:rFonts w:ascii="Arial" w:hAnsi="Arial"/>
          <w:i/>
          <w:sz w:val="20"/>
        </w:rPr>
        <w:t>Classic</w:t>
      </w:r>
      <w:r>
        <w:rPr>
          <w:rFonts w:ascii="Arial" w:hAnsi="Arial"/>
          <w:i/>
          <w:spacing w:val="35"/>
          <w:sz w:val="20"/>
        </w:rPr>
        <w:t> </w:t>
      </w:r>
      <w:r>
        <w:rPr>
          <w:rFonts w:ascii="Arial" w:hAnsi="Arial"/>
          <w:i/>
          <w:sz w:val="20"/>
        </w:rPr>
        <w:t>Maritime</w:t>
      </w:r>
      <w:r>
        <w:rPr>
          <w:rFonts w:ascii="Arial" w:hAnsi="Arial"/>
          <w:i/>
          <w:spacing w:val="35"/>
          <w:sz w:val="20"/>
        </w:rPr>
        <w:t> </w:t>
      </w:r>
      <w:r>
        <w:rPr>
          <w:rFonts w:ascii="Arial" w:hAnsi="Arial"/>
          <w:i/>
          <w:sz w:val="20"/>
        </w:rPr>
        <w:t>Inc</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Lion</w:t>
      </w:r>
      <w:r>
        <w:rPr>
          <w:rFonts w:ascii="Arial" w:hAnsi="Arial"/>
          <w:i/>
          <w:spacing w:val="35"/>
          <w:sz w:val="20"/>
        </w:rPr>
        <w:t> </w:t>
      </w:r>
      <w:r>
        <w:rPr>
          <w:rFonts w:ascii="Arial" w:hAnsi="Arial"/>
          <w:i/>
          <w:sz w:val="20"/>
        </w:rPr>
        <w:t>Diversified</w:t>
      </w:r>
      <w:r>
        <w:rPr>
          <w:rFonts w:ascii="Arial" w:hAnsi="Arial"/>
          <w:i/>
          <w:spacing w:val="35"/>
          <w:sz w:val="20"/>
        </w:rPr>
        <w:t> </w:t>
      </w:r>
      <w:r>
        <w:rPr>
          <w:rFonts w:ascii="Arial" w:hAnsi="Arial"/>
          <w:i/>
          <w:sz w:val="20"/>
        </w:rPr>
        <w:t>Holdings</w:t>
      </w:r>
      <w:r>
        <w:rPr>
          <w:rFonts w:ascii="Arial" w:hAnsi="Arial"/>
          <w:i/>
          <w:spacing w:val="35"/>
          <w:sz w:val="20"/>
        </w:rPr>
        <w:t> </w:t>
      </w:r>
      <w:r>
        <w:rPr>
          <w:rFonts w:ascii="Arial" w:hAnsi="Arial"/>
          <w:i/>
          <w:sz w:val="20"/>
        </w:rPr>
        <w:t>Berhad</w:t>
      </w:r>
      <w:r>
        <w:rPr>
          <w:rFonts w:ascii="Arial" w:hAnsi="Arial"/>
          <w:i/>
          <w:spacing w:val="35"/>
          <w:sz w:val="20"/>
        </w:rPr>
        <w:t> </w:t>
      </w:r>
      <w:r>
        <w:rPr>
          <w:rFonts w:ascii="Arial" w:hAnsi="Arial"/>
          <w:i/>
          <w:sz w:val="20"/>
        </w:rPr>
        <w:t>[2009]</w:t>
      </w:r>
      <w:r>
        <w:rPr>
          <w:rFonts w:ascii="Arial" w:hAnsi="Arial"/>
          <w:i/>
          <w:spacing w:val="35"/>
          <w:sz w:val="20"/>
        </w:rPr>
        <w:t> </w:t>
      </w:r>
      <w:r>
        <w:rPr>
          <w:rFonts w:ascii="Arial" w:hAnsi="Arial"/>
          <w:i/>
          <w:sz w:val="20"/>
        </w:rPr>
        <w:t>EWHC 1142 (Comm), [2010] 1 Lloyd’s Rep. 59 </w:t>
      </w:r>
      <w:r>
        <w:rPr>
          <w:sz w:val="20"/>
        </w:rPr>
        <w:t>at [46] and [41].</w:t>
      </w:r>
    </w:p>
    <w:p>
      <w:pPr>
        <w:spacing w:after="0" w:line="235" w:lineRule="auto"/>
        <w:jc w:val="left"/>
        <w:rPr>
          <w:sz w:val="20"/>
        </w:rPr>
        <w:sectPr>
          <w:pgSz w:w="11900" w:h="16840"/>
          <w:pgMar w:header="971" w:footer="0" w:top="1160" w:bottom="280" w:left="1275" w:right="1275"/>
        </w:sectPr>
      </w:pPr>
    </w:p>
    <w:p>
      <w:pPr>
        <w:pStyle w:val="BodyText"/>
        <w:spacing w:before="87"/>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794" w:hRule="atLeast"/>
        </w:trPr>
        <w:tc>
          <w:tcPr>
            <w:tcW w:w="496" w:type="dxa"/>
          </w:tcPr>
          <w:p>
            <w:pPr>
              <w:pStyle w:val="TableParagraph"/>
              <w:spacing w:before="0"/>
              <w:ind w:left="0" w:right="43"/>
              <w:jc w:val="center"/>
              <w:rPr>
                <w:sz w:val="14"/>
              </w:rPr>
            </w:pPr>
            <w:hyperlink w:history="true" w:anchor="_bookmark1863">
              <w:r>
                <w:rPr>
                  <w:color w:val="005DA1"/>
                  <w:spacing w:val="-2"/>
                  <w:sz w:val="14"/>
                  <w:u w:val="single" w:color="005DA1"/>
                </w:rPr>
                <w:t>1313</w:t>
              </w:r>
            </w:hyperlink>
            <w:r>
              <w:rPr>
                <w:spacing w:val="-2"/>
                <w:sz w:val="14"/>
              </w:rPr>
              <w:t>.</w:t>
            </w:r>
          </w:p>
        </w:tc>
        <w:tc>
          <w:tcPr>
            <w:tcW w:w="8620" w:type="dxa"/>
          </w:tcPr>
          <w:p>
            <w:pPr>
              <w:pStyle w:val="TableParagraph"/>
              <w:spacing w:line="235" w:lineRule="auto" w:before="0"/>
              <w:ind w:right="49"/>
              <w:jc w:val="both"/>
              <w:rPr>
                <w:sz w:val="20"/>
              </w:rPr>
            </w:pPr>
            <w:r>
              <w:rPr>
                <w:rFonts w:ascii="Arial"/>
                <w:i/>
                <w:sz w:val="20"/>
              </w:rPr>
              <w:t>Lyth</w:t>
            </w:r>
            <w:r>
              <w:rPr>
                <w:rFonts w:ascii="Arial"/>
                <w:i/>
                <w:spacing w:val="-1"/>
                <w:sz w:val="20"/>
              </w:rPr>
              <w:t> </w:t>
            </w:r>
            <w:r>
              <w:rPr>
                <w:rFonts w:ascii="Arial"/>
                <w:i/>
                <w:sz w:val="20"/>
              </w:rPr>
              <w:t>v</w:t>
            </w:r>
            <w:r>
              <w:rPr>
                <w:rFonts w:ascii="Arial"/>
                <w:i/>
                <w:spacing w:val="-1"/>
                <w:sz w:val="20"/>
              </w:rPr>
              <w:t> </w:t>
            </w:r>
            <w:r>
              <w:rPr>
                <w:rFonts w:ascii="Arial"/>
                <w:i/>
                <w:sz w:val="20"/>
              </w:rPr>
              <w:t>Ault</w:t>
            </w:r>
            <w:r>
              <w:rPr>
                <w:rFonts w:ascii="Arial"/>
                <w:i/>
                <w:spacing w:val="-1"/>
                <w:sz w:val="20"/>
              </w:rPr>
              <w:t> </w:t>
            </w:r>
            <w:r>
              <w:rPr>
                <w:rFonts w:ascii="Arial"/>
                <w:i/>
                <w:sz w:val="20"/>
              </w:rPr>
              <w:t>(1852)</w:t>
            </w:r>
            <w:r>
              <w:rPr>
                <w:rFonts w:ascii="Arial"/>
                <w:i/>
                <w:spacing w:val="-1"/>
                <w:sz w:val="20"/>
              </w:rPr>
              <w:t> </w:t>
            </w:r>
            <w:r>
              <w:rPr>
                <w:rFonts w:ascii="Arial"/>
                <w:i/>
                <w:sz w:val="20"/>
              </w:rPr>
              <w:t>7</w:t>
            </w:r>
            <w:r>
              <w:rPr>
                <w:rFonts w:ascii="Arial"/>
                <w:i/>
                <w:spacing w:val="-1"/>
                <w:sz w:val="20"/>
              </w:rPr>
              <w:t> </w:t>
            </w:r>
            <w:r>
              <w:rPr>
                <w:rFonts w:ascii="Arial"/>
                <w:i/>
                <w:sz w:val="20"/>
              </w:rPr>
              <w:t>Ex.</w:t>
            </w:r>
            <w:r>
              <w:rPr>
                <w:rFonts w:ascii="Arial"/>
                <w:i/>
                <w:spacing w:val="-1"/>
                <w:sz w:val="20"/>
              </w:rPr>
              <w:t> </w:t>
            </w:r>
            <w:r>
              <w:rPr>
                <w:rFonts w:ascii="Arial"/>
                <w:i/>
                <w:sz w:val="20"/>
              </w:rPr>
              <w:t>669</w:t>
            </w:r>
            <w:r>
              <w:rPr>
                <w:sz w:val="20"/>
              </w:rPr>
              <w:t>;</w:t>
            </w:r>
            <w:r>
              <w:rPr>
                <w:spacing w:val="-1"/>
                <w:sz w:val="20"/>
              </w:rPr>
              <w:t> </w:t>
            </w:r>
            <w:r>
              <w:rPr>
                <w:rFonts w:ascii="Arial"/>
                <w:i/>
                <w:sz w:val="20"/>
              </w:rPr>
              <w:t>Thompson</w:t>
            </w:r>
            <w:r>
              <w:rPr>
                <w:rFonts w:ascii="Arial"/>
                <w:i/>
                <w:spacing w:val="-1"/>
                <w:sz w:val="20"/>
              </w:rPr>
              <w:t> </w:t>
            </w:r>
            <w:r>
              <w:rPr>
                <w:rFonts w:ascii="Arial"/>
                <w:i/>
                <w:sz w:val="20"/>
              </w:rPr>
              <w:t>v</w:t>
            </w:r>
            <w:r>
              <w:rPr>
                <w:rFonts w:ascii="Arial"/>
                <w:i/>
                <w:spacing w:val="-1"/>
                <w:sz w:val="20"/>
              </w:rPr>
              <w:t> </w:t>
            </w:r>
            <w:r>
              <w:rPr>
                <w:rFonts w:ascii="Arial"/>
                <w:i/>
                <w:sz w:val="20"/>
              </w:rPr>
              <w:t>Percival</w:t>
            </w:r>
            <w:r>
              <w:rPr>
                <w:rFonts w:ascii="Arial"/>
                <w:i/>
                <w:spacing w:val="-1"/>
                <w:sz w:val="20"/>
              </w:rPr>
              <w:t> </w:t>
            </w:r>
            <w:r>
              <w:rPr>
                <w:rFonts w:ascii="Arial"/>
                <w:i/>
                <w:sz w:val="20"/>
              </w:rPr>
              <w:t>(1834)</w:t>
            </w:r>
            <w:r>
              <w:rPr>
                <w:rFonts w:ascii="Arial"/>
                <w:i/>
                <w:spacing w:val="-1"/>
                <w:sz w:val="20"/>
              </w:rPr>
              <w:t> </w:t>
            </w:r>
            <w:r>
              <w:rPr>
                <w:rFonts w:ascii="Arial"/>
                <w:i/>
                <w:sz w:val="20"/>
              </w:rPr>
              <w:t>5</w:t>
            </w:r>
            <w:r>
              <w:rPr>
                <w:rFonts w:ascii="Arial"/>
                <w:i/>
                <w:spacing w:val="-1"/>
                <w:sz w:val="20"/>
              </w:rPr>
              <w:t> </w:t>
            </w:r>
            <w:r>
              <w:rPr>
                <w:rFonts w:ascii="Arial"/>
                <w:i/>
                <w:sz w:val="20"/>
              </w:rPr>
              <w:t>B.</w:t>
            </w:r>
            <w:r>
              <w:rPr>
                <w:rFonts w:ascii="Arial"/>
                <w:i/>
                <w:spacing w:val="-1"/>
                <w:sz w:val="20"/>
              </w:rPr>
              <w:t> </w:t>
            </w:r>
            <w:r>
              <w:rPr>
                <w:rFonts w:ascii="Arial"/>
                <w:i/>
                <w:sz w:val="20"/>
              </w:rPr>
              <w:t>&amp;</w:t>
            </w:r>
            <w:r>
              <w:rPr>
                <w:rFonts w:ascii="Arial"/>
                <w:i/>
                <w:spacing w:val="-1"/>
                <w:sz w:val="20"/>
              </w:rPr>
              <w:t> </w:t>
            </w:r>
            <w:r>
              <w:rPr>
                <w:rFonts w:ascii="Arial"/>
                <w:i/>
                <w:sz w:val="20"/>
              </w:rPr>
              <w:t>Ad.</w:t>
            </w:r>
            <w:r>
              <w:rPr>
                <w:rFonts w:ascii="Arial"/>
                <w:i/>
                <w:spacing w:val="-1"/>
                <w:sz w:val="20"/>
              </w:rPr>
              <w:t> </w:t>
            </w:r>
            <w:r>
              <w:rPr>
                <w:rFonts w:ascii="Arial"/>
                <w:i/>
                <w:sz w:val="20"/>
              </w:rPr>
              <w:t>925</w:t>
            </w:r>
            <w:r>
              <w:rPr>
                <w:rFonts w:ascii="Arial"/>
                <w:i/>
                <w:spacing w:val="-1"/>
                <w:sz w:val="20"/>
              </w:rPr>
              <w:t> </w:t>
            </w:r>
            <w:r>
              <w:rPr>
                <w:sz w:val="20"/>
              </w:rPr>
              <w:t>is</w:t>
            </w:r>
            <w:r>
              <w:rPr>
                <w:spacing w:val="-1"/>
                <w:sz w:val="20"/>
              </w:rPr>
              <w:t> </w:t>
            </w:r>
            <w:r>
              <w:rPr>
                <w:sz w:val="20"/>
              </w:rPr>
              <w:t>based</w:t>
            </w:r>
            <w:r>
              <w:rPr>
                <w:spacing w:val="-1"/>
                <w:sz w:val="20"/>
              </w:rPr>
              <w:t> </w:t>
            </w:r>
            <w:r>
              <w:rPr>
                <w:sz w:val="20"/>
              </w:rPr>
              <w:t>on</w:t>
            </w:r>
            <w:r>
              <w:rPr>
                <w:spacing w:val="-1"/>
                <w:sz w:val="20"/>
              </w:rPr>
              <w:t> </w:t>
            </w:r>
            <w:r>
              <w:rPr>
                <w:sz w:val="20"/>
              </w:rPr>
              <w:t>reasoning which is obsolete after </w:t>
            </w:r>
            <w:r>
              <w:rPr>
                <w:rFonts w:ascii="Arial"/>
                <w:i/>
                <w:sz w:val="20"/>
              </w:rPr>
              <w:t>D. &amp; C. Builders Ltd v Rees [1967] 2 Q.B. 617</w:t>
            </w:r>
            <w:r>
              <w:rPr>
                <w:sz w:val="20"/>
              </w:rPr>
              <w:t>; above, para.4-124,</w:t>
            </w:r>
            <w:r>
              <w:rPr>
                <w:spacing w:val="40"/>
                <w:sz w:val="20"/>
              </w:rPr>
              <w:t> </w:t>
            </w:r>
            <w:r>
              <w:rPr>
                <w:spacing w:val="-2"/>
                <w:sz w:val="20"/>
              </w:rPr>
              <w:t>n.731.</w:t>
            </w:r>
          </w:p>
        </w:tc>
      </w:tr>
      <w:tr>
        <w:trPr>
          <w:trHeight w:val="465" w:hRule="atLeast"/>
        </w:trPr>
        <w:tc>
          <w:tcPr>
            <w:tcW w:w="496" w:type="dxa"/>
          </w:tcPr>
          <w:p>
            <w:pPr>
              <w:pStyle w:val="TableParagraph"/>
              <w:ind w:left="0" w:right="43"/>
              <w:jc w:val="center"/>
              <w:rPr>
                <w:sz w:val="14"/>
              </w:rPr>
            </w:pPr>
            <w:bookmarkStart w:name="_bookmark1938" w:id="1940"/>
            <w:bookmarkEnd w:id="1940"/>
            <w:r>
              <w:rPr/>
            </w:r>
            <w:hyperlink w:history="true" w:anchor="_bookmark1864">
              <w:r>
                <w:rPr>
                  <w:color w:val="005DA1"/>
                  <w:spacing w:val="-2"/>
                  <w:sz w:val="14"/>
                  <w:u w:val="single" w:color="005DA1"/>
                </w:rPr>
                <w:t>1314</w:t>
              </w:r>
            </w:hyperlink>
            <w:r>
              <w:rPr>
                <w:spacing w:val="-2"/>
                <w:sz w:val="14"/>
              </w:rPr>
              <w:t>.</w:t>
            </w:r>
          </w:p>
        </w:tc>
        <w:tc>
          <w:tcPr>
            <w:tcW w:w="8620" w:type="dxa"/>
          </w:tcPr>
          <w:p>
            <w:pPr>
              <w:pStyle w:val="TableParagraph"/>
              <w:spacing w:before="114"/>
              <w:rPr>
                <w:sz w:val="20"/>
              </w:rPr>
            </w:pPr>
            <w:r>
              <w:rPr>
                <w:sz w:val="20"/>
              </w:rPr>
              <w:t>Above, para.4-</w:t>
            </w:r>
            <w:r>
              <w:rPr>
                <w:spacing w:val="-4"/>
                <w:sz w:val="20"/>
              </w:rPr>
              <w:t>009.</w:t>
            </w:r>
          </w:p>
        </w:tc>
      </w:tr>
      <w:tr>
        <w:trPr>
          <w:trHeight w:val="465" w:hRule="atLeast"/>
        </w:trPr>
        <w:tc>
          <w:tcPr>
            <w:tcW w:w="496" w:type="dxa"/>
          </w:tcPr>
          <w:p>
            <w:pPr>
              <w:pStyle w:val="TableParagraph"/>
              <w:ind w:left="0" w:right="43"/>
              <w:jc w:val="center"/>
              <w:rPr>
                <w:sz w:val="14"/>
              </w:rPr>
            </w:pPr>
            <w:bookmarkStart w:name="_bookmark1939" w:id="1941"/>
            <w:bookmarkEnd w:id="1941"/>
            <w:r>
              <w:rPr/>
            </w:r>
            <w:hyperlink w:history="true" w:anchor="_bookmark1865">
              <w:r>
                <w:rPr>
                  <w:color w:val="005DA1"/>
                  <w:spacing w:val="-2"/>
                  <w:sz w:val="14"/>
                  <w:u w:val="single" w:color="005DA1"/>
                </w:rPr>
                <w:t>1315</w:t>
              </w:r>
            </w:hyperlink>
            <w:r>
              <w:rPr>
                <w:spacing w:val="-2"/>
                <w:sz w:val="14"/>
              </w:rPr>
              <w:t>.</w:t>
            </w:r>
          </w:p>
        </w:tc>
        <w:tc>
          <w:tcPr>
            <w:tcW w:w="8620" w:type="dxa"/>
          </w:tcPr>
          <w:p>
            <w:pPr>
              <w:pStyle w:val="TableParagraph"/>
              <w:spacing w:before="114"/>
              <w:rPr>
                <w:sz w:val="20"/>
              </w:rPr>
            </w:pPr>
            <w:r>
              <w:rPr>
                <w:rFonts w:ascii="Arial"/>
                <w:i/>
                <w:sz w:val="20"/>
              </w:rPr>
              <w:t>[2004] EWHC 593 (Ch), [2004] 3 All E.R. </w:t>
            </w:r>
            <w:r>
              <w:rPr>
                <w:rFonts w:ascii="Arial"/>
                <w:i/>
                <w:spacing w:val="-4"/>
                <w:sz w:val="20"/>
              </w:rPr>
              <w:t>222</w:t>
            </w:r>
            <w:r>
              <w:rPr>
                <w:spacing w:val="-4"/>
                <w:sz w:val="20"/>
              </w:rPr>
              <w:t>.</w:t>
            </w:r>
          </w:p>
        </w:tc>
      </w:tr>
      <w:tr>
        <w:trPr>
          <w:trHeight w:val="465" w:hRule="atLeast"/>
        </w:trPr>
        <w:tc>
          <w:tcPr>
            <w:tcW w:w="496" w:type="dxa"/>
          </w:tcPr>
          <w:p>
            <w:pPr>
              <w:pStyle w:val="TableParagraph"/>
              <w:ind w:left="0" w:right="43"/>
              <w:jc w:val="center"/>
              <w:rPr>
                <w:sz w:val="14"/>
              </w:rPr>
            </w:pPr>
            <w:bookmarkStart w:name="_bookmark1940" w:id="1942"/>
            <w:bookmarkEnd w:id="1942"/>
            <w:r>
              <w:rPr/>
            </w:r>
            <w:hyperlink w:history="true" w:anchor="_bookmark1866">
              <w:r>
                <w:rPr>
                  <w:color w:val="005DA1"/>
                  <w:spacing w:val="-2"/>
                  <w:sz w:val="14"/>
                  <w:u w:val="single" w:color="005DA1"/>
                </w:rPr>
                <w:t>1316</w:t>
              </w:r>
            </w:hyperlink>
            <w:r>
              <w:rPr>
                <w:spacing w:val="-2"/>
                <w:sz w:val="14"/>
              </w:rPr>
              <w:t>.</w:t>
            </w:r>
          </w:p>
        </w:tc>
        <w:tc>
          <w:tcPr>
            <w:tcW w:w="8620" w:type="dxa"/>
          </w:tcPr>
          <w:p>
            <w:pPr>
              <w:pStyle w:val="TableParagraph"/>
              <w:spacing w:before="114"/>
              <w:rPr>
                <w:sz w:val="20"/>
              </w:rPr>
            </w:pPr>
            <w:r>
              <w:rPr>
                <w:rFonts w:ascii="Arial"/>
                <w:i/>
                <w:sz w:val="20"/>
              </w:rPr>
              <w:t>(1838)</w:t>
            </w:r>
            <w:r>
              <w:rPr>
                <w:rFonts w:ascii="Arial"/>
                <w:i/>
                <w:spacing w:val="-2"/>
                <w:sz w:val="20"/>
              </w:rPr>
              <w:t> </w:t>
            </w:r>
            <w:r>
              <w:rPr>
                <w:rFonts w:ascii="Arial"/>
                <w:i/>
                <w:sz w:val="20"/>
              </w:rPr>
              <w:t>8 A. &amp; E. </w:t>
            </w:r>
            <w:r>
              <w:rPr>
                <w:rFonts w:ascii="Arial"/>
                <w:i/>
                <w:spacing w:val="-4"/>
                <w:sz w:val="20"/>
              </w:rPr>
              <w:t>743</w:t>
            </w:r>
            <w:r>
              <w:rPr>
                <w:spacing w:val="-4"/>
                <w:sz w:val="20"/>
              </w:rPr>
              <w:t>.</w:t>
            </w:r>
          </w:p>
        </w:tc>
      </w:tr>
      <w:tr>
        <w:trPr>
          <w:trHeight w:val="465" w:hRule="atLeast"/>
        </w:trPr>
        <w:tc>
          <w:tcPr>
            <w:tcW w:w="496" w:type="dxa"/>
          </w:tcPr>
          <w:p>
            <w:pPr>
              <w:pStyle w:val="TableParagraph"/>
              <w:ind w:left="0" w:right="43"/>
              <w:jc w:val="center"/>
              <w:rPr>
                <w:sz w:val="14"/>
              </w:rPr>
            </w:pPr>
            <w:bookmarkStart w:name="_bookmark1941" w:id="1943"/>
            <w:bookmarkEnd w:id="1943"/>
            <w:r>
              <w:rPr/>
            </w:r>
            <w:hyperlink w:history="true" w:anchor="_bookmark1867">
              <w:r>
                <w:rPr>
                  <w:color w:val="005DA1"/>
                  <w:spacing w:val="-2"/>
                  <w:sz w:val="14"/>
                  <w:u w:val="single" w:color="005DA1"/>
                </w:rPr>
                <w:t>1317</w:t>
              </w:r>
            </w:hyperlink>
            <w:r>
              <w:rPr>
                <w:spacing w:val="-2"/>
                <w:sz w:val="14"/>
              </w:rPr>
              <w:t>.</w:t>
            </w:r>
          </w:p>
        </w:tc>
        <w:tc>
          <w:tcPr>
            <w:tcW w:w="8620" w:type="dxa"/>
          </w:tcPr>
          <w:p>
            <w:pPr>
              <w:pStyle w:val="TableParagraph"/>
              <w:spacing w:before="114"/>
              <w:rPr>
                <w:sz w:val="20"/>
              </w:rPr>
            </w:pPr>
            <w:r>
              <w:rPr>
                <w:sz w:val="20"/>
              </w:rPr>
              <w:t>At </w:t>
            </w:r>
            <w:r>
              <w:rPr>
                <w:spacing w:val="-4"/>
                <w:sz w:val="20"/>
              </w:rPr>
              <w:t>744.</w:t>
            </w:r>
          </w:p>
        </w:tc>
      </w:tr>
      <w:tr>
        <w:trPr>
          <w:trHeight w:val="690" w:hRule="atLeast"/>
        </w:trPr>
        <w:tc>
          <w:tcPr>
            <w:tcW w:w="496" w:type="dxa"/>
          </w:tcPr>
          <w:p>
            <w:pPr>
              <w:pStyle w:val="TableParagraph"/>
              <w:ind w:left="0" w:right="43"/>
              <w:jc w:val="center"/>
              <w:rPr>
                <w:sz w:val="14"/>
              </w:rPr>
            </w:pPr>
            <w:bookmarkStart w:name="_bookmark1942" w:id="1944"/>
            <w:bookmarkEnd w:id="1944"/>
            <w:r>
              <w:rPr/>
            </w:r>
            <w:hyperlink w:history="true" w:anchor="_bookmark1868">
              <w:r>
                <w:rPr>
                  <w:color w:val="005DA1"/>
                  <w:spacing w:val="-2"/>
                  <w:sz w:val="14"/>
                  <w:u w:val="single" w:color="005DA1"/>
                </w:rPr>
                <w:t>1318</w:t>
              </w:r>
            </w:hyperlink>
            <w:r>
              <w:rPr>
                <w:spacing w:val="-2"/>
                <w:sz w:val="14"/>
              </w:rPr>
              <w:t>.</w:t>
            </w:r>
          </w:p>
        </w:tc>
        <w:tc>
          <w:tcPr>
            <w:tcW w:w="8620" w:type="dxa"/>
          </w:tcPr>
          <w:p>
            <w:pPr>
              <w:pStyle w:val="TableParagraph"/>
              <w:spacing w:line="235" w:lineRule="auto" w:before="118"/>
              <w:rPr>
                <w:sz w:val="20"/>
              </w:rPr>
            </w:pPr>
            <w:r>
              <w:rPr>
                <w:sz w:val="20"/>
              </w:rPr>
              <w:t>cf.</w:t>
            </w:r>
            <w:r>
              <w:rPr>
                <w:spacing w:val="18"/>
                <w:sz w:val="20"/>
              </w:rPr>
              <w:t> </w:t>
            </w:r>
            <w:r>
              <w:rPr>
                <w:rFonts w:ascii="Arial"/>
                <w:i/>
                <w:sz w:val="20"/>
              </w:rPr>
              <w:t>Verral</w:t>
            </w:r>
            <w:r>
              <w:rPr>
                <w:rFonts w:ascii="Arial"/>
                <w:i/>
                <w:spacing w:val="18"/>
                <w:sz w:val="20"/>
              </w:rPr>
              <w:t> </w:t>
            </w:r>
            <w:r>
              <w:rPr>
                <w:rFonts w:ascii="Arial"/>
                <w:i/>
                <w:sz w:val="20"/>
              </w:rPr>
              <w:t>v</w:t>
            </w:r>
            <w:r>
              <w:rPr>
                <w:rFonts w:ascii="Arial"/>
                <w:i/>
                <w:spacing w:val="18"/>
                <w:sz w:val="20"/>
              </w:rPr>
              <w:t> </w:t>
            </w:r>
            <w:r>
              <w:rPr>
                <w:rFonts w:ascii="Arial"/>
                <w:i/>
                <w:sz w:val="20"/>
              </w:rPr>
              <w:t>Farnes</w:t>
            </w:r>
            <w:r>
              <w:rPr>
                <w:rFonts w:ascii="Arial"/>
                <w:i/>
                <w:spacing w:val="18"/>
                <w:sz w:val="20"/>
              </w:rPr>
              <w:t> </w:t>
            </w:r>
            <w:r>
              <w:rPr>
                <w:rFonts w:ascii="Arial"/>
                <w:i/>
                <w:sz w:val="20"/>
              </w:rPr>
              <w:t>[1966]</w:t>
            </w:r>
            <w:r>
              <w:rPr>
                <w:rFonts w:ascii="Arial"/>
                <w:i/>
                <w:spacing w:val="18"/>
                <w:sz w:val="20"/>
              </w:rPr>
              <w:t> </w:t>
            </w:r>
            <w:r>
              <w:rPr>
                <w:rFonts w:ascii="Arial"/>
                <w:i/>
                <w:sz w:val="20"/>
              </w:rPr>
              <w:t>1</w:t>
            </w:r>
            <w:r>
              <w:rPr>
                <w:rFonts w:ascii="Arial"/>
                <w:i/>
                <w:spacing w:val="18"/>
                <w:sz w:val="20"/>
              </w:rPr>
              <w:t> </w:t>
            </w:r>
            <w:r>
              <w:rPr>
                <w:rFonts w:ascii="Arial"/>
                <w:i/>
                <w:sz w:val="20"/>
              </w:rPr>
              <w:t>W.L.R.</w:t>
            </w:r>
            <w:r>
              <w:rPr>
                <w:rFonts w:ascii="Arial"/>
                <w:i/>
                <w:spacing w:val="18"/>
                <w:sz w:val="20"/>
              </w:rPr>
              <w:t> </w:t>
            </w:r>
            <w:r>
              <w:rPr>
                <w:rFonts w:ascii="Arial"/>
                <w:i/>
                <w:sz w:val="20"/>
              </w:rPr>
              <w:t>1254</w:t>
            </w:r>
            <w:r>
              <w:rPr>
                <w:sz w:val="20"/>
              </w:rPr>
              <w:t>,</w:t>
            </w:r>
            <w:r>
              <w:rPr>
                <w:spacing w:val="18"/>
                <w:sz w:val="20"/>
              </w:rPr>
              <w:t> </w:t>
            </w:r>
            <w:r>
              <w:rPr>
                <w:sz w:val="20"/>
              </w:rPr>
              <w:t>a</w:t>
            </w:r>
            <w:r>
              <w:rPr>
                <w:spacing w:val="18"/>
                <w:sz w:val="20"/>
              </w:rPr>
              <w:t> </w:t>
            </w:r>
            <w:r>
              <w:rPr>
                <w:sz w:val="20"/>
              </w:rPr>
              <w:t>case</w:t>
            </w:r>
            <w:r>
              <w:rPr>
                <w:spacing w:val="18"/>
                <w:sz w:val="20"/>
              </w:rPr>
              <w:t> </w:t>
            </w:r>
            <w:r>
              <w:rPr>
                <w:sz w:val="20"/>
              </w:rPr>
              <w:t>relating</w:t>
            </w:r>
            <w:r>
              <w:rPr>
                <w:spacing w:val="18"/>
                <w:sz w:val="20"/>
              </w:rPr>
              <w:t> </w:t>
            </w:r>
            <w:r>
              <w:rPr>
                <w:sz w:val="20"/>
              </w:rPr>
              <w:t>to</w:t>
            </w:r>
            <w:r>
              <w:rPr>
                <w:spacing w:val="18"/>
                <w:sz w:val="20"/>
              </w:rPr>
              <w:t> </w:t>
            </w:r>
            <w:r>
              <w:rPr>
                <w:sz w:val="20"/>
              </w:rPr>
              <w:t>land;</w:t>
            </w:r>
            <w:r>
              <w:rPr>
                <w:spacing w:val="18"/>
                <w:sz w:val="20"/>
              </w:rPr>
              <w:t> </w:t>
            </w:r>
            <w:r>
              <w:rPr>
                <w:sz w:val="20"/>
              </w:rPr>
              <w:t>followed</w:t>
            </w:r>
            <w:r>
              <w:rPr>
                <w:spacing w:val="18"/>
                <w:sz w:val="20"/>
              </w:rPr>
              <w:t> </w:t>
            </w:r>
            <w:r>
              <w:rPr>
                <w:sz w:val="20"/>
              </w:rPr>
              <w:t>in</w:t>
            </w:r>
            <w:r>
              <w:rPr>
                <w:spacing w:val="17"/>
                <w:sz w:val="20"/>
              </w:rPr>
              <w:t> </w:t>
            </w:r>
            <w:r>
              <w:rPr>
                <w:rFonts w:ascii="Arial"/>
                <w:i/>
                <w:sz w:val="20"/>
              </w:rPr>
              <w:t>Milton</w:t>
            </w:r>
            <w:r>
              <w:rPr>
                <w:rFonts w:ascii="Arial"/>
                <w:i/>
                <w:spacing w:val="18"/>
                <w:sz w:val="20"/>
              </w:rPr>
              <w:t> </w:t>
            </w:r>
            <w:r>
              <w:rPr>
                <w:rFonts w:ascii="Arial"/>
                <w:i/>
                <w:sz w:val="20"/>
              </w:rPr>
              <w:t>v</w:t>
            </w:r>
            <w:r>
              <w:rPr>
                <w:rFonts w:ascii="Arial"/>
                <w:i/>
                <w:spacing w:val="18"/>
                <w:sz w:val="20"/>
              </w:rPr>
              <w:t> </w:t>
            </w:r>
            <w:r>
              <w:rPr>
                <w:rFonts w:ascii="Arial"/>
                <w:i/>
                <w:sz w:val="20"/>
              </w:rPr>
              <w:t>Farrow (1980) 255 E.G. 449</w:t>
            </w:r>
            <w:r>
              <w:rPr>
                <w:sz w:val="20"/>
              </w:rPr>
              <w:t>.</w:t>
            </w:r>
          </w:p>
        </w:tc>
      </w:tr>
      <w:tr>
        <w:trPr>
          <w:trHeight w:val="690" w:hRule="atLeast"/>
        </w:trPr>
        <w:tc>
          <w:tcPr>
            <w:tcW w:w="496" w:type="dxa"/>
          </w:tcPr>
          <w:p>
            <w:pPr>
              <w:pStyle w:val="TableParagraph"/>
              <w:ind w:left="0" w:right="43"/>
              <w:jc w:val="center"/>
              <w:rPr>
                <w:sz w:val="14"/>
              </w:rPr>
            </w:pPr>
            <w:bookmarkStart w:name="_bookmark1943" w:id="1945"/>
            <w:bookmarkEnd w:id="1945"/>
            <w:r>
              <w:rPr/>
            </w:r>
            <w:hyperlink w:history="true" w:anchor="_bookmark1869">
              <w:r>
                <w:rPr>
                  <w:color w:val="005DA1"/>
                  <w:spacing w:val="-2"/>
                  <w:sz w:val="14"/>
                  <w:u w:val="single" w:color="005DA1"/>
                </w:rPr>
                <w:t>1319</w:t>
              </w:r>
            </w:hyperlink>
            <w:r>
              <w:rPr>
                <w:spacing w:val="-2"/>
                <w:sz w:val="14"/>
              </w:rPr>
              <w:t>.</w:t>
            </w:r>
          </w:p>
        </w:tc>
        <w:tc>
          <w:tcPr>
            <w:tcW w:w="8620" w:type="dxa"/>
          </w:tcPr>
          <w:p>
            <w:pPr>
              <w:pStyle w:val="TableParagraph"/>
              <w:spacing w:line="235" w:lineRule="auto" w:before="118"/>
              <w:ind w:right="88"/>
              <w:rPr>
                <w:sz w:val="20"/>
              </w:rPr>
            </w:pPr>
            <w:r>
              <w:rPr>
                <w:sz w:val="20"/>
              </w:rPr>
              <w:t>For this duty, see </w:t>
            </w:r>
            <w:r>
              <w:rPr>
                <w:rFonts w:ascii="Arial"/>
                <w:i/>
                <w:sz w:val="20"/>
              </w:rPr>
              <w:t>Coggs v Bernard (1703) 2 Ld. Raym. 909</w:t>
            </w:r>
            <w:r>
              <w:rPr>
                <w:sz w:val="20"/>
              </w:rPr>
              <w:t>; </w:t>
            </w:r>
            <w:r>
              <w:rPr>
                <w:rFonts w:ascii="Arial"/>
                <w:i/>
                <w:sz w:val="20"/>
              </w:rPr>
              <w:t>Mitchell v Ealing LBC [1979] </w:t>
            </w:r>
            <w:r>
              <w:rPr>
                <w:rFonts w:ascii="Arial"/>
                <w:i/>
                <w:sz w:val="20"/>
              </w:rPr>
              <w:t>Q.B. 1</w:t>
            </w:r>
            <w:r>
              <w:rPr>
                <w:sz w:val="20"/>
              </w:rPr>
              <w:t>; </w:t>
            </w:r>
            <w:r>
              <w:rPr>
                <w:rFonts w:ascii="Arial"/>
                <w:i/>
                <w:sz w:val="20"/>
              </w:rPr>
              <w:t>Port Swettenham Authority v T.W. Wu &amp; Co [1979] A.C. 580, 590</w:t>
            </w:r>
            <w:r>
              <w:rPr>
                <w:sz w:val="20"/>
              </w:rPr>
              <w:t>.</w:t>
            </w:r>
          </w:p>
        </w:tc>
      </w:tr>
      <w:tr>
        <w:trPr>
          <w:trHeight w:val="1590" w:hRule="atLeast"/>
        </w:trPr>
        <w:tc>
          <w:tcPr>
            <w:tcW w:w="496" w:type="dxa"/>
          </w:tcPr>
          <w:p>
            <w:pPr>
              <w:pStyle w:val="TableParagraph"/>
              <w:ind w:left="0" w:right="43"/>
              <w:jc w:val="center"/>
              <w:rPr>
                <w:sz w:val="14"/>
              </w:rPr>
            </w:pPr>
            <w:bookmarkStart w:name="_bookmark1944" w:id="1946"/>
            <w:bookmarkEnd w:id="1946"/>
            <w:r>
              <w:rPr/>
            </w:r>
            <w:hyperlink w:history="true" w:anchor="_bookmark1869">
              <w:r>
                <w:rPr>
                  <w:color w:val="005DA1"/>
                  <w:spacing w:val="-2"/>
                  <w:sz w:val="14"/>
                  <w:u w:val="single" w:color="005DA1"/>
                </w:rPr>
                <w:t>1320</w:t>
              </w:r>
            </w:hyperlink>
            <w:r>
              <w:rPr>
                <w:spacing w:val="-2"/>
                <w:sz w:val="14"/>
              </w:rPr>
              <w:t>.</w:t>
            </w:r>
          </w:p>
        </w:tc>
        <w:tc>
          <w:tcPr>
            <w:tcW w:w="8620" w:type="dxa"/>
          </w:tcPr>
          <w:p>
            <w:pPr>
              <w:pStyle w:val="TableParagraph"/>
              <w:spacing w:line="235" w:lineRule="auto" w:before="118"/>
              <w:ind w:right="48"/>
              <w:jc w:val="both"/>
              <w:rPr>
                <w:sz w:val="20"/>
              </w:rPr>
            </w:pPr>
            <w:r>
              <w:rPr>
                <w:sz w:val="20"/>
              </w:rPr>
              <w:t>For the view that a bailment can come into existence “without consideration passing from </w:t>
            </w:r>
            <w:r>
              <w:rPr>
                <w:sz w:val="20"/>
              </w:rPr>
              <w:t>the bailor [A] to the bailee [B]” see also </w:t>
            </w:r>
            <w:r>
              <w:rPr>
                <w:rFonts w:ascii="Arial" w:hAnsi="Arial"/>
                <w:i/>
                <w:sz w:val="20"/>
              </w:rPr>
              <w:t>Yearworth v North Bristol NHS Trust [2009] EWCA Civ 37, [2010] Q.B. 1 </w:t>
            </w:r>
            <w:r>
              <w:rPr>
                <w:sz w:val="20"/>
              </w:rPr>
              <w:t>at [48]. B’s liability was there said to be based on “an assumption of</w:t>
            </w:r>
            <w:r>
              <w:rPr>
                <w:spacing w:val="40"/>
                <w:sz w:val="20"/>
              </w:rPr>
              <w:t> </w:t>
            </w:r>
            <w:r>
              <w:rPr>
                <w:sz w:val="20"/>
              </w:rPr>
              <w:t>responsibility” but not necessarily to “lie in tort”, the Court being “strongly attracted to the view that B’s liability was sui generis” (citing Palmer on Bailment, 2nd ed. (1991) at pp.44 et seq.). For this case, see also below after n.1269.</w:t>
            </w:r>
          </w:p>
        </w:tc>
      </w:tr>
      <w:tr>
        <w:trPr>
          <w:trHeight w:val="690" w:hRule="atLeast"/>
        </w:trPr>
        <w:tc>
          <w:tcPr>
            <w:tcW w:w="496" w:type="dxa"/>
          </w:tcPr>
          <w:p>
            <w:pPr>
              <w:pStyle w:val="TableParagraph"/>
              <w:ind w:left="0" w:right="43"/>
              <w:jc w:val="center"/>
              <w:rPr>
                <w:sz w:val="14"/>
              </w:rPr>
            </w:pPr>
            <w:bookmarkStart w:name="_bookmark1945" w:id="1947"/>
            <w:bookmarkEnd w:id="1947"/>
            <w:r>
              <w:rPr/>
            </w:r>
            <w:hyperlink w:history="true" w:anchor="_bookmark1870">
              <w:r>
                <w:rPr>
                  <w:color w:val="005DA1"/>
                  <w:spacing w:val="-2"/>
                  <w:sz w:val="14"/>
                  <w:u w:val="single" w:color="005DA1"/>
                </w:rPr>
                <w:t>1321</w:t>
              </w:r>
            </w:hyperlink>
            <w:r>
              <w:rPr>
                <w:spacing w:val="-2"/>
                <w:sz w:val="14"/>
              </w:rPr>
              <w:t>.</w:t>
            </w:r>
          </w:p>
        </w:tc>
        <w:tc>
          <w:tcPr>
            <w:tcW w:w="8620" w:type="dxa"/>
          </w:tcPr>
          <w:p>
            <w:pPr>
              <w:pStyle w:val="TableParagraph"/>
              <w:spacing w:line="235" w:lineRule="auto" w:before="118"/>
              <w:rPr>
                <w:sz w:val="20"/>
              </w:rPr>
            </w:pPr>
            <w:r>
              <w:rPr>
                <w:rFonts w:ascii="Arial" w:hAnsi="Arial"/>
                <w:i/>
                <w:sz w:val="20"/>
              </w:rPr>
              <w:t>Morris</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C.W.</w:t>
            </w:r>
            <w:r>
              <w:rPr>
                <w:rFonts w:ascii="Arial" w:hAnsi="Arial"/>
                <w:i/>
                <w:spacing w:val="31"/>
                <w:sz w:val="20"/>
              </w:rPr>
              <w:t> </w:t>
            </w:r>
            <w:r>
              <w:rPr>
                <w:rFonts w:ascii="Arial" w:hAnsi="Arial"/>
                <w:i/>
                <w:sz w:val="20"/>
              </w:rPr>
              <w:t>Martin</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z w:val="20"/>
              </w:rPr>
              <w:t>[1966]</w:t>
            </w:r>
            <w:r>
              <w:rPr>
                <w:rFonts w:ascii="Arial" w:hAnsi="Arial"/>
                <w:i/>
                <w:spacing w:val="31"/>
                <w:sz w:val="20"/>
              </w:rPr>
              <w:t> </w:t>
            </w:r>
            <w:r>
              <w:rPr>
                <w:rFonts w:ascii="Arial" w:hAnsi="Arial"/>
                <w:i/>
                <w:sz w:val="20"/>
              </w:rPr>
              <w:t>1</w:t>
            </w:r>
            <w:r>
              <w:rPr>
                <w:rFonts w:ascii="Arial" w:hAnsi="Arial"/>
                <w:i/>
                <w:spacing w:val="31"/>
                <w:sz w:val="20"/>
              </w:rPr>
              <w:t> </w:t>
            </w:r>
            <w:r>
              <w:rPr>
                <w:rFonts w:ascii="Arial" w:hAnsi="Arial"/>
                <w:i/>
                <w:sz w:val="20"/>
              </w:rPr>
              <w:t>Q.B.</w:t>
            </w:r>
            <w:r>
              <w:rPr>
                <w:rFonts w:ascii="Arial" w:hAnsi="Arial"/>
                <w:i/>
                <w:spacing w:val="31"/>
                <w:sz w:val="20"/>
              </w:rPr>
              <w:t> </w:t>
            </w:r>
            <w:r>
              <w:rPr>
                <w:rFonts w:ascii="Arial" w:hAnsi="Arial"/>
                <w:i/>
                <w:sz w:val="20"/>
              </w:rPr>
              <w:t>716,</w:t>
            </w:r>
            <w:r>
              <w:rPr>
                <w:rFonts w:ascii="Arial" w:hAnsi="Arial"/>
                <w:i/>
                <w:spacing w:val="31"/>
                <w:sz w:val="20"/>
              </w:rPr>
              <w:t> </w:t>
            </w:r>
            <w:r>
              <w:rPr>
                <w:rFonts w:ascii="Arial" w:hAnsi="Arial"/>
                <w:i/>
                <w:sz w:val="20"/>
              </w:rPr>
              <w:t>731</w:t>
            </w:r>
            <w:r>
              <w:rPr>
                <w:sz w:val="20"/>
              </w:rPr>
              <w:t>;</w:t>
            </w:r>
            <w:r>
              <w:rPr>
                <w:spacing w:val="31"/>
                <w:sz w:val="20"/>
              </w:rPr>
              <w:t> </w:t>
            </w:r>
            <w:r>
              <w:rPr>
                <w:rFonts w:ascii="Arial" w:hAnsi="Arial"/>
                <w:i/>
                <w:sz w:val="20"/>
              </w:rPr>
              <w:t>Compania</w:t>
            </w:r>
            <w:r>
              <w:rPr>
                <w:rFonts w:ascii="Arial" w:hAnsi="Arial"/>
                <w:i/>
                <w:spacing w:val="31"/>
                <w:sz w:val="20"/>
              </w:rPr>
              <w:t> </w:t>
            </w:r>
            <w:r>
              <w:rPr>
                <w:rFonts w:ascii="Arial" w:hAnsi="Arial"/>
                <w:i/>
                <w:sz w:val="20"/>
              </w:rPr>
              <w:t>Continental</w:t>
            </w:r>
            <w:r>
              <w:rPr>
                <w:rFonts w:ascii="Arial" w:hAnsi="Arial"/>
                <w:i/>
                <w:spacing w:val="31"/>
                <w:sz w:val="20"/>
              </w:rPr>
              <w:t> </w:t>
            </w:r>
            <w:r>
              <w:rPr>
                <w:rFonts w:ascii="Arial" w:hAnsi="Arial"/>
                <w:i/>
                <w:sz w:val="20"/>
              </w:rPr>
              <w:t>del</w:t>
            </w:r>
            <w:r>
              <w:rPr>
                <w:rFonts w:ascii="Arial" w:hAnsi="Arial"/>
                <w:i/>
                <w:spacing w:val="31"/>
                <w:sz w:val="20"/>
              </w:rPr>
              <w:t> </w:t>
            </w:r>
            <w:r>
              <w:rPr>
                <w:rFonts w:ascii="Arial" w:hAnsi="Arial"/>
                <w:i/>
                <w:sz w:val="20"/>
              </w:rPr>
              <w:t>Peru</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Evelpis Shipping Corp. (The Agia Skepi) [1992] 2 Lloyd’s Rep. 467, 472</w:t>
            </w:r>
            <w:r>
              <w:rPr>
                <w:sz w:val="20"/>
              </w:rPr>
              <w:t>.</w:t>
            </w:r>
          </w:p>
        </w:tc>
      </w:tr>
      <w:tr>
        <w:trPr>
          <w:trHeight w:val="465" w:hRule="atLeast"/>
        </w:trPr>
        <w:tc>
          <w:tcPr>
            <w:tcW w:w="496" w:type="dxa"/>
          </w:tcPr>
          <w:p>
            <w:pPr>
              <w:pStyle w:val="TableParagraph"/>
              <w:ind w:left="0" w:right="43"/>
              <w:jc w:val="center"/>
              <w:rPr>
                <w:sz w:val="14"/>
              </w:rPr>
            </w:pPr>
            <w:bookmarkStart w:name="_bookmark1946" w:id="1948"/>
            <w:bookmarkEnd w:id="1948"/>
            <w:r>
              <w:rPr/>
            </w:r>
            <w:hyperlink w:history="true" w:anchor="_bookmark1871">
              <w:r>
                <w:rPr>
                  <w:color w:val="005DA1"/>
                  <w:spacing w:val="-2"/>
                  <w:sz w:val="14"/>
                  <w:u w:val="single" w:color="005DA1"/>
                </w:rPr>
                <w:t>1322</w:t>
              </w:r>
            </w:hyperlink>
            <w:r>
              <w:rPr>
                <w:spacing w:val="-2"/>
                <w:sz w:val="14"/>
              </w:rPr>
              <w:t>.</w:t>
            </w:r>
          </w:p>
        </w:tc>
        <w:tc>
          <w:tcPr>
            <w:tcW w:w="8620" w:type="dxa"/>
          </w:tcPr>
          <w:p>
            <w:pPr>
              <w:pStyle w:val="TableParagraph"/>
              <w:spacing w:before="114"/>
              <w:rPr>
                <w:sz w:val="20"/>
              </w:rPr>
            </w:pPr>
            <w:r>
              <w:rPr>
                <w:sz w:val="20"/>
              </w:rPr>
              <w:t>cf.</w:t>
            </w:r>
            <w:r>
              <w:rPr>
                <w:spacing w:val="-1"/>
                <w:sz w:val="20"/>
              </w:rPr>
              <w:t> </w:t>
            </w:r>
            <w:r>
              <w:rPr>
                <w:rFonts w:ascii="Arial"/>
                <w:i/>
                <w:sz w:val="20"/>
              </w:rPr>
              <w:t>Charnock v Liverpool Corporation [1968] 1 W.L.R. 1498</w:t>
            </w:r>
            <w:r>
              <w:rPr>
                <w:sz w:val="20"/>
              </w:rPr>
              <w:t>; below, para.18-</w:t>
            </w:r>
            <w:r>
              <w:rPr>
                <w:spacing w:val="-4"/>
                <w:sz w:val="20"/>
              </w:rPr>
              <w:t>010.</w:t>
            </w:r>
          </w:p>
        </w:tc>
      </w:tr>
      <w:tr>
        <w:trPr>
          <w:trHeight w:val="465" w:hRule="atLeast"/>
        </w:trPr>
        <w:tc>
          <w:tcPr>
            <w:tcW w:w="496" w:type="dxa"/>
          </w:tcPr>
          <w:p>
            <w:pPr>
              <w:pStyle w:val="TableParagraph"/>
              <w:ind w:left="0" w:right="43"/>
              <w:jc w:val="center"/>
              <w:rPr>
                <w:sz w:val="14"/>
              </w:rPr>
            </w:pPr>
            <w:bookmarkStart w:name="_bookmark1947" w:id="1949"/>
            <w:bookmarkEnd w:id="1949"/>
            <w:r>
              <w:rPr/>
            </w:r>
            <w:hyperlink w:history="true" w:anchor="_bookmark1872">
              <w:r>
                <w:rPr>
                  <w:color w:val="005DA1"/>
                  <w:spacing w:val="-2"/>
                  <w:sz w:val="14"/>
                  <w:u w:val="single" w:color="005DA1"/>
                </w:rPr>
                <w:t>1323</w:t>
              </w:r>
            </w:hyperlink>
            <w:r>
              <w:rPr>
                <w:spacing w:val="-2"/>
                <w:sz w:val="14"/>
              </w:rPr>
              <w:t>.</w:t>
            </w:r>
          </w:p>
        </w:tc>
        <w:tc>
          <w:tcPr>
            <w:tcW w:w="8620" w:type="dxa"/>
          </w:tcPr>
          <w:p>
            <w:pPr>
              <w:pStyle w:val="TableParagraph"/>
              <w:spacing w:before="114"/>
              <w:rPr>
                <w:sz w:val="20"/>
              </w:rPr>
            </w:pPr>
            <w:r>
              <w:rPr>
                <w:rFonts w:ascii="Arial"/>
                <w:i/>
                <w:sz w:val="20"/>
              </w:rPr>
              <w:t>CCC Films (London) Ltd v Impact Quadrant Films Ltd [1985] Q.B. 16, </w:t>
            </w:r>
            <w:r>
              <w:rPr>
                <w:rFonts w:ascii="Arial"/>
                <w:i/>
                <w:spacing w:val="-5"/>
                <w:sz w:val="20"/>
              </w:rPr>
              <w:t>27</w:t>
            </w:r>
            <w:r>
              <w:rPr>
                <w:spacing w:val="-5"/>
                <w:sz w:val="20"/>
              </w:rPr>
              <w:t>.</w:t>
            </w:r>
          </w:p>
        </w:tc>
      </w:tr>
      <w:tr>
        <w:trPr>
          <w:trHeight w:val="465" w:hRule="atLeast"/>
        </w:trPr>
        <w:tc>
          <w:tcPr>
            <w:tcW w:w="496" w:type="dxa"/>
          </w:tcPr>
          <w:p>
            <w:pPr>
              <w:pStyle w:val="TableParagraph"/>
              <w:ind w:left="0" w:right="43"/>
              <w:jc w:val="center"/>
              <w:rPr>
                <w:sz w:val="14"/>
              </w:rPr>
            </w:pPr>
            <w:bookmarkStart w:name="_bookmark1948" w:id="1950"/>
            <w:bookmarkEnd w:id="1950"/>
            <w:r>
              <w:rPr/>
            </w:r>
            <w:hyperlink w:history="true" w:anchor="_bookmark1873">
              <w:r>
                <w:rPr>
                  <w:color w:val="005DA1"/>
                  <w:spacing w:val="-2"/>
                  <w:sz w:val="14"/>
                  <w:u w:val="single" w:color="005DA1"/>
                </w:rPr>
                <w:t>1324</w:t>
              </w:r>
            </w:hyperlink>
            <w:r>
              <w:rPr>
                <w:spacing w:val="-2"/>
                <w:sz w:val="14"/>
              </w:rPr>
              <w:t>.</w:t>
            </w:r>
          </w:p>
        </w:tc>
        <w:tc>
          <w:tcPr>
            <w:tcW w:w="8620" w:type="dxa"/>
          </w:tcPr>
          <w:p>
            <w:pPr>
              <w:pStyle w:val="TableParagraph"/>
              <w:spacing w:before="114"/>
              <w:rPr>
                <w:sz w:val="20"/>
              </w:rPr>
            </w:pPr>
            <w:r>
              <w:rPr>
                <w:sz w:val="20"/>
              </w:rPr>
              <w:t>Above, para.4-</w:t>
            </w:r>
            <w:r>
              <w:rPr>
                <w:spacing w:val="-4"/>
                <w:sz w:val="20"/>
              </w:rPr>
              <w:t>014.</w:t>
            </w:r>
          </w:p>
        </w:tc>
      </w:tr>
      <w:tr>
        <w:trPr>
          <w:trHeight w:val="465" w:hRule="atLeast"/>
        </w:trPr>
        <w:tc>
          <w:tcPr>
            <w:tcW w:w="496" w:type="dxa"/>
          </w:tcPr>
          <w:p>
            <w:pPr>
              <w:pStyle w:val="TableParagraph"/>
              <w:ind w:left="0" w:right="43"/>
              <w:jc w:val="center"/>
              <w:rPr>
                <w:sz w:val="14"/>
              </w:rPr>
            </w:pPr>
            <w:bookmarkStart w:name="_bookmark1949" w:id="1951"/>
            <w:bookmarkEnd w:id="1951"/>
            <w:r>
              <w:rPr/>
            </w:r>
            <w:hyperlink w:history="true" w:anchor="_bookmark1874">
              <w:r>
                <w:rPr>
                  <w:color w:val="005DA1"/>
                  <w:spacing w:val="-2"/>
                  <w:sz w:val="14"/>
                  <w:u w:val="single" w:color="005DA1"/>
                </w:rPr>
                <w:t>1325</w:t>
              </w:r>
            </w:hyperlink>
            <w:r>
              <w:rPr>
                <w:spacing w:val="-2"/>
                <w:sz w:val="14"/>
              </w:rPr>
              <w:t>.</w:t>
            </w:r>
          </w:p>
        </w:tc>
        <w:tc>
          <w:tcPr>
            <w:tcW w:w="8620" w:type="dxa"/>
          </w:tcPr>
          <w:p>
            <w:pPr>
              <w:pStyle w:val="TableParagraph"/>
              <w:spacing w:before="114"/>
              <w:rPr>
                <w:sz w:val="20"/>
              </w:rPr>
            </w:pPr>
            <w:r>
              <w:rPr>
                <w:rFonts w:ascii="Arial"/>
                <w:i/>
                <w:sz w:val="20"/>
              </w:rPr>
              <w:t>[2009] EWCA Civ 37, [2009] 2 All E.R. </w:t>
            </w:r>
            <w:r>
              <w:rPr>
                <w:rFonts w:ascii="Arial"/>
                <w:i/>
                <w:spacing w:val="-4"/>
                <w:sz w:val="20"/>
              </w:rPr>
              <w:t>986</w:t>
            </w:r>
            <w:r>
              <w:rPr>
                <w:spacing w:val="-4"/>
                <w:sz w:val="20"/>
              </w:rPr>
              <w:t>.</w:t>
            </w:r>
          </w:p>
        </w:tc>
      </w:tr>
      <w:tr>
        <w:trPr>
          <w:trHeight w:val="465" w:hRule="atLeast"/>
        </w:trPr>
        <w:tc>
          <w:tcPr>
            <w:tcW w:w="496" w:type="dxa"/>
          </w:tcPr>
          <w:p>
            <w:pPr>
              <w:pStyle w:val="TableParagraph"/>
              <w:ind w:left="0" w:right="43"/>
              <w:jc w:val="center"/>
              <w:rPr>
                <w:sz w:val="14"/>
              </w:rPr>
            </w:pPr>
            <w:bookmarkStart w:name="_bookmark1950" w:id="1952"/>
            <w:bookmarkEnd w:id="1952"/>
            <w:r>
              <w:rPr/>
            </w:r>
            <w:hyperlink w:history="true" w:anchor="_bookmark1875">
              <w:r>
                <w:rPr>
                  <w:color w:val="005DA1"/>
                  <w:spacing w:val="-2"/>
                  <w:sz w:val="14"/>
                  <w:u w:val="single" w:color="005DA1"/>
                </w:rPr>
                <w:t>1326</w:t>
              </w:r>
            </w:hyperlink>
            <w:r>
              <w:rPr>
                <w:spacing w:val="-2"/>
                <w:sz w:val="14"/>
              </w:rPr>
              <w:t>.</w:t>
            </w:r>
          </w:p>
        </w:tc>
        <w:tc>
          <w:tcPr>
            <w:tcW w:w="8620" w:type="dxa"/>
          </w:tcPr>
          <w:p>
            <w:pPr>
              <w:pStyle w:val="TableParagraph"/>
              <w:spacing w:before="114"/>
              <w:rPr>
                <w:sz w:val="20"/>
              </w:rPr>
            </w:pPr>
            <w:r>
              <w:rPr>
                <w:sz w:val="20"/>
              </w:rPr>
              <w:t>At </w:t>
            </w:r>
            <w:r>
              <w:rPr>
                <w:spacing w:val="-2"/>
                <w:sz w:val="20"/>
              </w:rPr>
              <w:t>[49].</w:t>
            </w:r>
          </w:p>
        </w:tc>
      </w:tr>
      <w:tr>
        <w:trPr>
          <w:trHeight w:val="465" w:hRule="atLeast"/>
        </w:trPr>
        <w:tc>
          <w:tcPr>
            <w:tcW w:w="496" w:type="dxa"/>
          </w:tcPr>
          <w:p>
            <w:pPr>
              <w:pStyle w:val="TableParagraph"/>
              <w:ind w:left="0" w:right="43"/>
              <w:jc w:val="center"/>
              <w:rPr>
                <w:sz w:val="14"/>
              </w:rPr>
            </w:pPr>
            <w:bookmarkStart w:name="_bookmark1951" w:id="1953"/>
            <w:bookmarkEnd w:id="1953"/>
            <w:r>
              <w:rPr/>
            </w:r>
            <w:hyperlink w:history="true" w:anchor="_bookmark1876">
              <w:r>
                <w:rPr>
                  <w:color w:val="005DA1"/>
                  <w:spacing w:val="-2"/>
                  <w:sz w:val="14"/>
                  <w:u w:val="single" w:color="005DA1"/>
                </w:rPr>
                <w:t>1327</w:t>
              </w:r>
            </w:hyperlink>
            <w:r>
              <w:rPr>
                <w:spacing w:val="-2"/>
                <w:sz w:val="14"/>
              </w:rPr>
              <w:t>.</w:t>
            </w:r>
          </w:p>
        </w:tc>
        <w:tc>
          <w:tcPr>
            <w:tcW w:w="8620" w:type="dxa"/>
          </w:tcPr>
          <w:p>
            <w:pPr>
              <w:pStyle w:val="TableParagraph"/>
              <w:spacing w:before="114"/>
              <w:rPr>
                <w:sz w:val="20"/>
              </w:rPr>
            </w:pPr>
            <w:r>
              <w:rPr>
                <w:sz w:val="20"/>
              </w:rPr>
              <w:t>At </w:t>
            </w:r>
            <w:r>
              <w:rPr>
                <w:spacing w:val="-2"/>
                <w:sz w:val="20"/>
              </w:rPr>
              <w:t>[58].</w:t>
            </w:r>
          </w:p>
        </w:tc>
      </w:tr>
      <w:tr>
        <w:trPr>
          <w:trHeight w:val="465" w:hRule="atLeast"/>
        </w:trPr>
        <w:tc>
          <w:tcPr>
            <w:tcW w:w="496" w:type="dxa"/>
          </w:tcPr>
          <w:p>
            <w:pPr>
              <w:pStyle w:val="TableParagraph"/>
              <w:ind w:left="0" w:right="43"/>
              <w:jc w:val="center"/>
              <w:rPr>
                <w:sz w:val="14"/>
              </w:rPr>
            </w:pPr>
            <w:bookmarkStart w:name="_bookmark1952" w:id="1954"/>
            <w:bookmarkEnd w:id="1954"/>
            <w:r>
              <w:rPr/>
            </w:r>
            <w:hyperlink w:history="true" w:anchor="_bookmark1877">
              <w:r>
                <w:rPr>
                  <w:color w:val="005DA1"/>
                  <w:spacing w:val="-2"/>
                  <w:sz w:val="14"/>
                  <w:u w:val="single" w:color="005DA1"/>
                </w:rPr>
                <w:t>1328</w:t>
              </w:r>
            </w:hyperlink>
            <w:r>
              <w:rPr>
                <w:spacing w:val="-2"/>
                <w:sz w:val="14"/>
              </w:rPr>
              <w:t>.</w:t>
            </w:r>
          </w:p>
        </w:tc>
        <w:tc>
          <w:tcPr>
            <w:tcW w:w="8620" w:type="dxa"/>
          </w:tcPr>
          <w:p>
            <w:pPr>
              <w:pStyle w:val="TableParagraph"/>
              <w:spacing w:before="114"/>
              <w:rPr>
                <w:sz w:val="20"/>
              </w:rPr>
            </w:pPr>
            <w:r>
              <w:rPr>
                <w:sz w:val="20"/>
              </w:rPr>
              <w:t>At </w:t>
            </w:r>
            <w:r>
              <w:rPr>
                <w:spacing w:val="-2"/>
                <w:sz w:val="20"/>
              </w:rPr>
              <w:t>n.1267.</w:t>
            </w:r>
          </w:p>
        </w:tc>
      </w:tr>
      <w:tr>
        <w:trPr>
          <w:trHeight w:val="465" w:hRule="atLeast"/>
        </w:trPr>
        <w:tc>
          <w:tcPr>
            <w:tcW w:w="496" w:type="dxa"/>
          </w:tcPr>
          <w:p>
            <w:pPr>
              <w:pStyle w:val="TableParagraph"/>
              <w:ind w:left="0" w:right="43"/>
              <w:jc w:val="center"/>
              <w:rPr>
                <w:sz w:val="14"/>
              </w:rPr>
            </w:pPr>
            <w:bookmarkStart w:name="_bookmark1953" w:id="1955"/>
            <w:bookmarkEnd w:id="1955"/>
            <w:r>
              <w:rPr/>
            </w:r>
            <w:hyperlink w:history="true" w:anchor="_bookmark1878">
              <w:r>
                <w:rPr>
                  <w:color w:val="005DA1"/>
                  <w:spacing w:val="-2"/>
                  <w:sz w:val="14"/>
                  <w:u w:val="single" w:color="005DA1"/>
                </w:rPr>
                <w:t>1329</w:t>
              </w:r>
            </w:hyperlink>
            <w:r>
              <w:rPr>
                <w:spacing w:val="-2"/>
                <w:sz w:val="14"/>
              </w:rPr>
              <w:t>.</w:t>
            </w:r>
          </w:p>
        </w:tc>
        <w:tc>
          <w:tcPr>
            <w:tcW w:w="8620" w:type="dxa"/>
          </w:tcPr>
          <w:p>
            <w:pPr>
              <w:pStyle w:val="TableParagraph"/>
              <w:spacing w:before="114"/>
              <w:rPr>
                <w:sz w:val="20"/>
              </w:rPr>
            </w:pPr>
            <w:r>
              <w:rPr>
                <w:sz w:val="20"/>
              </w:rPr>
              <w:t>Above, at </w:t>
            </w:r>
            <w:r>
              <w:rPr>
                <w:spacing w:val="-2"/>
                <w:sz w:val="20"/>
              </w:rPr>
              <w:t>n.1267.</w:t>
            </w:r>
          </w:p>
        </w:tc>
      </w:tr>
      <w:tr>
        <w:trPr>
          <w:trHeight w:val="465" w:hRule="atLeast"/>
        </w:trPr>
        <w:tc>
          <w:tcPr>
            <w:tcW w:w="496" w:type="dxa"/>
          </w:tcPr>
          <w:p>
            <w:pPr>
              <w:pStyle w:val="TableParagraph"/>
              <w:ind w:left="0" w:right="43"/>
              <w:jc w:val="center"/>
              <w:rPr>
                <w:sz w:val="14"/>
              </w:rPr>
            </w:pPr>
            <w:bookmarkStart w:name="_bookmark1954" w:id="1956"/>
            <w:bookmarkEnd w:id="1956"/>
            <w:r>
              <w:rPr/>
            </w:r>
            <w:hyperlink w:history="true" w:anchor="_bookmark1879">
              <w:r>
                <w:rPr>
                  <w:color w:val="005DA1"/>
                  <w:spacing w:val="-2"/>
                  <w:sz w:val="14"/>
                  <w:u w:val="single" w:color="005DA1"/>
                </w:rPr>
                <w:t>1330</w:t>
              </w:r>
            </w:hyperlink>
            <w:r>
              <w:rPr>
                <w:spacing w:val="-2"/>
                <w:sz w:val="14"/>
              </w:rPr>
              <w:t>.</w:t>
            </w:r>
          </w:p>
        </w:tc>
        <w:tc>
          <w:tcPr>
            <w:tcW w:w="8620" w:type="dxa"/>
          </w:tcPr>
          <w:p>
            <w:pPr>
              <w:pStyle w:val="TableParagraph"/>
              <w:spacing w:before="114"/>
              <w:rPr>
                <w:sz w:val="20"/>
              </w:rPr>
            </w:pPr>
            <w:r>
              <w:rPr>
                <w:sz w:val="20"/>
              </w:rPr>
              <w:t>At </w:t>
            </w:r>
            <w:r>
              <w:rPr>
                <w:spacing w:val="-2"/>
                <w:sz w:val="20"/>
              </w:rPr>
              <w:t>n.1272.</w:t>
            </w:r>
          </w:p>
        </w:tc>
      </w:tr>
      <w:tr>
        <w:trPr>
          <w:trHeight w:val="465" w:hRule="atLeast"/>
        </w:trPr>
        <w:tc>
          <w:tcPr>
            <w:tcW w:w="496" w:type="dxa"/>
          </w:tcPr>
          <w:p>
            <w:pPr>
              <w:pStyle w:val="TableParagraph"/>
              <w:ind w:left="0" w:right="43"/>
              <w:jc w:val="center"/>
              <w:rPr>
                <w:sz w:val="14"/>
              </w:rPr>
            </w:pPr>
            <w:bookmarkStart w:name="_bookmark1955" w:id="1957"/>
            <w:bookmarkEnd w:id="1957"/>
            <w:r>
              <w:rPr/>
            </w:r>
            <w:hyperlink w:history="true" w:anchor="_bookmark1880">
              <w:r>
                <w:rPr>
                  <w:color w:val="005DA1"/>
                  <w:spacing w:val="-2"/>
                  <w:sz w:val="14"/>
                  <w:u w:val="single" w:color="005DA1"/>
                </w:rPr>
                <w:t>1331</w:t>
              </w:r>
            </w:hyperlink>
            <w:r>
              <w:rPr>
                <w:spacing w:val="-2"/>
                <w:sz w:val="14"/>
              </w:rPr>
              <w:t>.</w:t>
            </w:r>
          </w:p>
        </w:tc>
        <w:tc>
          <w:tcPr>
            <w:tcW w:w="8620" w:type="dxa"/>
          </w:tcPr>
          <w:p>
            <w:pPr>
              <w:pStyle w:val="TableParagraph"/>
              <w:spacing w:before="114"/>
              <w:rPr>
                <w:sz w:val="20"/>
              </w:rPr>
            </w:pPr>
            <w:r>
              <w:rPr>
                <w:rFonts w:ascii="Arial"/>
                <w:i/>
                <w:sz w:val="20"/>
              </w:rPr>
              <w:t>[2009] EWCA Civ 37</w:t>
            </w:r>
            <w:r>
              <w:rPr>
                <w:rFonts w:ascii="Arial"/>
                <w:i/>
                <w:spacing w:val="-1"/>
                <w:sz w:val="20"/>
              </w:rPr>
              <w:t> </w:t>
            </w:r>
            <w:r>
              <w:rPr>
                <w:sz w:val="20"/>
              </w:rPr>
              <w:t>at </w:t>
            </w:r>
            <w:r>
              <w:rPr>
                <w:spacing w:val="-2"/>
                <w:sz w:val="20"/>
              </w:rPr>
              <w:t>[48].</w:t>
            </w:r>
          </w:p>
        </w:tc>
      </w:tr>
      <w:tr>
        <w:trPr>
          <w:trHeight w:val="465" w:hRule="atLeast"/>
        </w:trPr>
        <w:tc>
          <w:tcPr>
            <w:tcW w:w="496" w:type="dxa"/>
          </w:tcPr>
          <w:p>
            <w:pPr>
              <w:pStyle w:val="TableParagraph"/>
              <w:ind w:left="0" w:right="43"/>
              <w:jc w:val="center"/>
              <w:rPr>
                <w:sz w:val="14"/>
              </w:rPr>
            </w:pPr>
            <w:bookmarkStart w:name="_bookmark1956" w:id="1958"/>
            <w:bookmarkEnd w:id="1958"/>
            <w:r>
              <w:rPr/>
            </w:r>
            <w:hyperlink w:history="true" w:anchor="_bookmark1881">
              <w:r>
                <w:rPr>
                  <w:color w:val="005DA1"/>
                  <w:spacing w:val="-2"/>
                  <w:sz w:val="14"/>
                  <w:u w:val="single" w:color="005DA1"/>
                </w:rPr>
                <w:t>1332</w:t>
              </w:r>
            </w:hyperlink>
            <w:r>
              <w:rPr>
                <w:spacing w:val="-2"/>
                <w:sz w:val="14"/>
              </w:rPr>
              <w:t>.</w:t>
            </w:r>
          </w:p>
        </w:tc>
        <w:tc>
          <w:tcPr>
            <w:tcW w:w="8620" w:type="dxa"/>
          </w:tcPr>
          <w:p>
            <w:pPr>
              <w:pStyle w:val="TableParagraph"/>
              <w:spacing w:before="114"/>
              <w:rPr>
                <w:sz w:val="20"/>
              </w:rPr>
            </w:pPr>
            <w:r>
              <w:rPr>
                <w:sz w:val="20"/>
              </w:rPr>
              <w:t>At </w:t>
            </w:r>
            <w:r>
              <w:rPr>
                <w:spacing w:val="-2"/>
                <w:sz w:val="20"/>
              </w:rPr>
              <w:t>n.1267.</w:t>
            </w:r>
          </w:p>
        </w:tc>
      </w:tr>
      <w:tr>
        <w:trPr>
          <w:trHeight w:val="465" w:hRule="atLeast"/>
        </w:trPr>
        <w:tc>
          <w:tcPr>
            <w:tcW w:w="496" w:type="dxa"/>
          </w:tcPr>
          <w:p>
            <w:pPr>
              <w:pStyle w:val="TableParagraph"/>
              <w:ind w:left="0" w:right="43"/>
              <w:jc w:val="center"/>
              <w:rPr>
                <w:sz w:val="14"/>
              </w:rPr>
            </w:pPr>
            <w:bookmarkStart w:name="_bookmark1957" w:id="1959"/>
            <w:bookmarkEnd w:id="1959"/>
            <w:r>
              <w:rPr/>
            </w:r>
            <w:hyperlink w:history="true" w:anchor="_bookmark1882">
              <w:r>
                <w:rPr>
                  <w:color w:val="005DA1"/>
                  <w:spacing w:val="-2"/>
                  <w:sz w:val="14"/>
                  <w:u w:val="single" w:color="005DA1"/>
                </w:rPr>
                <w:t>1333</w:t>
              </w:r>
            </w:hyperlink>
            <w:r>
              <w:rPr>
                <w:spacing w:val="-2"/>
                <w:sz w:val="14"/>
              </w:rPr>
              <w:t>.</w:t>
            </w:r>
          </w:p>
        </w:tc>
        <w:tc>
          <w:tcPr>
            <w:tcW w:w="8620" w:type="dxa"/>
          </w:tcPr>
          <w:p>
            <w:pPr>
              <w:pStyle w:val="TableParagraph"/>
              <w:spacing w:before="114"/>
              <w:rPr>
                <w:sz w:val="20"/>
              </w:rPr>
            </w:pPr>
            <w:r>
              <w:rPr>
                <w:sz w:val="20"/>
              </w:rPr>
              <w:t>See the phrase quoted at n.1276 </w:t>
            </w:r>
            <w:r>
              <w:rPr>
                <w:spacing w:val="-2"/>
                <w:sz w:val="20"/>
              </w:rPr>
              <w:t>above.</w:t>
            </w:r>
          </w:p>
        </w:tc>
      </w:tr>
      <w:tr>
        <w:trPr>
          <w:trHeight w:val="465" w:hRule="atLeast"/>
        </w:trPr>
        <w:tc>
          <w:tcPr>
            <w:tcW w:w="496" w:type="dxa"/>
          </w:tcPr>
          <w:p>
            <w:pPr>
              <w:pStyle w:val="TableParagraph"/>
              <w:ind w:left="0" w:right="43"/>
              <w:jc w:val="center"/>
              <w:rPr>
                <w:sz w:val="14"/>
              </w:rPr>
            </w:pPr>
            <w:bookmarkStart w:name="_bookmark1958" w:id="1960"/>
            <w:bookmarkEnd w:id="1960"/>
            <w:r>
              <w:rPr/>
            </w:r>
            <w:hyperlink w:history="true" w:anchor="_bookmark1883">
              <w:r>
                <w:rPr>
                  <w:color w:val="005DA1"/>
                  <w:spacing w:val="-2"/>
                  <w:sz w:val="14"/>
                  <w:u w:val="single" w:color="005DA1"/>
                </w:rPr>
                <w:t>1334</w:t>
              </w:r>
            </w:hyperlink>
            <w:r>
              <w:rPr>
                <w:spacing w:val="-2"/>
                <w:sz w:val="14"/>
              </w:rPr>
              <w:t>.</w:t>
            </w:r>
          </w:p>
        </w:tc>
        <w:tc>
          <w:tcPr>
            <w:tcW w:w="8620" w:type="dxa"/>
          </w:tcPr>
          <w:p>
            <w:pPr>
              <w:pStyle w:val="TableParagraph"/>
              <w:spacing w:before="114"/>
              <w:rPr>
                <w:sz w:val="20"/>
              </w:rPr>
            </w:pPr>
            <w:r>
              <w:rPr>
                <w:sz w:val="20"/>
              </w:rPr>
              <w:t>At </w:t>
            </w:r>
            <w:r>
              <w:rPr>
                <w:spacing w:val="-2"/>
                <w:sz w:val="20"/>
              </w:rPr>
              <w:t>[58].</w:t>
            </w:r>
          </w:p>
        </w:tc>
      </w:tr>
      <w:tr>
        <w:trPr>
          <w:trHeight w:val="465" w:hRule="atLeast"/>
        </w:trPr>
        <w:tc>
          <w:tcPr>
            <w:tcW w:w="496" w:type="dxa"/>
          </w:tcPr>
          <w:p>
            <w:pPr>
              <w:pStyle w:val="TableParagraph"/>
              <w:ind w:left="0" w:right="43"/>
              <w:jc w:val="center"/>
              <w:rPr>
                <w:sz w:val="14"/>
              </w:rPr>
            </w:pPr>
            <w:bookmarkStart w:name="_bookmark1959" w:id="1961"/>
            <w:bookmarkEnd w:id="1961"/>
            <w:r>
              <w:rPr/>
            </w:r>
            <w:hyperlink w:history="true" w:anchor="_bookmark1884">
              <w:r>
                <w:rPr>
                  <w:color w:val="005DA1"/>
                  <w:spacing w:val="-2"/>
                  <w:sz w:val="14"/>
                  <w:u w:val="single" w:color="005DA1"/>
                </w:rPr>
                <w:t>1335</w:t>
              </w:r>
            </w:hyperlink>
            <w:r>
              <w:rPr>
                <w:spacing w:val="-2"/>
                <w:sz w:val="14"/>
              </w:rPr>
              <w:t>.</w:t>
            </w:r>
          </w:p>
        </w:tc>
        <w:tc>
          <w:tcPr>
            <w:tcW w:w="8620" w:type="dxa"/>
          </w:tcPr>
          <w:p>
            <w:pPr>
              <w:pStyle w:val="TableParagraph"/>
              <w:spacing w:before="114"/>
              <w:rPr>
                <w:sz w:val="20"/>
              </w:rPr>
            </w:pPr>
            <w:r>
              <w:rPr>
                <w:sz w:val="20"/>
              </w:rPr>
              <w:t>At [48], quoted at n.1276 </w:t>
            </w:r>
            <w:r>
              <w:rPr>
                <w:spacing w:val="-2"/>
                <w:sz w:val="20"/>
              </w:rPr>
              <w:t>above.</w:t>
            </w:r>
          </w:p>
        </w:tc>
      </w:tr>
      <w:tr>
        <w:trPr>
          <w:trHeight w:val="465" w:hRule="atLeast"/>
        </w:trPr>
        <w:tc>
          <w:tcPr>
            <w:tcW w:w="496" w:type="dxa"/>
          </w:tcPr>
          <w:p>
            <w:pPr>
              <w:pStyle w:val="TableParagraph"/>
              <w:ind w:left="0" w:right="43"/>
              <w:jc w:val="center"/>
              <w:rPr>
                <w:sz w:val="14"/>
              </w:rPr>
            </w:pPr>
            <w:bookmarkStart w:name="_bookmark1960" w:id="1962"/>
            <w:bookmarkEnd w:id="1962"/>
            <w:r>
              <w:rPr/>
            </w:r>
            <w:hyperlink w:history="true" w:anchor="_bookmark1885">
              <w:r>
                <w:rPr>
                  <w:color w:val="005DA1"/>
                  <w:spacing w:val="-2"/>
                  <w:sz w:val="14"/>
                  <w:u w:val="single" w:color="005DA1"/>
                </w:rPr>
                <w:t>1336</w:t>
              </w:r>
            </w:hyperlink>
            <w:r>
              <w:rPr>
                <w:spacing w:val="-2"/>
                <w:sz w:val="14"/>
              </w:rPr>
              <w:t>.</w:t>
            </w:r>
          </w:p>
        </w:tc>
        <w:tc>
          <w:tcPr>
            <w:tcW w:w="8620" w:type="dxa"/>
          </w:tcPr>
          <w:p>
            <w:pPr>
              <w:pStyle w:val="TableParagraph"/>
              <w:spacing w:before="114"/>
              <w:rPr>
                <w:sz w:val="20"/>
              </w:rPr>
            </w:pPr>
            <w:r>
              <w:rPr>
                <w:sz w:val="20"/>
              </w:rPr>
              <w:t>At </w:t>
            </w:r>
            <w:r>
              <w:rPr>
                <w:spacing w:val="-2"/>
                <w:sz w:val="20"/>
              </w:rPr>
              <w:t>[48].</w:t>
            </w:r>
          </w:p>
        </w:tc>
      </w:tr>
      <w:tr>
        <w:trPr>
          <w:trHeight w:val="344" w:hRule="atLeast"/>
        </w:trPr>
        <w:tc>
          <w:tcPr>
            <w:tcW w:w="496" w:type="dxa"/>
          </w:tcPr>
          <w:p>
            <w:pPr>
              <w:pStyle w:val="TableParagraph"/>
              <w:ind w:left="0" w:right="43"/>
              <w:jc w:val="center"/>
              <w:rPr>
                <w:sz w:val="14"/>
              </w:rPr>
            </w:pPr>
            <w:bookmarkStart w:name="_bookmark1961" w:id="1963"/>
            <w:bookmarkEnd w:id="1963"/>
            <w:r>
              <w:rPr/>
            </w:r>
            <w:hyperlink w:history="true" w:anchor="_bookmark1886">
              <w:r>
                <w:rPr>
                  <w:color w:val="005DA1"/>
                  <w:spacing w:val="-2"/>
                  <w:sz w:val="14"/>
                  <w:u w:val="single" w:color="005DA1"/>
                </w:rPr>
                <w:t>1337</w:t>
              </w:r>
            </w:hyperlink>
            <w:r>
              <w:rPr>
                <w:spacing w:val="-2"/>
                <w:sz w:val="14"/>
              </w:rPr>
              <w:t>.</w:t>
            </w:r>
          </w:p>
        </w:tc>
        <w:tc>
          <w:tcPr>
            <w:tcW w:w="8620" w:type="dxa"/>
          </w:tcPr>
          <w:p>
            <w:pPr>
              <w:pStyle w:val="TableParagraph"/>
              <w:spacing w:line="210" w:lineRule="exact" w:before="114"/>
              <w:rPr>
                <w:sz w:val="20"/>
              </w:rPr>
            </w:pPr>
            <w:r>
              <w:rPr>
                <w:sz w:val="20"/>
              </w:rPr>
              <w:t>At </w:t>
            </w:r>
            <w:r>
              <w:rPr>
                <w:spacing w:val="-2"/>
                <w:sz w:val="20"/>
              </w:rPr>
              <w:t>[58].</w:t>
            </w:r>
          </w:p>
        </w:tc>
      </w:tr>
    </w:tbl>
    <w:p>
      <w:pPr>
        <w:pStyle w:val="TableParagraph"/>
        <w:spacing w:after="0" w:line="210" w:lineRule="exact"/>
        <w:rPr>
          <w:sz w:val="20"/>
        </w:rPr>
        <w:sectPr>
          <w:pgSz w:w="11900" w:h="16840"/>
          <w:pgMar w:header="971" w:footer="0" w:top="1160" w:bottom="280" w:left="1275" w:right="1275"/>
        </w:sectPr>
      </w:pPr>
    </w:p>
    <w:p>
      <w:pPr>
        <w:pStyle w:val="BodyText"/>
        <w:spacing w:before="81"/>
      </w:pPr>
    </w:p>
    <w:p>
      <w:pPr>
        <w:spacing w:before="0"/>
        <w:ind w:left="165" w:right="0" w:firstLine="0"/>
        <w:jc w:val="left"/>
        <w:rPr>
          <w:sz w:val="20"/>
        </w:rPr>
      </w:pPr>
      <w:hyperlink w:history="true" w:anchor="_bookmark1887">
        <w:r>
          <w:rPr>
            <w:color w:val="005DA1"/>
            <w:position w:val="5"/>
            <w:sz w:val="14"/>
            <w:u w:val="single" w:color="005DA1"/>
          </w:rPr>
          <w:t>1338</w:t>
        </w:r>
      </w:hyperlink>
      <w:r>
        <w:rPr>
          <w:position w:val="5"/>
          <w:sz w:val="14"/>
        </w:rPr>
        <w:t>.</w:t>
      </w:r>
      <w:r>
        <w:rPr>
          <w:spacing w:val="55"/>
          <w:position w:val="5"/>
          <w:sz w:val="14"/>
        </w:rPr>
        <w:t>  </w:t>
      </w:r>
      <w:r>
        <w:rPr>
          <w:sz w:val="20"/>
        </w:rPr>
        <w:t>At</w:t>
      </w:r>
      <w:r>
        <w:rPr>
          <w:spacing w:val="1"/>
          <w:sz w:val="20"/>
        </w:rPr>
        <w:t> </w:t>
      </w:r>
      <w:r>
        <w:rPr>
          <w:spacing w:val="-4"/>
          <w:sz w:val="20"/>
        </w:rPr>
        <w:t>[58].</w:t>
      </w:r>
    </w:p>
    <w:p>
      <w:pPr>
        <w:pStyle w:val="BodyText"/>
        <w:spacing w:before="9"/>
      </w:pPr>
    </w:p>
    <w:p>
      <w:pPr>
        <w:spacing w:line="235" w:lineRule="auto" w:before="0"/>
        <w:ind w:left="705" w:right="168" w:hanging="541"/>
        <w:jc w:val="both"/>
        <w:rPr>
          <w:sz w:val="20"/>
        </w:rPr>
      </w:pPr>
      <w:bookmarkStart w:name="_bookmark1962" w:id="1964"/>
      <w:bookmarkEnd w:id="1964"/>
      <w:r>
        <w:rPr/>
      </w:r>
      <w:hyperlink w:history="true" w:anchor="_bookmark1888">
        <w:r>
          <w:rPr>
            <w:color w:val="005DA1"/>
            <w:position w:val="5"/>
            <w:sz w:val="14"/>
            <w:u w:val="single" w:color="005DA1"/>
          </w:rPr>
          <w:t>1339</w:t>
        </w:r>
      </w:hyperlink>
      <w:r>
        <w:rPr>
          <w:position w:val="5"/>
          <w:sz w:val="14"/>
        </w:rPr>
        <w:t>.</w:t>
      </w:r>
      <w:r>
        <w:rPr>
          <w:spacing w:val="80"/>
          <w:w w:val="150"/>
          <w:position w:val="5"/>
          <w:sz w:val="14"/>
        </w:rPr>
        <w:t> </w:t>
      </w:r>
      <w:r>
        <w:rPr>
          <w:rFonts w:ascii="Arial"/>
          <w:i/>
          <w:sz w:val="20"/>
        </w:rPr>
        <w:t>Argy Trading &amp; Development Co Ltd v Lapid Developments Ltd [1977] 1 W.L.R. 444</w:t>
      </w:r>
      <w:r>
        <w:rPr>
          <w:sz w:val="20"/>
        </w:rPr>
        <w:t>; cf. the</w:t>
      </w:r>
      <w:r>
        <w:rPr>
          <w:spacing w:val="80"/>
          <w:sz w:val="20"/>
        </w:rPr>
        <w:t> </w:t>
      </w:r>
      <w:r>
        <w:rPr>
          <w:sz w:val="20"/>
        </w:rPr>
        <w:t>New York case of </w:t>
      </w:r>
      <w:r>
        <w:rPr>
          <w:rFonts w:ascii="Arial"/>
          <w:i/>
          <w:sz w:val="20"/>
        </w:rPr>
        <w:t>Thorn v Deas, 4 Johns. 84 (1809)</w:t>
      </w:r>
      <w:r>
        <w:rPr>
          <w:sz w:val="20"/>
        </w:rPr>
        <w:t>; later American authorities are divided: Corbin, </w:t>
      </w:r>
      <w:r>
        <w:rPr>
          <w:rFonts w:ascii="Arial"/>
          <w:i/>
          <w:sz w:val="20"/>
        </w:rPr>
        <w:t>Contracts</w:t>
      </w:r>
      <w:r>
        <w:rPr>
          <w:sz w:val="20"/>
        </w:rPr>
        <w:t>, para.205, n.54.</w:t>
      </w:r>
    </w:p>
    <w:p>
      <w:pPr>
        <w:pStyle w:val="BodyText"/>
        <w:spacing w:before="8"/>
      </w:pPr>
    </w:p>
    <w:p>
      <w:pPr>
        <w:spacing w:line="235" w:lineRule="auto" w:before="1"/>
        <w:ind w:left="705" w:right="167" w:hanging="541"/>
        <w:jc w:val="both"/>
        <w:rPr>
          <w:sz w:val="20"/>
        </w:rPr>
      </w:pPr>
      <w:bookmarkStart w:name="_bookmark1963" w:id="1965"/>
      <w:bookmarkEnd w:id="1965"/>
      <w:r>
        <w:rPr/>
      </w:r>
      <w:hyperlink w:history="true" w:anchor="_bookmark1889">
        <w:r>
          <w:rPr>
            <w:color w:val="005DA1"/>
            <w:position w:val="5"/>
            <w:sz w:val="14"/>
            <w:u w:val="single" w:color="005DA1"/>
          </w:rPr>
          <w:t>1340</w:t>
        </w:r>
      </w:hyperlink>
      <w:r>
        <w:rPr>
          <w:position w:val="5"/>
          <w:sz w:val="14"/>
        </w:rPr>
        <w:t>.</w:t>
      </w:r>
      <w:r>
        <w:rPr>
          <w:spacing w:val="80"/>
          <w:position w:val="5"/>
          <w:sz w:val="14"/>
        </w:rPr>
        <w:t> </w:t>
      </w:r>
      <w:r>
        <w:rPr>
          <w:rFonts w:ascii="Arial" w:hAnsi="Arial"/>
          <w:i/>
          <w:sz w:val="20"/>
        </w:rPr>
        <w:t>Ashia Centur Ltd v Barker Gillette LLP [2011] EWHC 148 (QB)</w:t>
      </w:r>
      <w:r>
        <w:rPr>
          <w:sz w:val="20"/>
        </w:rPr>
        <w:t>; the client argued that it had provided consideration by forbearing immediately to instruct new solicitors but this </w:t>
      </w:r>
      <w:r>
        <w:rPr>
          <w:sz w:val="20"/>
        </w:rPr>
        <w:t>argument was</w:t>
      </w:r>
      <w:r>
        <w:rPr>
          <w:spacing w:val="-2"/>
          <w:sz w:val="20"/>
        </w:rPr>
        <w:t> </w:t>
      </w:r>
      <w:r>
        <w:rPr>
          <w:sz w:val="20"/>
        </w:rPr>
        <w:t>rejected</w:t>
      </w:r>
      <w:r>
        <w:rPr>
          <w:spacing w:val="-2"/>
          <w:sz w:val="20"/>
        </w:rPr>
        <w:t> </w:t>
      </w:r>
      <w:r>
        <w:rPr>
          <w:sz w:val="20"/>
        </w:rPr>
        <w:t>as</w:t>
      </w:r>
      <w:r>
        <w:rPr>
          <w:spacing w:val="-2"/>
          <w:sz w:val="20"/>
        </w:rPr>
        <w:t> </w:t>
      </w:r>
      <w:r>
        <w:rPr>
          <w:sz w:val="20"/>
        </w:rPr>
        <w:t>there</w:t>
      </w:r>
      <w:r>
        <w:rPr>
          <w:spacing w:val="-2"/>
          <w:sz w:val="20"/>
        </w:rPr>
        <w:t> </w:t>
      </w:r>
      <w:r>
        <w:rPr>
          <w:sz w:val="20"/>
        </w:rPr>
        <w:t>was</w:t>
      </w:r>
      <w:r>
        <w:rPr>
          <w:spacing w:val="-2"/>
          <w:sz w:val="20"/>
        </w:rPr>
        <w:t> </w:t>
      </w:r>
      <w:r>
        <w:rPr>
          <w:sz w:val="20"/>
        </w:rPr>
        <w:t>no</w:t>
      </w:r>
      <w:r>
        <w:rPr>
          <w:spacing w:val="-2"/>
          <w:sz w:val="20"/>
        </w:rPr>
        <w:t> </w:t>
      </w:r>
      <w:r>
        <w:rPr>
          <w:sz w:val="20"/>
        </w:rPr>
        <w:t>evidence</w:t>
      </w:r>
      <w:r>
        <w:rPr>
          <w:spacing w:val="-2"/>
          <w:sz w:val="20"/>
        </w:rPr>
        <w:t> </w:t>
      </w:r>
      <w:r>
        <w:rPr>
          <w:sz w:val="20"/>
        </w:rPr>
        <w:t>of</w:t>
      </w:r>
      <w:r>
        <w:rPr>
          <w:spacing w:val="-2"/>
          <w:sz w:val="20"/>
        </w:rPr>
        <w:t> </w:t>
      </w:r>
      <w:r>
        <w:rPr>
          <w:sz w:val="20"/>
        </w:rPr>
        <w:t>any</w:t>
      </w:r>
      <w:r>
        <w:rPr>
          <w:spacing w:val="-2"/>
          <w:sz w:val="20"/>
        </w:rPr>
        <w:t> </w:t>
      </w:r>
      <w:r>
        <w:rPr>
          <w:sz w:val="20"/>
        </w:rPr>
        <w:t>conduct</w:t>
      </w:r>
      <w:r>
        <w:rPr>
          <w:spacing w:val="-2"/>
          <w:sz w:val="20"/>
        </w:rPr>
        <w:t> </w:t>
      </w:r>
      <w:r>
        <w:rPr>
          <w:sz w:val="20"/>
        </w:rPr>
        <w:t>on</w:t>
      </w:r>
      <w:r>
        <w:rPr>
          <w:spacing w:val="-2"/>
          <w:sz w:val="20"/>
        </w:rPr>
        <w:t> </w:t>
      </w:r>
      <w:r>
        <w:rPr>
          <w:sz w:val="20"/>
        </w:rPr>
        <w:t>the</w:t>
      </w:r>
      <w:r>
        <w:rPr>
          <w:spacing w:val="-2"/>
          <w:sz w:val="20"/>
        </w:rPr>
        <w:t> </w:t>
      </w:r>
      <w:r>
        <w:rPr>
          <w:sz w:val="20"/>
        </w:rPr>
        <w:t>client’s</w:t>
      </w:r>
      <w:r>
        <w:rPr>
          <w:spacing w:val="-2"/>
          <w:sz w:val="20"/>
        </w:rPr>
        <w:t> </w:t>
      </w:r>
      <w:r>
        <w:rPr>
          <w:sz w:val="20"/>
        </w:rPr>
        <w:t>part</w:t>
      </w:r>
      <w:r>
        <w:rPr>
          <w:spacing w:val="-2"/>
          <w:sz w:val="20"/>
        </w:rPr>
        <w:t> </w:t>
      </w:r>
      <w:r>
        <w:rPr>
          <w:sz w:val="20"/>
        </w:rPr>
        <w:t>to</w:t>
      </w:r>
      <w:r>
        <w:rPr>
          <w:spacing w:val="-2"/>
          <w:sz w:val="20"/>
        </w:rPr>
        <w:t> </w:t>
      </w:r>
      <w:r>
        <w:rPr>
          <w:sz w:val="20"/>
        </w:rPr>
        <w:t>support</w:t>
      </w:r>
      <w:r>
        <w:rPr>
          <w:spacing w:val="-2"/>
          <w:sz w:val="20"/>
        </w:rPr>
        <w:t> </w:t>
      </w:r>
      <w:r>
        <w:rPr>
          <w:sz w:val="20"/>
        </w:rPr>
        <w:t>a</w:t>
      </w:r>
      <w:r>
        <w:rPr>
          <w:spacing w:val="-2"/>
          <w:sz w:val="20"/>
        </w:rPr>
        <w:t> </w:t>
      </w:r>
      <w:r>
        <w:rPr>
          <w:sz w:val="20"/>
        </w:rPr>
        <w:t>finding</w:t>
      </w:r>
      <w:r>
        <w:rPr>
          <w:spacing w:val="-2"/>
          <w:sz w:val="20"/>
        </w:rPr>
        <w:t> </w:t>
      </w:r>
      <w:r>
        <w:rPr>
          <w:sz w:val="20"/>
        </w:rPr>
        <w:t>of such forbearance (at [19], [20]).</w:t>
      </w:r>
    </w:p>
    <w:p>
      <w:pPr>
        <w:pStyle w:val="BodyText"/>
        <w:spacing w:before="11"/>
      </w:pPr>
    </w:p>
    <w:p>
      <w:pPr>
        <w:spacing w:line="137" w:lineRule="exact" w:before="1"/>
        <w:ind w:left="165" w:right="0" w:firstLine="0"/>
        <w:jc w:val="left"/>
        <w:rPr>
          <w:sz w:val="14"/>
        </w:rPr>
      </w:pPr>
      <w:bookmarkStart w:name="_bookmark1964" w:id="1966"/>
      <w:bookmarkEnd w:id="1966"/>
      <w:r>
        <w:rPr/>
      </w:r>
      <w:hyperlink w:history="true" w:anchor="_bookmark1890">
        <w:r>
          <w:rPr>
            <w:color w:val="005DA1"/>
            <w:spacing w:val="-2"/>
            <w:sz w:val="14"/>
            <w:u w:val="single" w:color="005DA1"/>
          </w:rPr>
          <w:t>1341</w:t>
        </w:r>
      </w:hyperlink>
      <w:r>
        <w:rPr>
          <w:spacing w:val="-2"/>
          <w:sz w:val="14"/>
        </w:rPr>
        <w:t>.</w:t>
      </w:r>
    </w:p>
    <w:p>
      <w:pPr>
        <w:pStyle w:val="BodyText"/>
        <w:spacing w:line="203" w:lineRule="exact"/>
        <w:ind w:left="875"/>
      </w:pPr>
      <w:r>
        <w:rPr/>
        <w:drawing>
          <wp:anchor distT="0" distB="0" distL="0" distR="0" allowOverlap="1" layoutInCell="1" locked="0" behindDoc="0" simplePos="0" relativeHeight="15823360">
            <wp:simplePos x="0" y="0"/>
            <wp:positionH relativeFrom="page">
              <wp:posOffset>1257846</wp:posOffset>
            </wp:positionH>
            <wp:positionV relativeFrom="paragraph">
              <wp:posOffset>12542</wp:posOffset>
            </wp:positionV>
            <wp:extent cx="107988" cy="107988"/>
            <wp:effectExtent l="0" t="0" r="0" b="0"/>
            <wp:wrapNone/>
            <wp:docPr id="385" name="Image 385"/>
            <wp:cNvGraphicFramePr>
              <a:graphicFrameLocks/>
            </wp:cNvGraphicFramePr>
            <a:graphic>
              <a:graphicData uri="http://schemas.openxmlformats.org/drawingml/2006/picture">
                <pic:pic>
                  <pic:nvPicPr>
                    <pic:cNvPr id="385" name="Image 385"/>
                    <pic:cNvPicPr/>
                  </pic:nvPicPr>
                  <pic:blipFill>
                    <a:blip r:embed="rId7" cstate="print"/>
                    <a:stretch>
                      <a:fillRect/>
                    </a:stretch>
                  </pic:blipFill>
                  <pic:spPr>
                    <a:xfrm>
                      <a:off x="0" y="0"/>
                      <a:ext cx="107988" cy="107988"/>
                    </a:xfrm>
                    <a:prstGeom prst="rect">
                      <a:avLst/>
                    </a:prstGeom>
                  </pic:spPr>
                </pic:pic>
              </a:graphicData>
            </a:graphic>
          </wp:anchor>
        </w:drawing>
      </w:r>
      <w:r>
        <w:rPr/>
        <w:t>For</w:t>
      </w:r>
      <w:r>
        <w:rPr>
          <w:spacing w:val="10"/>
        </w:rPr>
        <w:t> </w:t>
      </w:r>
      <w:r>
        <w:rPr/>
        <w:t>other</w:t>
      </w:r>
      <w:r>
        <w:rPr>
          <w:spacing w:val="10"/>
        </w:rPr>
        <w:t> </w:t>
      </w:r>
      <w:r>
        <w:rPr/>
        <w:t>reasons</w:t>
      </w:r>
      <w:r>
        <w:rPr>
          <w:spacing w:val="10"/>
        </w:rPr>
        <w:t> </w:t>
      </w:r>
      <w:r>
        <w:rPr/>
        <w:t>why</w:t>
      </w:r>
      <w:r>
        <w:rPr>
          <w:spacing w:val="10"/>
        </w:rPr>
        <w:t> </w:t>
      </w:r>
      <w:r>
        <w:rPr/>
        <w:t>there</w:t>
      </w:r>
      <w:r>
        <w:rPr>
          <w:spacing w:val="10"/>
        </w:rPr>
        <w:t> </w:t>
      </w:r>
      <w:r>
        <w:rPr/>
        <w:t>was</w:t>
      </w:r>
      <w:r>
        <w:rPr>
          <w:spacing w:val="10"/>
        </w:rPr>
        <w:t> </w:t>
      </w:r>
      <w:r>
        <w:rPr/>
        <w:t>no</w:t>
      </w:r>
      <w:r>
        <w:rPr>
          <w:spacing w:val="10"/>
        </w:rPr>
        <w:t> </w:t>
      </w:r>
      <w:r>
        <w:rPr/>
        <w:t>contract</w:t>
      </w:r>
      <w:r>
        <w:rPr>
          <w:spacing w:val="10"/>
        </w:rPr>
        <w:t> </w:t>
      </w:r>
      <w:r>
        <w:rPr/>
        <w:t>between</w:t>
      </w:r>
      <w:r>
        <w:rPr>
          <w:spacing w:val="10"/>
        </w:rPr>
        <w:t> </w:t>
      </w:r>
      <w:r>
        <w:rPr/>
        <w:t>A</w:t>
      </w:r>
      <w:r>
        <w:rPr>
          <w:spacing w:val="10"/>
        </w:rPr>
        <w:t> </w:t>
      </w:r>
      <w:r>
        <w:rPr/>
        <w:t>and</w:t>
      </w:r>
      <w:r>
        <w:rPr>
          <w:spacing w:val="10"/>
        </w:rPr>
        <w:t> </w:t>
      </w:r>
      <w:r>
        <w:rPr/>
        <w:t>B,</w:t>
      </w:r>
      <w:r>
        <w:rPr>
          <w:spacing w:val="10"/>
        </w:rPr>
        <w:t> </w:t>
      </w:r>
      <w:r>
        <w:rPr/>
        <w:t>see</w:t>
      </w:r>
      <w:r>
        <w:rPr>
          <w:spacing w:val="10"/>
        </w:rPr>
        <w:t> </w:t>
      </w:r>
      <w:r>
        <w:rPr/>
        <w:t>above,</w:t>
      </w:r>
      <w:r>
        <w:rPr>
          <w:spacing w:val="10"/>
        </w:rPr>
        <w:t> </w:t>
      </w:r>
      <w:r>
        <w:rPr/>
        <w:t>paras</w:t>
      </w:r>
      <w:r>
        <w:rPr>
          <w:spacing w:val="10"/>
        </w:rPr>
        <w:t> </w:t>
      </w:r>
      <w:r>
        <w:rPr/>
        <w:t>1-172</w:t>
      </w:r>
      <w:r>
        <w:rPr>
          <w:spacing w:val="10"/>
        </w:rPr>
        <w:t> </w:t>
      </w:r>
      <w:r>
        <w:rPr>
          <w:spacing w:val="-5"/>
        </w:rPr>
        <w:t>and</w:t>
      </w:r>
    </w:p>
    <w:p>
      <w:pPr>
        <w:pStyle w:val="BodyText"/>
        <w:spacing w:line="227" w:lineRule="exact"/>
        <w:ind w:left="705"/>
      </w:pPr>
      <w:r>
        <w:rPr/>
        <w:t>2-</w:t>
      </w:r>
      <w:r>
        <w:rPr>
          <w:spacing w:val="-4"/>
        </w:rPr>
        <w:t>170.</w:t>
      </w:r>
    </w:p>
    <w:p>
      <w:pPr>
        <w:pStyle w:val="BodyText"/>
        <w:spacing w:before="12"/>
      </w:pPr>
    </w:p>
    <w:p>
      <w:pPr>
        <w:spacing w:line="137" w:lineRule="exact" w:before="0"/>
        <w:ind w:left="165" w:right="0" w:firstLine="0"/>
        <w:jc w:val="left"/>
        <w:rPr>
          <w:sz w:val="14"/>
        </w:rPr>
      </w:pPr>
      <w:bookmarkStart w:name="_bookmark1965" w:id="1967"/>
      <w:bookmarkEnd w:id="1967"/>
      <w:r>
        <w:rPr/>
      </w:r>
      <w:hyperlink w:history="true" w:anchor="_bookmark1891">
        <w:r>
          <w:rPr>
            <w:color w:val="005DA1"/>
            <w:spacing w:val="-2"/>
            <w:sz w:val="14"/>
            <w:u w:val="single" w:color="005DA1"/>
          </w:rPr>
          <w:t>1342</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23872">
            <wp:simplePos x="0" y="0"/>
            <wp:positionH relativeFrom="page">
              <wp:posOffset>1257846</wp:posOffset>
            </wp:positionH>
            <wp:positionV relativeFrom="paragraph">
              <wp:posOffset>12694</wp:posOffset>
            </wp:positionV>
            <wp:extent cx="107988" cy="107988"/>
            <wp:effectExtent l="0" t="0" r="0" b="0"/>
            <wp:wrapNone/>
            <wp:docPr id="386" name="Image 386"/>
            <wp:cNvGraphicFramePr>
              <a:graphicFrameLocks/>
            </wp:cNvGraphicFramePr>
            <a:graphic>
              <a:graphicData uri="http://schemas.openxmlformats.org/drawingml/2006/picture">
                <pic:pic>
                  <pic:nvPicPr>
                    <pic:cNvPr id="386" name="Image 386"/>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Burgess</w:t>
      </w:r>
      <w:r>
        <w:rPr>
          <w:rFonts w:ascii="Arial"/>
          <w:i/>
          <w:spacing w:val="55"/>
          <w:sz w:val="20"/>
        </w:rPr>
        <w:t> </w:t>
      </w:r>
      <w:r>
        <w:rPr>
          <w:rFonts w:ascii="Arial"/>
          <w:i/>
          <w:sz w:val="20"/>
        </w:rPr>
        <w:t>v</w:t>
      </w:r>
      <w:r>
        <w:rPr>
          <w:rFonts w:ascii="Arial"/>
          <w:i/>
          <w:spacing w:val="56"/>
          <w:sz w:val="20"/>
        </w:rPr>
        <w:t> </w:t>
      </w:r>
      <w:r>
        <w:rPr>
          <w:rFonts w:ascii="Arial"/>
          <w:i/>
          <w:sz w:val="20"/>
        </w:rPr>
        <w:t>Lejonvarn</w:t>
      </w:r>
      <w:r>
        <w:rPr>
          <w:rFonts w:ascii="Arial"/>
          <w:i/>
          <w:spacing w:val="55"/>
          <w:sz w:val="20"/>
        </w:rPr>
        <w:t> </w:t>
      </w:r>
      <w:r>
        <w:rPr>
          <w:rFonts w:ascii="Arial"/>
          <w:i/>
          <w:sz w:val="20"/>
        </w:rPr>
        <w:t>[2017]</w:t>
      </w:r>
      <w:r>
        <w:rPr>
          <w:rFonts w:ascii="Arial"/>
          <w:i/>
          <w:spacing w:val="56"/>
          <w:sz w:val="20"/>
        </w:rPr>
        <w:t> </w:t>
      </w:r>
      <w:r>
        <w:rPr>
          <w:rFonts w:ascii="Arial"/>
          <w:i/>
          <w:sz w:val="20"/>
        </w:rPr>
        <w:t>EWCA</w:t>
      </w:r>
      <w:r>
        <w:rPr>
          <w:rFonts w:ascii="Arial"/>
          <w:i/>
          <w:spacing w:val="55"/>
          <w:sz w:val="20"/>
        </w:rPr>
        <w:t> </w:t>
      </w:r>
      <w:r>
        <w:rPr>
          <w:rFonts w:ascii="Arial"/>
          <w:i/>
          <w:sz w:val="20"/>
        </w:rPr>
        <w:t>Civ</w:t>
      </w:r>
      <w:r>
        <w:rPr>
          <w:rFonts w:ascii="Arial"/>
          <w:i/>
          <w:spacing w:val="56"/>
          <w:sz w:val="20"/>
        </w:rPr>
        <w:t> </w:t>
      </w:r>
      <w:r>
        <w:rPr>
          <w:rFonts w:ascii="Arial"/>
          <w:i/>
          <w:sz w:val="20"/>
        </w:rPr>
        <w:t>254,</w:t>
      </w:r>
      <w:r>
        <w:rPr>
          <w:rFonts w:ascii="Arial"/>
          <w:i/>
          <w:spacing w:val="55"/>
          <w:sz w:val="20"/>
        </w:rPr>
        <w:t> </w:t>
      </w:r>
      <w:r>
        <w:rPr>
          <w:rFonts w:ascii="Arial"/>
          <w:i/>
          <w:sz w:val="20"/>
        </w:rPr>
        <w:t>[2017]</w:t>
      </w:r>
      <w:r>
        <w:rPr>
          <w:rFonts w:ascii="Arial"/>
          <w:i/>
          <w:spacing w:val="56"/>
          <w:sz w:val="20"/>
        </w:rPr>
        <w:t> </w:t>
      </w:r>
      <w:r>
        <w:rPr>
          <w:rFonts w:ascii="Arial"/>
          <w:i/>
          <w:sz w:val="20"/>
        </w:rPr>
        <w:t>B.L.R.</w:t>
      </w:r>
      <w:r>
        <w:rPr>
          <w:rFonts w:ascii="Arial"/>
          <w:i/>
          <w:spacing w:val="56"/>
          <w:sz w:val="20"/>
        </w:rPr>
        <w:t> </w:t>
      </w:r>
      <w:r>
        <w:rPr>
          <w:rFonts w:ascii="Arial"/>
          <w:i/>
          <w:sz w:val="20"/>
        </w:rPr>
        <w:t>277</w:t>
      </w:r>
      <w:r>
        <w:rPr>
          <w:rFonts w:ascii="Arial"/>
          <w:i/>
          <w:spacing w:val="55"/>
          <w:sz w:val="20"/>
        </w:rPr>
        <w:t> </w:t>
      </w:r>
      <w:r>
        <w:rPr>
          <w:sz w:val="20"/>
        </w:rPr>
        <w:t>at</w:t>
      </w:r>
      <w:r>
        <w:rPr>
          <w:spacing w:val="56"/>
          <w:sz w:val="20"/>
        </w:rPr>
        <w:t> </w:t>
      </w:r>
      <w:r>
        <w:rPr>
          <w:sz w:val="20"/>
        </w:rPr>
        <w:t>[71],</w:t>
      </w:r>
      <w:r>
        <w:rPr>
          <w:spacing w:val="55"/>
          <w:sz w:val="20"/>
        </w:rPr>
        <w:t> </w:t>
      </w:r>
      <w:r>
        <w:rPr>
          <w:sz w:val="20"/>
        </w:rPr>
        <w:t>referring</w:t>
      </w:r>
      <w:r>
        <w:rPr>
          <w:spacing w:val="56"/>
          <w:sz w:val="20"/>
        </w:rPr>
        <w:t> </w:t>
      </w:r>
      <w:r>
        <w:rPr>
          <w:sz w:val="20"/>
        </w:rPr>
        <w:t>to</w:t>
      </w:r>
      <w:r>
        <w:rPr>
          <w:spacing w:val="55"/>
          <w:sz w:val="20"/>
        </w:rPr>
        <w:t> </w:t>
      </w:r>
      <w:r>
        <w:rPr>
          <w:spacing w:val="-5"/>
          <w:sz w:val="20"/>
        </w:rPr>
        <w:t>the</w:t>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19"/>
      </w:tblGrid>
      <w:tr>
        <w:trPr>
          <w:trHeight w:val="569" w:hRule="atLeast"/>
        </w:trPr>
        <w:tc>
          <w:tcPr>
            <w:tcW w:w="496" w:type="dxa"/>
          </w:tcPr>
          <w:p>
            <w:pPr>
              <w:pStyle w:val="TableParagraph"/>
              <w:spacing w:before="0"/>
              <w:ind w:left="0"/>
              <w:rPr>
                <w:rFonts w:ascii="Times New Roman"/>
                <w:sz w:val="18"/>
              </w:rPr>
            </w:pPr>
          </w:p>
        </w:tc>
        <w:tc>
          <w:tcPr>
            <w:tcW w:w="8619" w:type="dxa"/>
          </w:tcPr>
          <w:p>
            <w:pPr>
              <w:pStyle w:val="TableParagraph"/>
              <w:spacing w:line="235" w:lineRule="auto" w:before="0"/>
              <w:rPr>
                <w:sz w:val="20"/>
              </w:rPr>
            </w:pPr>
            <w:r>
              <w:rPr>
                <w:sz w:val="20"/>
              </w:rPr>
              <w:t>reasoning</w:t>
            </w:r>
            <w:r>
              <w:rPr>
                <w:spacing w:val="20"/>
                <w:sz w:val="20"/>
              </w:rPr>
              <w:t> </w:t>
            </w:r>
            <w:r>
              <w:rPr>
                <w:sz w:val="20"/>
              </w:rPr>
              <w:t>of</w:t>
            </w:r>
            <w:r>
              <w:rPr>
                <w:spacing w:val="20"/>
                <w:sz w:val="20"/>
              </w:rPr>
              <w:t> </w:t>
            </w:r>
            <w:r>
              <w:rPr>
                <w:sz w:val="20"/>
              </w:rPr>
              <w:t>the</w:t>
            </w:r>
            <w:r>
              <w:rPr>
                <w:spacing w:val="20"/>
                <w:sz w:val="20"/>
              </w:rPr>
              <w:t> </w:t>
            </w:r>
            <w:r>
              <w:rPr>
                <w:sz w:val="20"/>
              </w:rPr>
              <w:t>Court</w:t>
            </w:r>
            <w:r>
              <w:rPr>
                <w:spacing w:val="20"/>
                <w:sz w:val="20"/>
              </w:rPr>
              <w:t> </w:t>
            </w:r>
            <w:r>
              <w:rPr>
                <w:sz w:val="20"/>
              </w:rPr>
              <w:t>below</w:t>
            </w:r>
            <w:r>
              <w:rPr>
                <w:spacing w:val="20"/>
                <w:sz w:val="20"/>
              </w:rPr>
              <w:t> </w:t>
            </w:r>
            <w:r>
              <w:rPr>
                <w:sz w:val="20"/>
              </w:rPr>
              <w:t>(</w:t>
            </w:r>
            <w:r>
              <w:rPr>
                <w:rFonts w:ascii="Arial"/>
                <w:i/>
                <w:sz w:val="20"/>
              </w:rPr>
              <w:t>[2016]</w:t>
            </w:r>
            <w:r>
              <w:rPr>
                <w:rFonts w:ascii="Arial"/>
                <w:i/>
                <w:spacing w:val="20"/>
                <w:sz w:val="20"/>
              </w:rPr>
              <w:t> </w:t>
            </w:r>
            <w:r>
              <w:rPr>
                <w:rFonts w:ascii="Arial"/>
                <w:i/>
                <w:sz w:val="20"/>
              </w:rPr>
              <w:t>EWHC</w:t>
            </w:r>
            <w:r>
              <w:rPr>
                <w:rFonts w:ascii="Arial"/>
                <w:i/>
                <w:spacing w:val="20"/>
                <w:sz w:val="20"/>
              </w:rPr>
              <w:t> </w:t>
            </w:r>
            <w:r>
              <w:rPr>
                <w:rFonts w:ascii="Arial"/>
                <w:i/>
                <w:sz w:val="20"/>
              </w:rPr>
              <w:t>40</w:t>
            </w:r>
            <w:r>
              <w:rPr>
                <w:rFonts w:ascii="Arial"/>
                <w:i/>
                <w:spacing w:val="20"/>
                <w:sz w:val="20"/>
              </w:rPr>
              <w:t> </w:t>
            </w:r>
            <w:r>
              <w:rPr>
                <w:rFonts w:ascii="Arial"/>
                <w:i/>
                <w:sz w:val="20"/>
              </w:rPr>
              <w:t>(TCC)</w:t>
            </w:r>
            <w:r>
              <w:rPr>
                <w:rFonts w:ascii="Arial"/>
                <w:i/>
                <w:spacing w:val="20"/>
                <w:sz w:val="20"/>
              </w:rPr>
              <w:t> </w:t>
            </w:r>
            <w:r>
              <w:rPr>
                <w:sz w:val="20"/>
              </w:rPr>
              <w:t>at</w:t>
            </w:r>
            <w:r>
              <w:rPr>
                <w:spacing w:val="20"/>
                <w:sz w:val="20"/>
              </w:rPr>
              <w:t> </w:t>
            </w:r>
            <w:r>
              <w:rPr>
                <w:sz w:val="20"/>
              </w:rPr>
              <w:t>[152])</w:t>
            </w:r>
            <w:r>
              <w:rPr>
                <w:spacing w:val="20"/>
                <w:sz w:val="20"/>
              </w:rPr>
              <w:t> </w:t>
            </w:r>
            <w:r>
              <w:rPr>
                <w:sz w:val="20"/>
              </w:rPr>
              <w:t>and</w:t>
            </w:r>
            <w:r>
              <w:rPr>
                <w:spacing w:val="20"/>
                <w:sz w:val="20"/>
              </w:rPr>
              <w:t> </w:t>
            </w:r>
            <w:r>
              <w:rPr>
                <w:sz w:val="20"/>
              </w:rPr>
              <w:t>affirming</w:t>
            </w:r>
            <w:r>
              <w:rPr>
                <w:spacing w:val="20"/>
                <w:sz w:val="20"/>
              </w:rPr>
              <w:t> </w:t>
            </w:r>
            <w:r>
              <w:rPr>
                <w:sz w:val="20"/>
              </w:rPr>
              <w:t>the</w:t>
            </w:r>
            <w:r>
              <w:rPr>
                <w:spacing w:val="20"/>
                <w:sz w:val="20"/>
              </w:rPr>
              <w:t> </w:t>
            </w:r>
            <w:r>
              <w:rPr>
                <w:sz w:val="20"/>
              </w:rPr>
              <w:t>decision</w:t>
            </w:r>
            <w:r>
              <w:rPr>
                <w:spacing w:val="20"/>
                <w:sz w:val="20"/>
              </w:rPr>
              <w:t> </w:t>
            </w:r>
            <w:r>
              <w:rPr>
                <w:sz w:val="20"/>
              </w:rPr>
              <w:t>of that Court.</w:t>
            </w:r>
          </w:p>
        </w:tc>
      </w:tr>
      <w:tr>
        <w:trPr>
          <w:trHeight w:val="465" w:hRule="atLeast"/>
        </w:trPr>
        <w:tc>
          <w:tcPr>
            <w:tcW w:w="496" w:type="dxa"/>
          </w:tcPr>
          <w:p>
            <w:pPr>
              <w:pStyle w:val="TableParagraph"/>
              <w:ind w:left="0" w:right="43"/>
              <w:jc w:val="center"/>
              <w:rPr>
                <w:sz w:val="14"/>
              </w:rPr>
            </w:pPr>
            <w:bookmarkStart w:name="_bookmark1966" w:id="1968"/>
            <w:bookmarkEnd w:id="1968"/>
            <w:r>
              <w:rPr/>
            </w:r>
            <w:hyperlink w:history="true" w:anchor="_bookmark1892">
              <w:r>
                <w:rPr>
                  <w:color w:val="005DA1"/>
                  <w:spacing w:val="-2"/>
                  <w:sz w:val="14"/>
                  <w:u w:val="single" w:color="005DA1"/>
                </w:rPr>
                <w:t>1343</w:t>
              </w:r>
            </w:hyperlink>
            <w:r>
              <w:rPr>
                <w:spacing w:val="-2"/>
                <w:sz w:val="14"/>
              </w:rPr>
              <w:t>.</w:t>
            </w:r>
          </w:p>
        </w:tc>
        <w:tc>
          <w:tcPr>
            <w:tcW w:w="8619" w:type="dxa"/>
          </w:tcPr>
          <w:p>
            <w:pPr>
              <w:pStyle w:val="TableParagraph"/>
              <w:spacing w:before="114"/>
              <w:rPr>
                <w:sz w:val="20"/>
              </w:rPr>
            </w:pPr>
            <w:r>
              <w:rPr>
                <w:sz w:val="20"/>
              </w:rPr>
              <w:t>cf. </w:t>
            </w:r>
            <w:r>
              <w:rPr>
                <w:rFonts w:ascii="Arial"/>
                <w:i/>
                <w:sz w:val="20"/>
              </w:rPr>
              <w:t>De la Bere v Pearson [1908] 1 K.B. 280, </w:t>
            </w:r>
            <w:r>
              <w:rPr>
                <w:rFonts w:ascii="Arial"/>
                <w:i/>
                <w:spacing w:val="-4"/>
                <w:sz w:val="20"/>
              </w:rPr>
              <w:t>287</w:t>
            </w:r>
            <w:r>
              <w:rPr>
                <w:spacing w:val="-4"/>
                <w:sz w:val="20"/>
              </w:rPr>
              <w:t>.</w:t>
            </w:r>
          </w:p>
        </w:tc>
      </w:tr>
      <w:tr>
        <w:trPr>
          <w:trHeight w:val="465" w:hRule="atLeast"/>
        </w:trPr>
        <w:tc>
          <w:tcPr>
            <w:tcW w:w="496" w:type="dxa"/>
          </w:tcPr>
          <w:p>
            <w:pPr>
              <w:pStyle w:val="TableParagraph"/>
              <w:ind w:left="0" w:right="43"/>
              <w:jc w:val="center"/>
              <w:rPr>
                <w:sz w:val="14"/>
              </w:rPr>
            </w:pPr>
            <w:bookmarkStart w:name="_bookmark1967" w:id="1969"/>
            <w:bookmarkEnd w:id="1969"/>
            <w:r>
              <w:rPr/>
            </w:r>
            <w:hyperlink w:history="true" w:anchor="_bookmark1893">
              <w:r>
                <w:rPr>
                  <w:color w:val="005DA1"/>
                  <w:spacing w:val="-2"/>
                  <w:sz w:val="14"/>
                  <w:u w:val="single" w:color="005DA1"/>
                </w:rPr>
                <w:t>1344</w:t>
              </w:r>
            </w:hyperlink>
            <w:r>
              <w:rPr>
                <w:spacing w:val="-2"/>
                <w:sz w:val="14"/>
              </w:rPr>
              <w:t>.</w:t>
            </w:r>
          </w:p>
        </w:tc>
        <w:tc>
          <w:tcPr>
            <w:tcW w:w="8619" w:type="dxa"/>
          </w:tcPr>
          <w:p>
            <w:pPr>
              <w:pStyle w:val="TableParagraph"/>
              <w:spacing w:before="114"/>
              <w:rPr>
                <w:sz w:val="20"/>
              </w:rPr>
            </w:pPr>
            <w:r>
              <w:rPr>
                <w:rFonts w:ascii="Arial"/>
                <w:i/>
                <w:sz w:val="20"/>
              </w:rPr>
              <w:t>Hedley</w:t>
            </w:r>
            <w:r>
              <w:rPr>
                <w:rFonts w:ascii="Arial"/>
                <w:i/>
                <w:spacing w:val="-1"/>
                <w:sz w:val="20"/>
              </w:rPr>
              <w:t> </w:t>
            </w:r>
            <w:r>
              <w:rPr>
                <w:rFonts w:ascii="Arial"/>
                <w:i/>
                <w:sz w:val="20"/>
              </w:rPr>
              <w:t>Byrne &amp; Co Ltd v Heller &amp; Partners Ltd [1964] A.C. 465</w:t>
            </w:r>
            <w:r>
              <w:rPr>
                <w:sz w:val="20"/>
              </w:rPr>
              <w:t>; cf. below, para.7-</w:t>
            </w:r>
            <w:r>
              <w:rPr>
                <w:spacing w:val="-4"/>
                <w:sz w:val="20"/>
              </w:rPr>
              <w:t>089.</w:t>
            </w:r>
          </w:p>
        </w:tc>
      </w:tr>
      <w:tr>
        <w:trPr>
          <w:trHeight w:val="344" w:hRule="atLeast"/>
        </w:trPr>
        <w:tc>
          <w:tcPr>
            <w:tcW w:w="496" w:type="dxa"/>
          </w:tcPr>
          <w:p>
            <w:pPr>
              <w:pStyle w:val="TableParagraph"/>
              <w:ind w:left="0" w:right="43"/>
              <w:jc w:val="center"/>
              <w:rPr>
                <w:sz w:val="14"/>
              </w:rPr>
            </w:pPr>
            <w:bookmarkStart w:name="_bookmark1968" w:id="1970"/>
            <w:bookmarkEnd w:id="1970"/>
            <w:r>
              <w:rPr/>
            </w:r>
            <w:hyperlink w:history="true" w:anchor="_bookmark1894">
              <w:r>
                <w:rPr>
                  <w:color w:val="005DA1"/>
                  <w:spacing w:val="-2"/>
                  <w:sz w:val="14"/>
                  <w:u w:val="single" w:color="005DA1"/>
                </w:rPr>
                <w:t>1345</w:t>
              </w:r>
            </w:hyperlink>
            <w:r>
              <w:rPr>
                <w:spacing w:val="-2"/>
                <w:sz w:val="14"/>
              </w:rPr>
              <w:t>.</w:t>
            </w:r>
          </w:p>
        </w:tc>
        <w:tc>
          <w:tcPr>
            <w:tcW w:w="8619" w:type="dxa"/>
          </w:tcPr>
          <w:p>
            <w:pPr>
              <w:pStyle w:val="TableParagraph"/>
              <w:spacing w:line="210" w:lineRule="exact" w:before="114"/>
              <w:rPr>
                <w:sz w:val="20"/>
              </w:rPr>
            </w:pPr>
            <w:r>
              <w:rPr>
                <w:rFonts w:ascii="Arial"/>
                <w:i/>
                <w:sz w:val="20"/>
              </w:rPr>
              <w:t>Wilkinson v Coverdale (1793) 1 Esp. </w:t>
            </w:r>
            <w:r>
              <w:rPr>
                <w:rFonts w:ascii="Arial"/>
                <w:i/>
                <w:spacing w:val="-5"/>
                <w:sz w:val="20"/>
              </w:rPr>
              <w:t>75</w:t>
            </w:r>
            <w:r>
              <w:rPr>
                <w:spacing w:val="-5"/>
                <w:sz w:val="20"/>
              </w:rPr>
              <w:t>.</w:t>
            </w:r>
          </w:p>
        </w:tc>
      </w:tr>
    </w:tbl>
    <w:p>
      <w:pPr>
        <w:pStyle w:val="BodyText"/>
        <w:spacing w:before="12"/>
      </w:pPr>
    </w:p>
    <w:p>
      <w:pPr>
        <w:spacing w:line="137" w:lineRule="exact" w:before="0"/>
        <w:ind w:left="165" w:right="0" w:firstLine="0"/>
        <w:jc w:val="left"/>
        <w:rPr>
          <w:sz w:val="14"/>
        </w:rPr>
      </w:pPr>
      <w:bookmarkStart w:name="_bookmark1969" w:id="1971"/>
      <w:bookmarkEnd w:id="1971"/>
      <w:r>
        <w:rPr/>
      </w:r>
      <w:hyperlink w:history="true" w:anchor="_bookmark1895">
        <w:r>
          <w:rPr>
            <w:color w:val="005DA1"/>
            <w:spacing w:val="-2"/>
            <w:sz w:val="14"/>
            <w:u w:val="single" w:color="005DA1"/>
          </w:rPr>
          <w:t>1346</w:t>
        </w:r>
      </w:hyperlink>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24384">
            <wp:simplePos x="0" y="0"/>
            <wp:positionH relativeFrom="page">
              <wp:posOffset>1257846</wp:posOffset>
            </wp:positionH>
            <wp:positionV relativeFrom="paragraph">
              <wp:posOffset>13068</wp:posOffset>
            </wp:positionV>
            <wp:extent cx="107988" cy="107988"/>
            <wp:effectExtent l="0" t="0" r="0" b="0"/>
            <wp:wrapNone/>
            <wp:docPr id="387" name="Image 387"/>
            <wp:cNvGraphicFramePr>
              <a:graphicFrameLocks/>
            </wp:cNvGraphicFramePr>
            <a:graphic>
              <a:graphicData uri="http://schemas.openxmlformats.org/drawingml/2006/picture">
                <pic:pic>
                  <pic:nvPicPr>
                    <pic:cNvPr id="387" name="Image 387"/>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Burgess v Lejonvarn [2017] EWCA Civ 254, [2017] B.L.R. 277</w:t>
      </w:r>
      <w:r>
        <w:rPr>
          <w:rFonts w:ascii="Arial"/>
          <w:i/>
          <w:spacing w:val="-1"/>
          <w:sz w:val="20"/>
        </w:rPr>
        <w:t> </w:t>
      </w:r>
      <w:r>
        <w:rPr>
          <w:sz w:val="20"/>
        </w:rPr>
        <w:t>at [88], </w:t>
      </w:r>
      <w:r>
        <w:rPr>
          <w:spacing w:val="-2"/>
          <w:sz w:val="20"/>
        </w:rPr>
        <w:t>[128].</w:t>
      </w:r>
    </w:p>
    <w:p>
      <w:pPr>
        <w:pStyle w:val="BodyText"/>
        <w:spacing w:before="9"/>
      </w:pPr>
    </w:p>
    <w:p>
      <w:pPr>
        <w:spacing w:line="235" w:lineRule="auto" w:before="0"/>
        <w:ind w:left="705" w:right="167" w:hanging="541"/>
        <w:jc w:val="both"/>
        <w:rPr>
          <w:sz w:val="20"/>
        </w:rPr>
      </w:pPr>
      <w:bookmarkStart w:name="_bookmark1970" w:id="1972"/>
      <w:bookmarkEnd w:id="1972"/>
      <w:r>
        <w:rPr/>
      </w:r>
      <w:hyperlink w:history="true" w:anchor="_bookmark1896">
        <w:r>
          <w:rPr>
            <w:color w:val="005DA1"/>
            <w:position w:val="5"/>
            <w:sz w:val="14"/>
            <w:u w:val="single" w:color="005DA1"/>
          </w:rPr>
          <w:t>1347</w:t>
        </w:r>
      </w:hyperlink>
      <w:r>
        <w:rPr>
          <w:position w:val="5"/>
          <w:sz w:val="14"/>
        </w:rPr>
        <w:t>.</w:t>
      </w:r>
      <w:r>
        <w:rPr>
          <w:spacing w:val="40"/>
          <w:position w:val="5"/>
          <w:sz w:val="14"/>
        </w:rPr>
        <w:t>  </w:t>
      </w:r>
      <w:r>
        <w:rPr>
          <w:rFonts w:ascii="Arial" w:hAnsi="Arial"/>
          <w:i/>
          <w:sz w:val="20"/>
        </w:rPr>
        <w:t>Chaudhry</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Prabhakar</w:t>
      </w:r>
      <w:r>
        <w:rPr>
          <w:rFonts w:ascii="Arial" w:hAnsi="Arial"/>
          <w:i/>
          <w:spacing w:val="-1"/>
          <w:sz w:val="20"/>
        </w:rPr>
        <w:t> </w:t>
      </w:r>
      <w:r>
        <w:rPr>
          <w:rFonts w:ascii="Arial" w:hAnsi="Arial"/>
          <w:i/>
          <w:sz w:val="20"/>
        </w:rPr>
        <w:t>[1989]</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29</w:t>
      </w:r>
      <w:r>
        <w:rPr>
          <w:sz w:val="20"/>
        </w:rPr>
        <w:t>;</w:t>
      </w:r>
      <w:r>
        <w:rPr>
          <w:spacing w:val="-1"/>
          <w:sz w:val="20"/>
        </w:rPr>
        <w:t> </w:t>
      </w:r>
      <w:r>
        <w:rPr>
          <w:sz w:val="20"/>
        </w:rPr>
        <w:t>the</w:t>
      </w:r>
      <w:r>
        <w:rPr>
          <w:spacing w:val="-1"/>
          <w:sz w:val="20"/>
        </w:rPr>
        <w:t> </w:t>
      </w:r>
      <w:r>
        <w:rPr>
          <w:sz w:val="20"/>
        </w:rPr>
        <w:t>defendant</w:t>
      </w:r>
      <w:r>
        <w:rPr>
          <w:spacing w:val="-1"/>
          <w:sz w:val="20"/>
        </w:rPr>
        <w:t> </w:t>
      </w:r>
      <w:r>
        <w:rPr>
          <w:sz w:val="20"/>
        </w:rPr>
        <w:t>conceded</w:t>
      </w:r>
      <w:r>
        <w:rPr>
          <w:spacing w:val="-1"/>
          <w:sz w:val="20"/>
        </w:rPr>
        <w:t> </w:t>
      </w:r>
      <w:r>
        <w:rPr>
          <w:sz w:val="20"/>
        </w:rPr>
        <w:t>that</w:t>
      </w:r>
      <w:r>
        <w:rPr>
          <w:spacing w:val="-1"/>
          <w:sz w:val="20"/>
        </w:rPr>
        <w:t> </w:t>
      </w:r>
      <w:r>
        <w:rPr>
          <w:sz w:val="20"/>
        </w:rPr>
        <w:t>he</w:t>
      </w:r>
      <w:r>
        <w:rPr>
          <w:spacing w:val="-1"/>
          <w:sz w:val="20"/>
        </w:rPr>
        <w:t> </w:t>
      </w:r>
      <w:r>
        <w:rPr>
          <w:sz w:val="20"/>
        </w:rPr>
        <w:t>owed</w:t>
      </w:r>
      <w:r>
        <w:rPr>
          <w:spacing w:val="-1"/>
          <w:sz w:val="20"/>
        </w:rPr>
        <w:t> </w:t>
      </w:r>
      <w:r>
        <w:rPr>
          <w:sz w:val="20"/>
        </w:rPr>
        <w:t>a</w:t>
      </w:r>
      <w:r>
        <w:rPr>
          <w:spacing w:val="-1"/>
          <w:sz w:val="20"/>
        </w:rPr>
        <w:t> </w:t>
      </w:r>
      <w:r>
        <w:rPr>
          <w:sz w:val="20"/>
        </w:rPr>
        <w:t>duty</w:t>
      </w:r>
      <w:r>
        <w:rPr>
          <w:spacing w:val="-1"/>
          <w:sz w:val="20"/>
        </w:rPr>
        <w:t> </w:t>
      </w:r>
      <w:r>
        <w:rPr>
          <w:sz w:val="20"/>
        </w:rPr>
        <w:t>of</w:t>
      </w:r>
      <w:r>
        <w:rPr>
          <w:spacing w:val="-1"/>
          <w:sz w:val="20"/>
        </w:rPr>
        <w:t> </w:t>
      </w:r>
      <w:r>
        <w:rPr>
          <w:sz w:val="20"/>
        </w:rPr>
        <w:t>care to the claimant and two members of the Court of Appeal seem to have regarded </w:t>
      </w:r>
      <w:r>
        <w:rPr>
          <w:sz w:val="20"/>
        </w:rPr>
        <w:t>this</w:t>
      </w:r>
      <w:r>
        <w:rPr>
          <w:spacing w:val="40"/>
          <w:sz w:val="20"/>
        </w:rPr>
        <w:t> </w:t>
      </w:r>
      <w:r>
        <w:rPr>
          <w:sz w:val="20"/>
        </w:rPr>
        <w:t>concession as correct; Brown [1989] L.M.C.L.Q. 148. Contrast </w:t>
      </w:r>
      <w:r>
        <w:rPr>
          <w:rFonts w:ascii="Arial" w:hAnsi="Arial"/>
          <w:i/>
          <w:sz w:val="20"/>
        </w:rPr>
        <w:t>Henderson v Merrett Syndicates Ltd [1995] 2 A.C. 145, 181</w:t>
      </w:r>
      <w:r>
        <w:rPr>
          <w:sz w:val="20"/>
        </w:rPr>
        <w:t>, suggesting that there may be no liability in respect of services rendered on “an informal occasion.”</w:t>
      </w:r>
    </w:p>
    <w:p>
      <w:pPr>
        <w:pStyle w:val="BodyText"/>
        <w:spacing w:before="8"/>
      </w:pPr>
    </w:p>
    <w:p>
      <w:pPr>
        <w:spacing w:line="235" w:lineRule="auto" w:before="0"/>
        <w:ind w:left="705" w:right="0" w:hanging="541"/>
        <w:jc w:val="left"/>
        <w:rPr>
          <w:sz w:val="20"/>
        </w:rPr>
      </w:pPr>
      <w:bookmarkStart w:name="_bookmark1971" w:id="1973"/>
      <w:bookmarkEnd w:id="1973"/>
      <w:r>
        <w:rPr/>
      </w:r>
      <w:hyperlink w:history="true" w:anchor="_bookmark1897">
        <w:r>
          <w:rPr>
            <w:color w:val="005DA1"/>
            <w:position w:val="5"/>
            <w:sz w:val="14"/>
            <w:u w:val="single" w:color="005DA1"/>
          </w:rPr>
          <w:t>1348</w:t>
        </w:r>
      </w:hyperlink>
      <w:r>
        <w:rPr>
          <w:position w:val="5"/>
          <w:sz w:val="14"/>
        </w:rPr>
        <w:t>.</w:t>
      </w:r>
      <w:r>
        <w:rPr>
          <w:spacing w:val="40"/>
          <w:position w:val="5"/>
          <w:sz w:val="14"/>
        </w:rPr>
        <w:t>  </w:t>
      </w:r>
      <w:r>
        <w:rPr>
          <w:sz w:val="20"/>
        </w:rPr>
        <w:t>Or</w:t>
      </w:r>
      <w:r>
        <w:rPr>
          <w:spacing w:val="39"/>
          <w:sz w:val="20"/>
        </w:rPr>
        <w:t> </w:t>
      </w:r>
      <w:r>
        <w:rPr>
          <w:sz w:val="20"/>
        </w:rPr>
        <w:t>of</w:t>
      </w:r>
      <w:r>
        <w:rPr>
          <w:spacing w:val="39"/>
          <w:sz w:val="20"/>
        </w:rPr>
        <w:t> </w:t>
      </w:r>
      <w:r>
        <w:rPr>
          <w:sz w:val="20"/>
        </w:rPr>
        <w:t>privity</w:t>
      </w:r>
      <w:r>
        <w:rPr>
          <w:spacing w:val="39"/>
          <w:sz w:val="20"/>
        </w:rPr>
        <w:t> </w:t>
      </w:r>
      <w:r>
        <w:rPr>
          <w:sz w:val="20"/>
        </w:rPr>
        <w:t>of</w:t>
      </w:r>
      <w:r>
        <w:rPr>
          <w:spacing w:val="39"/>
          <w:sz w:val="20"/>
        </w:rPr>
        <w:t> </w:t>
      </w:r>
      <w:r>
        <w:rPr>
          <w:sz w:val="20"/>
        </w:rPr>
        <w:t>contract:</w:t>
      </w:r>
      <w:r>
        <w:rPr>
          <w:spacing w:val="39"/>
          <w:sz w:val="20"/>
        </w:rPr>
        <w:t> </w:t>
      </w:r>
      <w:r>
        <w:rPr>
          <w:sz w:val="20"/>
        </w:rPr>
        <w:t>see</w:t>
      </w:r>
      <w:r>
        <w:rPr>
          <w:spacing w:val="39"/>
          <w:sz w:val="20"/>
        </w:rPr>
        <w:t> </w:t>
      </w:r>
      <w:r>
        <w:rPr>
          <w:rFonts w:ascii="Arial" w:hAnsi="Arial"/>
          <w:i/>
          <w:sz w:val="20"/>
        </w:rPr>
        <w:t>Hamble</w:t>
      </w:r>
      <w:r>
        <w:rPr>
          <w:rFonts w:ascii="Arial" w:hAnsi="Arial"/>
          <w:i/>
          <w:spacing w:val="39"/>
          <w:sz w:val="20"/>
        </w:rPr>
        <w:t> </w:t>
      </w:r>
      <w:r>
        <w:rPr>
          <w:rFonts w:ascii="Arial" w:hAnsi="Arial"/>
          <w:i/>
          <w:sz w:val="20"/>
        </w:rPr>
        <w:t>Fisheries</w:t>
      </w:r>
      <w:r>
        <w:rPr>
          <w:rFonts w:ascii="Arial" w:hAnsi="Arial"/>
          <w:i/>
          <w:spacing w:val="39"/>
          <w:sz w:val="20"/>
        </w:rPr>
        <w:t> </w:t>
      </w:r>
      <w:r>
        <w:rPr>
          <w:rFonts w:ascii="Arial" w:hAnsi="Arial"/>
          <w:i/>
          <w:sz w:val="20"/>
        </w:rPr>
        <w:t>Ltd</w:t>
      </w:r>
      <w:r>
        <w:rPr>
          <w:rFonts w:ascii="Arial" w:hAnsi="Arial"/>
          <w:i/>
          <w:spacing w:val="39"/>
          <w:sz w:val="20"/>
        </w:rPr>
        <w:t> </w:t>
      </w:r>
      <w:r>
        <w:rPr>
          <w:rFonts w:ascii="Arial" w:hAnsi="Arial"/>
          <w:i/>
          <w:sz w:val="20"/>
        </w:rPr>
        <w:t>v</w:t>
      </w:r>
      <w:r>
        <w:rPr>
          <w:rFonts w:ascii="Arial" w:hAnsi="Arial"/>
          <w:i/>
          <w:spacing w:val="39"/>
          <w:sz w:val="20"/>
        </w:rPr>
        <w:t> </w:t>
      </w:r>
      <w:r>
        <w:rPr>
          <w:rFonts w:ascii="Arial" w:hAnsi="Arial"/>
          <w:i/>
          <w:sz w:val="20"/>
        </w:rPr>
        <w:t>L.</w:t>
      </w:r>
      <w:r>
        <w:rPr>
          <w:rFonts w:ascii="Arial" w:hAnsi="Arial"/>
          <w:i/>
          <w:spacing w:val="39"/>
          <w:sz w:val="20"/>
        </w:rPr>
        <w:t> </w:t>
      </w:r>
      <w:r>
        <w:rPr>
          <w:rFonts w:ascii="Arial" w:hAnsi="Arial"/>
          <w:i/>
          <w:sz w:val="20"/>
        </w:rPr>
        <w:t>Gardner</w:t>
      </w:r>
      <w:r>
        <w:rPr>
          <w:rFonts w:ascii="Arial" w:hAnsi="Arial"/>
          <w:i/>
          <w:spacing w:val="39"/>
          <w:sz w:val="20"/>
        </w:rPr>
        <w:t> </w:t>
      </w:r>
      <w:r>
        <w:rPr>
          <w:rFonts w:ascii="Arial" w:hAnsi="Arial"/>
          <w:i/>
          <w:sz w:val="20"/>
        </w:rPr>
        <w:t>&amp;</w:t>
      </w:r>
      <w:r>
        <w:rPr>
          <w:rFonts w:ascii="Arial" w:hAnsi="Arial"/>
          <w:i/>
          <w:spacing w:val="39"/>
          <w:sz w:val="20"/>
        </w:rPr>
        <w:t> </w:t>
      </w:r>
      <w:r>
        <w:rPr>
          <w:rFonts w:ascii="Arial" w:hAnsi="Arial"/>
          <w:i/>
          <w:sz w:val="20"/>
        </w:rPr>
        <w:t>Son</w:t>
      </w:r>
      <w:r>
        <w:rPr>
          <w:rFonts w:ascii="Arial" w:hAnsi="Arial"/>
          <w:i/>
          <w:spacing w:val="39"/>
          <w:sz w:val="20"/>
        </w:rPr>
        <w:t> </w:t>
      </w:r>
      <w:r>
        <w:rPr>
          <w:rFonts w:ascii="Arial" w:hAnsi="Arial"/>
          <w:i/>
          <w:sz w:val="20"/>
        </w:rPr>
        <w:t>Ltd</w:t>
      </w:r>
      <w:r>
        <w:rPr>
          <w:rFonts w:ascii="Arial" w:hAnsi="Arial"/>
          <w:i/>
          <w:spacing w:val="39"/>
          <w:sz w:val="20"/>
        </w:rPr>
        <w:t> </w:t>
      </w:r>
      <w:r>
        <w:rPr>
          <w:rFonts w:ascii="Arial" w:hAnsi="Arial"/>
          <w:i/>
          <w:sz w:val="20"/>
        </w:rPr>
        <w:t>(The</w:t>
      </w:r>
      <w:r>
        <w:rPr>
          <w:rFonts w:ascii="Arial" w:hAnsi="Arial"/>
          <w:i/>
          <w:spacing w:val="39"/>
          <w:sz w:val="20"/>
        </w:rPr>
        <w:t> </w:t>
      </w:r>
      <w:r>
        <w:rPr>
          <w:rFonts w:ascii="Arial" w:hAnsi="Arial"/>
          <w:i/>
          <w:sz w:val="20"/>
        </w:rPr>
        <w:t>Rebecca Elaine) [1999] 2 Lloyd’s Rep. 1 </w:t>
      </w:r>
      <w:r>
        <w:rPr>
          <w:sz w:val="20"/>
        </w:rPr>
        <w:t>at 5.</w:t>
      </w:r>
    </w:p>
    <w:p>
      <w:pPr>
        <w:pStyle w:val="BodyText"/>
        <w:spacing w:before="9"/>
      </w:pPr>
    </w:p>
    <w:p>
      <w:pPr>
        <w:spacing w:line="235" w:lineRule="auto" w:before="1"/>
        <w:ind w:left="705" w:right="167" w:hanging="541"/>
        <w:jc w:val="both"/>
        <w:rPr>
          <w:rFonts w:ascii="Arial" w:hAnsi="Arial"/>
          <w:i/>
          <w:sz w:val="20"/>
        </w:rPr>
      </w:pPr>
      <w:bookmarkStart w:name="_bookmark1972" w:id="1974"/>
      <w:bookmarkEnd w:id="1974"/>
      <w:r>
        <w:rPr/>
      </w:r>
      <w:hyperlink w:history="true" w:anchor="_bookmark1898">
        <w:r>
          <w:rPr>
            <w:color w:val="005DA1"/>
            <w:position w:val="5"/>
            <w:sz w:val="14"/>
            <w:u w:val="single" w:color="005DA1"/>
          </w:rPr>
          <w:t>1349</w:t>
        </w:r>
      </w:hyperlink>
      <w:r>
        <w:rPr>
          <w:position w:val="5"/>
          <w:sz w:val="14"/>
        </w:rPr>
        <w:t>.</w:t>
      </w:r>
      <w:r>
        <w:rPr>
          <w:spacing w:val="80"/>
          <w:position w:val="5"/>
          <w:sz w:val="14"/>
        </w:rPr>
        <w:t> </w:t>
      </w:r>
      <w:r>
        <w:rPr>
          <w:rFonts w:ascii="Arial" w:hAnsi="Arial"/>
          <w:i/>
          <w:sz w:val="20"/>
        </w:rPr>
        <w:t>G.A.F.L.A.C. v Tanter (The Zephyr) [1985] 2 Lloyd’s Rep. 529, 538</w:t>
      </w:r>
      <w:r>
        <w:rPr>
          <w:sz w:val="20"/>
        </w:rPr>
        <w:t>, disapproving the contrary view expressed at first instance </w:t>
      </w:r>
      <w:r>
        <w:rPr>
          <w:rFonts w:ascii="Arial" w:hAnsi="Arial"/>
          <w:i/>
          <w:sz w:val="20"/>
        </w:rPr>
        <w:t>[1984] 1 Lloyd’s Rep. 58, 85 </w:t>
      </w:r>
      <w:r>
        <w:rPr>
          <w:sz w:val="20"/>
        </w:rPr>
        <w:t>and there based on </w:t>
      </w:r>
      <w:r>
        <w:rPr>
          <w:sz w:val="20"/>
        </w:rPr>
        <w:t>authorities which were all cases of misfeasance. </w:t>
      </w:r>
      <w:r>
        <w:rPr>
          <w:rFonts w:ascii="Arial" w:hAnsi="Arial"/>
          <w:i/>
          <w:sz w:val="20"/>
        </w:rPr>
        <w:t>The Zephyr </w:t>
      </w:r>
      <w:r>
        <w:rPr>
          <w:sz w:val="20"/>
        </w:rPr>
        <w:t>itself was also such a case: </w:t>
      </w:r>
      <w:r>
        <w:rPr>
          <w:rFonts w:ascii="Arial" w:hAnsi="Arial"/>
          <w:i/>
          <w:sz w:val="20"/>
        </w:rPr>
        <w:t>[1984] 1 Lloyd’s Rep. at 79</w:t>
      </w:r>
      <w:r>
        <w:rPr>
          <w:sz w:val="20"/>
        </w:rPr>
        <w:t>, 86 (“he was making the position steadily worse”). A fortiori, there is no liability in tort for pure omission where </w:t>
      </w:r>
      <w:r>
        <w:rPr>
          <w:rFonts w:ascii="Arial" w:hAnsi="Arial"/>
          <w:i/>
          <w:sz w:val="20"/>
        </w:rPr>
        <w:t>no </w:t>
      </w:r>
      <w:r>
        <w:rPr>
          <w:sz w:val="20"/>
        </w:rPr>
        <w:t>promise has been made: see </w:t>
      </w:r>
      <w:r>
        <w:rPr>
          <w:rFonts w:ascii="Arial" w:hAnsi="Arial"/>
          <w:i/>
          <w:sz w:val="20"/>
        </w:rPr>
        <w:t>Reid v Rush &amp; Tompkins Group plc [1990] 1 W.L.R. 212 </w:t>
      </w:r>
      <w:r>
        <w:rPr>
          <w:sz w:val="20"/>
        </w:rPr>
        <w:t>and </w:t>
      </w:r>
      <w:r>
        <w:rPr>
          <w:rFonts w:ascii="Arial" w:hAnsi="Arial"/>
          <w:i/>
          <w:sz w:val="20"/>
        </w:rPr>
        <w:t>Van Oppen v Clerk to the Bedford Charity Trustees [1990] 1 W.L.R. 235 </w:t>
      </w:r>
      <w:r>
        <w:rPr>
          <w:sz w:val="20"/>
        </w:rPr>
        <w:t>though in the latter case it was said at 260 that a voluntary assumption of responsibility by one party followed by reliance on it by the other might in exceptional cases give rise to such liability. The scope of the exception is not clear; in the last two cases it was held that there was </w:t>
      </w:r>
      <w:r>
        <w:rPr>
          <w:rFonts w:ascii="Arial" w:hAnsi="Arial"/>
          <w:i/>
          <w:sz w:val="20"/>
        </w:rPr>
        <w:t>no </w:t>
      </w:r>
      <w:r>
        <w:rPr>
          <w:sz w:val="20"/>
        </w:rPr>
        <w:t>duty on respectively an employer and a school to advise an employee or the parents of a pupil</w:t>
      </w:r>
      <w:r>
        <w:rPr>
          <w:spacing w:val="31"/>
          <w:sz w:val="20"/>
        </w:rPr>
        <w:t> </w:t>
      </w:r>
      <w:r>
        <w:rPr>
          <w:sz w:val="20"/>
        </w:rPr>
        <w:t>to</w:t>
      </w:r>
      <w:r>
        <w:rPr>
          <w:spacing w:val="33"/>
          <w:sz w:val="20"/>
        </w:rPr>
        <w:t> </w:t>
      </w:r>
      <w:r>
        <w:rPr>
          <w:sz w:val="20"/>
        </w:rPr>
        <w:t>insure</w:t>
      </w:r>
      <w:r>
        <w:rPr>
          <w:spacing w:val="33"/>
          <w:sz w:val="20"/>
        </w:rPr>
        <w:t> </w:t>
      </w:r>
      <w:r>
        <w:rPr>
          <w:sz w:val="20"/>
        </w:rPr>
        <w:t>against</w:t>
      </w:r>
      <w:r>
        <w:rPr>
          <w:spacing w:val="33"/>
          <w:sz w:val="20"/>
        </w:rPr>
        <w:t> </w:t>
      </w:r>
      <w:r>
        <w:rPr>
          <w:sz w:val="20"/>
        </w:rPr>
        <w:t>foreseeable</w:t>
      </w:r>
      <w:r>
        <w:rPr>
          <w:spacing w:val="33"/>
          <w:sz w:val="20"/>
        </w:rPr>
        <w:t> </w:t>
      </w:r>
      <w:r>
        <w:rPr>
          <w:sz w:val="20"/>
        </w:rPr>
        <w:t>risks</w:t>
      </w:r>
      <w:r>
        <w:rPr>
          <w:spacing w:val="33"/>
          <w:sz w:val="20"/>
        </w:rPr>
        <w:t> </w:t>
      </w:r>
      <w:r>
        <w:rPr>
          <w:sz w:val="20"/>
        </w:rPr>
        <w:t>of</w:t>
      </w:r>
      <w:r>
        <w:rPr>
          <w:spacing w:val="33"/>
          <w:sz w:val="20"/>
        </w:rPr>
        <w:t> </w:t>
      </w:r>
      <w:r>
        <w:rPr>
          <w:sz w:val="20"/>
        </w:rPr>
        <w:t>injury</w:t>
      </w:r>
      <w:r>
        <w:rPr>
          <w:spacing w:val="33"/>
          <w:sz w:val="20"/>
        </w:rPr>
        <w:t> </w:t>
      </w:r>
      <w:r>
        <w:rPr>
          <w:sz w:val="20"/>
        </w:rPr>
        <w:t>cf.</w:t>
      </w:r>
      <w:r>
        <w:rPr>
          <w:spacing w:val="33"/>
          <w:sz w:val="20"/>
        </w:rPr>
        <w:t> </w:t>
      </w:r>
      <w:r>
        <w:rPr>
          <w:rFonts w:ascii="Arial" w:hAnsi="Arial"/>
          <w:i/>
          <w:sz w:val="20"/>
        </w:rPr>
        <w:t>Outram</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Academy</w:t>
      </w:r>
      <w:r>
        <w:rPr>
          <w:rFonts w:ascii="Arial" w:hAnsi="Arial"/>
          <w:i/>
          <w:spacing w:val="33"/>
          <w:sz w:val="20"/>
        </w:rPr>
        <w:t> </w:t>
      </w:r>
      <w:r>
        <w:rPr>
          <w:rFonts w:ascii="Arial" w:hAnsi="Arial"/>
          <w:i/>
          <w:sz w:val="20"/>
        </w:rPr>
        <w:t>Plastics</w:t>
      </w:r>
      <w:r>
        <w:rPr>
          <w:rFonts w:ascii="Arial" w:hAnsi="Arial"/>
          <w:i/>
          <w:spacing w:val="33"/>
          <w:sz w:val="20"/>
        </w:rPr>
        <w:t> </w:t>
      </w:r>
      <w:r>
        <w:rPr>
          <w:rFonts w:ascii="Arial" w:hAnsi="Arial"/>
          <w:i/>
          <w:sz w:val="20"/>
        </w:rPr>
        <w:t>Ltd</w:t>
      </w:r>
      <w:r>
        <w:rPr>
          <w:rFonts w:ascii="Arial" w:hAnsi="Arial"/>
          <w:i/>
          <w:spacing w:val="33"/>
          <w:sz w:val="20"/>
        </w:rPr>
        <w:t> </w:t>
      </w:r>
      <w:r>
        <w:rPr>
          <w:rFonts w:ascii="Arial" w:hAnsi="Arial"/>
          <w:i/>
          <w:spacing w:val="-2"/>
          <w:sz w:val="20"/>
        </w:rPr>
        <w:t>[2001]</w:t>
      </w:r>
    </w:p>
    <w:p>
      <w:pPr>
        <w:pStyle w:val="BodyText"/>
        <w:spacing w:line="235" w:lineRule="auto"/>
        <w:ind w:left="705" w:right="167"/>
        <w:jc w:val="both"/>
      </w:pPr>
      <w:r>
        <w:rPr>
          <w:rFonts w:ascii="Arial" w:hAnsi="Arial"/>
          <w:i/>
        </w:rPr>
        <w:t>I.C.R. 367 </w:t>
      </w:r>
      <w:r>
        <w:rPr/>
        <w:t>at 372: generally no liability in tort “for pure omission”, the omission taking the form</w:t>
      </w:r>
      <w:r>
        <w:rPr>
          <w:spacing w:val="40"/>
        </w:rPr>
        <w:t> </w:t>
      </w:r>
      <w:r>
        <w:rPr/>
        <w:t>of an employer’s failure, without breach of contract, to advise an employee as to his membership of the employer’s pension scheme. Liability in tort for pure omission may exceptionally arise where there is a “duty to act”: see </w:t>
      </w:r>
      <w:r>
        <w:rPr>
          <w:rFonts w:ascii="Arial" w:hAnsi="Arial"/>
          <w:i/>
        </w:rPr>
        <w:t>White v Jones [1995] 2 A.C. at 261, 268, 295 </w:t>
      </w:r>
      <w:r>
        <w:rPr/>
        <w:t>below, para.18-039); but it is submitted that no such duty would arise merely from the making of a gratuitous promise. For a further possible exception, see below, after n.1293.</w:t>
      </w:r>
    </w:p>
    <w:p>
      <w:pPr>
        <w:pStyle w:val="BodyText"/>
        <w:spacing w:before="229"/>
        <w:ind w:left="165"/>
      </w:pPr>
      <w:bookmarkStart w:name="_bookmark1973" w:id="1975"/>
      <w:bookmarkEnd w:id="1975"/>
      <w:r>
        <w:rPr/>
      </w:r>
      <w:hyperlink w:history="true" w:anchor="_bookmark1899">
        <w:r>
          <w:rPr>
            <w:color w:val="005DA1"/>
            <w:position w:val="5"/>
            <w:sz w:val="14"/>
            <w:u w:val="single" w:color="005DA1"/>
          </w:rPr>
          <w:t>1350</w:t>
        </w:r>
      </w:hyperlink>
      <w:r>
        <w:rPr>
          <w:position w:val="5"/>
          <w:sz w:val="14"/>
        </w:rPr>
        <w:t>.</w:t>
      </w:r>
      <w:r>
        <w:rPr>
          <w:spacing w:val="55"/>
          <w:position w:val="5"/>
          <w:sz w:val="14"/>
        </w:rPr>
        <w:t>  </w:t>
      </w:r>
      <w:r>
        <w:rPr/>
        <w:t>Because</w:t>
      </w:r>
      <w:r>
        <w:rPr>
          <w:spacing w:val="1"/>
        </w:rPr>
        <w:t> </w:t>
      </w:r>
      <w:r>
        <w:rPr/>
        <w:t>he will then be able to recover damages for loss of </w:t>
      </w:r>
      <w:r>
        <w:rPr>
          <w:spacing w:val="-2"/>
        </w:rPr>
        <w:t>bargain.</w:t>
      </w:r>
    </w:p>
    <w:p>
      <w:pPr>
        <w:pStyle w:val="BodyText"/>
        <w:spacing w:before="5"/>
      </w:pPr>
    </w:p>
    <w:p>
      <w:pPr>
        <w:spacing w:before="0"/>
        <w:ind w:left="165" w:right="0" w:firstLine="0"/>
        <w:jc w:val="left"/>
        <w:rPr>
          <w:sz w:val="20"/>
        </w:rPr>
      </w:pPr>
      <w:bookmarkStart w:name="_bookmark1974" w:id="1976"/>
      <w:bookmarkEnd w:id="1976"/>
      <w:r>
        <w:rPr/>
      </w:r>
      <w:hyperlink w:history="true" w:anchor="_bookmark1900">
        <w:r>
          <w:rPr>
            <w:color w:val="005DA1"/>
            <w:position w:val="5"/>
            <w:sz w:val="14"/>
            <w:u w:val="single" w:color="005DA1"/>
          </w:rPr>
          <w:t>1351</w:t>
        </w:r>
      </w:hyperlink>
      <w:r>
        <w:rPr>
          <w:position w:val="5"/>
          <w:sz w:val="14"/>
        </w:rPr>
        <w:t>.</w:t>
      </w:r>
      <w:r>
        <w:rPr>
          <w:spacing w:val="55"/>
          <w:position w:val="5"/>
          <w:sz w:val="14"/>
        </w:rPr>
        <w:t>  </w:t>
      </w:r>
      <w:r>
        <w:rPr>
          <w:rFonts w:ascii="Arial"/>
          <w:i/>
          <w:sz w:val="20"/>
        </w:rPr>
        <w:t>[2004]</w:t>
      </w:r>
      <w:r>
        <w:rPr>
          <w:rFonts w:ascii="Arial"/>
          <w:i/>
          <w:spacing w:val="1"/>
          <w:sz w:val="20"/>
        </w:rPr>
        <w:t> </w:t>
      </w:r>
      <w:r>
        <w:rPr>
          <w:rFonts w:ascii="Arial"/>
          <w:i/>
          <w:sz w:val="20"/>
        </w:rPr>
        <w:t>EWCA Civ 130, [2004] 1 W.L.R. 2594</w:t>
      </w:r>
      <w:r>
        <w:rPr>
          <w:rFonts w:ascii="Arial"/>
          <w:i/>
          <w:spacing w:val="-1"/>
          <w:sz w:val="20"/>
        </w:rPr>
        <w:t> </w:t>
      </w:r>
      <w:r>
        <w:rPr>
          <w:sz w:val="20"/>
        </w:rPr>
        <w:t>at </w:t>
      </w:r>
      <w:r>
        <w:rPr>
          <w:spacing w:val="-2"/>
          <w:sz w:val="20"/>
        </w:rPr>
        <w:t>[34].</w:t>
      </w:r>
    </w:p>
    <w:p>
      <w:pPr>
        <w:pStyle w:val="BodyText"/>
        <w:spacing w:before="5"/>
      </w:pPr>
    </w:p>
    <w:p>
      <w:pPr>
        <w:spacing w:before="0"/>
        <w:ind w:left="165" w:right="0" w:firstLine="0"/>
        <w:jc w:val="left"/>
        <w:rPr>
          <w:sz w:val="20"/>
        </w:rPr>
      </w:pPr>
      <w:bookmarkStart w:name="_bookmark1975" w:id="1977"/>
      <w:bookmarkEnd w:id="1977"/>
      <w:r>
        <w:rPr/>
      </w:r>
      <w:hyperlink w:history="true" w:anchor="_bookmark1901">
        <w:r>
          <w:rPr>
            <w:color w:val="005DA1"/>
            <w:position w:val="5"/>
            <w:sz w:val="14"/>
            <w:u w:val="single" w:color="005DA1"/>
          </w:rPr>
          <w:t>1352</w:t>
        </w:r>
      </w:hyperlink>
      <w:r>
        <w:rPr>
          <w:position w:val="5"/>
          <w:sz w:val="14"/>
        </w:rPr>
        <w:t>.</w:t>
      </w:r>
      <w:r>
        <w:rPr>
          <w:spacing w:val="55"/>
          <w:position w:val="5"/>
          <w:sz w:val="14"/>
        </w:rPr>
        <w:t>  </w:t>
      </w:r>
      <w:r>
        <w:rPr>
          <w:sz w:val="20"/>
        </w:rPr>
        <w:t>ibid.,</w:t>
      </w:r>
      <w:r>
        <w:rPr>
          <w:spacing w:val="1"/>
          <w:sz w:val="20"/>
        </w:rPr>
        <w:t> </w:t>
      </w:r>
      <w:r>
        <w:rPr>
          <w:sz w:val="20"/>
        </w:rPr>
        <w:t>at </w:t>
      </w:r>
      <w:r>
        <w:rPr>
          <w:spacing w:val="-2"/>
          <w:sz w:val="20"/>
        </w:rPr>
        <w:t>[34].</w:t>
      </w:r>
    </w:p>
    <w:p>
      <w:pPr>
        <w:spacing w:after="0"/>
        <w:jc w:val="left"/>
        <w:rPr>
          <w:sz w:val="20"/>
        </w:rPr>
        <w:sectPr>
          <w:pgSz w:w="11900" w:h="16840"/>
          <w:pgMar w:header="971" w:footer="0" w:top="1160" w:bottom="280" w:left="1275" w:right="1275"/>
        </w:sectPr>
      </w:pPr>
    </w:p>
    <w:p>
      <w:pPr>
        <w:pStyle w:val="BodyText"/>
        <w:spacing w:before="81"/>
      </w:pPr>
    </w:p>
    <w:p>
      <w:pPr>
        <w:spacing w:before="0"/>
        <w:ind w:left="165" w:right="0" w:firstLine="0"/>
        <w:jc w:val="left"/>
        <w:rPr>
          <w:sz w:val="20"/>
        </w:rPr>
      </w:pPr>
      <w:hyperlink w:history="true" w:anchor="_bookmark1902">
        <w:r>
          <w:rPr>
            <w:color w:val="005DA1"/>
            <w:position w:val="5"/>
            <w:sz w:val="14"/>
            <w:u w:val="single" w:color="005DA1"/>
          </w:rPr>
          <w:t>1353</w:t>
        </w:r>
      </w:hyperlink>
      <w:r>
        <w:rPr>
          <w:position w:val="5"/>
          <w:sz w:val="14"/>
        </w:rPr>
        <w:t>.</w:t>
      </w:r>
      <w:r>
        <w:rPr>
          <w:spacing w:val="55"/>
          <w:position w:val="5"/>
          <w:sz w:val="14"/>
        </w:rPr>
        <w:t>  </w:t>
      </w:r>
      <w:r>
        <w:rPr>
          <w:sz w:val="20"/>
        </w:rPr>
        <w:t>ibid.,</w:t>
      </w:r>
      <w:r>
        <w:rPr>
          <w:spacing w:val="1"/>
          <w:sz w:val="20"/>
        </w:rPr>
        <w:t> </w:t>
      </w:r>
      <w:r>
        <w:rPr>
          <w:sz w:val="20"/>
        </w:rPr>
        <w:t>at </w:t>
      </w:r>
      <w:r>
        <w:rPr>
          <w:spacing w:val="-2"/>
          <w:sz w:val="20"/>
        </w:rPr>
        <w:t>[20].</w:t>
      </w:r>
    </w:p>
    <w:p>
      <w:pPr>
        <w:pStyle w:val="BodyText"/>
        <w:spacing w:before="5"/>
      </w:pPr>
    </w:p>
    <w:p>
      <w:pPr>
        <w:spacing w:line="227" w:lineRule="exact" w:before="0"/>
        <w:ind w:left="165" w:right="0" w:firstLine="0"/>
        <w:jc w:val="left"/>
        <w:rPr>
          <w:sz w:val="20"/>
        </w:rPr>
      </w:pPr>
      <w:bookmarkStart w:name="_bookmark1976" w:id="1978"/>
      <w:bookmarkEnd w:id="1978"/>
      <w:r>
        <w:rPr/>
      </w:r>
      <w:hyperlink w:history="true" w:anchor="_bookmark1903">
        <w:r>
          <w:rPr>
            <w:color w:val="005DA1"/>
            <w:position w:val="5"/>
            <w:sz w:val="14"/>
            <w:u w:val="single" w:color="005DA1"/>
          </w:rPr>
          <w:t>1354</w:t>
        </w:r>
      </w:hyperlink>
      <w:r>
        <w:rPr>
          <w:position w:val="5"/>
          <w:sz w:val="14"/>
        </w:rPr>
        <w:t>.</w:t>
      </w:r>
      <w:r>
        <w:rPr>
          <w:spacing w:val="55"/>
          <w:position w:val="5"/>
          <w:sz w:val="14"/>
        </w:rPr>
        <w:t>  </w:t>
      </w:r>
      <w:r>
        <w:rPr>
          <w:rFonts w:ascii="Arial"/>
          <w:i/>
          <w:sz w:val="20"/>
        </w:rPr>
        <w:t>[1967]</w:t>
      </w:r>
      <w:r>
        <w:rPr>
          <w:rFonts w:ascii="Arial"/>
          <w:i/>
          <w:spacing w:val="23"/>
          <w:sz w:val="20"/>
        </w:rPr>
        <w:t> </w:t>
      </w:r>
      <w:r>
        <w:rPr>
          <w:rFonts w:ascii="Arial"/>
          <w:i/>
          <w:sz w:val="20"/>
        </w:rPr>
        <w:t>2</w:t>
      </w:r>
      <w:r>
        <w:rPr>
          <w:rFonts w:ascii="Arial"/>
          <w:i/>
          <w:spacing w:val="22"/>
          <w:sz w:val="20"/>
        </w:rPr>
        <w:t> </w:t>
      </w:r>
      <w:r>
        <w:rPr>
          <w:rFonts w:ascii="Arial"/>
          <w:i/>
          <w:sz w:val="20"/>
        </w:rPr>
        <w:t>Q.B.</w:t>
      </w:r>
      <w:r>
        <w:rPr>
          <w:rFonts w:ascii="Arial"/>
          <w:i/>
          <w:spacing w:val="22"/>
          <w:sz w:val="20"/>
        </w:rPr>
        <w:t> </w:t>
      </w:r>
      <w:r>
        <w:rPr>
          <w:rFonts w:ascii="Arial"/>
          <w:i/>
          <w:sz w:val="20"/>
        </w:rPr>
        <w:t>31</w:t>
      </w:r>
      <w:r>
        <w:rPr>
          <w:sz w:val="20"/>
        </w:rPr>
        <w:t>;</w:t>
      </w:r>
      <w:r>
        <w:rPr>
          <w:spacing w:val="22"/>
          <w:sz w:val="20"/>
        </w:rPr>
        <w:t> </w:t>
      </w:r>
      <w:r>
        <w:rPr>
          <w:sz w:val="20"/>
        </w:rPr>
        <w:t>Harris</w:t>
      </w:r>
      <w:r>
        <w:rPr>
          <w:spacing w:val="22"/>
          <w:sz w:val="20"/>
        </w:rPr>
        <w:t> </w:t>
      </w:r>
      <w:r>
        <w:rPr>
          <w:sz w:val="20"/>
        </w:rPr>
        <w:t>(1967)</w:t>
      </w:r>
      <w:r>
        <w:rPr>
          <w:spacing w:val="22"/>
          <w:sz w:val="20"/>
        </w:rPr>
        <w:t> </w:t>
      </w:r>
      <w:r>
        <w:rPr>
          <w:sz w:val="20"/>
        </w:rPr>
        <w:t>30</w:t>
      </w:r>
      <w:r>
        <w:rPr>
          <w:spacing w:val="22"/>
          <w:sz w:val="20"/>
        </w:rPr>
        <w:t> </w:t>
      </w:r>
      <w:r>
        <w:rPr>
          <w:sz w:val="20"/>
        </w:rPr>
        <w:t>M.L.R.</w:t>
      </w:r>
      <w:r>
        <w:rPr>
          <w:spacing w:val="21"/>
          <w:sz w:val="20"/>
        </w:rPr>
        <w:t> </w:t>
      </w:r>
      <w:r>
        <w:rPr>
          <w:sz w:val="20"/>
        </w:rPr>
        <w:t>584;</w:t>
      </w:r>
      <w:r>
        <w:rPr>
          <w:spacing w:val="22"/>
          <w:sz w:val="20"/>
        </w:rPr>
        <w:t> </w:t>
      </w:r>
      <w:r>
        <w:rPr>
          <w:sz w:val="20"/>
        </w:rPr>
        <w:t>Odgers</w:t>
      </w:r>
      <w:r>
        <w:rPr>
          <w:spacing w:val="22"/>
          <w:sz w:val="20"/>
        </w:rPr>
        <w:t> </w:t>
      </w:r>
      <w:r>
        <w:rPr>
          <w:sz w:val="20"/>
        </w:rPr>
        <w:t>(1970)</w:t>
      </w:r>
      <w:r>
        <w:rPr>
          <w:spacing w:val="22"/>
          <w:sz w:val="20"/>
        </w:rPr>
        <w:t> </w:t>
      </w:r>
      <w:r>
        <w:rPr>
          <w:sz w:val="20"/>
        </w:rPr>
        <w:t>86</w:t>
      </w:r>
      <w:r>
        <w:rPr>
          <w:spacing w:val="22"/>
          <w:sz w:val="20"/>
        </w:rPr>
        <w:t> </w:t>
      </w:r>
      <w:r>
        <w:rPr>
          <w:sz w:val="20"/>
        </w:rPr>
        <w:t>L.Q.R.</w:t>
      </w:r>
      <w:r>
        <w:rPr>
          <w:spacing w:val="22"/>
          <w:sz w:val="20"/>
        </w:rPr>
        <w:t> </w:t>
      </w:r>
      <w:r>
        <w:rPr>
          <w:sz w:val="20"/>
        </w:rPr>
        <w:t>69;</w:t>
      </w:r>
      <w:r>
        <w:rPr>
          <w:spacing w:val="22"/>
          <w:sz w:val="20"/>
        </w:rPr>
        <w:t> </w:t>
      </w:r>
      <w:r>
        <w:rPr>
          <w:sz w:val="20"/>
        </w:rPr>
        <w:t>and</w:t>
      </w:r>
      <w:r>
        <w:rPr>
          <w:spacing w:val="22"/>
          <w:sz w:val="20"/>
        </w:rPr>
        <w:t> </w:t>
      </w:r>
      <w:r>
        <w:rPr>
          <w:sz w:val="20"/>
        </w:rPr>
        <w:t>see</w:t>
      </w:r>
      <w:r>
        <w:rPr>
          <w:spacing w:val="22"/>
          <w:sz w:val="20"/>
        </w:rPr>
        <w:t> </w:t>
      </w:r>
      <w:r>
        <w:rPr>
          <w:spacing w:val="-2"/>
          <w:sz w:val="20"/>
        </w:rPr>
        <w:t>above,</w:t>
      </w:r>
    </w:p>
    <w:p>
      <w:pPr>
        <w:pStyle w:val="BodyText"/>
        <w:spacing w:line="227" w:lineRule="exact"/>
        <w:ind w:left="705"/>
      </w:pPr>
      <w:r>
        <w:rPr/>
        <w:t>para.2-188 on the issue of contractual </w:t>
      </w:r>
      <w:r>
        <w:rPr>
          <w:spacing w:val="-2"/>
        </w:rPr>
        <w:t>intention.</w:t>
      </w:r>
    </w:p>
    <w:p>
      <w:pPr>
        <w:pStyle w:val="BodyText"/>
        <w:spacing w:before="5"/>
      </w:pPr>
    </w:p>
    <w:p>
      <w:pPr>
        <w:pStyle w:val="BodyText"/>
        <w:spacing w:line="227" w:lineRule="exact"/>
        <w:ind w:left="165"/>
      </w:pPr>
      <w:bookmarkStart w:name="_bookmark1977" w:id="1979"/>
      <w:bookmarkEnd w:id="1979"/>
      <w:r>
        <w:rPr/>
      </w:r>
      <w:hyperlink w:history="true" w:anchor="_bookmark1904">
        <w:r>
          <w:rPr>
            <w:color w:val="005DA1"/>
            <w:position w:val="5"/>
            <w:sz w:val="14"/>
            <w:u w:val="single" w:color="005DA1"/>
          </w:rPr>
          <w:t>1355</w:t>
        </w:r>
      </w:hyperlink>
      <w:r>
        <w:rPr>
          <w:position w:val="5"/>
          <w:sz w:val="14"/>
        </w:rPr>
        <w:t>.</w:t>
      </w:r>
      <w:r>
        <w:rPr>
          <w:spacing w:val="55"/>
          <w:position w:val="5"/>
          <w:sz w:val="14"/>
        </w:rPr>
        <w:t>  </w:t>
      </w:r>
      <w:r>
        <w:rPr/>
        <w:t>This</w:t>
      </w:r>
      <w:r>
        <w:rPr>
          <w:spacing w:val="12"/>
        </w:rPr>
        <w:t> </w:t>
      </w:r>
      <w:r>
        <w:rPr/>
        <w:t>contract</w:t>
      </w:r>
      <w:r>
        <w:rPr>
          <w:spacing w:val="11"/>
        </w:rPr>
        <w:t> </w:t>
      </w:r>
      <w:r>
        <w:rPr/>
        <w:t>was</w:t>
      </w:r>
      <w:r>
        <w:rPr>
          <w:spacing w:val="11"/>
        </w:rPr>
        <w:t> </w:t>
      </w:r>
      <w:r>
        <w:rPr/>
        <w:t>void,</w:t>
      </w:r>
      <w:r>
        <w:rPr>
          <w:spacing w:val="11"/>
        </w:rPr>
        <w:t> </w:t>
      </w:r>
      <w:r>
        <w:rPr/>
        <w:t>so</w:t>
      </w:r>
      <w:r>
        <w:rPr>
          <w:spacing w:val="11"/>
        </w:rPr>
        <w:t> </w:t>
      </w:r>
      <w:r>
        <w:rPr/>
        <w:t>far</w:t>
      </w:r>
      <w:r>
        <w:rPr>
          <w:spacing w:val="11"/>
        </w:rPr>
        <w:t> </w:t>
      </w:r>
      <w:r>
        <w:rPr/>
        <w:t>as</w:t>
      </w:r>
      <w:r>
        <w:rPr>
          <w:spacing w:val="11"/>
        </w:rPr>
        <w:t> </w:t>
      </w:r>
      <w:r>
        <w:rPr/>
        <w:t>it</w:t>
      </w:r>
      <w:r>
        <w:rPr>
          <w:spacing w:val="11"/>
        </w:rPr>
        <w:t> </w:t>
      </w:r>
      <w:r>
        <w:rPr/>
        <w:t>purported</w:t>
      </w:r>
      <w:r>
        <w:rPr>
          <w:spacing w:val="11"/>
        </w:rPr>
        <w:t> </w:t>
      </w:r>
      <w:r>
        <w:rPr/>
        <w:t>to</w:t>
      </w:r>
      <w:r>
        <w:rPr>
          <w:spacing w:val="11"/>
        </w:rPr>
        <w:t> </w:t>
      </w:r>
      <w:r>
        <w:rPr/>
        <w:t>exclude</w:t>
      </w:r>
      <w:r>
        <w:rPr>
          <w:spacing w:val="11"/>
        </w:rPr>
        <w:t> </w:t>
      </w:r>
      <w:r>
        <w:rPr/>
        <w:t>liability</w:t>
      </w:r>
      <w:r>
        <w:rPr>
          <w:spacing w:val="11"/>
        </w:rPr>
        <w:t> </w:t>
      </w:r>
      <w:r>
        <w:rPr/>
        <w:t>for</w:t>
      </w:r>
      <w:r>
        <w:rPr>
          <w:spacing w:val="11"/>
        </w:rPr>
        <w:t> </w:t>
      </w:r>
      <w:r>
        <w:rPr/>
        <w:t>personal</w:t>
      </w:r>
      <w:r>
        <w:rPr>
          <w:spacing w:val="11"/>
        </w:rPr>
        <w:t> </w:t>
      </w:r>
      <w:r>
        <w:rPr/>
        <w:t>injury,</w:t>
      </w:r>
      <w:r>
        <w:rPr>
          <w:spacing w:val="11"/>
        </w:rPr>
        <w:t> </w:t>
      </w:r>
      <w:r>
        <w:rPr/>
        <w:t>by</w:t>
      </w:r>
      <w:r>
        <w:rPr>
          <w:spacing w:val="11"/>
        </w:rPr>
        <w:t> </w:t>
      </w:r>
      <w:r>
        <w:rPr/>
        <w:t>virtue</w:t>
      </w:r>
      <w:r>
        <w:rPr>
          <w:spacing w:val="11"/>
        </w:rPr>
        <w:t> </w:t>
      </w:r>
      <w:r>
        <w:rPr>
          <w:spacing w:val="-5"/>
        </w:rPr>
        <w:t>of</w:t>
      </w:r>
    </w:p>
    <w:p>
      <w:pPr>
        <w:pStyle w:val="BodyText"/>
        <w:spacing w:line="235" w:lineRule="auto" w:before="1"/>
        <w:ind w:left="705" w:right="167"/>
      </w:pPr>
      <w:r>
        <w:rPr/>
        <w:t>s.151</w:t>
      </w:r>
      <w:r>
        <w:rPr>
          <w:spacing w:val="28"/>
        </w:rPr>
        <w:t> </w:t>
      </w:r>
      <w:r>
        <w:rPr/>
        <w:t>of</w:t>
      </w:r>
      <w:r>
        <w:rPr>
          <w:spacing w:val="28"/>
        </w:rPr>
        <w:t> </w:t>
      </w:r>
      <w:r>
        <w:rPr/>
        <w:t>the</w:t>
      </w:r>
      <w:r>
        <w:rPr>
          <w:spacing w:val="28"/>
        </w:rPr>
        <w:t> </w:t>
      </w:r>
      <w:r>
        <w:rPr/>
        <w:t>Road</w:t>
      </w:r>
      <w:r>
        <w:rPr>
          <w:spacing w:val="28"/>
        </w:rPr>
        <w:t> </w:t>
      </w:r>
      <w:r>
        <w:rPr/>
        <w:t>Traffic</w:t>
      </w:r>
      <w:r>
        <w:rPr>
          <w:spacing w:val="28"/>
        </w:rPr>
        <w:t> </w:t>
      </w:r>
      <w:r>
        <w:rPr/>
        <w:t>Act</w:t>
      </w:r>
      <w:r>
        <w:rPr>
          <w:spacing w:val="28"/>
        </w:rPr>
        <w:t> </w:t>
      </w:r>
      <w:r>
        <w:rPr/>
        <w:t>1960</w:t>
      </w:r>
      <w:r>
        <w:rPr>
          <w:spacing w:val="28"/>
        </w:rPr>
        <w:t> </w:t>
      </w:r>
      <w:r>
        <w:rPr/>
        <w:t>(now</w:t>
      </w:r>
      <w:r>
        <w:rPr>
          <w:spacing w:val="28"/>
        </w:rPr>
        <w:t> </w:t>
      </w:r>
      <w:r>
        <w:rPr/>
        <w:t>Public</w:t>
      </w:r>
      <w:r>
        <w:rPr>
          <w:spacing w:val="28"/>
        </w:rPr>
        <w:t> </w:t>
      </w:r>
      <w:r>
        <w:rPr/>
        <w:t>Passenger</w:t>
      </w:r>
      <w:r>
        <w:rPr>
          <w:spacing w:val="28"/>
        </w:rPr>
        <w:t> </w:t>
      </w:r>
      <w:r>
        <w:rPr/>
        <w:t>Vehicles</w:t>
      </w:r>
      <w:r>
        <w:rPr>
          <w:spacing w:val="28"/>
        </w:rPr>
        <w:t> </w:t>
      </w:r>
      <w:r>
        <w:rPr/>
        <w:t>Act</w:t>
      </w:r>
      <w:r>
        <w:rPr>
          <w:spacing w:val="28"/>
        </w:rPr>
        <w:t> </w:t>
      </w:r>
      <w:r>
        <w:rPr/>
        <w:t>1981,</w:t>
      </w:r>
      <w:r>
        <w:rPr>
          <w:spacing w:val="28"/>
        </w:rPr>
        <w:t> </w:t>
      </w:r>
      <w:r>
        <w:rPr/>
        <w:t>s.29);</w:t>
      </w:r>
      <w:r>
        <w:rPr>
          <w:spacing w:val="28"/>
        </w:rPr>
        <w:t> </w:t>
      </w:r>
      <w:r>
        <w:rPr/>
        <w:t>below, </w:t>
      </w:r>
      <w:r>
        <w:rPr>
          <w:spacing w:val="-2"/>
        </w:rPr>
        <w:t>para.15-133.</w:t>
      </w:r>
    </w:p>
    <w:p>
      <w:pPr>
        <w:pStyle w:val="BodyText"/>
        <w:spacing w:before="6"/>
      </w:pPr>
    </w:p>
    <w:p>
      <w:pPr>
        <w:spacing w:before="0"/>
        <w:ind w:left="165" w:right="0" w:firstLine="0"/>
        <w:jc w:val="left"/>
        <w:rPr>
          <w:sz w:val="20"/>
        </w:rPr>
      </w:pPr>
      <w:bookmarkStart w:name="_bookmark1978" w:id="1980"/>
      <w:bookmarkEnd w:id="1980"/>
      <w:r>
        <w:rPr/>
      </w:r>
      <w:hyperlink w:history="true" w:anchor="_bookmark1905">
        <w:r>
          <w:rPr>
            <w:color w:val="005DA1"/>
            <w:position w:val="5"/>
            <w:sz w:val="14"/>
            <w:u w:val="single" w:color="005DA1"/>
          </w:rPr>
          <w:t>1356</w:t>
        </w:r>
      </w:hyperlink>
      <w:r>
        <w:rPr>
          <w:position w:val="5"/>
          <w:sz w:val="14"/>
        </w:rPr>
        <w:t>.</w:t>
      </w:r>
      <w:r>
        <w:rPr>
          <w:spacing w:val="55"/>
          <w:position w:val="5"/>
          <w:sz w:val="14"/>
        </w:rPr>
        <w:t>  </w:t>
      </w:r>
      <w:r>
        <w:rPr>
          <w:rFonts w:ascii="Arial"/>
          <w:i/>
          <w:sz w:val="20"/>
        </w:rPr>
        <w:t>[1967]</w:t>
      </w:r>
      <w:r>
        <w:rPr>
          <w:rFonts w:ascii="Arial"/>
          <w:i/>
          <w:spacing w:val="1"/>
          <w:sz w:val="20"/>
        </w:rPr>
        <w:t> </w:t>
      </w:r>
      <w:r>
        <w:rPr>
          <w:rFonts w:ascii="Arial"/>
          <w:i/>
          <w:sz w:val="20"/>
        </w:rPr>
        <w:t>2 Q.B. 31, </w:t>
      </w:r>
      <w:r>
        <w:rPr>
          <w:rFonts w:ascii="Arial"/>
          <w:i/>
          <w:spacing w:val="-5"/>
          <w:sz w:val="20"/>
        </w:rPr>
        <w:t>42</w:t>
      </w:r>
      <w:r>
        <w:rPr>
          <w:spacing w:val="-5"/>
          <w:sz w:val="20"/>
        </w:rPr>
        <w:t>.</w:t>
      </w:r>
    </w:p>
    <w:p>
      <w:pPr>
        <w:pStyle w:val="BodyText"/>
        <w:spacing w:before="5"/>
      </w:pPr>
    </w:p>
    <w:p>
      <w:pPr>
        <w:spacing w:before="0"/>
        <w:ind w:left="165" w:right="0" w:firstLine="0"/>
        <w:jc w:val="left"/>
        <w:rPr>
          <w:sz w:val="20"/>
        </w:rPr>
      </w:pPr>
      <w:bookmarkStart w:name="_bookmark1979" w:id="1981"/>
      <w:bookmarkEnd w:id="1981"/>
      <w:r>
        <w:rPr/>
      </w:r>
      <w:hyperlink w:history="true" w:anchor="_bookmark1906">
        <w:r>
          <w:rPr>
            <w:color w:val="005DA1"/>
            <w:position w:val="5"/>
            <w:sz w:val="14"/>
            <w:u w:val="single" w:color="005DA1"/>
          </w:rPr>
          <w:t>1357</w:t>
        </w:r>
      </w:hyperlink>
      <w:r>
        <w:rPr>
          <w:position w:val="5"/>
          <w:sz w:val="14"/>
        </w:rPr>
        <w:t>.</w:t>
      </w:r>
      <w:r>
        <w:rPr>
          <w:spacing w:val="55"/>
          <w:position w:val="5"/>
          <w:sz w:val="14"/>
        </w:rPr>
        <w:t>  </w:t>
      </w:r>
      <w:r>
        <w:rPr>
          <w:sz w:val="20"/>
        </w:rPr>
        <w:t>Below,</w:t>
      </w:r>
      <w:r>
        <w:rPr>
          <w:spacing w:val="1"/>
          <w:sz w:val="20"/>
        </w:rPr>
        <w:t> </w:t>
      </w:r>
      <w:r>
        <w:rPr>
          <w:sz w:val="20"/>
        </w:rPr>
        <w:t>Vol.II, para.34-</w:t>
      </w:r>
      <w:r>
        <w:rPr>
          <w:spacing w:val="-4"/>
          <w:sz w:val="20"/>
        </w:rPr>
        <w:t>505.</w:t>
      </w:r>
    </w:p>
    <w:p>
      <w:pPr>
        <w:pStyle w:val="BodyText"/>
        <w:spacing w:before="8"/>
      </w:pPr>
    </w:p>
    <w:p>
      <w:pPr>
        <w:pStyle w:val="BodyText"/>
        <w:spacing w:line="235" w:lineRule="auto" w:before="1"/>
        <w:ind w:left="705" w:right="167" w:hanging="541"/>
        <w:jc w:val="both"/>
      </w:pPr>
      <w:bookmarkStart w:name="_bookmark1980" w:id="1982"/>
      <w:bookmarkEnd w:id="1982"/>
      <w:r>
        <w:rPr/>
      </w:r>
      <w:hyperlink w:history="true" w:anchor="_bookmark1907">
        <w:r>
          <w:rPr>
            <w:color w:val="005DA1"/>
            <w:position w:val="5"/>
            <w:sz w:val="14"/>
            <w:u w:val="single" w:color="005DA1"/>
          </w:rPr>
          <w:t>1358</w:t>
        </w:r>
      </w:hyperlink>
      <w:r>
        <w:rPr>
          <w:position w:val="5"/>
          <w:sz w:val="14"/>
        </w:rPr>
        <w:t>.</w:t>
      </w:r>
      <w:r>
        <w:rPr>
          <w:spacing w:val="80"/>
          <w:position w:val="5"/>
          <w:sz w:val="14"/>
        </w:rPr>
        <w:t> </w:t>
      </w:r>
      <w:r>
        <w:rPr/>
        <w:t>For explicit recognition of such an exception in the United States, see UCC, s.5–105; cf. </w:t>
      </w:r>
      <w:r>
        <w:rPr>
          <w:rFonts w:ascii="Arial" w:hAnsi="Arial"/>
          <w:i/>
        </w:rPr>
        <w:t>United City Merchants Ltd v Royal Bank of Canada (The American Accord) [1982] Q.B. 208, 225, reversed on other grounds [1983] 1 A.C. 168</w:t>
      </w:r>
      <w:r>
        <w:rPr/>
        <w:t>. Under the Contracts (Rights of Third Parties) Act 1999 (below, paras 18-090 et seq.) the beneficiary might have a claim against the bank as </w:t>
      </w:r>
      <w:r>
        <w:rPr/>
        <w:t>a third</w:t>
      </w:r>
      <w:r>
        <w:rPr>
          <w:spacing w:val="-1"/>
        </w:rPr>
        <w:t> </w:t>
      </w:r>
      <w:r>
        <w:rPr/>
        <w:t>party</w:t>
      </w:r>
      <w:r>
        <w:rPr>
          <w:spacing w:val="-1"/>
        </w:rPr>
        <w:t> </w:t>
      </w:r>
      <w:r>
        <w:rPr/>
        <w:t>identified</w:t>
      </w:r>
      <w:r>
        <w:rPr>
          <w:spacing w:val="-1"/>
        </w:rPr>
        <w:t> </w:t>
      </w:r>
      <w:r>
        <w:rPr/>
        <w:t>in</w:t>
      </w:r>
      <w:r>
        <w:rPr>
          <w:spacing w:val="-1"/>
        </w:rPr>
        <w:t> </w:t>
      </w:r>
      <w:r>
        <w:rPr/>
        <w:t>the</w:t>
      </w:r>
      <w:r>
        <w:rPr>
          <w:spacing w:val="-1"/>
        </w:rPr>
        <w:t> </w:t>
      </w:r>
      <w:r>
        <w:rPr/>
        <w:t>contract</w:t>
      </w:r>
      <w:r>
        <w:rPr>
          <w:spacing w:val="-1"/>
        </w:rPr>
        <w:t> </w:t>
      </w:r>
      <w:r>
        <w:rPr/>
        <w:t>between</w:t>
      </w:r>
      <w:r>
        <w:rPr>
          <w:spacing w:val="-1"/>
        </w:rPr>
        <w:t> </w:t>
      </w:r>
      <w:r>
        <w:rPr/>
        <w:t>the</w:t>
      </w:r>
      <w:r>
        <w:rPr>
          <w:spacing w:val="-1"/>
        </w:rPr>
        <w:t> </w:t>
      </w:r>
      <w:r>
        <w:rPr/>
        <w:t>bank</w:t>
      </w:r>
      <w:r>
        <w:rPr>
          <w:spacing w:val="-1"/>
        </w:rPr>
        <w:t> </w:t>
      </w:r>
      <w:r>
        <w:rPr/>
        <w:t>and</w:t>
      </w:r>
      <w:r>
        <w:rPr>
          <w:spacing w:val="-1"/>
        </w:rPr>
        <w:t> </w:t>
      </w:r>
      <w:r>
        <w:rPr/>
        <w:t>its</w:t>
      </w:r>
      <w:r>
        <w:rPr>
          <w:spacing w:val="-1"/>
        </w:rPr>
        <w:t> </w:t>
      </w:r>
      <w:r>
        <w:rPr/>
        <w:t>customer;</w:t>
      </w:r>
      <w:r>
        <w:rPr>
          <w:spacing w:val="-1"/>
        </w:rPr>
        <w:t> </w:t>
      </w:r>
      <w:r>
        <w:rPr/>
        <w:t>there</w:t>
      </w:r>
      <w:r>
        <w:rPr>
          <w:spacing w:val="-1"/>
        </w:rPr>
        <w:t> </w:t>
      </w:r>
      <w:r>
        <w:rPr/>
        <w:t>is</w:t>
      </w:r>
      <w:r>
        <w:rPr>
          <w:spacing w:val="-1"/>
        </w:rPr>
        <w:t> </w:t>
      </w:r>
      <w:r>
        <w:rPr/>
        <w:t>no</w:t>
      </w:r>
      <w:r>
        <w:rPr>
          <w:spacing w:val="-1"/>
        </w:rPr>
        <w:t> </w:t>
      </w:r>
      <w:r>
        <w:rPr/>
        <w:t>requirement, in such cases, of consideration moving from the third party: above, para.4-046. But his rights under the Act would be less secure than his common law rights in two respects. First, they would be subject under subs.3(2) to any defences which the bank might have against its customer. And, secondly they could be defeated or diminished by rescission or variation of the contract by subsequent agreement between the bank and its customer before the seller had </w:t>
      </w:r>
      <w:r>
        <w:rPr>
          <w:rFonts w:ascii="Arial" w:hAnsi="Arial"/>
          <w:i/>
        </w:rPr>
        <w:t>either </w:t>
      </w:r>
      <w:r>
        <w:rPr/>
        <w:t>communicated his assent to the bank </w:t>
      </w:r>
      <w:r>
        <w:rPr>
          <w:rFonts w:ascii="Arial" w:hAnsi="Arial"/>
          <w:i/>
        </w:rPr>
        <w:t>or </w:t>
      </w:r>
      <w:r>
        <w:rPr/>
        <w:t>relied on the credit, and the bank either was aware of, or reasonably should have foreseen such reliance: see subs.2(1) and paras 18-105 and 18-106 below.</w:t>
      </w:r>
    </w:p>
    <w:p>
      <w:pPr>
        <w:pStyle w:val="BodyText"/>
        <w:spacing w:before="188"/>
      </w:pPr>
    </w:p>
    <w:p>
      <w:pPr>
        <w:spacing w:before="0"/>
        <w:ind w:left="940" w:right="943" w:firstLine="0"/>
        <w:jc w:val="center"/>
        <w:rPr>
          <w:sz w:val="14"/>
        </w:rPr>
      </w:pPr>
      <w:r>
        <w:rPr>
          <w:sz w:val="14"/>
        </w:rPr>
        <w:t>© 2018 Sweet &amp; </w:t>
      </w:r>
      <w:r>
        <w:rPr>
          <w:spacing w:val="-2"/>
          <w:sz w:val="14"/>
        </w:rPr>
        <w:t>Maxwell</w:t>
      </w:r>
    </w:p>
    <w:sectPr>
      <w:pgSz w:w="11900" w:h="16840"/>
      <w:pgMar w:header="971" w:footer="0" w:top="116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54496">
              <wp:simplePos x="0" y="0"/>
              <wp:positionH relativeFrom="page">
                <wp:posOffset>4707940</wp:posOffset>
              </wp:positionH>
              <wp:positionV relativeFrom="page">
                <wp:posOffset>2301773</wp:posOffset>
              </wp:positionV>
              <wp:extent cx="42545"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1161984" from="370.70401pt,181.242004pt" to="374.04001pt,181.24200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2155008">
              <wp:simplePos x="0" y="0"/>
              <wp:positionH relativeFrom="page">
                <wp:posOffset>6278473</wp:posOffset>
              </wp:positionH>
              <wp:positionV relativeFrom="page">
                <wp:posOffset>617496</wp:posOffset>
              </wp:positionV>
              <wp:extent cx="347980" cy="1390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68011pt;margin-top:48.621811pt;width:27.4pt;height:10.95pt;mso-position-horizontal-relative:page;mso-position-vertical-relative:page;z-index:-21161472"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2155520">
              <wp:simplePos x="0" y="0"/>
              <wp:positionH relativeFrom="page">
                <wp:posOffset>1642516</wp:posOffset>
              </wp:positionH>
              <wp:positionV relativeFrom="page">
                <wp:posOffset>991846</wp:posOffset>
              </wp:positionV>
              <wp:extent cx="4267835" cy="142049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267835" cy="1420495"/>
                      </a:xfrm>
                      <a:prstGeom prst="rect">
                        <a:avLst/>
                      </a:prstGeom>
                    </wps:spPr>
                    <wps:txbx>
                      <w:txbxContent>
                        <w:p>
                          <w:pPr>
                            <w:spacing w:before="11"/>
                            <w:ind w:left="2" w:right="2" w:firstLine="0"/>
                            <w:jc w:val="center"/>
                            <w:rPr>
                              <w:rFonts w:ascii="Arial"/>
                              <w:b/>
                              <w:sz w:val="28"/>
                            </w:rPr>
                          </w:pPr>
                          <w:r>
                            <w:rPr>
                              <w:rFonts w:ascii="Arial"/>
                              <w:b/>
                              <w:sz w:val="28"/>
                            </w:rPr>
                            <w:t>Chitty on Contracts 32nd </w:t>
                          </w:r>
                          <w:r>
                            <w:rPr>
                              <w:rFonts w:ascii="Arial"/>
                              <w:b/>
                              <w:spacing w:val="-5"/>
                              <w:sz w:val="28"/>
                            </w:rPr>
                            <w:t>Ed.</w:t>
                          </w:r>
                        </w:p>
                        <w:p>
                          <w:pPr>
                            <w:spacing w:line="408" w:lineRule="auto" w:before="197"/>
                            <w:ind w:left="2" w:right="0"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2"/>
                            <w:ind w:left="2" w:right="2" w:firstLine="0"/>
                            <w:jc w:val="center"/>
                            <w:rPr>
                              <w:rFonts w:ascii="Arial"/>
                              <w:b/>
                              <w:sz w:val="24"/>
                            </w:rPr>
                          </w:pPr>
                          <w:r>
                            <w:rPr>
                              <w:rFonts w:ascii="Arial"/>
                              <w:b/>
                              <w:sz w:val="24"/>
                            </w:rPr>
                            <w:t>Part 2 - Formation of </w:t>
                          </w:r>
                          <w:r>
                            <w:rPr>
                              <w:rFonts w:ascii="Arial"/>
                              <w:b/>
                              <w:spacing w:val="-2"/>
                              <w:sz w:val="24"/>
                            </w:rPr>
                            <w:t>Contract</w:t>
                          </w:r>
                        </w:p>
                        <w:p>
                          <w:pPr>
                            <w:spacing w:before="194"/>
                            <w:ind w:left="2" w:right="2" w:firstLine="0"/>
                            <w:jc w:val="center"/>
                            <w:rPr>
                              <w:rFonts w:ascii="Arial"/>
                              <w:b/>
                              <w:position w:val="11"/>
                              <w:sz w:val="12"/>
                            </w:rPr>
                          </w:pPr>
                          <w:r>
                            <w:rPr>
                              <w:rFonts w:ascii="Arial"/>
                              <w:b/>
                              <w:sz w:val="24"/>
                            </w:rPr>
                            <w:t>Chapter 4 - Consideration </w:t>
                          </w:r>
                          <w:r>
                            <w:rPr>
                              <w:rFonts w:ascii="Arial"/>
                              <w:b/>
                              <w:color w:val="005DA1"/>
                              <w:spacing w:val="-10"/>
                              <w:position w:val="11"/>
                              <w:sz w:val="12"/>
                            </w:rPr>
                            <w:t>1</w:t>
                          </w:r>
                        </w:p>
                      </w:txbxContent>
                    </wps:txbx>
                    <wps:bodyPr wrap="square" lIns="0" tIns="0" rIns="0" bIns="0" rtlCol="0">
                      <a:noAutofit/>
                    </wps:bodyPr>
                  </wps:wsp>
                </a:graphicData>
              </a:graphic>
            </wp:anchor>
          </w:drawing>
        </mc:Choice>
        <mc:Fallback>
          <w:pict>
            <v:shape style="position:absolute;margin-left:129.332001pt;margin-top:78.098175pt;width:336.05pt;height:111.85pt;mso-position-horizontal-relative:page;mso-position-vertical-relative:page;z-index:-21160960" type="#_x0000_t202" id="docshape2" filled="false" stroked="false">
              <v:textbox inset="0,0,0,0">
                <w:txbxContent>
                  <w:p>
                    <w:pPr>
                      <w:spacing w:before="11"/>
                      <w:ind w:left="2" w:right="2" w:firstLine="0"/>
                      <w:jc w:val="center"/>
                      <w:rPr>
                        <w:rFonts w:ascii="Arial"/>
                        <w:b/>
                        <w:sz w:val="28"/>
                      </w:rPr>
                    </w:pPr>
                    <w:r>
                      <w:rPr>
                        <w:rFonts w:ascii="Arial"/>
                        <w:b/>
                        <w:sz w:val="28"/>
                      </w:rPr>
                      <w:t>Chitty on Contracts 32nd </w:t>
                    </w:r>
                    <w:r>
                      <w:rPr>
                        <w:rFonts w:ascii="Arial"/>
                        <w:b/>
                        <w:spacing w:val="-5"/>
                        <w:sz w:val="28"/>
                      </w:rPr>
                      <w:t>Ed.</w:t>
                    </w:r>
                  </w:p>
                  <w:p>
                    <w:pPr>
                      <w:spacing w:line="408" w:lineRule="auto" w:before="197"/>
                      <w:ind w:left="2" w:right="0"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2"/>
                      <w:ind w:left="2" w:right="2" w:firstLine="0"/>
                      <w:jc w:val="center"/>
                      <w:rPr>
                        <w:rFonts w:ascii="Arial"/>
                        <w:b/>
                        <w:sz w:val="24"/>
                      </w:rPr>
                    </w:pPr>
                    <w:r>
                      <w:rPr>
                        <w:rFonts w:ascii="Arial"/>
                        <w:b/>
                        <w:sz w:val="24"/>
                      </w:rPr>
                      <w:t>Part 2 - Formation of </w:t>
                    </w:r>
                    <w:r>
                      <w:rPr>
                        <w:rFonts w:ascii="Arial"/>
                        <w:b/>
                        <w:spacing w:val="-2"/>
                        <w:sz w:val="24"/>
                      </w:rPr>
                      <w:t>Contract</w:t>
                    </w:r>
                  </w:p>
                  <w:p>
                    <w:pPr>
                      <w:spacing w:before="194"/>
                      <w:ind w:left="2" w:right="2" w:firstLine="0"/>
                      <w:jc w:val="center"/>
                      <w:rPr>
                        <w:rFonts w:ascii="Arial"/>
                        <w:b/>
                        <w:position w:val="11"/>
                        <w:sz w:val="12"/>
                      </w:rPr>
                    </w:pPr>
                    <w:r>
                      <w:rPr>
                        <w:rFonts w:ascii="Arial"/>
                        <w:b/>
                        <w:sz w:val="24"/>
                      </w:rPr>
                      <w:t>Chapter 4 - Consideration </w:t>
                    </w:r>
                    <w:r>
                      <w:rPr>
                        <w:rFonts w:ascii="Arial"/>
                        <w:b/>
                        <w:color w:val="005DA1"/>
                        <w:spacing w:val="-10"/>
                        <w:position w:val="11"/>
                        <w:sz w:val="12"/>
                      </w:rPr>
                      <w:t>1</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60128">
              <wp:simplePos x="0" y="0"/>
              <wp:positionH relativeFrom="page">
                <wp:posOffset>6221984</wp:posOffset>
              </wp:positionH>
              <wp:positionV relativeFrom="page">
                <wp:posOffset>617496</wp:posOffset>
              </wp:positionV>
              <wp:extent cx="442595" cy="13906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156352" type="#_x0000_t202" id="docshape1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60640">
              <wp:simplePos x="0" y="0"/>
              <wp:positionH relativeFrom="page">
                <wp:posOffset>6278473</wp:posOffset>
              </wp:positionH>
              <wp:positionV relativeFrom="page">
                <wp:posOffset>617496</wp:posOffset>
              </wp:positionV>
              <wp:extent cx="386080" cy="13906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55840" type="#_x0000_t202" id="docshape1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61152">
              <wp:simplePos x="0" y="0"/>
              <wp:positionH relativeFrom="page">
                <wp:posOffset>6278473</wp:posOffset>
              </wp:positionH>
              <wp:positionV relativeFrom="page">
                <wp:posOffset>617496</wp:posOffset>
              </wp:positionV>
              <wp:extent cx="386080" cy="1390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55328" type="#_x0000_t202" id="docshape1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61664">
              <wp:simplePos x="0" y="0"/>
              <wp:positionH relativeFrom="page">
                <wp:posOffset>6278473</wp:posOffset>
              </wp:positionH>
              <wp:positionV relativeFrom="page">
                <wp:posOffset>617496</wp:posOffset>
              </wp:positionV>
              <wp:extent cx="347980" cy="13906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154816" type="#_x0000_t202" id="docshape2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62176">
              <wp:simplePos x="0" y="0"/>
              <wp:positionH relativeFrom="page">
                <wp:posOffset>6278473</wp:posOffset>
              </wp:positionH>
              <wp:positionV relativeFrom="page">
                <wp:posOffset>617496</wp:posOffset>
              </wp:positionV>
              <wp:extent cx="386080" cy="13906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54304" type="#_x0000_t202" id="docshape2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62688">
              <wp:simplePos x="0" y="0"/>
              <wp:positionH relativeFrom="page">
                <wp:posOffset>6278473</wp:posOffset>
              </wp:positionH>
              <wp:positionV relativeFrom="page">
                <wp:posOffset>617496</wp:posOffset>
              </wp:positionV>
              <wp:extent cx="347980" cy="1390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153792" type="#_x0000_t202" id="docshape2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63200">
              <wp:simplePos x="0" y="0"/>
              <wp:positionH relativeFrom="page">
                <wp:posOffset>6278473</wp:posOffset>
              </wp:positionH>
              <wp:positionV relativeFrom="page">
                <wp:posOffset>617496</wp:posOffset>
              </wp:positionV>
              <wp:extent cx="386080" cy="13906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3</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53280" type="#_x0000_t202" id="docshape2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3</w:t>
                    </w:r>
                    <w:r>
                      <w:rPr>
                        <w:rFonts w:ascii="Arial"/>
                        <w:i/>
                        <w:spacing w:val="-10"/>
                        <w:sz w:val="16"/>
                      </w:rPr>
                      <w:fldChar w:fldCharType="end"/>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63712">
              <wp:simplePos x="0" y="0"/>
              <wp:positionH relativeFrom="page">
                <wp:posOffset>6278473</wp:posOffset>
              </wp:positionH>
              <wp:positionV relativeFrom="page">
                <wp:posOffset>617496</wp:posOffset>
              </wp:positionV>
              <wp:extent cx="386080" cy="13906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52768" type="#_x0000_t202" id="docshape2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64224">
              <wp:simplePos x="0" y="0"/>
              <wp:positionH relativeFrom="page">
                <wp:posOffset>6278473</wp:posOffset>
              </wp:positionH>
              <wp:positionV relativeFrom="page">
                <wp:posOffset>617496</wp:posOffset>
              </wp:positionV>
              <wp:extent cx="347980" cy="1390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152256" type="#_x0000_t202" id="docshape2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64736">
              <wp:simplePos x="0" y="0"/>
              <wp:positionH relativeFrom="page">
                <wp:posOffset>6278473</wp:posOffset>
              </wp:positionH>
              <wp:positionV relativeFrom="page">
                <wp:posOffset>617496</wp:posOffset>
              </wp:positionV>
              <wp:extent cx="386080" cy="13906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51744" type="#_x0000_t202" id="docshape2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56032">
              <wp:simplePos x="0" y="0"/>
              <wp:positionH relativeFrom="page">
                <wp:posOffset>6278473</wp:posOffset>
              </wp:positionH>
              <wp:positionV relativeFrom="page">
                <wp:posOffset>617496</wp:posOffset>
              </wp:positionV>
              <wp:extent cx="347980" cy="1390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160448" type="#_x0000_t202" id="docshape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65248">
              <wp:simplePos x="0" y="0"/>
              <wp:positionH relativeFrom="page">
                <wp:posOffset>6278473</wp:posOffset>
              </wp:positionH>
              <wp:positionV relativeFrom="page">
                <wp:posOffset>617496</wp:posOffset>
              </wp:positionV>
              <wp:extent cx="347980" cy="13906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151232" type="#_x0000_t202" id="docshape3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65760">
              <wp:simplePos x="0" y="0"/>
              <wp:positionH relativeFrom="page">
                <wp:posOffset>6278473</wp:posOffset>
              </wp:positionH>
              <wp:positionV relativeFrom="page">
                <wp:posOffset>617496</wp:posOffset>
              </wp:positionV>
              <wp:extent cx="347980" cy="13906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150720" type="#_x0000_t202" id="docshape3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66272">
              <wp:simplePos x="0" y="0"/>
              <wp:positionH relativeFrom="page">
                <wp:posOffset>6278473</wp:posOffset>
              </wp:positionH>
              <wp:positionV relativeFrom="page">
                <wp:posOffset>617496</wp:posOffset>
              </wp:positionV>
              <wp:extent cx="386080" cy="13906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50208" type="#_x0000_t202" id="docshape3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66784">
              <wp:simplePos x="0" y="0"/>
              <wp:positionH relativeFrom="page">
                <wp:posOffset>6278473</wp:posOffset>
              </wp:positionH>
              <wp:positionV relativeFrom="page">
                <wp:posOffset>617496</wp:posOffset>
              </wp:positionV>
              <wp:extent cx="347980" cy="13906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149696" type="#_x0000_t202" id="docshape3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67296">
              <wp:simplePos x="0" y="0"/>
              <wp:positionH relativeFrom="page">
                <wp:posOffset>6278473</wp:posOffset>
              </wp:positionH>
              <wp:positionV relativeFrom="page">
                <wp:posOffset>617496</wp:posOffset>
              </wp:positionV>
              <wp:extent cx="386080" cy="13906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3</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49184" type="#_x0000_t202" id="docshape3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3</w:t>
                    </w:r>
                    <w:r>
                      <w:rPr>
                        <w:rFonts w:ascii="Arial"/>
                        <w:i/>
                        <w:spacing w:val="-10"/>
                        <w:sz w:val="16"/>
                      </w:rPr>
                      <w:fldChar w:fldCharType="end"/>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67808">
              <wp:simplePos x="0" y="0"/>
              <wp:positionH relativeFrom="page">
                <wp:posOffset>6278473</wp:posOffset>
              </wp:positionH>
              <wp:positionV relativeFrom="page">
                <wp:posOffset>617496</wp:posOffset>
              </wp:positionV>
              <wp:extent cx="386080" cy="13906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48672" type="#_x0000_t202" id="docshape3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68320">
              <wp:simplePos x="0" y="0"/>
              <wp:positionH relativeFrom="page">
                <wp:posOffset>6278473</wp:posOffset>
              </wp:positionH>
              <wp:positionV relativeFrom="page">
                <wp:posOffset>617496</wp:posOffset>
              </wp:positionV>
              <wp:extent cx="386080" cy="13906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48160" type="#_x0000_t202" id="docshape3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68832">
              <wp:simplePos x="0" y="0"/>
              <wp:positionH relativeFrom="page">
                <wp:posOffset>6278473</wp:posOffset>
              </wp:positionH>
              <wp:positionV relativeFrom="page">
                <wp:posOffset>617496</wp:posOffset>
              </wp:positionV>
              <wp:extent cx="386080" cy="13906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47648" type="#_x0000_t202" id="docshape4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69344">
              <wp:simplePos x="0" y="0"/>
              <wp:positionH relativeFrom="page">
                <wp:posOffset>6278473</wp:posOffset>
              </wp:positionH>
              <wp:positionV relativeFrom="page">
                <wp:posOffset>617496</wp:posOffset>
              </wp:positionV>
              <wp:extent cx="386080" cy="13906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47136" type="#_x0000_t202" id="docshape4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69856">
              <wp:simplePos x="0" y="0"/>
              <wp:positionH relativeFrom="page">
                <wp:posOffset>6278473</wp:posOffset>
              </wp:positionH>
              <wp:positionV relativeFrom="page">
                <wp:posOffset>617496</wp:posOffset>
              </wp:positionV>
              <wp:extent cx="347980" cy="13906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146624" type="#_x0000_t202" id="docshape4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56544">
              <wp:simplePos x="0" y="0"/>
              <wp:positionH relativeFrom="page">
                <wp:posOffset>6278473</wp:posOffset>
              </wp:positionH>
              <wp:positionV relativeFrom="page">
                <wp:posOffset>617496</wp:posOffset>
              </wp:positionV>
              <wp:extent cx="386080" cy="1390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3</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59936" type="#_x0000_t202" id="docshape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3</w:t>
                    </w:r>
                    <w:r>
                      <w:rPr>
                        <w:rFonts w:ascii="Arial"/>
                        <w:i/>
                        <w:spacing w:val="-10"/>
                        <w:sz w:val="16"/>
                      </w:rPr>
                      <w:fldChar w:fldCharType="end"/>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70368">
              <wp:simplePos x="0" y="0"/>
              <wp:positionH relativeFrom="page">
                <wp:posOffset>4707940</wp:posOffset>
              </wp:positionH>
              <wp:positionV relativeFrom="page">
                <wp:posOffset>2301773</wp:posOffset>
              </wp:positionV>
              <wp:extent cx="4254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1146112" from="370.70401pt,181.242004pt" to="374.04001pt,181.24200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2170880">
              <wp:simplePos x="0" y="0"/>
              <wp:positionH relativeFrom="page">
                <wp:posOffset>6278473</wp:posOffset>
              </wp:positionH>
              <wp:positionV relativeFrom="page">
                <wp:posOffset>617496</wp:posOffset>
              </wp:positionV>
              <wp:extent cx="347980" cy="13906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145600" type="#_x0000_t202" id="docshape4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2171392">
              <wp:simplePos x="0" y="0"/>
              <wp:positionH relativeFrom="page">
                <wp:posOffset>1642516</wp:posOffset>
              </wp:positionH>
              <wp:positionV relativeFrom="page">
                <wp:posOffset>991846</wp:posOffset>
              </wp:positionV>
              <wp:extent cx="4267835" cy="171894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4267835" cy="1718945"/>
                      </a:xfrm>
                      <a:prstGeom prst="rect">
                        <a:avLst/>
                      </a:prstGeom>
                    </wps:spPr>
                    <wps:txbx>
                      <w:txbxContent>
                        <w:p>
                          <w:pPr>
                            <w:spacing w:before="11"/>
                            <w:ind w:left="2" w:right="2" w:firstLine="0"/>
                            <w:jc w:val="center"/>
                            <w:rPr>
                              <w:rFonts w:ascii="Arial"/>
                              <w:b/>
                              <w:sz w:val="28"/>
                            </w:rPr>
                          </w:pPr>
                          <w:r>
                            <w:rPr>
                              <w:rFonts w:ascii="Arial"/>
                              <w:b/>
                              <w:sz w:val="28"/>
                            </w:rPr>
                            <w:t>Chitty on Contracts 32nd </w:t>
                          </w:r>
                          <w:r>
                            <w:rPr>
                              <w:rFonts w:ascii="Arial"/>
                              <w:b/>
                              <w:spacing w:val="-5"/>
                              <w:sz w:val="28"/>
                            </w:rPr>
                            <w:t>Ed.</w:t>
                          </w:r>
                        </w:p>
                        <w:p>
                          <w:pPr>
                            <w:spacing w:line="408" w:lineRule="auto" w:before="197"/>
                            <w:ind w:left="2" w:right="0"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248" w:right="1245" w:firstLine="0"/>
                            <w:jc w:val="center"/>
                            <w:rPr>
                              <w:rFonts w:ascii="Arial"/>
                              <w:b/>
                              <w:position w:val="11"/>
                              <w:sz w:val="12"/>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4 - Consideration </w:t>
                          </w:r>
                          <w:r>
                            <w:rPr>
                              <w:rFonts w:ascii="Arial"/>
                              <w:b/>
                              <w:color w:val="005DA1"/>
                              <w:position w:val="11"/>
                              <w:sz w:val="12"/>
                            </w:rPr>
                            <w:t>1</w:t>
                          </w:r>
                        </w:p>
                        <w:p>
                          <w:pPr>
                            <w:spacing w:before="2"/>
                            <w:ind w:left="2" w:right="2" w:firstLine="0"/>
                            <w:jc w:val="center"/>
                            <w:rPr>
                              <w:rFonts w:ascii="Arial"/>
                              <w:b/>
                              <w:sz w:val="24"/>
                            </w:rPr>
                          </w:pPr>
                          <w:r>
                            <w:rPr>
                              <w:rFonts w:ascii="Arial"/>
                              <w:b/>
                              <w:sz w:val="24"/>
                            </w:rPr>
                            <w:t>Section 9. - Discharge and Variation of Contractual </w:t>
                          </w:r>
                          <w:r>
                            <w:rPr>
                              <w:rFonts w:ascii="Arial"/>
                              <w:b/>
                              <w:spacing w:val="-2"/>
                              <w:sz w:val="24"/>
                            </w:rPr>
                            <w:t>Duties</w:t>
                          </w:r>
                        </w:p>
                      </w:txbxContent>
                    </wps:txbx>
                    <wps:bodyPr wrap="square" lIns="0" tIns="0" rIns="0" bIns="0" rtlCol="0">
                      <a:noAutofit/>
                    </wps:bodyPr>
                  </wps:wsp>
                </a:graphicData>
              </a:graphic>
            </wp:anchor>
          </w:drawing>
        </mc:Choice>
        <mc:Fallback>
          <w:pict>
            <v:shape style="position:absolute;margin-left:129.332001pt;margin-top:78.098175pt;width:336.05pt;height:135.35pt;mso-position-horizontal-relative:page;mso-position-vertical-relative:page;z-index:-21145088" type="#_x0000_t202" id="docshape46" filled="false" stroked="false">
              <v:textbox inset="0,0,0,0">
                <w:txbxContent>
                  <w:p>
                    <w:pPr>
                      <w:spacing w:before="11"/>
                      <w:ind w:left="2" w:right="2" w:firstLine="0"/>
                      <w:jc w:val="center"/>
                      <w:rPr>
                        <w:rFonts w:ascii="Arial"/>
                        <w:b/>
                        <w:sz w:val="28"/>
                      </w:rPr>
                    </w:pPr>
                    <w:r>
                      <w:rPr>
                        <w:rFonts w:ascii="Arial"/>
                        <w:b/>
                        <w:sz w:val="28"/>
                      </w:rPr>
                      <w:t>Chitty on Contracts 32nd </w:t>
                    </w:r>
                    <w:r>
                      <w:rPr>
                        <w:rFonts w:ascii="Arial"/>
                        <w:b/>
                        <w:spacing w:val="-5"/>
                        <w:sz w:val="28"/>
                      </w:rPr>
                      <w:t>Ed.</w:t>
                    </w:r>
                  </w:p>
                  <w:p>
                    <w:pPr>
                      <w:spacing w:line="408" w:lineRule="auto" w:before="197"/>
                      <w:ind w:left="2" w:right="0"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248" w:right="1245" w:firstLine="0"/>
                      <w:jc w:val="center"/>
                      <w:rPr>
                        <w:rFonts w:ascii="Arial"/>
                        <w:b/>
                        <w:position w:val="11"/>
                        <w:sz w:val="12"/>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4 - Consideration </w:t>
                    </w:r>
                    <w:r>
                      <w:rPr>
                        <w:rFonts w:ascii="Arial"/>
                        <w:b/>
                        <w:color w:val="005DA1"/>
                        <w:position w:val="11"/>
                        <w:sz w:val="12"/>
                      </w:rPr>
                      <w:t>1</w:t>
                    </w:r>
                  </w:p>
                  <w:p>
                    <w:pPr>
                      <w:spacing w:before="2"/>
                      <w:ind w:left="2" w:right="2" w:firstLine="0"/>
                      <w:jc w:val="center"/>
                      <w:rPr>
                        <w:rFonts w:ascii="Arial"/>
                        <w:b/>
                        <w:sz w:val="24"/>
                      </w:rPr>
                    </w:pPr>
                    <w:r>
                      <w:rPr>
                        <w:rFonts w:ascii="Arial"/>
                        <w:b/>
                        <w:sz w:val="24"/>
                      </w:rPr>
                      <w:t>Section 9. - Discharge and Variation of Contractual </w:t>
                    </w:r>
                    <w:r>
                      <w:rPr>
                        <w:rFonts w:ascii="Arial"/>
                        <w:b/>
                        <w:spacing w:val="-2"/>
                        <w:sz w:val="24"/>
                      </w:rPr>
                      <w:t>Duties</w:t>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71904">
              <wp:simplePos x="0" y="0"/>
              <wp:positionH relativeFrom="page">
                <wp:posOffset>6278473</wp:posOffset>
              </wp:positionH>
              <wp:positionV relativeFrom="page">
                <wp:posOffset>617496</wp:posOffset>
              </wp:positionV>
              <wp:extent cx="347980" cy="13906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144576" type="#_x0000_t202" id="docshape4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72416">
              <wp:simplePos x="0" y="0"/>
              <wp:positionH relativeFrom="page">
                <wp:posOffset>4707940</wp:posOffset>
              </wp:positionH>
              <wp:positionV relativeFrom="page">
                <wp:posOffset>2301773</wp:posOffset>
              </wp:positionV>
              <wp:extent cx="42545"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1144064" from="370.70401pt,181.242004pt" to="374.04001pt,181.24200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2172928">
              <wp:simplePos x="0" y="0"/>
              <wp:positionH relativeFrom="page">
                <wp:posOffset>6278473</wp:posOffset>
              </wp:positionH>
              <wp:positionV relativeFrom="page">
                <wp:posOffset>617496</wp:posOffset>
              </wp:positionV>
              <wp:extent cx="347980" cy="13906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143552" type="#_x0000_t202" id="docshape5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2173440">
              <wp:simplePos x="0" y="0"/>
              <wp:positionH relativeFrom="page">
                <wp:posOffset>1642516</wp:posOffset>
              </wp:positionH>
              <wp:positionV relativeFrom="page">
                <wp:posOffset>991846</wp:posOffset>
              </wp:positionV>
              <wp:extent cx="4267835" cy="171894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4267835" cy="1718945"/>
                      </a:xfrm>
                      <a:prstGeom prst="rect">
                        <a:avLst/>
                      </a:prstGeom>
                    </wps:spPr>
                    <wps:txbx>
                      <w:txbxContent>
                        <w:p>
                          <w:pPr>
                            <w:spacing w:before="11"/>
                            <w:ind w:left="2" w:right="2" w:firstLine="0"/>
                            <w:jc w:val="center"/>
                            <w:rPr>
                              <w:rFonts w:ascii="Arial"/>
                              <w:b/>
                              <w:sz w:val="28"/>
                            </w:rPr>
                          </w:pPr>
                          <w:r>
                            <w:rPr>
                              <w:rFonts w:ascii="Arial"/>
                              <w:b/>
                              <w:sz w:val="28"/>
                            </w:rPr>
                            <w:t>Chitty on Contracts 32nd </w:t>
                          </w:r>
                          <w:r>
                            <w:rPr>
                              <w:rFonts w:ascii="Arial"/>
                              <w:b/>
                              <w:spacing w:val="-5"/>
                              <w:sz w:val="28"/>
                            </w:rPr>
                            <w:t>Ed.</w:t>
                          </w:r>
                        </w:p>
                        <w:p>
                          <w:pPr>
                            <w:spacing w:line="408" w:lineRule="auto" w:before="197"/>
                            <w:ind w:left="2" w:right="0"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248" w:right="1245" w:firstLine="0"/>
                            <w:jc w:val="center"/>
                            <w:rPr>
                              <w:rFonts w:ascii="Arial"/>
                              <w:b/>
                              <w:position w:val="11"/>
                              <w:sz w:val="12"/>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4 - Consideration </w:t>
                          </w:r>
                          <w:r>
                            <w:rPr>
                              <w:rFonts w:ascii="Arial"/>
                              <w:b/>
                              <w:color w:val="005DA1"/>
                              <w:position w:val="11"/>
                              <w:sz w:val="12"/>
                            </w:rPr>
                            <w:t>1</w:t>
                          </w:r>
                        </w:p>
                        <w:p>
                          <w:pPr>
                            <w:spacing w:before="2"/>
                            <w:ind w:left="2" w:right="2" w:firstLine="0"/>
                            <w:jc w:val="center"/>
                            <w:rPr>
                              <w:rFonts w:ascii="Arial"/>
                              <w:b/>
                              <w:sz w:val="24"/>
                            </w:rPr>
                          </w:pPr>
                          <w:r>
                            <w:rPr>
                              <w:rFonts w:ascii="Arial"/>
                              <w:b/>
                              <w:sz w:val="24"/>
                            </w:rPr>
                            <w:t>Section 9. - Discharge and Variation of Contractual </w:t>
                          </w:r>
                          <w:r>
                            <w:rPr>
                              <w:rFonts w:ascii="Arial"/>
                              <w:b/>
                              <w:spacing w:val="-2"/>
                              <w:sz w:val="24"/>
                            </w:rPr>
                            <w:t>Duties</w:t>
                          </w:r>
                        </w:p>
                      </w:txbxContent>
                    </wps:txbx>
                    <wps:bodyPr wrap="square" lIns="0" tIns="0" rIns="0" bIns="0" rtlCol="0">
                      <a:noAutofit/>
                    </wps:bodyPr>
                  </wps:wsp>
                </a:graphicData>
              </a:graphic>
            </wp:anchor>
          </w:drawing>
        </mc:Choice>
        <mc:Fallback>
          <w:pict>
            <v:shape style="position:absolute;margin-left:129.332001pt;margin-top:78.098175pt;width:336.05pt;height:135.35pt;mso-position-horizontal-relative:page;mso-position-vertical-relative:page;z-index:-21143040" type="#_x0000_t202" id="docshape51" filled="false" stroked="false">
              <v:textbox inset="0,0,0,0">
                <w:txbxContent>
                  <w:p>
                    <w:pPr>
                      <w:spacing w:before="11"/>
                      <w:ind w:left="2" w:right="2" w:firstLine="0"/>
                      <w:jc w:val="center"/>
                      <w:rPr>
                        <w:rFonts w:ascii="Arial"/>
                        <w:b/>
                        <w:sz w:val="28"/>
                      </w:rPr>
                    </w:pPr>
                    <w:r>
                      <w:rPr>
                        <w:rFonts w:ascii="Arial"/>
                        <w:b/>
                        <w:sz w:val="28"/>
                      </w:rPr>
                      <w:t>Chitty on Contracts 32nd </w:t>
                    </w:r>
                    <w:r>
                      <w:rPr>
                        <w:rFonts w:ascii="Arial"/>
                        <w:b/>
                        <w:spacing w:val="-5"/>
                        <w:sz w:val="28"/>
                      </w:rPr>
                      <w:t>Ed.</w:t>
                    </w:r>
                  </w:p>
                  <w:p>
                    <w:pPr>
                      <w:spacing w:line="408" w:lineRule="auto" w:before="197"/>
                      <w:ind w:left="2" w:right="0"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248" w:right="1245" w:firstLine="0"/>
                      <w:jc w:val="center"/>
                      <w:rPr>
                        <w:rFonts w:ascii="Arial"/>
                        <w:b/>
                        <w:position w:val="11"/>
                        <w:sz w:val="12"/>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4 - Consideration </w:t>
                    </w:r>
                    <w:r>
                      <w:rPr>
                        <w:rFonts w:ascii="Arial"/>
                        <w:b/>
                        <w:color w:val="005DA1"/>
                        <w:position w:val="11"/>
                        <w:sz w:val="12"/>
                      </w:rPr>
                      <w:t>1</w:t>
                    </w:r>
                  </w:p>
                  <w:p>
                    <w:pPr>
                      <w:spacing w:before="2"/>
                      <w:ind w:left="2" w:right="2" w:firstLine="0"/>
                      <w:jc w:val="center"/>
                      <w:rPr>
                        <w:rFonts w:ascii="Arial"/>
                        <w:b/>
                        <w:sz w:val="24"/>
                      </w:rPr>
                    </w:pPr>
                    <w:r>
                      <w:rPr>
                        <w:rFonts w:ascii="Arial"/>
                        <w:b/>
                        <w:sz w:val="24"/>
                      </w:rPr>
                      <w:t>Section 9. - Discharge and Variation of Contractual </w:t>
                    </w:r>
                    <w:r>
                      <w:rPr>
                        <w:rFonts w:ascii="Arial"/>
                        <w:b/>
                        <w:spacing w:val="-2"/>
                        <w:sz w:val="24"/>
                      </w:rPr>
                      <w:t>Duties</w:t>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73952">
              <wp:simplePos x="0" y="0"/>
              <wp:positionH relativeFrom="page">
                <wp:posOffset>6278473</wp:posOffset>
              </wp:positionH>
              <wp:positionV relativeFrom="page">
                <wp:posOffset>617496</wp:posOffset>
              </wp:positionV>
              <wp:extent cx="347980" cy="13906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3</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142528" type="#_x0000_t202" id="docshape5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3</w:t>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74464">
              <wp:simplePos x="0" y="0"/>
              <wp:positionH relativeFrom="page">
                <wp:posOffset>6278473</wp:posOffset>
              </wp:positionH>
              <wp:positionV relativeFrom="page">
                <wp:posOffset>617496</wp:posOffset>
              </wp:positionV>
              <wp:extent cx="386080" cy="13906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42016" type="#_x0000_t202" id="docshape5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74976">
              <wp:simplePos x="0" y="0"/>
              <wp:positionH relativeFrom="page">
                <wp:posOffset>6278473</wp:posOffset>
              </wp:positionH>
              <wp:positionV relativeFrom="page">
                <wp:posOffset>617496</wp:posOffset>
              </wp:positionV>
              <wp:extent cx="347980" cy="13906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141504" type="#_x0000_t202" id="docshape5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75488">
              <wp:simplePos x="0" y="0"/>
              <wp:positionH relativeFrom="page">
                <wp:posOffset>6278473</wp:posOffset>
              </wp:positionH>
              <wp:positionV relativeFrom="page">
                <wp:posOffset>617496</wp:posOffset>
              </wp:positionV>
              <wp:extent cx="386080" cy="13906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3</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40992" type="#_x0000_t202" id="docshape5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3</w:t>
                    </w:r>
                    <w:r>
                      <w:rPr>
                        <w:rFonts w:ascii="Arial"/>
                        <w:i/>
                        <w:spacing w:val="-10"/>
                        <w:sz w:val="16"/>
                      </w:rPr>
                      <w:fldChar w:fldCharType="end"/>
                    </w:r>
                  </w:p>
                </w:txbxContent>
              </v:textbox>
              <w10:wrap type="none"/>
            </v:shape>
          </w:pict>
        </mc:Fallback>
      </mc:AlternateContent>
    </w: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76000">
              <wp:simplePos x="0" y="0"/>
              <wp:positionH relativeFrom="page">
                <wp:posOffset>6221984</wp:posOffset>
              </wp:positionH>
              <wp:positionV relativeFrom="page">
                <wp:posOffset>617496</wp:posOffset>
              </wp:positionV>
              <wp:extent cx="442595" cy="13906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11</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140480" type="#_x0000_t202" id="docshape5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11</w:t>
                    </w:r>
                    <w:r>
                      <w:rPr>
                        <w:rFonts w:ascii="Arial"/>
                        <w:i/>
                        <w:spacing w:val="-5"/>
                        <w:sz w:val="16"/>
                      </w:rPr>
                      <w:fldChar w:fldCharType="end"/>
                    </w:r>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76512">
              <wp:simplePos x="0" y="0"/>
              <wp:positionH relativeFrom="page">
                <wp:posOffset>6221984</wp:posOffset>
              </wp:positionH>
              <wp:positionV relativeFrom="page">
                <wp:posOffset>617496</wp:posOffset>
              </wp:positionV>
              <wp:extent cx="442595" cy="13906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139968" type="#_x0000_t202" id="docshape5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77024">
              <wp:simplePos x="0" y="0"/>
              <wp:positionH relativeFrom="page">
                <wp:posOffset>6278473</wp:posOffset>
              </wp:positionH>
              <wp:positionV relativeFrom="page">
                <wp:posOffset>617496</wp:posOffset>
              </wp:positionV>
              <wp:extent cx="386080" cy="13906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39456" type="#_x0000_t202" id="docshape6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57056">
              <wp:simplePos x="0" y="0"/>
              <wp:positionH relativeFrom="page">
                <wp:posOffset>6278473</wp:posOffset>
              </wp:positionH>
              <wp:positionV relativeFrom="page">
                <wp:posOffset>617496</wp:posOffset>
              </wp:positionV>
              <wp:extent cx="386080" cy="1390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4</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59424" type="#_x0000_t202" id="docshape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4</w:t>
                    </w:r>
                    <w:r>
                      <w:rPr>
                        <w:rFonts w:ascii="Arial"/>
                        <w:i/>
                        <w:spacing w:val="-10"/>
                        <w:sz w:val="16"/>
                      </w:rPr>
                      <w:fldChar w:fldCharType="end"/>
                    </w:r>
                  </w:p>
                </w:txbxContent>
              </v:textbox>
              <w10:wrap type="none"/>
            </v:shape>
          </w:pict>
        </mc:Fallback>
      </mc:AlternateContent>
    </w: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77536">
              <wp:simplePos x="0" y="0"/>
              <wp:positionH relativeFrom="page">
                <wp:posOffset>6278473</wp:posOffset>
              </wp:positionH>
              <wp:positionV relativeFrom="page">
                <wp:posOffset>617496</wp:posOffset>
              </wp:positionV>
              <wp:extent cx="386080" cy="13906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38944" type="#_x0000_t202" id="docshape6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78048">
              <wp:simplePos x="0" y="0"/>
              <wp:positionH relativeFrom="page">
                <wp:posOffset>6278473</wp:posOffset>
              </wp:positionH>
              <wp:positionV relativeFrom="page">
                <wp:posOffset>617496</wp:posOffset>
              </wp:positionV>
              <wp:extent cx="386080" cy="13906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38432" type="#_x0000_t202" id="docshape6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78560">
              <wp:simplePos x="0" y="0"/>
              <wp:positionH relativeFrom="page">
                <wp:posOffset>6278473</wp:posOffset>
              </wp:positionH>
              <wp:positionV relativeFrom="page">
                <wp:posOffset>617496</wp:posOffset>
              </wp:positionV>
              <wp:extent cx="386080" cy="13906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37920" type="#_x0000_t202" id="docshape6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79072">
              <wp:simplePos x="0" y="0"/>
              <wp:positionH relativeFrom="page">
                <wp:posOffset>6278473</wp:posOffset>
              </wp:positionH>
              <wp:positionV relativeFrom="page">
                <wp:posOffset>617496</wp:posOffset>
              </wp:positionV>
              <wp:extent cx="386080" cy="139065"/>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37408" type="#_x0000_t202" id="docshape6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79584">
              <wp:simplePos x="0" y="0"/>
              <wp:positionH relativeFrom="page">
                <wp:posOffset>6278473</wp:posOffset>
              </wp:positionH>
              <wp:positionV relativeFrom="page">
                <wp:posOffset>617496</wp:posOffset>
              </wp:positionV>
              <wp:extent cx="386080" cy="13906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36896" type="#_x0000_t202" id="docshape6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80096">
              <wp:simplePos x="0" y="0"/>
              <wp:positionH relativeFrom="page">
                <wp:posOffset>6278473</wp:posOffset>
              </wp:positionH>
              <wp:positionV relativeFrom="page">
                <wp:posOffset>617496</wp:posOffset>
              </wp:positionV>
              <wp:extent cx="386080" cy="13906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36384" type="#_x0000_t202" id="docshape7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80608">
              <wp:simplePos x="0" y="0"/>
              <wp:positionH relativeFrom="page">
                <wp:posOffset>6278473</wp:posOffset>
              </wp:positionH>
              <wp:positionV relativeFrom="page">
                <wp:posOffset>617496</wp:posOffset>
              </wp:positionV>
              <wp:extent cx="347980" cy="13906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135872" type="#_x0000_t202" id="docshape7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81120">
              <wp:simplePos x="0" y="0"/>
              <wp:positionH relativeFrom="page">
                <wp:posOffset>6278473</wp:posOffset>
              </wp:positionH>
              <wp:positionV relativeFrom="page">
                <wp:posOffset>617496</wp:posOffset>
              </wp:positionV>
              <wp:extent cx="386080" cy="13906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35360" type="#_x0000_t202" id="docshape7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81632">
              <wp:simplePos x="0" y="0"/>
              <wp:positionH relativeFrom="page">
                <wp:posOffset>6278473</wp:posOffset>
              </wp:positionH>
              <wp:positionV relativeFrom="page">
                <wp:posOffset>617496</wp:posOffset>
              </wp:positionV>
              <wp:extent cx="386080" cy="13906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34848" type="#_x0000_t202" id="docshape7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82144">
              <wp:simplePos x="0" y="0"/>
              <wp:positionH relativeFrom="page">
                <wp:posOffset>6221984</wp:posOffset>
              </wp:positionH>
              <wp:positionV relativeFrom="page">
                <wp:posOffset>617496</wp:posOffset>
              </wp:positionV>
              <wp:extent cx="442595" cy="139065"/>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11</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134336" type="#_x0000_t202" id="docshape7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11</w:t>
                    </w:r>
                    <w:r>
                      <w:rPr>
                        <w:rFonts w:ascii="Arial"/>
                        <w:i/>
                        <w:spacing w:val="-5"/>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57568">
              <wp:simplePos x="0" y="0"/>
              <wp:positionH relativeFrom="page">
                <wp:posOffset>6278473</wp:posOffset>
              </wp:positionH>
              <wp:positionV relativeFrom="page">
                <wp:posOffset>617496</wp:posOffset>
              </wp:positionV>
              <wp:extent cx="386080" cy="1390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58912" type="#_x0000_t202" id="docshape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82656">
              <wp:simplePos x="0" y="0"/>
              <wp:positionH relativeFrom="page">
                <wp:posOffset>6221984</wp:posOffset>
              </wp:positionH>
              <wp:positionV relativeFrom="page">
                <wp:posOffset>617496</wp:posOffset>
              </wp:positionV>
              <wp:extent cx="442595" cy="13906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133824" type="#_x0000_t202" id="docshape7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83168">
              <wp:simplePos x="0" y="0"/>
              <wp:positionH relativeFrom="page">
                <wp:posOffset>6221984</wp:posOffset>
              </wp:positionH>
              <wp:positionV relativeFrom="page">
                <wp:posOffset>617496</wp:posOffset>
              </wp:positionV>
              <wp:extent cx="442595" cy="13906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11</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133312" type="#_x0000_t202" id="docshape8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11</w:t>
                    </w:r>
                    <w:r>
                      <w:rPr>
                        <w:rFonts w:ascii="Arial"/>
                        <w:i/>
                        <w:spacing w:val="-5"/>
                        <w:sz w:val="16"/>
                      </w:rPr>
                      <w:fldChar w:fldCharType="end"/>
                    </w:r>
                  </w:p>
                </w:txbxContent>
              </v:textbox>
              <w10:wrap type="none"/>
            </v:shape>
          </w:pict>
        </mc:Fallback>
      </mc:AlternateContent>
    </w:r>
  </w:p>
</w:hdr>
</file>

<file path=word/header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83680">
              <wp:simplePos x="0" y="0"/>
              <wp:positionH relativeFrom="page">
                <wp:posOffset>6221984</wp:posOffset>
              </wp:positionH>
              <wp:positionV relativeFrom="page">
                <wp:posOffset>617496</wp:posOffset>
              </wp:positionV>
              <wp:extent cx="442595" cy="139065"/>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132800" type="#_x0000_t202" id="docshape8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84192">
              <wp:simplePos x="0" y="0"/>
              <wp:positionH relativeFrom="page">
                <wp:posOffset>6278473</wp:posOffset>
              </wp:positionH>
              <wp:positionV relativeFrom="page">
                <wp:posOffset>617496</wp:posOffset>
              </wp:positionV>
              <wp:extent cx="386080" cy="139065"/>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32288" type="#_x0000_t202" id="docshape8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84704">
              <wp:simplePos x="0" y="0"/>
              <wp:positionH relativeFrom="page">
                <wp:posOffset>6278473</wp:posOffset>
              </wp:positionH>
              <wp:positionV relativeFrom="page">
                <wp:posOffset>617496</wp:posOffset>
              </wp:positionV>
              <wp:extent cx="386080" cy="13906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31776" type="#_x0000_t202" id="docshape8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85216">
              <wp:simplePos x="0" y="0"/>
              <wp:positionH relativeFrom="page">
                <wp:posOffset>6221984</wp:posOffset>
              </wp:positionH>
              <wp:positionV relativeFrom="page">
                <wp:posOffset>617496</wp:posOffset>
              </wp:positionV>
              <wp:extent cx="442595" cy="139065"/>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11</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131264" type="#_x0000_t202" id="docshape8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11</w:t>
                    </w:r>
                    <w:r>
                      <w:rPr>
                        <w:rFonts w:ascii="Arial"/>
                        <w:i/>
                        <w:spacing w:val="-5"/>
                        <w:sz w:val="16"/>
                      </w:rPr>
                      <w:fldChar w:fldCharType="end"/>
                    </w:r>
                  </w:p>
                </w:txbxContent>
              </v:textbox>
              <w10:wrap type="none"/>
            </v:shape>
          </w:pict>
        </mc:Fallback>
      </mc:AlternateContent>
    </w:r>
  </w:p>
</w:hdr>
</file>

<file path=word/header5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85728">
              <wp:simplePos x="0" y="0"/>
              <wp:positionH relativeFrom="page">
                <wp:posOffset>6221984</wp:posOffset>
              </wp:positionH>
              <wp:positionV relativeFrom="page">
                <wp:posOffset>617496</wp:posOffset>
              </wp:positionV>
              <wp:extent cx="442595" cy="139065"/>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130752" type="#_x0000_t202" id="docshape8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58080">
              <wp:simplePos x="0" y="0"/>
              <wp:positionH relativeFrom="page">
                <wp:posOffset>6278473</wp:posOffset>
              </wp:positionH>
              <wp:positionV relativeFrom="page">
                <wp:posOffset>617496</wp:posOffset>
              </wp:positionV>
              <wp:extent cx="386080" cy="13906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58400" type="#_x0000_t202" id="docshape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58592">
              <wp:simplePos x="0" y="0"/>
              <wp:positionH relativeFrom="page">
                <wp:posOffset>6278473</wp:posOffset>
              </wp:positionH>
              <wp:positionV relativeFrom="page">
                <wp:posOffset>617496</wp:posOffset>
              </wp:positionV>
              <wp:extent cx="386080" cy="13906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57888" type="#_x0000_t202" id="docshape1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59104">
              <wp:simplePos x="0" y="0"/>
              <wp:positionH relativeFrom="page">
                <wp:posOffset>6278473</wp:posOffset>
              </wp:positionH>
              <wp:positionV relativeFrom="page">
                <wp:posOffset>617496</wp:posOffset>
              </wp:positionV>
              <wp:extent cx="386080" cy="1390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57376" type="#_x0000_t202" id="docshape1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159616">
              <wp:simplePos x="0" y="0"/>
              <wp:positionH relativeFrom="page">
                <wp:posOffset>6278473</wp:posOffset>
              </wp:positionH>
              <wp:positionV relativeFrom="page">
                <wp:posOffset>617496</wp:posOffset>
              </wp:positionV>
              <wp:extent cx="386080" cy="13906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56864" type="#_x0000_t202" id="docshape1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Roman"/>
      <w:lvlText w:val="(%1)"/>
      <w:lvlJc w:val="left"/>
      <w:pPr>
        <w:ind w:left="3025" w:hanging="29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653" w:hanging="294"/>
      </w:pPr>
      <w:rPr>
        <w:rFonts w:hint="default"/>
        <w:lang w:val="en-US" w:eastAsia="en-US" w:bidi="ar-SA"/>
      </w:rPr>
    </w:lvl>
    <w:lvl w:ilvl="2">
      <w:start w:val="0"/>
      <w:numFmt w:val="bullet"/>
      <w:lvlText w:val="•"/>
      <w:lvlJc w:val="left"/>
      <w:pPr>
        <w:ind w:left="4286" w:hanging="294"/>
      </w:pPr>
      <w:rPr>
        <w:rFonts w:hint="default"/>
        <w:lang w:val="en-US" w:eastAsia="en-US" w:bidi="ar-SA"/>
      </w:rPr>
    </w:lvl>
    <w:lvl w:ilvl="3">
      <w:start w:val="0"/>
      <w:numFmt w:val="bullet"/>
      <w:lvlText w:val="•"/>
      <w:lvlJc w:val="left"/>
      <w:pPr>
        <w:ind w:left="4919" w:hanging="294"/>
      </w:pPr>
      <w:rPr>
        <w:rFonts w:hint="default"/>
        <w:lang w:val="en-US" w:eastAsia="en-US" w:bidi="ar-SA"/>
      </w:rPr>
    </w:lvl>
    <w:lvl w:ilvl="4">
      <w:start w:val="0"/>
      <w:numFmt w:val="bullet"/>
      <w:lvlText w:val="•"/>
      <w:lvlJc w:val="left"/>
      <w:pPr>
        <w:ind w:left="5552" w:hanging="294"/>
      </w:pPr>
      <w:rPr>
        <w:rFonts w:hint="default"/>
        <w:lang w:val="en-US" w:eastAsia="en-US" w:bidi="ar-SA"/>
      </w:rPr>
    </w:lvl>
    <w:lvl w:ilvl="5">
      <w:start w:val="0"/>
      <w:numFmt w:val="bullet"/>
      <w:lvlText w:val="•"/>
      <w:lvlJc w:val="left"/>
      <w:pPr>
        <w:ind w:left="6185" w:hanging="294"/>
      </w:pPr>
      <w:rPr>
        <w:rFonts w:hint="default"/>
        <w:lang w:val="en-US" w:eastAsia="en-US" w:bidi="ar-SA"/>
      </w:rPr>
    </w:lvl>
    <w:lvl w:ilvl="6">
      <w:start w:val="0"/>
      <w:numFmt w:val="bullet"/>
      <w:lvlText w:val="•"/>
      <w:lvlJc w:val="left"/>
      <w:pPr>
        <w:ind w:left="6818" w:hanging="294"/>
      </w:pPr>
      <w:rPr>
        <w:rFonts w:hint="default"/>
        <w:lang w:val="en-US" w:eastAsia="en-US" w:bidi="ar-SA"/>
      </w:rPr>
    </w:lvl>
    <w:lvl w:ilvl="7">
      <w:start w:val="0"/>
      <w:numFmt w:val="bullet"/>
      <w:lvlText w:val="•"/>
      <w:lvlJc w:val="left"/>
      <w:pPr>
        <w:ind w:left="7451" w:hanging="294"/>
      </w:pPr>
      <w:rPr>
        <w:rFonts w:hint="default"/>
        <w:lang w:val="en-US" w:eastAsia="en-US" w:bidi="ar-SA"/>
      </w:rPr>
    </w:lvl>
    <w:lvl w:ilvl="8">
      <w:start w:val="0"/>
      <w:numFmt w:val="bullet"/>
      <w:lvlText w:val="•"/>
      <w:lvlJc w:val="left"/>
      <w:pPr>
        <w:ind w:left="8084" w:hanging="294"/>
      </w:pPr>
      <w:rPr>
        <w:rFonts w:hint="default"/>
        <w:lang w:val="en-US" w:eastAsia="en-US" w:bidi="ar-SA"/>
      </w:rPr>
    </w:lvl>
  </w:abstractNum>
  <w:abstractNum w:abstractNumId="6">
    <w:multiLevelType w:val="hybridMultilevel"/>
    <w:lvl w:ilvl="0">
      <w:start w:val="1"/>
      <w:numFmt w:val="lowerLetter"/>
      <w:lvlText w:val="(%1)"/>
      <w:lvlJc w:val="left"/>
      <w:pPr>
        <w:ind w:left="3518"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103" w:hanging="361"/>
      </w:pPr>
      <w:rPr>
        <w:rFonts w:hint="default"/>
        <w:lang w:val="en-US" w:eastAsia="en-US" w:bidi="ar-SA"/>
      </w:rPr>
    </w:lvl>
    <w:lvl w:ilvl="2">
      <w:start w:val="0"/>
      <w:numFmt w:val="bullet"/>
      <w:lvlText w:val="•"/>
      <w:lvlJc w:val="left"/>
      <w:pPr>
        <w:ind w:left="4686" w:hanging="361"/>
      </w:pPr>
      <w:rPr>
        <w:rFonts w:hint="default"/>
        <w:lang w:val="en-US" w:eastAsia="en-US" w:bidi="ar-SA"/>
      </w:rPr>
    </w:lvl>
    <w:lvl w:ilvl="3">
      <w:start w:val="0"/>
      <w:numFmt w:val="bullet"/>
      <w:lvlText w:val="•"/>
      <w:lvlJc w:val="left"/>
      <w:pPr>
        <w:ind w:left="5269" w:hanging="361"/>
      </w:pPr>
      <w:rPr>
        <w:rFonts w:hint="default"/>
        <w:lang w:val="en-US" w:eastAsia="en-US" w:bidi="ar-SA"/>
      </w:rPr>
    </w:lvl>
    <w:lvl w:ilvl="4">
      <w:start w:val="0"/>
      <w:numFmt w:val="bullet"/>
      <w:lvlText w:val="•"/>
      <w:lvlJc w:val="left"/>
      <w:pPr>
        <w:ind w:left="5852" w:hanging="361"/>
      </w:pPr>
      <w:rPr>
        <w:rFonts w:hint="default"/>
        <w:lang w:val="en-US" w:eastAsia="en-US" w:bidi="ar-SA"/>
      </w:rPr>
    </w:lvl>
    <w:lvl w:ilvl="5">
      <w:start w:val="0"/>
      <w:numFmt w:val="bullet"/>
      <w:lvlText w:val="•"/>
      <w:lvlJc w:val="left"/>
      <w:pPr>
        <w:ind w:left="6435" w:hanging="361"/>
      </w:pPr>
      <w:rPr>
        <w:rFonts w:hint="default"/>
        <w:lang w:val="en-US" w:eastAsia="en-US" w:bidi="ar-SA"/>
      </w:rPr>
    </w:lvl>
    <w:lvl w:ilvl="6">
      <w:start w:val="0"/>
      <w:numFmt w:val="bullet"/>
      <w:lvlText w:val="•"/>
      <w:lvlJc w:val="left"/>
      <w:pPr>
        <w:ind w:left="7018" w:hanging="361"/>
      </w:pPr>
      <w:rPr>
        <w:rFonts w:hint="default"/>
        <w:lang w:val="en-US" w:eastAsia="en-US" w:bidi="ar-SA"/>
      </w:rPr>
    </w:lvl>
    <w:lvl w:ilvl="7">
      <w:start w:val="0"/>
      <w:numFmt w:val="bullet"/>
      <w:lvlText w:val="•"/>
      <w:lvlJc w:val="left"/>
      <w:pPr>
        <w:ind w:left="7601" w:hanging="361"/>
      </w:pPr>
      <w:rPr>
        <w:rFonts w:hint="default"/>
        <w:lang w:val="en-US" w:eastAsia="en-US" w:bidi="ar-SA"/>
      </w:rPr>
    </w:lvl>
    <w:lvl w:ilvl="8">
      <w:start w:val="0"/>
      <w:numFmt w:val="bullet"/>
      <w:lvlText w:val="•"/>
      <w:lvlJc w:val="left"/>
      <w:pPr>
        <w:ind w:left="8184" w:hanging="361"/>
      </w:pPr>
      <w:rPr>
        <w:rFonts w:hint="default"/>
        <w:lang w:val="en-US" w:eastAsia="en-US" w:bidi="ar-SA"/>
      </w:rPr>
    </w:lvl>
  </w:abstractNum>
  <w:abstractNum w:abstractNumId="9">
    <w:multiLevelType w:val="hybridMultilevel"/>
    <w:lvl w:ilvl="0">
      <w:start w:val="1"/>
      <w:numFmt w:val="decimal"/>
      <w:lvlText w:val="(%1)"/>
      <w:lvlJc w:val="left"/>
      <w:pPr>
        <w:ind w:left="435" w:hanging="271"/>
        <w:jc w:val="left"/>
      </w:pPr>
      <w:rPr>
        <w:rFonts w:hint="default" w:ascii="Arial" w:hAnsi="Arial" w:eastAsia="Arial" w:cs="Arial"/>
        <w:b/>
        <w:bCs/>
        <w:i w:val="0"/>
        <w:iCs w:val="0"/>
        <w:spacing w:val="0"/>
        <w:w w:val="100"/>
        <w:sz w:val="18"/>
        <w:szCs w:val="18"/>
        <w:lang w:val="en-US" w:eastAsia="en-US" w:bidi="ar-SA"/>
      </w:rPr>
    </w:lvl>
    <w:lvl w:ilvl="1">
      <w:start w:val="0"/>
      <w:numFmt w:val="bullet"/>
      <w:lvlText w:val="•"/>
      <w:lvlJc w:val="left"/>
      <w:pPr>
        <w:ind w:left="1331" w:hanging="271"/>
      </w:pPr>
      <w:rPr>
        <w:rFonts w:hint="default"/>
        <w:lang w:val="en-US" w:eastAsia="en-US" w:bidi="ar-SA"/>
      </w:rPr>
    </w:lvl>
    <w:lvl w:ilvl="2">
      <w:start w:val="0"/>
      <w:numFmt w:val="bullet"/>
      <w:lvlText w:val="•"/>
      <w:lvlJc w:val="left"/>
      <w:pPr>
        <w:ind w:left="2222" w:hanging="271"/>
      </w:pPr>
      <w:rPr>
        <w:rFonts w:hint="default"/>
        <w:lang w:val="en-US" w:eastAsia="en-US" w:bidi="ar-SA"/>
      </w:rPr>
    </w:lvl>
    <w:lvl w:ilvl="3">
      <w:start w:val="0"/>
      <w:numFmt w:val="bullet"/>
      <w:lvlText w:val="•"/>
      <w:lvlJc w:val="left"/>
      <w:pPr>
        <w:ind w:left="3113" w:hanging="271"/>
      </w:pPr>
      <w:rPr>
        <w:rFonts w:hint="default"/>
        <w:lang w:val="en-US" w:eastAsia="en-US" w:bidi="ar-SA"/>
      </w:rPr>
    </w:lvl>
    <w:lvl w:ilvl="4">
      <w:start w:val="0"/>
      <w:numFmt w:val="bullet"/>
      <w:lvlText w:val="•"/>
      <w:lvlJc w:val="left"/>
      <w:pPr>
        <w:ind w:left="4004" w:hanging="271"/>
      </w:pPr>
      <w:rPr>
        <w:rFonts w:hint="default"/>
        <w:lang w:val="en-US" w:eastAsia="en-US" w:bidi="ar-SA"/>
      </w:rPr>
    </w:lvl>
    <w:lvl w:ilvl="5">
      <w:start w:val="0"/>
      <w:numFmt w:val="bullet"/>
      <w:lvlText w:val="•"/>
      <w:lvlJc w:val="left"/>
      <w:pPr>
        <w:ind w:left="4895" w:hanging="271"/>
      </w:pPr>
      <w:rPr>
        <w:rFonts w:hint="default"/>
        <w:lang w:val="en-US" w:eastAsia="en-US" w:bidi="ar-SA"/>
      </w:rPr>
    </w:lvl>
    <w:lvl w:ilvl="6">
      <w:start w:val="0"/>
      <w:numFmt w:val="bullet"/>
      <w:lvlText w:val="•"/>
      <w:lvlJc w:val="left"/>
      <w:pPr>
        <w:ind w:left="5786" w:hanging="271"/>
      </w:pPr>
      <w:rPr>
        <w:rFonts w:hint="default"/>
        <w:lang w:val="en-US" w:eastAsia="en-US" w:bidi="ar-SA"/>
      </w:rPr>
    </w:lvl>
    <w:lvl w:ilvl="7">
      <w:start w:val="0"/>
      <w:numFmt w:val="bullet"/>
      <w:lvlText w:val="•"/>
      <w:lvlJc w:val="left"/>
      <w:pPr>
        <w:ind w:left="6677" w:hanging="271"/>
      </w:pPr>
      <w:rPr>
        <w:rFonts w:hint="default"/>
        <w:lang w:val="en-US" w:eastAsia="en-US" w:bidi="ar-SA"/>
      </w:rPr>
    </w:lvl>
    <w:lvl w:ilvl="8">
      <w:start w:val="0"/>
      <w:numFmt w:val="bullet"/>
      <w:lvlText w:val="•"/>
      <w:lvlJc w:val="left"/>
      <w:pPr>
        <w:ind w:left="7568" w:hanging="271"/>
      </w:pPr>
      <w:rPr>
        <w:rFonts w:hint="default"/>
        <w:lang w:val="en-US" w:eastAsia="en-US" w:bidi="ar-SA"/>
      </w:rPr>
    </w:lvl>
  </w:abstractNum>
  <w:abstractNum w:abstractNumId="8">
    <w:multiLevelType w:val="hybridMultilevel"/>
    <w:lvl w:ilvl="0">
      <w:start w:val="1"/>
      <w:numFmt w:val="decimal"/>
      <w:lvlText w:val="(%1)"/>
      <w:lvlJc w:val="left"/>
      <w:pPr>
        <w:ind w:left="165" w:hanging="303"/>
        <w:jc w:val="left"/>
      </w:pPr>
      <w:rPr>
        <w:rFonts w:hint="default" w:ascii="Arial MT" w:hAnsi="Arial MT" w:eastAsia="Arial MT" w:cs="Arial MT"/>
        <w:b w:val="0"/>
        <w:bCs w:val="0"/>
        <w:i w:val="0"/>
        <w:iCs w:val="0"/>
        <w:spacing w:val="0"/>
        <w:w w:val="100"/>
        <w:sz w:val="20"/>
        <w:szCs w:val="20"/>
        <w:lang w:val="en-US" w:eastAsia="en-US" w:bidi="ar-SA"/>
      </w:rPr>
    </w:lvl>
    <w:lvl w:ilvl="1">
      <w:start w:val="0"/>
      <w:numFmt w:val="bullet"/>
      <w:lvlText w:val="•"/>
      <w:lvlJc w:val="left"/>
      <w:pPr>
        <w:ind w:left="1079" w:hanging="303"/>
      </w:pPr>
      <w:rPr>
        <w:rFonts w:hint="default"/>
        <w:lang w:val="en-US" w:eastAsia="en-US" w:bidi="ar-SA"/>
      </w:rPr>
    </w:lvl>
    <w:lvl w:ilvl="2">
      <w:start w:val="0"/>
      <w:numFmt w:val="bullet"/>
      <w:lvlText w:val="•"/>
      <w:lvlJc w:val="left"/>
      <w:pPr>
        <w:ind w:left="1998" w:hanging="303"/>
      </w:pPr>
      <w:rPr>
        <w:rFonts w:hint="default"/>
        <w:lang w:val="en-US" w:eastAsia="en-US" w:bidi="ar-SA"/>
      </w:rPr>
    </w:lvl>
    <w:lvl w:ilvl="3">
      <w:start w:val="0"/>
      <w:numFmt w:val="bullet"/>
      <w:lvlText w:val="•"/>
      <w:lvlJc w:val="left"/>
      <w:pPr>
        <w:ind w:left="2917" w:hanging="303"/>
      </w:pPr>
      <w:rPr>
        <w:rFonts w:hint="default"/>
        <w:lang w:val="en-US" w:eastAsia="en-US" w:bidi="ar-SA"/>
      </w:rPr>
    </w:lvl>
    <w:lvl w:ilvl="4">
      <w:start w:val="0"/>
      <w:numFmt w:val="bullet"/>
      <w:lvlText w:val="•"/>
      <w:lvlJc w:val="left"/>
      <w:pPr>
        <w:ind w:left="3836" w:hanging="303"/>
      </w:pPr>
      <w:rPr>
        <w:rFonts w:hint="default"/>
        <w:lang w:val="en-US" w:eastAsia="en-US" w:bidi="ar-SA"/>
      </w:rPr>
    </w:lvl>
    <w:lvl w:ilvl="5">
      <w:start w:val="0"/>
      <w:numFmt w:val="bullet"/>
      <w:lvlText w:val="•"/>
      <w:lvlJc w:val="left"/>
      <w:pPr>
        <w:ind w:left="4755" w:hanging="303"/>
      </w:pPr>
      <w:rPr>
        <w:rFonts w:hint="default"/>
        <w:lang w:val="en-US" w:eastAsia="en-US" w:bidi="ar-SA"/>
      </w:rPr>
    </w:lvl>
    <w:lvl w:ilvl="6">
      <w:start w:val="0"/>
      <w:numFmt w:val="bullet"/>
      <w:lvlText w:val="•"/>
      <w:lvlJc w:val="left"/>
      <w:pPr>
        <w:ind w:left="5674" w:hanging="303"/>
      </w:pPr>
      <w:rPr>
        <w:rFonts w:hint="default"/>
        <w:lang w:val="en-US" w:eastAsia="en-US" w:bidi="ar-SA"/>
      </w:rPr>
    </w:lvl>
    <w:lvl w:ilvl="7">
      <w:start w:val="0"/>
      <w:numFmt w:val="bullet"/>
      <w:lvlText w:val="•"/>
      <w:lvlJc w:val="left"/>
      <w:pPr>
        <w:ind w:left="6593" w:hanging="303"/>
      </w:pPr>
      <w:rPr>
        <w:rFonts w:hint="default"/>
        <w:lang w:val="en-US" w:eastAsia="en-US" w:bidi="ar-SA"/>
      </w:rPr>
    </w:lvl>
    <w:lvl w:ilvl="8">
      <w:start w:val="0"/>
      <w:numFmt w:val="bullet"/>
      <w:lvlText w:val="•"/>
      <w:lvlJc w:val="left"/>
      <w:pPr>
        <w:ind w:left="7512" w:hanging="303"/>
      </w:pPr>
      <w:rPr>
        <w:rFonts w:hint="default"/>
        <w:lang w:val="en-US" w:eastAsia="en-US" w:bidi="ar-SA"/>
      </w:rPr>
    </w:lvl>
  </w:abstractNum>
  <w:abstractNum w:abstractNumId="7">
    <w:multiLevelType w:val="hybridMultilevel"/>
    <w:lvl w:ilvl="0">
      <w:start w:val="4"/>
      <w:numFmt w:val="lowerLetter"/>
      <w:lvlText w:val="(%1)"/>
      <w:lvlJc w:val="left"/>
      <w:pPr>
        <w:ind w:left="3505" w:hanging="37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085" w:hanging="374"/>
      </w:pPr>
      <w:rPr>
        <w:rFonts w:hint="default"/>
        <w:lang w:val="en-US" w:eastAsia="en-US" w:bidi="ar-SA"/>
      </w:rPr>
    </w:lvl>
    <w:lvl w:ilvl="2">
      <w:start w:val="0"/>
      <w:numFmt w:val="bullet"/>
      <w:lvlText w:val="•"/>
      <w:lvlJc w:val="left"/>
      <w:pPr>
        <w:ind w:left="4670" w:hanging="374"/>
      </w:pPr>
      <w:rPr>
        <w:rFonts w:hint="default"/>
        <w:lang w:val="en-US" w:eastAsia="en-US" w:bidi="ar-SA"/>
      </w:rPr>
    </w:lvl>
    <w:lvl w:ilvl="3">
      <w:start w:val="0"/>
      <w:numFmt w:val="bullet"/>
      <w:lvlText w:val="•"/>
      <w:lvlJc w:val="left"/>
      <w:pPr>
        <w:ind w:left="5255" w:hanging="374"/>
      </w:pPr>
      <w:rPr>
        <w:rFonts w:hint="default"/>
        <w:lang w:val="en-US" w:eastAsia="en-US" w:bidi="ar-SA"/>
      </w:rPr>
    </w:lvl>
    <w:lvl w:ilvl="4">
      <w:start w:val="0"/>
      <w:numFmt w:val="bullet"/>
      <w:lvlText w:val="•"/>
      <w:lvlJc w:val="left"/>
      <w:pPr>
        <w:ind w:left="5840" w:hanging="374"/>
      </w:pPr>
      <w:rPr>
        <w:rFonts w:hint="default"/>
        <w:lang w:val="en-US" w:eastAsia="en-US" w:bidi="ar-SA"/>
      </w:rPr>
    </w:lvl>
    <w:lvl w:ilvl="5">
      <w:start w:val="0"/>
      <w:numFmt w:val="bullet"/>
      <w:lvlText w:val="•"/>
      <w:lvlJc w:val="left"/>
      <w:pPr>
        <w:ind w:left="6425" w:hanging="374"/>
      </w:pPr>
      <w:rPr>
        <w:rFonts w:hint="default"/>
        <w:lang w:val="en-US" w:eastAsia="en-US" w:bidi="ar-SA"/>
      </w:rPr>
    </w:lvl>
    <w:lvl w:ilvl="6">
      <w:start w:val="0"/>
      <w:numFmt w:val="bullet"/>
      <w:lvlText w:val="•"/>
      <w:lvlJc w:val="left"/>
      <w:pPr>
        <w:ind w:left="7010" w:hanging="374"/>
      </w:pPr>
      <w:rPr>
        <w:rFonts w:hint="default"/>
        <w:lang w:val="en-US" w:eastAsia="en-US" w:bidi="ar-SA"/>
      </w:rPr>
    </w:lvl>
    <w:lvl w:ilvl="7">
      <w:start w:val="0"/>
      <w:numFmt w:val="bullet"/>
      <w:lvlText w:val="•"/>
      <w:lvlJc w:val="left"/>
      <w:pPr>
        <w:ind w:left="7595" w:hanging="374"/>
      </w:pPr>
      <w:rPr>
        <w:rFonts w:hint="default"/>
        <w:lang w:val="en-US" w:eastAsia="en-US" w:bidi="ar-SA"/>
      </w:rPr>
    </w:lvl>
    <w:lvl w:ilvl="8">
      <w:start w:val="0"/>
      <w:numFmt w:val="bullet"/>
      <w:lvlText w:val="•"/>
      <w:lvlJc w:val="left"/>
      <w:pPr>
        <w:ind w:left="8180" w:hanging="374"/>
      </w:pPr>
      <w:rPr>
        <w:rFonts w:hint="default"/>
        <w:lang w:val="en-US" w:eastAsia="en-US" w:bidi="ar-SA"/>
      </w:rPr>
    </w:lvl>
  </w:abstractNum>
  <w:abstractNum w:abstractNumId="5">
    <w:multiLevelType w:val="hybridMultilevel"/>
    <w:lvl w:ilvl="0">
      <w:start w:val="1"/>
      <w:numFmt w:val="decimal"/>
      <w:lvlText w:val="(%1)"/>
      <w:lvlJc w:val="left"/>
      <w:pPr>
        <w:ind w:left="435" w:hanging="271"/>
        <w:jc w:val="left"/>
      </w:pPr>
      <w:rPr>
        <w:rFonts w:hint="default" w:ascii="Arial" w:hAnsi="Arial" w:eastAsia="Arial" w:cs="Arial"/>
        <w:b/>
        <w:bCs/>
        <w:i w:val="0"/>
        <w:iCs w:val="0"/>
        <w:spacing w:val="0"/>
        <w:w w:val="100"/>
        <w:sz w:val="18"/>
        <w:szCs w:val="18"/>
        <w:lang w:val="en-US" w:eastAsia="en-US" w:bidi="ar-SA"/>
      </w:rPr>
    </w:lvl>
    <w:lvl w:ilvl="1">
      <w:start w:val="0"/>
      <w:numFmt w:val="bullet"/>
      <w:lvlText w:val="•"/>
      <w:lvlJc w:val="left"/>
      <w:pPr>
        <w:ind w:left="1331" w:hanging="271"/>
      </w:pPr>
      <w:rPr>
        <w:rFonts w:hint="default"/>
        <w:lang w:val="en-US" w:eastAsia="en-US" w:bidi="ar-SA"/>
      </w:rPr>
    </w:lvl>
    <w:lvl w:ilvl="2">
      <w:start w:val="0"/>
      <w:numFmt w:val="bullet"/>
      <w:lvlText w:val="•"/>
      <w:lvlJc w:val="left"/>
      <w:pPr>
        <w:ind w:left="2222" w:hanging="271"/>
      </w:pPr>
      <w:rPr>
        <w:rFonts w:hint="default"/>
        <w:lang w:val="en-US" w:eastAsia="en-US" w:bidi="ar-SA"/>
      </w:rPr>
    </w:lvl>
    <w:lvl w:ilvl="3">
      <w:start w:val="0"/>
      <w:numFmt w:val="bullet"/>
      <w:lvlText w:val="•"/>
      <w:lvlJc w:val="left"/>
      <w:pPr>
        <w:ind w:left="3113" w:hanging="271"/>
      </w:pPr>
      <w:rPr>
        <w:rFonts w:hint="default"/>
        <w:lang w:val="en-US" w:eastAsia="en-US" w:bidi="ar-SA"/>
      </w:rPr>
    </w:lvl>
    <w:lvl w:ilvl="4">
      <w:start w:val="0"/>
      <w:numFmt w:val="bullet"/>
      <w:lvlText w:val="•"/>
      <w:lvlJc w:val="left"/>
      <w:pPr>
        <w:ind w:left="4004" w:hanging="271"/>
      </w:pPr>
      <w:rPr>
        <w:rFonts w:hint="default"/>
        <w:lang w:val="en-US" w:eastAsia="en-US" w:bidi="ar-SA"/>
      </w:rPr>
    </w:lvl>
    <w:lvl w:ilvl="5">
      <w:start w:val="0"/>
      <w:numFmt w:val="bullet"/>
      <w:lvlText w:val="•"/>
      <w:lvlJc w:val="left"/>
      <w:pPr>
        <w:ind w:left="4895" w:hanging="271"/>
      </w:pPr>
      <w:rPr>
        <w:rFonts w:hint="default"/>
        <w:lang w:val="en-US" w:eastAsia="en-US" w:bidi="ar-SA"/>
      </w:rPr>
    </w:lvl>
    <w:lvl w:ilvl="6">
      <w:start w:val="0"/>
      <w:numFmt w:val="bullet"/>
      <w:lvlText w:val="•"/>
      <w:lvlJc w:val="left"/>
      <w:pPr>
        <w:ind w:left="5786" w:hanging="271"/>
      </w:pPr>
      <w:rPr>
        <w:rFonts w:hint="default"/>
        <w:lang w:val="en-US" w:eastAsia="en-US" w:bidi="ar-SA"/>
      </w:rPr>
    </w:lvl>
    <w:lvl w:ilvl="7">
      <w:start w:val="0"/>
      <w:numFmt w:val="bullet"/>
      <w:lvlText w:val="•"/>
      <w:lvlJc w:val="left"/>
      <w:pPr>
        <w:ind w:left="6677" w:hanging="271"/>
      </w:pPr>
      <w:rPr>
        <w:rFonts w:hint="default"/>
        <w:lang w:val="en-US" w:eastAsia="en-US" w:bidi="ar-SA"/>
      </w:rPr>
    </w:lvl>
    <w:lvl w:ilvl="8">
      <w:start w:val="0"/>
      <w:numFmt w:val="bullet"/>
      <w:lvlText w:val="•"/>
      <w:lvlJc w:val="left"/>
      <w:pPr>
        <w:ind w:left="7568" w:hanging="271"/>
      </w:pPr>
      <w:rPr>
        <w:rFonts w:hint="default"/>
        <w:lang w:val="en-US" w:eastAsia="en-US" w:bidi="ar-SA"/>
      </w:rPr>
    </w:lvl>
  </w:abstractNum>
  <w:abstractNum w:abstractNumId="3">
    <w:multiLevelType w:val="hybridMultilevel"/>
    <w:lvl w:ilvl="0">
      <w:start w:val="1"/>
      <w:numFmt w:val="lowerLetter"/>
      <w:lvlText w:val="(%1)"/>
      <w:lvlJc w:val="left"/>
      <w:pPr>
        <w:ind w:left="4145"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661" w:hanging="361"/>
      </w:pPr>
      <w:rPr>
        <w:rFonts w:hint="default"/>
        <w:lang w:val="en-US" w:eastAsia="en-US" w:bidi="ar-SA"/>
      </w:rPr>
    </w:lvl>
    <w:lvl w:ilvl="2">
      <w:start w:val="0"/>
      <w:numFmt w:val="bullet"/>
      <w:lvlText w:val="•"/>
      <w:lvlJc w:val="left"/>
      <w:pPr>
        <w:ind w:left="5182" w:hanging="361"/>
      </w:pPr>
      <w:rPr>
        <w:rFonts w:hint="default"/>
        <w:lang w:val="en-US" w:eastAsia="en-US" w:bidi="ar-SA"/>
      </w:rPr>
    </w:lvl>
    <w:lvl w:ilvl="3">
      <w:start w:val="0"/>
      <w:numFmt w:val="bullet"/>
      <w:lvlText w:val="•"/>
      <w:lvlJc w:val="left"/>
      <w:pPr>
        <w:ind w:left="5703" w:hanging="361"/>
      </w:pPr>
      <w:rPr>
        <w:rFonts w:hint="default"/>
        <w:lang w:val="en-US" w:eastAsia="en-US" w:bidi="ar-SA"/>
      </w:rPr>
    </w:lvl>
    <w:lvl w:ilvl="4">
      <w:start w:val="0"/>
      <w:numFmt w:val="bullet"/>
      <w:lvlText w:val="•"/>
      <w:lvlJc w:val="left"/>
      <w:pPr>
        <w:ind w:left="6224" w:hanging="361"/>
      </w:pPr>
      <w:rPr>
        <w:rFonts w:hint="default"/>
        <w:lang w:val="en-US" w:eastAsia="en-US" w:bidi="ar-SA"/>
      </w:rPr>
    </w:lvl>
    <w:lvl w:ilvl="5">
      <w:start w:val="0"/>
      <w:numFmt w:val="bullet"/>
      <w:lvlText w:val="•"/>
      <w:lvlJc w:val="left"/>
      <w:pPr>
        <w:ind w:left="6745" w:hanging="361"/>
      </w:pPr>
      <w:rPr>
        <w:rFonts w:hint="default"/>
        <w:lang w:val="en-US" w:eastAsia="en-US" w:bidi="ar-SA"/>
      </w:rPr>
    </w:lvl>
    <w:lvl w:ilvl="6">
      <w:start w:val="0"/>
      <w:numFmt w:val="bullet"/>
      <w:lvlText w:val="•"/>
      <w:lvlJc w:val="left"/>
      <w:pPr>
        <w:ind w:left="7266" w:hanging="361"/>
      </w:pPr>
      <w:rPr>
        <w:rFonts w:hint="default"/>
        <w:lang w:val="en-US" w:eastAsia="en-US" w:bidi="ar-SA"/>
      </w:rPr>
    </w:lvl>
    <w:lvl w:ilvl="7">
      <w:start w:val="0"/>
      <w:numFmt w:val="bullet"/>
      <w:lvlText w:val="•"/>
      <w:lvlJc w:val="left"/>
      <w:pPr>
        <w:ind w:left="7787" w:hanging="361"/>
      </w:pPr>
      <w:rPr>
        <w:rFonts w:hint="default"/>
        <w:lang w:val="en-US" w:eastAsia="en-US" w:bidi="ar-SA"/>
      </w:rPr>
    </w:lvl>
    <w:lvl w:ilvl="8">
      <w:start w:val="0"/>
      <w:numFmt w:val="bullet"/>
      <w:lvlText w:val="•"/>
      <w:lvlJc w:val="left"/>
      <w:pPr>
        <w:ind w:left="8308" w:hanging="361"/>
      </w:pPr>
      <w:rPr>
        <w:rFonts w:hint="default"/>
        <w:lang w:val="en-US" w:eastAsia="en-US" w:bidi="ar-SA"/>
      </w:rPr>
    </w:lvl>
  </w:abstractNum>
  <w:abstractNum w:abstractNumId="2">
    <w:multiLevelType w:val="hybridMultilevel"/>
    <w:lvl w:ilvl="0">
      <w:start w:val="1"/>
      <w:numFmt w:val="lowerLetter"/>
      <w:lvlText w:val="(%1)"/>
      <w:lvlJc w:val="left"/>
      <w:pPr>
        <w:ind w:left="4118"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643" w:hanging="361"/>
      </w:pPr>
      <w:rPr>
        <w:rFonts w:hint="default"/>
        <w:lang w:val="en-US" w:eastAsia="en-US" w:bidi="ar-SA"/>
      </w:rPr>
    </w:lvl>
    <w:lvl w:ilvl="2">
      <w:start w:val="0"/>
      <w:numFmt w:val="bullet"/>
      <w:lvlText w:val="•"/>
      <w:lvlJc w:val="left"/>
      <w:pPr>
        <w:ind w:left="5166" w:hanging="361"/>
      </w:pPr>
      <w:rPr>
        <w:rFonts w:hint="default"/>
        <w:lang w:val="en-US" w:eastAsia="en-US" w:bidi="ar-SA"/>
      </w:rPr>
    </w:lvl>
    <w:lvl w:ilvl="3">
      <w:start w:val="0"/>
      <w:numFmt w:val="bullet"/>
      <w:lvlText w:val="•"/>
      <w:lvlJc w:val="left"/>
      <w:pPr>
        <w:ind w:left="5689" w:hanging="361"/>
      </w:pPr>
      <w:rPr>
        <w:rFonts w:hint="default"/>
        <w:lang w:val="en-US" w:eastAsia="en-US" w:bidi="ar-SA"/>
      </w:rPr>
    </w:lvl>
    <w:lvl w:ilvl="4">
      <w:start w:val="0"/>
      <w:numFmt w:val="bullet"/>
      <w:lvlText w:val="•"/>
      <w:lvlJc w:val="left"/>
      <w:pPr>
        <w:ind w:left="6212" w:hanging="361"/>
      </w:pPr>
      <w:rPr>
        <w:rFonts w:hint="default"/>
        <w:lang w:val="en-US" w:eastAsia="en-US" w:bidi="ar-SA"/>
      </w:rPr>
    </w:lvl>
    <w:lvl w:ilvl="5">
      <w:start w:val="0"/>
      <w:numFmt w:val="bullet"/>
      <w:lvlText w:val="•"/>
      <w:lvlJc w:val="left"/>
      <w:pPr>
        <w:ind w:left="6735" w:hanging="361"/>
      </w:pPr>
      <w:rPr>
        <w:rFonts w:hint="default"/>
        <w:lang w:val="en-US" w:eastAsia="en-US" w:bidi="ar-SA"/>
      </w:rPr>
    </w:lvl>
    <w:lvl w:ilvl="6">
      <w:start w:val="0"/>
      <w:numFmt w:val="bullet"/>
      <w:lvlText w:val="•"/>
      <w:lvlJc w:val="left"/>
      <w:pPr>
        <w:ind w:left="7258" w:hanging="361"/>
      </w:pPr>
      <w:rPr>
        <w:rFonts w:hint="default"/>
        <w:lang w:val="en-US" w:eastAsia="en-US" w:bidi="ar-SA"/>
      </w:rPr>
    </w:lvl>
    <w:lvl w:ilvl="7">
      <w:start w:val="0"/>
      <w:numFmt w:val="bullet"/>
      <w:lvlText w:val="•"/>
      <w:lvlJc w:val="left"/>
      <w:pPr>
        <w:ind w:left="7781" w:hanging="361"/>
      </w:pPr>
      <w:rPr>
        <w:rFonts w:hint="default"/>
        <w:lang w:val="en-US" w:eastAsia="en-US" w:bidi="ar-SA"/>
      </w:rPr>
    </w:lvl>
    <w:lvl w:ilvl="8">
      <w:start w:val="0"/>
      <w:numFmt w:val="bullet"/>
      <w:lvlText w:val="•"/>
      <w:lvlJc w:val="left"/>
      <w:pPr>
        <w:ind w:left="8304" w:hanging="361"/>
      </w:pPr>
      <w:rPr>
        <w:rFonts w:hint="default"/>
        <w:lang w:val="en-US" w:eastAsia="en-US" w:bidi="ar-SA"/>
      </w:rPr>
    </w:lvl>
  </w:abstractNum>
  <w:abstractNum w:abstractNumId="1">
    <w:multiLevelType w:val="hybridMultilevel"/>
    <w:lvl w:ilvl="0">
      <w:start w:val="1"/>
      <w:numFmt w:val="lowerLetter"/>
      <w:lvlText w:val="(%1)"/>
      <w:lvlJc w:val="left"/>
      <w:pPr>
        <w:ind w:left="4065"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589" w:hanging="361"/>
      </w:pPr>
      <w:rPr>
        <w:rFonts w:hint="default"/>
        <w:lang w:val="en-US" w:eastAsia="en-US" w:bidi="ar-SA"/>
      </w:rPr>
    </w:lvl>
    <w:lvl w:ilvl="2">
      <w:start w:val="0"/>
      <w:numFmt w:val="bullet"/>
      <w:lvlText w:val="•"/>
      <w:lvlJc w:val="left"/>
      <w:pPr>
        <w:ind w:left="5118" w:hanging="361"/>
      </w:pPr>
      <w:rPr>
        <w:rFonts w:hint="default"/>
        <w:lang w:val="en-US" w:eastAsia="en-US" w:bidi="ar-SA"/>
      </w:rPr>
    </w:lvl>
    <w:lvl w:ilvl="3">
      <w:start w:val="0"/>
      <w:numFmt w:val="bullet"/>
      <w:lvlText w:val="•"/>
      <w:lvlJc w:val="left"/>
      <w:pPr>
        <w:ind w:left="5647" w:hanging="361"/>
      </w:pPr>
      <w:rPr>
        <w:rFonts w:hint="default"/>
        <w:lang w:val="en-US" w:eastAsia="en-US" w:bidi="ar-SA"/>
      </w:rPr>
    </w:lvl>
    <w:lvl w:ilvl="4">
      <w:start w:val="0"/>
      <w:numFmt w:val="bullet"/>
      <w:lvlText w:val="•"/>
      <w:lvlJc w:val="left"/>
      <w:pPr>
        <w:ind w:left="6176" w:hanging="361"/>
      </w:pPr>
      <w:rPr>
        <w:rFonts w:hint="default"/>
        <w:lang w:val="en-US" w:eastAsia="en-US" w:bidi="ar-SA"/>
      </w:rPr>
    </w:lvl>
    <w:lvl w:ilvl="5">
      <w:start w:val="0"/>
      <w:numFmt w:val="bullet"/>
      <w:lvlText w:val="•"/>
      <w:lvlJc w:val="left"/>
      <w:pPr>
        <w:ind w:left="6705" w:hanging="361"/>
      </w:pPr>
      <w:rPr>
        <w:rFonts w:hint="default"/>
        <w:lang w:val="en-US" w:eastAsia="en-US" w:bidi="ar-SA"/>
      </w:rPr>
    </w:lvl>
    <w:lvl w:ilvl="6">
      <w:start w:val="0"/>
      <w:numFmt w:val="bullet"/>
      <w:lvlText w:val="•"/>
      <w:lvlJc w:val="left"/>
      <w:pPr>
        <w:ind w:left="7234" w:hanging="361"/>
      </w:pPr>
      <w:rPr>
        <w:rFonts w:hint="default"/>
        <w:lang w:val="en-US" w:eastAsia="en-US" w:bidi="ar-SA"/>
      </w:rPr>
    </w:lvl>
    <w:lvl w:ilvl="7">
      <w:start w:val="0"/>
      <w:numFmt w:val="bullet"/>
      <w:lvlText w:val="•"/>
      <w:lvlJc w:val="left"/>
      <w:pPr>
        <w:ind w:left="7763" w:hanging="361"/>
      </w:pPr>
      <w:rPr>
        <w:rFonts w:hint="default"/>
        <w:lang w:val="en-US" w:eastAsia="en-US" w:bidi="ar-SA"/>
      </w:rPr>
    </w:lvl>
    <w:lvl w:ilvl="8">
      <w:start w:val="0"/>
      <w:numFmt w:val="bullet"/>
      <w:lvlText w:val="•"/>
      <w:lvlJc w:val="left"/>
      <w:pPr>
        <w:ind w:left="8292" w:hanging="361"/>
      </w:pPr>
      <w:rPr>
        <w:rFonts w:hint="default"/>
        <w:lang w:val="en-US" w:eastAsia="en-US" w:bidi="ar-SA"/>
      </w:rPr>
    </w:lvl>
  </w:abstractNum>
  <w:abstractNum w:abstractNumId="0">
    <w:multiLevelType w:val="hybridMultilevel"/>
    <w:lvl w:ilvl="0">
      <w:start w:val="188"/>
      <w:numFmt w:val="decimal"/>
      <w:lvlText w:val="%1."/>
      <w:lvlJc w:val="left"/>
      <w:pPr>
        <w:ind w:left="705" w:hanging="541"/>
        <w:jc w:val="left"/>
      </w:pPr>
      <w:rPr>
        <w:rFonts w:hint="default" w:ascii="Arial MT" w:hAnsi="Arial MT" w:eastAsia="Arial MT" w:cs="Arial MT"/>
        <w:b w:val="0"/>
        <w:bCs w:val="0"/>
        <w:i w:val="0"/>
        <w:iCs w:val="0"/>
        <w:color w:val="005DA1"/>
        <w:spacing w:val="-1"/>
        <w:w w:val="100"/>
        <w:position w:val="5"/>
        <w:sz w:val="14"/>
        <w:szCs w:val="14"/>
        <w:u w:val="single" w:color="005DA1"/>
        <w:lang w:val="en-US" w:eastAsia="en-US" w:bidi="ar-SA"/>
      </w:rPr>
    </w:lvl>
    <w:lvl w:ilvl="1">
      <w:start w:val="0"/>
      <w:numFmt w:val="bullet"/>
      <w:lvlText w:val="•"/>
      <w:lvlJc w:val="left"/>
      <w:pPr>
        <w:ind w:left="1565" w:hanging="541"/>
      </w:pPr>
      <w:rPr>
        <w:rFonts w:hint="default"/>
        <w:lang w:val="en-US" w:eastAsia="en-US" w:bidi="ar-SA"/>
      </w:rPr>
    </w:lvl>
    <w:lvl w:ilvl="2">
      <w:start w:val="0"/>
      <w:numFmt w:val="bullet"/>
      <w:lvlText w:val="•"/>
      <w:lvlJc w:val="left"/>
      <w:pPr>
        <w:ind w:left="2430" w:hanging="541"/>
      </w:pPr>
      <w:rPr>
        <w:rFonts w:hint="default"/>
        <w:lang w:val="en-US" w:eastAsia="en-US" w:bidi="ar-SA"/>
      </w:rPr>
    </w:lvl>
    <w:lvl w:ilvl="3">
      <w:start w:val="0"/>
      <w:numFmt w:val="bullet"/>
      <w:lvlText w:val="•"/>
      <w:lvlJc w:val="left"/>
      <w:pPr>
        <w:ind w:left="3295" w:hanging="541"/>
      </w:pPr>
      <w:rPr>
        <w:rFonts w:hint="default"/>
        <w:lang w:val="en-US" w:eastAsia="en-US" w:bidi="ar-SA"/>
      </w:rPr>
    </w:lvl>
    <w:lvl w:ilvl="4">
      <w:start w:val="0"/>
      <w:numFmt w:val="bullet"/>
      <w:lvlText w:val="•"/>
      <w:lvlJc w:val="left"/>
      <w:pPr>
        <w:ind w:left="4160" w:hanging="541"/>
      </w:pPr>
      <w:rPr>
        <w:rFonts w:hint="default"/>
        <w:lang w:val="en-US" w:eastAsia="en-US" w:bidi="ar-SA"/>
      </w:rPr>
    </w:lvl>
    <w:lvl w:ilvl="5">
      <w:start w:val="0"/>
      <w:numFmt w:val="bullet"/>
      <w:lvlText w:val="•"/>
      <w:lvlJc w:val="left"/>
      <w:pPr>
        <w:ind w:left="5025" w:hanging="541"/>
      </w:pPr>
      <w:rPr>
        <w:rFonts w:hint="default"/>
        <w:lang w:val="en-US" w:eastAsia="en-US" w:bidi="ar-SA"/>
      </w:rPr>
    </w:lvl>
    <w:lvl w:ilvl="6">
      <w:start w:val="0"/>
      <w:numFmt w:val="bullet"/>
      <w:lvlText w:val="•"/>
      <w:lvlJc w:val="left"/>
      <w:pPr>
        <w:ind w:left="5890" w:hanging="541"/>
      </w:pPr>
      <w:rPr>
        <w:rFonts w:hint="default"/>
        <w:lang w:val="en-US" w:eastAsia="en-US" w:bidi="ar-SA"/>
      </w:rPr>
    </w:lvl>
    <w:lvl w:ilvl="7">
      <w:start w:val="0"/>
      <w:numFmt w:val="bullet"/>
      <w:lvlText w:val="•"/>
      <w:lvlJc w:val="left"/>
      <w:pPr>
        <w:ind w:left="6755" w:hanging="541"/>
      </w:pPr>
      <w:rPr>
        <w:rFonts w:hint="default"/>
        <w:lang w:val="en-US" w:eastAsia="en-US" w:bidi="ar-SA"/>
      </w:rPr>
    </w:lvl>
    <w:lvl w:ilvl="8">
      <w:start w:val="0"/>
      <w:numFmt w:val="bullet"/>
      <w:lvlText w:val="•"/>
      <w:lvlJc w:val="left"/>
      <w:pPr>
        <w:ind w:left="7620" w:hanging="541"/>
      </w:pPr>
      <w:rPr>
        <w:rFonts w:hint="default"/>
        <w:lang w:val="en-US" w:eastAsia="en-US" w:bidi="ar-SA"/>
      </w:rPr>
    </w:lvl>
  </w:abstractNum>
  <w:num w:numId="5">
    <w:abstractNumId w:val="4"/>
  </w:num>
  <w:num w:numId="7">
    <w:abstractNumId w:val="6"/>
  </w:num>
  <w:num w:numId="10">
    <w:abstractNumId w:val="9"/>
  </w:num>
  <w:num w:numId="9">
    <w:abstractNumId w:val="8"/>
  </w:num>
  <w:num w:numId="8">
    <w:abstractNumId w:val="7"/>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ind w:left="940" w:right="943"/>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65"/>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435" w:hanging="360"/>
    </w:pPr>
    <w:rPr>
      <w:rFonts w:ascii="Arial MT" w:hAnsi="Arial MT" w:eastAsia="Arial MT" w:cs="Arial MT"/>
      <w:lang w:val="en-US" w:eastAsia="en-US" w:bidi="ar-SA"/>
    </w:rPr>
  </w:style>
  <w:style w:styleId="TableParagraph" w:type="paragraph">
    <w:name w:val="Table Paragraph"/>
    <w:basedOn w:val="Normal"/>
    <w:uiPriority w:val="1"/>
    <w:qFormat/>
    <w:pPr>
      <w:spacing w:before="121"/>
      <w:ind w:left="94"/>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header" Target="header15.xml"/><Relationship Id="rId21" Type="http://schemas.openxmlformats.org/officeDocument/2006/relationships/header" Target="header16.xml"/><Relationship Id="rId22" Type="http://schemas.openxmlformats.org/officeDocument/2006/relationships/header" Target="header17.xml"/><Relationship Id="rId23" Type="http://schemas.openxmlformats.org/officeDocument/2006/relationships/header" Target="header18.xml"/><Relationship Id="rId24" Type="http://schemas.openxmlformats.org/officeDocument/2006/relationships/header" Target="header19.xml"/><Relationship Id="rId25" Type="http://schemas.openxmlformats.org/officeDocument/2006/relationships/header" Target="header20.xml"/><Relationship Id="rId26" Type="http://schemas.openxmlformats.org/officeDocument/2006/relationships/header" Target="header21.xml"/><Relationship Id="rId27" Type="http://schemas.openxmlformats.org/officeDocument/2006/relationships/header" Target="header22.xml"/><Relationship Id="rId28" Type="http://schemas.openxmlformats.org/officeDocument/2006/relationships/header" Target="header23.xml"/><Relationship Id="rId29" Type="http://schemas.openxmlformats.org/officeDocument/2006/relationships/header" Target="header24.xml"/><Relationship Id="rId30" Type="http://schemas.openxmlformats.org/officeDocument/2006/relationships/header" Target="header25.xml"/><Relationship Id="rId31" Type="http://schemas.openxmlformats.org/officeDocument/2006/relationships/header" Target="header26.xml"/><Relationship Id="rId32" Type="http://schemas.openxmlformats.org/officeDocument/2006/relationships/header" Target="header27.xml"/><Relationship Id="rId33" Type="http://schemas.openxmlformats.org/officeDocument/2006/relationships/header" Target="header28.xml"/><Relationship Id="rId34" Type="http://schemas.openxmlformats.org/officeDocument/2006/relationships/header" Target="header29.xml"/><Relationship Id="rId35" Type="http://schemas.openxmlformats.org/officeDocument/2006/relationships/header" Target="header30.xml"/><Relationship Id="rId36" Type="http://schemas.openxmlformats.org/officeDocument/2006/relationships/header" Target="header31.xml"/><Relationship Id="rId37" Type="http://schemas.openxmlformats.org/officeDocument/2006/relationships/header" Target="header32.xml"/><Relationship Id="rId38" Type="http://schemas.openxmlformats.org/officeDocument/2006/relationships/header" Target="header33.xml"/><Relationship Id="rId39" Type="http://schemas.openxmlformats.org/officeDocument/2006/relationships/header" Target="header34.xml"/><Relationship Id="rId40" Type="http://schemas.openxmlformats.org/officeDocument/2006/relationships/header" Target="header35.xml"/><Relationship Id="rId41" Type="http://schemas.openxmlformats.org/officeDocument/2006/relationships/header" Target="header36.xml"/><Relationship Id="rId42" Type="http://schemas.openxmlformats.org/officeDocument/2006/relationships/header" Target="header37.xml"/><Relationship Id="rId43" Type="http://schemas.openxmlformats.org/officeDocument/2006/relationships/header" Target="header38.xml"/><Relationship Id="rId44" Type="http://schemas.openxmlformats.org/officeDocument/2006/relationships/header" Target="header39.xml"/><Relationship Id="rId45" Type="http://schemas.openxmlformats.org/officeDocument/2006/relationships/header" Target="header40.xml"/><Relationship Id="rId46" Type="http://schemas.openxmlformats.org/officeDocument/2006/relationships/header" Target="header41.xml"/><Relationship Id="rId47" Type="http://schemas.openxmlformats.org/officeDocument/2006/relationships/header" Target="header42.xml"/><Relationship Id="rId48" Type="http://schemas.openxmlformats.org/officeDocument/2006/relationships/header" Target="header43.xml"/><Relationship Id="rId49" Type="http://schemas.openxmlformats.org/officeDocument/2006/relationships/header" Target="header44.xml"/><Relationship Id="rId50" Type="http://schemas.openxmlformats.org/officeDocument/2006/relationships/header" Target="header45.xml"/><Relationship Id="rId51" Type="http://schemas.openxmlformats.org/officeDocument/2006/relationships/header" Target="header46.xml"/><Relationship Id="rId52" Type="http://schemas.openxmlformats.org/officeDocument/2006/relationships/header" Target="header47.xml"/><Relationship Id="rId53" Type="http://schemas.openxmlformats.org/officeDocument/2006/relationships/header" Target="header48.xml"/><Relationship Id="rId54" Type="http://schemas.openxmlformats.org/officeDocument/2006/relationships/header" Target="header49.xml"/><Relationship Id="rId55" Type="http://schemas.openxmlformats.org/officeDocument/2006/relationships/header" Target="header50.xml"/><Relationship Id="rId56" Type="http://schemas.openxmlformats.org/officeDocument/2006/relationships/header" Target="header51.xml"/><Relationship Id="rId57" Type="http://schemas.openxmlformats.org/officeDocument/2006/relationships/header" Target="header52.xml"/><Relationship Id="rId58" Type="http://schemas.openxmlformats.org/officeDocument/2006/relationships/header" Target="header53.xml"/><Relationship Id="rId59" Type="http://schemas.openxmlformats.org/officeDocument/2006/relationships/header" Target="header54.xml"/><Relationship Id="rId60" Type="http://schemas.openxmlformats.org/officeDocument/2006/relationships/header" Target="header55.xml"/><Relationship Id="rId61" Type="http://schemas.openxmlformats.org/officeDocument/2006/relationships/header" Target="header56.xml"/><Relationship Id="rId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2025-03-18T07:58:22Z</dcterms:created>
  <dcterms:modified xsi:type="dcterms:W3CDTF">2025-03-18T07:58:22Z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